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D2C27" w14:textId="77777777" w:rsidR="006772FE" w:rsidRPr="001C6DCE" w:rsidRDefault="006772FE" w:rsidP="00CE0F3B">
      <w:pPr>
        <w:tabs>
          <w:tab w:val="left" w:pos="720"/>
        </w:tabs>
        <w:spacing w:after="0" w:line="276" w:lineRule="auto"/>
        <w:jc w:val="right"/>
        <w:rPr>
          <w:rFonts w:asciiTheme="majorHAnsi" w:eastAsia="Times New Roman" w:hAnsiTheme="majorHAnsi" w:cstheme="majorHAnsi"/>
          <w:bCs/>
          <w:szCs w:val="28"/>
          <w:lang w:val="ro-RO"/>
        </w:rPr>
      </w:pPr>
      <w:bookmarkStart w:id="0" w:name="_Toc520882612"/>
      <w:bookmarkStart w:id="1" w:name="_Toc527989131"/>
      <w:bookmarkStart w:id="2" w:name="_GoBack"/>
      <w:bookmarkEnd w:id="2"/>
      <w:r w:rsidRPr="001C6DCE">
        <w:rPr>
          <w:rFonts w:asciiTheme="majorHAnsi" w:eastAsia="Times New Roman" w:hAnsiTheme="majorHAnsi" w:cstheme="majorHAnsi"/>
          <w:bCs/>
          <w:szCs w:val="28"/>
          <w:lang w:val="ro-RO"/>
        </w:rPr>
        <w:t>Anexă</w:t>
      </w:r>
    </w:p>
    <w:p w14:paraId="7653D604" w14:textId="77777777" w:rsidR="006772FE" w:rsidRPr="001C6DCE" w:rsidRDefault="006772FE" w:rsidP="00CE0F3B">
      <w:pPr>
        <w:tabs>
          <w:tab w:val="left" w:pos="720"/>
        </w:tabs>
        <w:spacing w:after="0" w:line="276" w:lineRule="auto"/>
        <w:jc w:val="right"/>
        <w:rPr>
          <w:rFonts w:asciiTheme="majorHAnsi" w:eastAsia="Times New Roman" w:hAnsiTheme="majorHAnsi" w:cstheme="majorHAnsi"/>
          <w:bCs/>
          <w:szCs w:val="28"/>
          <w:lang w:val="ro-RO"/>
        </w:rPr>
      </w:pPr>
      <w:r w:rsidRPr="001C6DCE">
        <w:rPr>
          <w:rFonts w:asciiTheme="majorHAnsi" w:eastAsia="Times New Roman" w:hAnsiTheme="majorHAnsi" w:cstheme="majorHAnsi"/>
          <w:bCs/>
          <w:szCs w:val="28"/>
          <w:lang w:val="ro-RO"/>
        </w:rPr>
        <w:t>la Hotărârea Curții de Conturi</w:t>
      </w:r>
    </w:p>
    <w:p w14:paraId="09464F58" w14:textId="063B98C2" w:rsidR="006772FE" w:rsidRPr="001C6DCE" w:rsidRDefault="006772FE" w:rsidP="00721AC1">
      <w:pPr>
        <w:tabs>
          <w:tab w:val="left" w:pos="720"/>
        </w:tabs>
        <w:spacing w:after="0" w:line="276" w:lineRule="auto"/>
        <w:jc w:val="right"/>
        <w:rPr>
          <w:rFonts w:asciiTheme="majorHAnsi" w:eastAsia="Times New Roman" w:hAnsiTheme="majorHAnsi" w:cstheme="majorHAnsi"/>
          <w:bCs/>
          <w:szCs w:val="28"/>
          <w:lang w:val="ro-RO"/>
        </w:rPr>
      </w:pPr>
      <w:r w:rsidRPr="001C6DCE">
        <w:rPr>
          <w:rFonts w:asciiTheme="majorHAnsi" w:eastAsia="Times New Roman" w:hAnsiTheme="majorHAnsi" w:cstheme="majorHAnsi"/>
          <w:bCs/>
          <w:szCs w:val="28"/>
          <w:lang w:val="ro-RO"/>
        </w:rPr>
        <w:t>nr</w:t>
      </w:r>
      <w:r w:rsidR="00721AC1" w:rsidRPr="001C6DCE">
        <w:rPr>
          <w:rFonts w:asciiTheme="majorHAnsi" w:eastAsia="Times New Roman" w:hAnsiTheme="majorHAnsi" w:cstheme="majorHAnsi"/>
          <w:bCs/>
          <w:szCs w:val="28"/>
          <w:lang w:val="ro-RO"/>
        </w:rPr>
        <w:t>.</w:t>
      </w:r>
      <w:r w:rsidR="00721AC1">
        <w:rPr>
          <w:rFonts w:asciiTheme="majorHAnsi" w:eastAsia="Times New Roman" w:hAnsiTheme="majorHAnsi" w:cstheme="majorHAnsi"/>
          <w:bCs/>
          <w:szCs w:val="28"/>
          <w:lang w:val="ro-RO"/>
        </w:rPr>
        <w:t>41</w:t>
      </w:r>
      <w:r w:rsidR="00721AC1" w:rsidRPr="001C6DCE">
        <w:rPr>
          <w:rFonts w:asciiTheme="majorHAnsi" w:eastAsia="Times New Roman" w:hAnsiTheme="majorHAnsi" w:cstheme="majorHAnsi"/>
          <w:bCs/>
          <w:szCs w:val="28"/>
          <w:lang w:val="ro-RO"/>
        </w:rPr>
        <w:t xml:space="preserve"> </w:t>
      </w:r>
      <w:r w:rsidRPr="001C6DCE">
        <w:rPr>
          <w:rFonts w:asciiTheme="majorHAnsi" w:eastAsia="Times New Roman" w:hAnsiTheme="majorHAnsi" w:cstheme="majorHAnsi"/>
          <w:bCs/>
          <w:szCs w:val="28"/>
          <w:lang w:val="ro-RO"/>
        </w:rPr>
        <w:t>din 2</w:t>
      </w:r>
      <w:r w:rsidR="00A52873" w:rsidRPr="001C6DCE">
        <w:rPr>
          <w:rFonts w:asciiTheme="majorHAnsi" w:eastAsia="Times New Roman" w:hAnsiTheme="majorHAnsi" w:cstheme="majorHAnsi"/>
          <w:bCs/>
          <w:szCs w:val="28"/>
          <w:lang w:val="ro-RO"/>
        </w:rPr>
        <w:t>8</w:t>
      </w:r>
      <w:r w:rsidRPr="001C6DCE">
        <w:rPr>
          <w:rFonts w:asciiTheme="majorHAnsi" w:eastAsia="Times New Roman" w:hAnsiTheme="majorHAnsi" w:cstheme="majorHAnsi"/>
          <w:bCs/>
          <w:szCs w:val="28"/>
          <w:lang w:val="ro-RO"/>
        </w:rPr>
        <w:t xml:space="preserve"> iulie 202</w:t>
      </w:r>
      <w:r w:rsidR="00A52873" w:rsidRPr="001C6DCE">
        <w:rPr>
          <w:rFonts w:asciiTheme="majorHAnsi" w:eastAsia="Times New Roman" w:hAnsiTheme="majorHAnsi" w:cstheme="majorHAnsi"/>
          <w:bCs/>
          <w:szCs w:val="28"/>
          <w:lang w:val="ro-RO"/>
        </w:rPr>
        <w:t>3</w:t>
      </w:r>
    </w:p>
    <w:p w14:paraId="695E880E" w14:textId="77777777" w:rsidR="006772FE" w:rsidRPr="001C6DCE" w:rsidRDefault="006772FE" w:rsidP="00CE0F3B">
      <w:pPr>
        <w:spacing w:after="0" w:line="276" w:lineRule="auto"/>
        <w:jc w:val="center"/>
        <w:rPr>
          <w:rFonts w:asciiTheme="majorHAnsi" w:hAnsiTheme="majorHAnsi" w:cstheme="majorHAnsi"/>
          <w:lang w:val="ro-RO"/>
        </w:rPr>
      </w:pPr>
    </w:p>
    <w:p w14:paraId="6A967DEA" w14:textId="77777777" w:rsidR="006772FE" w:rsidRPr="001C6DCE" w:rsidRDefault="006772FE" w:rsidP="00CE0F3B">
      <w:pPr>
        <w:spacing w:after="0" w:line="276" w:lineRule="auto"/>
        <w:jc w:val="center"/>
        <w:rPr>
          <w:rFonts w:asciiTheme="majorHAnsi" w:hAnsiTheme="majorHAnsi" w:cstheme="majorHAnsi"/>
          <w:lang w:val="ro-RO"/>
        </w:rPr>
      </w:pPr>
    </w:p>
    <w:p w14:paraId="2A696B60" w14:textId="77777777" w:rsidR="006772FE" w:rsidRPr="001C6DCE" w:rsidRDefault="006772FE" w:rsidP="00CE0F3B">
      <w:pPr>
        <w:spacing w:after="0" w:line="276" w:lineRule="auto"/>
        <w:jc w:val="center"/>
        <w:rPr>
          <w:rFonts w:asciiTheme="majorHAnsi" w:hAnsiTheme="majorHAnsi" w:cstheme="majorHAnsi"/>
          <w:b/>
          <w:szCs w:val="28"/>
          <w:lang w:val="ro-RO"/>
        </w:rPr>
      </w:pPr>
    </w:p>
    <w:p w14:paraId="294914E6" w14:textId="63759E99" w:rsidR="006772FE" w:rsidRPr="001C6DCE" w:rsidRDefault="006772FE" w:rsidP="00CE0F3B">
      <w:pPr>
        <w:spacing w:after="0" w:line="276" w:lineRule="auto"/>
        <w:jc w:val="center"/>
        <w:rPr>
          <w:rFonts w:asciiTheme="majorHAnsi" w:hAnsiTheme="majorHAnsi" w:cstheme="majorHAnsi"/>
          <w:b/>
          <w:szCs w:val="28"/>
          <w:lang w:val="ro-RO"/>
        </w:rPr>
      </w:pPr>
      <w:r w:rsidRPr="001C6DCE">
        <w:rPr>
          <w:rFonts w:asciiTheme="majorHAnsi" w:hAnsiTheme="majorHAnsi" w:cstheme="majorHAnsi"/>
          <w:b/>
          <w:noProof/>
          <w:szCs w:val="28"/>
          <w:lang w:val="ru-RU" w:eastAsia="ru-RU"/>
        </w:rPr>
        <w:drawing>
          <wp:inline distT="0" distB="0" distL="0" distR="0" wp14:anchorId="4E73A771" wp14:editId="45EB79F5">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73B378EB" w14:textId="77777777" w:rsidR="006772FE" w:rsidRPr="001C6DCE" w:rsidRDefault="006772FE" w:rsidP="00CE0F3B">
      <w:pPr>
        <w:spacing w:after="0" w:line="276" w:lineRule="auto"/>
        <w:jc w:val="center"/>
        <w:rPr>
          <w:rFonts w:asciiTheme="majorHAnsi" w:hAnsiTheme="majorHAnsi" w:cstheme="majorHAnsi"/>
          <w:b/>
          <w:szCs w:val="28"/>
          <w:lang w:val="ro-RO"/>
        </w:rPr>
      </w:pPr>
    </w:p>
    <w:p w14:paraId="4732C682" w14:textId="77777777" w:rsidR="006772FE" w:rsidRPr="001C6DCE" w:rsidRDefault="006772FE" w:rsidP="00CE0F3B">
      <w:pPr>
        <w:spacing w:after="0" w:line="276" w:lineRule="auto"/>
        <w:jc w:val="center"/>
        <w:rPr>
          <w:rFonts w:asciiTheme="majorHAnsi" w:hAnsiTheme="majorHAnsi" w:cstheme="majorHAnsi"/>
          <w:b/>
          <w:szCs w:val="28"/>
          <w:lang w:val="ro-RO"/>
        </w:rPr>
      </w:pPr>
    </w:p>
    <w:p w14:paraId="01F63BE0" w14:textId="77777777" w:rsidR="006772FE" w:rsidRPr="001C6DCE" w:rsidRDefault="006772FE" w:rsidP="00CE0F3B">
      <w:pPr>
        <w:spacing w:after="0" w:line="276" w:lineRule="auto"/>
        <w:jc w:val="center"/>
        <w:rPr>
          <w:rFonts w:asciiTheme="majorHAnsi" w:hAnsiTheme="majorHAnsi" w:cstheme="majorHAnsi"/>
          <w:b/>
          <w:sz w:val="40"/>
          <w:szCs w:val="40"/>
          <w:lang w:val="ro-RO"/>
        </w:rPr>
      </w:pPr>
      <w:r w:rsidRPr="001C6DCE">
        <w:rPr>
          <w:rFonts w:asciiTheme="majorHAnsi" w:hAnsiTheme="majorHAnsi" w:cstheme="majorHAnsi"/>
          <w:b/>
          <w:sz w:val="40"/>
          <w:szCs w:val="40"/>
          <w:lang w:val="ro-RO"/>
        </w:rPr>
        <w:t>CURTEA DE CONTURI A REPUBLICII MOLDOVA</w:t>
      </w:r>
    </w:p>
    <w:p w14:paraId="5E63C143" w14:textId="77777777" w:rsidR="006772FE" w:rsidRPr="001C6DCE" w:rsidRDefault="006772FE" w:rsidP="00CE0F3B">
      <w:pPr>
        <w:spacing w:after="0" w:line="276" w:lineRule="auto"/>
        <w:jc w:val="center"/>
        <w:rPr>
          <w:rFonts w:asciiTheme="majorHAnsi" w:hAnsiTheme="majorHAnsi" w:cstheme="majorHAnsi"/>
          <w:lang w:val="ro-RO"/>
        </w:rPr>
      </w:pPr>
    </w:p>
    <w:p w14:paraId="33FA0CB9" w14:textId="77777777" w:rsidR="006772FE" w:rsidRPr="001C6DCE" w:rsidRDefault="006772FE" w:rsidP="00CE0F3B">
      <w:pPr>
        <w:tabs>
          <w:tab w:val="left" w:pos="720"/>
        </w:tabs>
        <w:spacing w:after="0" w:line="276" w:lineRule="auto"/>
        <w:jc w:val="center"/>
        <w:rPr>
          <w:rFonts w:asciiTheme="majorHAnsi" w:eastAsia="Times New Roman" w:hAnsiTheme="majorHAnsi" w:cstheme="majorHAnsi"/>
          <w:b/>
          <w:bCs/>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6772FE" w:rsidRPr="001C6DCE" w14:paraId="063E6D29" w14:textId="77777777" w:rsidTr="00A62BFE">
        <w:trPr>
          <w:trHeight w:val="435"/>
        </w:trPr>
        <w:tc>
          <w:tcPr>
            <w:tcW w:w="9350" w:type="dxa"/>
          </w:tcPr>
          <w:p w14:paraId="1AC6D679" w14:textId="77777777" w:rsidR="006772FE" w:rsidRPr="001C6DCE" w:rsidRDefault="006772FE" w:rsidP="00CE0F3B">
            <w:pPr>
              <w:tabs>
                <w:tab w:val="left" w:pos="720"/>
              </w:tabs>
              <w:spacing w:after="0" w:line="276" w:lineRule="auto"/>
              <w:jc w:val="center"/>
              <w:rPr>
                <w:rFonts w:asciiTheme="majorHAnsi" w:hAnsiTheme="majorHAnsi" w:cstheme="majorHAnsi"/>
                <w:b/>
                <w:sz w:val="18"/>
                <w:szCs w:val="18"/>
                <w:lang w:val="ro-RO"/>
              </w:rPr>
            </w:pPr>
            <w:r w:rsidRPr="001C6DCE">
              <w:rPr>
                <w:rFonts w:asciiTheme="majorHAnsi" w:hAnsiTheme="majorHAnsi" w:cstheme="majorHAnsi"/>
                <w:b/>
                <w:sz w:val="18"/>
                <w:szCs w:val="18"/>
                <w:lang w:val="ro-RO"/>
              </w:rPr>
              <w:t>MD-2001, mun. Chișinău, bd. Ștefan cel Mare și Sfânt nr.69, tel.: (+373 22) 26 60 02, fax: (+373 22) 26 61 00</w:t>
            </w:r>
          </w:p>
          <w:p w14:paraId="591E9B73" w14:textId="77777777" w:rsidR="006772FE" w:rsidRPr="001C6DCE" w:rsidRDefault="00E62CFE" w:rsidP="00CE0F3B">
            <w:pPr>
              <w:tabs>
                <w:tab w:val="left" w:pos="720"/>
              </w:tabs>
              <w:spacing w:after="0" w:line="276" w:lineRule="auto"/>
              <w:jc w:val="center"/>
              <w:rPr>
                <w:rFonts w:asciiTheme="majorHAnsi" w:eastAsia="Times New Roman" w:hAnsiTheme="majorHAnsi" w:cstheme="majorHAnsi"/>
                <w:b/>
                <w:bCs/>
                <w:sz w:val="24"/>
                <w:szCs w:val="24"/>
                <w:lang w:val="ro-RO"/>
              </w:rPr>
            </w:pPr>
            <w:hyperlink r:id="rId9" w:history="1">
              <w:r w:rsidR="006772FE" w:rsidRPr="001C6DCE">
                <w:rPr>
                  <w:rStyle w:val="ac"/>
                  <w:rFonts w:asciiTheme="majorHAnsi" w:hAnsiTheme="majorHAnsi" w:cstheme="majorHAnsi"/>
                  <w:b/>
                  <w:color w:val="auto"/>
                  <w:sz w:val="18"/>
                  <w:szCs w:val="18"/>
                  <w:lang w:val="ro-RO"/>
                </w:rPr>
                <w:t>www.ccrm.md</w:t>
              </w:r>
            </w:hyperlink>
            <w:r w:rsidR="006772FE" w:rsidRPr="001C6DCE">
              <w:rPr>
                <w:rStyle w:val="ac"/>
                <w:rFonts w:asciiTheme="majorHAnsi" w:hAnsiTheme="majorHAnsi" w:cstheme="majorHAnsi"/>
                <w:b/>
                <w:color w:val="auto"/>
                <w:sz w:val="18"/>
                <w:szCs w:val="18"/>
                <w:lang w:val="ro-RO"/>
              </w:rPr>
              <w:t xml:space="preserve">; </w:t>
            </w:r>
            <w:r w:rsidR="006772FE" w:rsidRPr="001C6DCE">
              <w:rPr>
                <w:rFonts w:asciiTheme="majorHAnsi" w:hAnsiTheme="majorHAnsi" w:cstheme="majorHAnsi"/>
                <w:b/>
                <w:sz w:val="18"/>
                <w:szCs w:val="18"/>
                <w:lang w:val="ro-RO"/>
              </w:rPr>
              <w:t xml:space="preserve">e-mail: </w:t>
            </w:r>
            <w:hyperlink r:id="rId10" w:history="1">
              <w:r w:rsidR="006772FE" w:rsidRPr="001C6DCE">
                <w:rPr>
                  <w:rStyle w:val="ac"/>
                  <w:rFonts w:asciiTheme="majorHAnsi" w:hAnsiTheme="majorHAnsi" w:cstheme="majorHAnsi"/>
                  <w:b/>
                  <w:color w:val="auto"/>
                  <w:sz w:val="18"/>
                  <w:szCs w:val="18"/>
                  <w:lang w:val="ro-RO"/>
                </w:rPr>
                <w:t>ccrm@ccrm.md</w:t>
              </w:r>
            </w:hyperlink>
          </w:p>
        </w:tc>
      </w:tr>
    </w:tbl>
    <w:p w14:paraId="23EE8454" w14:textId="77777777" w:rsidR="006772FE" w:rsidRPr="001C6DCE" w:rsidRDefault="006772FE" w:rsidP="00CE0F3B">
      <w:pPr>
        <w:tabs>
          <w:tab w:val="left" w:pos="720"/>
        </w:tabs>
        <w:spacing w:after="0" w:line="276" w:lineRule="auto"/>
        <w:jc w:val="center"/>
        <w:rPr>
          <w:rFonts w:asciiTheme="majorHAnsi" w:eastAsia="Times New Roman" w:hAnsiTheme="majorHAnsi" w:cstheme="majorHAnsi"/>
          <w:b/>
          <w:bCs/>
          <w:sz w:val="24"/>
          <w:szCs w:val="24"/>
          <w:lang w:val="ro-RO"/>
        </w:rPr>
      </w:pPr>
    </w:p>
    <w:p w14:paraId="10575A78" w14:textId="77777777" w:rsidR="006772FE" w:rsidRPr="001C6DCE" w:rsidRDefault="006772FE" w:rsidP="00CE0F3B">
      <w:pPr>
        <w:tabs>
          <w:tab w:val="left" w:pos="720"/>
        </w:tabs>
        <w:spacing w:after="0" w:line="276" w:lineRule="auto"/>
        <w:jc w:val="center"/>
        <w:rPr>
          <w:rFonts w:asciiTheme="majorHAnsi" w:eastAsia="Times New Roman" w:hAnsiTheme="majorHAnsi" w:cstheme="majorHAnsi"/>
          <w:b/>
          <w:bCs/>
          <w:sz w:val="24"/>
          <w:szCs w:val="24"/>
          <w:lang w:val="ro-RO"/>
        </w:rPr>
      </w:pPr>
    </w:p>
    <w:p w14:paraId="023659CE" w14:textId="77777777" w:rsidR="006772FE" w:rsidRPr="001C6DCE" w:rsidRDefault="006772FE" w:rsidP="00CE0F3B">
      <w:pPr>
        <w:tabs>
          <w:tab w:val="left" w:pos="720"/>
        </w:tabs>
        <w:spacing w:after="0" w:line="276" w:lineRule="auto"/>
        <w:jc w:val="center"/>
        <w:rPr>
          <w:rFonts w:asciiTheme="majorHAnsi" w:eastAsia="Times New Roman" w:hAnsiTheme="majorHAnsi" w:cstheme="majorHAnsi"/>
          <w:b/>
          <w:bCs/>
          <w:sz w:val="24"/>
          <w:szCs w:val="24"/>
          <w:lang w:val="ro-RO"/>
        </w:rPr>
      </w:pPr>
    </w:p>
    <w:p w14:paraId="7A1FEDC1" w14:textId="77777777" w:rsidR="006772FE" w:rsidRPr="001C6DCE" w:rsidRDefault="006772FE" w:rsidP="00CE0F3B">
      <w:pPr>
        <w:tabs>
          <w:tab w:val="left" w:pos="720"/>
        </w:tabs>
        <w:spacing w:after="0" w:line="276" w:lineRule="auto"/>
        <w:jc w:val="center"/>
        <w:rPr>
          <w:rFonts w:asciiTheme="majorHAnsi" w:eastAsia="Times New Roman" w:hAnsiTheme="majorHAnsi" w:cstheme="majorHAnsi"/>
          <w:b/>
          <w:bCs/>
          <w:sz w:val="24"/>
          <w:szCs w:val="24"/>
          <w:lang w:val="ro-RO"/>
        </w:rPr>
      </w:pPr>
    </w:p>
    <w:p w14:paraId="35F0EE9E" w14:textId="77777777" w:rsidR="006772FE" w:rsidRPr="001C6DCE" w:rsidRDefault="006772FE" w:rsidP="00CE0F3B">
      <w:pPr>
        <w:tabs>
          <w:tab w:val="left" w:pos="720"/>
        </w:tabs>
        <w:spacing w:after="0" w:line="276" w:lineRule="auto"/>
        <w:jc w:val="center"/>
        <w:rPr>
          <w:rFonts w:asciiTheme="majorHAnsi" w:eastAsia="Times New Roman" w:hAnsiTheme="majorHAnsi" w:cstheme="majorHAnsi"/>
          <w:b/>
          <w:bCs/>
          <w:sz w:val="24"/>
          <w:szCs w:val="24"/>
          <w:lang w:val="ro-RO"/>
        </w:rPr>
      </w:pPr>
    </w:p>
    <w:p w14:paraId="2B8B89C5" w14:textId="77777777" w:rsidR="006772FE" w:rsidRPr="001C6DCE" w:rsidRDefault="006772FE" w:rsidP="00CE0F3B">
      <w:pPr>
        <w:tabs>
          <w:tab w:val="left" w:pos="720"/>
        </w:tabs>
        <w:spacing w:after="0" w:line="276" w:lineRule="auto"/>
        <w:ind w:firstLine="720"/>
        <w:jc w:val="center"/>
        <w:rPr>
          <w:rFonts w:asciiTheme="majorHAnsi" w:eastAsia="Times New Roman" w:hAnsiTheme="majorHAnsi" w:cstheme="majorHAnsi"/>
          <w:b/>
          <w:bCs/>
          <w:sz w:val="32"/>
          <w:szCs w:val="32"/>
          <w:lang w:val="ro-RO"/>
        </w:rPr>
      </w:pPr>
    </w:p>
    <w:p w14:paraId="23311738" w14:textId="77777777" w:rsidR="006772FE" w:rsidRPr="001C6DCE" w:rsidRDefault="006772FE" w:rsidP="00CE0F3B">
      <w:pPr>
        <w:tabs>
          <w:tab w:val="left" w:pos="720"/>
        </w:tabs>
        <w:spacing w:after="0" w:line="276" w:lineRule="auto"/>
        <w:jc w:val="center"/>
        <w:rPr>
          <w:rFonts w:asciiTheme="majorHAnsi" w:eastAsia="Times New Roman" w:hAnsiTheme="majorHAnsi" w:cstheme="majorHAnsi"/>
          <w:b/>
          <w:bCs/>
          <w:sz w:val="32"/>
          <w:szCs w:val="32"/>
          <w:lang w:val="ro-RO"/>
        </w:rPr>
      </w:pPr>
      <w:r w:rsidRPr="001C6DCE">
        <w:rPr>
          <w:rFonts w:asciiTheme="majorHAnsi" w:eastAsia="Times New Roman" w:hAnsiTheme="majorHAnsi" w:cstheme="majorHAnsi"/>
          <w:b/>
          <w:bCs/>
          <w:sz w:val="32"/>
          <w:szCs w:val="32"/>
          <w:lang w:val="ro-RO"/>
        </w:rPr>
        <w:t>RAPORTUL</w:t>
      </w:r>
    </w:p>
    <w:p w14:paraId="2D549237" w14:textId="77777777" w:rsidR="006772FE" w:rsidRPr="001C6DCE" w:rsidRDefault="006772FE" w:rsidP="00CE0F3B">
      <w:pPr>
        <w:tabs>
          <w:tab w:val="left" w:pos="720"/>
        </w:tabs>
        <w:spacing w:after="0" w:line="276" w:lineRule="auto"/>
        <w:ind w:firstLine="720"/>
        <w:jc w:val="center"/>
        <w:rPr>
          <w:rFonts w:asciiTheme="majorHAnsi" w:eastAsia="Times New Roman" w:hAnsiTheme="majorHAnsi" w:cstheme="majorHAnsi"/>
          <w:b/>
          <w:bCs/>
          <w:sz w:val="32"/>
          <w:szCs w:val="32"/>
          <w:lang w:val="ro-RO"/>
        </w:rPr>
      </w:pPr>
    </w:p>
    <w:p w14:paraId="207A1DC7" w14:textId="77777777" w:rsidR="006772FE" w:rsidRPr="001C6DCE" w:rsidRDefault="006772FE" w:rsidP="00CE0F3B">
      <w:pPr>
        <w:spacing w:after="0" w:line="276" w:lineRule="auto"/>
        <w:jc w:val="center"/>
        <w:rPr>
          <w:rFonts w:asciiTheme="majorHAnsi" w:eastAsia="Times New Roman" w:hAnsiTheme="majorHAnsi" w:cstheme="majorHAnsi"/>
          <w:b/>
          <w:bCs/>
          <w:szCs w:val="28"/>
          <w:lang w:val="ro-RO"/>
        </w:rPr>
      </w:pPr>
      <w:r w:rsidRPr="001C6DCE">
        <w:rPr>
          <w:rFonts w:asciiTheme="majorHAnsi" w:eastAsia="Times New Roman" w:hAnsiTheme="majorHAnsi" w:cstheme="majorHAnsi"/>
          <w:b/>
          <w:bCs/>
          <w:szCs w:val="28"/>
          <w:lang w:val="ro-RO"/>
        </w:rPr>
        <w:t>auditului asupra rapoartelor financiare consolidate ale Ministerului Educației, și Cercetării încheiate la 31 decembrie 2022</w:t>
      </w:r>
    </w:p>
    <w:p w14:paraId="07D50DF3" w14:textId="77777777" w:rsidR="006772FE" w:rsidRPr="001C6DCE" w:rsidRDefault="006772FE" w:rsidP="00CE0F3B">
      <w:pPr>
        <w:spacing w:after="0" w:line="276" w:lineRule="auto"/>
        <w:jc w:val="center"/>
        <w:rPr>
          <w:rFonts w:asciiTheme="majorHAnsi" w:eastAsia="Times New Roman" w:hAnsiTheme="majorHAnsi" w:cstheme="majorHAnsi"/>
          <w:b/>
          <w:bCs/>
          <w:szCs w:val="28"/>
          <w:lang w:val="ro-RO"/>
        </w:rPr>
      </w:pPr>
    </w:p>
    <w:p w14:paraId="1384CEAA" w14:textId="77777777" w:rsidR="006772FE" w:rsidRPr="001C6DCE" w:rsidRDefault="006772FE" w:rsidP="00CE0F3B">
      <w:pPr>
        <w:spacing w:line="276" w:lineRule="auto"/>
        <w:jc w:val="center"/>
        <w:rPr>
          <w:rFonts w:asciiTheme="majorHAnsi" w:eastAsia="Times New Roman" w:hAnsiTheme="majorHAnsi" w:cstheme="majorHAnsi"/>
          <w:szCs w:val="28"/>
          <w:lang w:val="ro-RO"/>
        </w:rPr>
      </w:pPr>
    </w:p>
    <w:p w14:paraId="68F909C0" w14:textId="77777777" w:rsidR="006772FE" w:rsidRPr="001C6DCE" w:rsidRDefault="006772FE" w:rsidP="00CE0F3B">
      <w:pPr>
        <w:spacing w:line="276" w:lineRule="auto"/>
        <w:jc w:val="center"/>
        <w:rPr>
          <w:rFonts w:asciiTheme="majorHAnsi" w:eastAsia="Times New Roman" w:hAnsiTheme="majorHAnsi" w:cstheme="majorHAnsi"/>
          <w:szCs w:val="28"/>
          <w:lang w:val="ro-RO"/>
        </w:rPr>
      </w:pPr>
    </w:p>
    <w:p w14:paraId="34F7FB38" w14:textId="77777777" w:rsidR="006772FE" w:rsidRPr="001C6DCE" w:rsidRDefault="006772FE" w:rsidP="00CE0F3B">
      <w:pPr>
        <w:spacing w:line="276" w:lineRule="auto"/>
        <w:jc w:val="center"/>
        <w:rPr>
          <w:rFonts w:asciiTheme="majorHAnsi" w:eastAsia="Times New Roman" w:hAnsiTheme="majorHAnsi" w:cstheme="majorHAnsi"/>
          <w:szCs w:val="28"/>
          <w:lang w:val="ro-RO"/>
        </w:rPr>
      </w:pPr>
    </w:p>
    <w:p w14:paraId="286D5F79" w14:textId="77777777" w:rsidR="006772FE" w:rsidRPr="001C6DCE" w:rsidRDefault="006772FE" w:rsidP="00CE0F3B">
      <w:pPr>
        <w:spacing w:line="276" w:lineRule="auto"/>
        <w:jc w:val="center"/>
        <w:rPr>
          <w:rFonts w:asciiTheme="majorHAnsi" w:eastAsia="Times New Roman" w:hAnsiTheme="majorHAnsi" w:cstheme="majorHAnsi"/>
          <w:szCs w:val="28"/>
          <w:lang w:val="ro-RO"/>
        </w:rPr>
      </w:pPr>
    </w:p>
    <w:p w14:paraId="06F46D6B" w14:textId="77777777" w:rsidR="006772FE" w:rsidRPr="001C6DCE" w:rsidRDefault="006772FE" w:rsidP="00CE0F3B">
      <w:pPr>
        <w:spacing w:line="276" w:lineRule="auto"/>
        <w:jc w:val="both"/>
        <w:rPr>
          <w:rFonts w:asciiTheme="majorHAnsi" w:eastAsia="Times New Roman" w:hAnsiTheme="majorHAnsi" w:cstheme="majorHAnsi"/>
          <w:szCs w:val="28"/>
          <w:lang w:val="ro-RO"/>
        </w:rPr>
      </w:pPr>
    </w:p>
    <w:p w14:paraId="6A1647C8" w14:textId="77777777" w:rsidR="006772FE" w:rsidRPr="001C6DCE" w:rsidRDefault="006772FE" w:rsidP="00CE0F3B">
      <w:pPr>
        <w:spacing w:line="276" w:lineRule="auto"/>
        <w:jc w:val="both"/>
        <w:rPr>
          <w:rFonts w:asciiTheme="majorHAnsi" w:eastAsia="Times New Roman" w:hAnsiTheme="majorHAnsi" w:cstheme="majorHAnsi"/>
          <w:szCs w:val="28"/>
          <w:lang w:val="ro-RO"/>
        </w:rPr>
        <w:sectPr w:rsidR="006772FE" w:rsidRPr="001C6DCE" w:rsidSect="009834D6">
          <w:footerReference w:type="default" r:id="rId11"/>
          <w:pgSz w:w="11906" w:h="16838" w:code="9"/>
          <w:pgMar w:top="851" w:right="851" w:bottom="851" w:left="1701" w:header="720" w:footer="720" w:gutter="0"/>
          <w:cols w:space="720"/>
          <w:titlePg/>
          <w:docGrid w:linePitch="381"/>
        </w:sectPr>
      </w:pPr>
    </w:p>
    <w:p w14:paraId="73CCC069" w14:textId="77777777" w:rsidR="006772FE" w:rsidRPr="001C6DCE" w:rsidRDefault="006772FE" w:rsidP="00CE0F3B">
      <w:pPr>
        <w:pStyle w:val="a8"/>
        <w:numPr>
          <w:ilvl w:val="0"/>
          <w:numId w:val="2"/>
        </w:numPr>
        <w:spacing w:line="276" w:lineRule="auto"/>
        <w:ind w:left="0" w:firstLine="0"/>
        <w:outlineLvl w:val="0"/>
        <w:rPr>
          <w:rFonts w:asciiTheme="majorHAnsi" w:hAnsiTheme="majorHAnsi" w:cstheme="majorHAnsi"/>
          <w:b/>
          <w:sz w:val="24"/>
          <w:szCs w:val="24"/>
          <w:lang w:val="ro-RO"/>
        </w:rPr>
      </w:pPr>
      <w:bookmarkStart w:id="3" w:name="_Toc529544629"/>
      <w:r w:rsidRPr="001C6DCE">
        <w:rPr>
          <w:rFonts w:asciiTheme="majorHAnsi" w:hAnsiTheme="majorHAnsi" w:cstheme="majorHAnsi"/>
          <w:b/>
          <w:sz w:val="24"/>
          <w:szCs w:val="24"/>
          <w:lang w:val="ro-RO"/>
        </w:rPr>
        <w:lastRenderedPageBreak/>
        <w:t>OPINIE CONTRARĂ</w:t>
      </w:r>
      <w:bookmarkEnd w:id="3"/>
      <w:r w:rsidRPr="001C6DCE">
        <w:rPr>
          <w:rFonts w:asciiTheme="majorHAnsi" w:hAnsiTheme="majorHAnsi" w:cstheme="majorHAnsi"/>
          <w:b/>
          <w:sz w:val="24"/>
          <w:szCs w:val="24"/>
          <w:lang w:val="ro-RO"/>
        </w:rPr>
        <w:t xml:space="preserve"> </w:t>
      </w:r>
    </w:p>
    <w:p w14:paraId="10FE668C" w14:textId="76DBE212" w:rsidR="006772FE" w:rsidRPr="001C6DCE" w:rsidRDefault="00D678A4" w:rsidP="00CE0F3B">
      <w:pPr>
        <w:pStyle w:val="ab"/>
        <w:spacing w:line="276" w:lineRule="auto"/>
        <w:ind w:firstLine="0"/>
        <w:rPr>
          <w:rFonts w:asciiTheme="majorHAnsi" w:hAnsiTheme="majorHAnsi" w:cstheme="majorHAnsi"/>
          <w:sz w:val="16"/>
          <w:szCs w:val="16"/>
          <w:lang w:val="ro-RO"/>
        </w:rPr>
      </w:pPr>
      <w:r w:rsidRPr="001C6DCE">
        <w:rPr>
          <w:rFonts w:asciiTheme="majorHAnsi" w:hAnsiTheme="majorHAnsi" w:cstheme="minorHAnsi"/>
          <w:lang w:val="ro-RO"/>
        </w:rPr>
        <w:t xml:space="preserve">Am auditat rapoartele financiare consolidate ale Ministerului Educației și Cercetării (în continuare </w:t>
      </w:r>
      <w:r w:rsidR="002C080C" w:rsidRPr="001C6DCE">
        <w:rPr>
          <w:rFonts w:asciiTheme="majorHAnsi" w:hAnsiTheme="majorHAnsi" w:cstheme="minorHAnsi"/>
          <w:lang w:val="ro-RO"/>
        </w:rPr>
        <w:t>–</w:t>
      </w:r>
      <w:r w:rsidR="00A74892" w:rsidRPr="001C6DCE">
        <w:rPr>
          <w:rFonts w:asciiTheme="majorHAnsi" w:hAnsiTheme="majorHAnsi" w:cstheme="minorHAnsi"/>
          <w:lang w:val="ro-RO"/>
        </w:rPr>
        <w:t xml:space="preserve"> </w:t>
      </w:r>
      <w:r w:rsidRPr="001C6DCE">
        <w:rPr>
          <w:rFonts w:asciiTheme="majorHAnsi" w:hAnsiTheme="majorHAnsi" w:cstheme="minorHAnsi"/>
          <w:lang w:val="ro-RO"/>
        </w:rPr>
        <w:t>MEC</w:t>
      </w:r>
      <w:r w:rsidR="002C080C" w:rsidRPr="001C6DCE">
        <w:rPr>
          <w:rFonts w:asciiTheme="majorHAnsi" w:hAnsiTheme="majorHAnsi" w:cstheme="minorHAnsi"/>
          <w:lang w:val="ro-RO"/>
        </w:rPr>
        <w:t>, ministerul</w:t>
      </w:r>
      <w:r w:rsidRPr="001C6DCE">
        <w:rPr>
          <w:rFonts w:asciiTheme="majorHAnsi" w:hAnsiTheme="majorHAnsi" w:cstheme="minorHAnsi"/>
          <w:lang w:val="ro-RO"/>
        </w:rPr>
        <w:t xml:space="preserve">) pentru exercițiul bugetar încheiat la 31 decembrie 2022, care cuprind Bilanțul contabil, Raportul privind veniturile și cheltuielile, Raportul privind fluxul mijloacelor bănești, Raportul privind executarea bugetului, Raportul narativ privind executarea bugetului, inclusiv un sumar al politicilor contabile semnificative. În opinia noastră, ținând cont de semnificația aspectelor descrise în secțiunea </w:t>
      </w:r>
      <w:r w:rsidRPr="001C6DCE">
        <w:rPr>
          <w:rFonts w:asciiTheme="majorHAnsi" w:hAnsiTheme="majorHAnsi" w:cstheme="minorHAnsi"/>
          <w:i/>
          <w:lang w:val="ro-RO"/>
        </w:rPr>
        <w:t>Baza pentru opinia contrară</w:t>
      </w:r>
      <w:r w:rsidRPr="001C6DCE">
        <w:rPr>
          <w:rFonts w:asciiTheme="majorHAnsi" w:hAnsiTheme="majorHAnsi" w:cstheme="minorHAnsi"/>
          <w:lang w:val="ro-RO"/>
        </w:rPr>
        <w:t>, rapoartele financiare</w:t>
      </w:r>
      <w:r w:rsidR="00AE61CF" w:rsidRPr="001C6DCE">
        <w:rPr>
          <w:rFonts w:asciiTheme="majorHAnsi" w:hAnsiTheme="majorHAnsi" w:cstheme="minorHAnsi"/>
          <w:lang w:val="ro-RO"/>
        </w:rPr>
        <w:t xml:space="preserve"> consolidate</w:t>
      </w:r>
      <w:r w:rsidRPr="001C6DCE">
        <w:rPr>
          <w:rFonts w:asciiTheme="majorHAnsi" w:hAnsiTheme="majorHAnsi" w:cstheme="minorHAnsi"/>
          <w:lang w:val="ro-RO"/>
        </w:rPr>
        <w:t xml:space="preserve"> nu prezintă o imagine corectă și fidelă în conformitate cu cadrul de raportare financiară aplicabil</w:t>
      </w:r>
      <w:r w:rsidRPr="001C6DCE">
        <w:rPr>
          <w:rStyle w:val="a5"/>
          <w:rFonts w:asciiTheme="majorHAnsi" w:hAnsiTheme="majorHAnsi" w:cstheme="majorHAnsi"/>
          <w:lang w:val="ro-RO"/>
        </w:rPr>
        <w:footnoteReference w:id="1"/>
      </w:r>
      <w:r w:rsidRPr="001C6DCE">
        <w:rPr>
          <w:rFonts w:asciiTheme="majorHAnsi" w:hAnsiTheme="majorHAnsi" w:cstheme="minorHAnsi"/>
          <w:lang w:val="ro-RO"/>
        </w:rPr>
        <w:t>.</w:t>
      </w:r>
    </w:p>
    <w:p w14:paraId="0AB0B9A4" w14:textId="0039313A" w:rsidR="006772FE" w:rsidRPr="001C6DCE" w:rsidRDefault="006772FE" w:rsidP="00CE0F3B">
      <w:pPr>
        <w:pStyle w:val="a8"/>
        <w:keepNext/>
        <w:keepLines/>
        <w:numPr>
          <w:ilvl w:val="0"/>
          <w:numId w:val="1"/>
        </w:numPr>
        <w:spacing w:line="276" w:lineRule="auto"/>
        <w:ind w:left="0" w:firstLine="0"/>
        <w:outlineLvl w:val="0"/>
        <w:rPr>
          <w:rFonts w:asciiTheme="majorHAnsi" w:eastAsiaTheme="majorEastAsia" w:hAnsiTheme="majorHAnsi" w:cstheme="majorHAnsi"/>
          <w:b/>
          <w:sz w:val="24"/>
          <w:szCs w:val="24"/>
          <w:lang w:val="ro-RO"/>
        </w:rPr>
      </w:pPr>
      <w:bookmarkStart w:id="4" w:name="_Toc529544630"/>
      <w:r w:rsidRPr="001C6DCE">
        <w:rPr>
          <w:rFonts w:asciiTheme="majorHAnsi" w:eastAsiaTheme="majorEastAsia" w:hAnsiTheme="majorHAnsi" w:cstheme="majorHAnsi"/>
          <w:b/>
          <w:sz w:val="24"/>
          <w:szCs w:val="24"/>
          <w:lang w:val="ro-RO"/>
        </w:rPr>
        <w:t>BAZA PENTRU OPINI</w:t>
      </w:r>
      <w:bookmarkEnd w:id="0"/>
      <w:bookmarkEnd w:id="1"/>
      <w:r w:rsidRPr="001C6DCE">
        <w:rPr>
          <w:rFonts w:asciiTheme="majorHAnsi" w:eastAsiaTheme="majorEastAsia" w:hAnsiTheme="majorHAnsi" w:cstheme="majorHAnsi"/>
          <w:b/>
          <w:sz w:val="24"/>
          <w:szCs w:val="24"/>
          <w:lang w:val="ro-RO"/>
        </w:rPr>
        <w:t>A CONTRARĂ</w:t>
      </w:r>
      <w:bookmarkEnd w:id="4"/>
    </w:p>
    <w:p w14:paraId="319BB18D" w14:textId="066451A0" w:rsidR="00535316" w:rsidRPr="001C6DCE" w:rsidRDefault="006772FE" w:rsidP="00D04C61">
      <w:pPr>
        <w:spacing w:after="0" w:line="276" w:lineRule="auto"/>
        <w:jc w:val="both"/>
        <w:rPr>
          <w:rFonts w:asciiTheme="majorHAnsi" w:hAnsiTheme="majorHAnsi" w:cstheme="majorHAnsi"/>
          <w:i/>
          <w:iCs/>
          <w:sz w:val="24"/>
          <w:szCs w:val="24"/>
          <w:lang w:val="ro-RO"/>
        </w:rPr>
      </w:pPr>
      <w:r w:rsidRPr="001C6DCE">
        <w:rPr>
          <w:rFonts w:asciiTheme="majorHAnsi" w:eastAsia="Times New Roman" w:hAnsiTheme="majorHAnsi" w:cstheme="majorHAnsi"/>
          <w:b/>
          <w:bCs/>
          <w:i/>
          <w:iCs/>
          <w:sz w:val="24"/>
          <w:szCs w:val="24"/>
          <w:lang w:val="ro-RO"/>
        </w:rPr>
        <w:t>2.1.</w:t>
      </w:r>
      <w:r w:rsidRPr="001C6DCE">
        <w:rPr>
          <w:rFonts w:asciiTheme="majorHAnsi" w:eastAsia="Times New Roman" w:hAnsiTheme="majorHAnsi" w:cstheme="majorHAnsi"/>
          <w:bCs/>
          <w:i/>
          <w:iCs/>
          <w:sz w:val="24"/>
          <w:szCs w:val="24"/>
          <w:lang w:val="ro-RO"/>
        </w:rPr>
        <w:t xml:space="preserve"> </w:t>
      </w:r>
      <w:r w:rsidR="00535316" w:rsidRPr="001C6DCE">
        <w:rPr>
          <w:rFonts w:asciiTheme="majorHAnsi" w:hAnsiTheme="majorHAnsi" w:cstheme="majorHAnsi"/>
          <w:i/>
          <w:iCs/>
          <w:sz w:val="24"/>
          <w:szCs w:val="24"/>
          <w:lang w:val="ro-RO"/>
        </w:rPr>
        <w:t xml:space="preserve">Diminuarea valorii contului </w:t>
      </w:r>
      <w:r w:rsidR="00A74892" w:rsidRPr="001C6DCE">
        <w:rPr>
          <w:rFonts w:asciiTheme="majorHAnsi" w:hAnsiTheme="majorHAnsi" w:cstheme="majorHAnsi"/>
          <w:i/>
          <w:iCs/>
          <w:sz w:val="24"/>
          <w:szCs w:val="24"/>
          <w:lang w:val="ro-RO"/>
        </w:rPr>
        <w:t>„C</w:t>
      </w:r>
      <w:r w:rsidR="00535316" w:rsidRPr="001C6DCE">
        <w:rPr>
          <w:rFonts w:asciiTheme="majorHAnsi" w:hAnsiTheme="majorHAnsi" w:cstheme="majorHAnsi"/>
          <w:i/>
          <w:iCs/>
          <w:sz w:val="24"/>
          <w:szCs w:val="24"/>
          <w:lang w:val="ro-RO"/>
        </w:rPr>
        <w:t>lădiri</w:t>
      </w:r>
      <w:r w:rsidR="006B4297" w:rsidRPr="001C6DCE">
        <w:rPr>
          <w:rFonts w:asciiTheme="majorHAnsi" w:hAnsiTheme="majorHAnsi" w:cstheme="majorHAnsi"/>
          <w:i/>
          <w:iCs/>
          <w:sz w:val="24"/>
          <w:szCs w:val="24"/>
          <w:lang w:val="ro-RO"/>
        </w:rPr>
        <w:t>”</w:t>
      </w:r>
      <w:r w:rsidR="00535316" w:rsidRPr="001C6DCE">
        <w:rPr>
          <w:rFonts w:asciiTheme="majorHAnsi" w:hAnsiTheme="majorHAnsi" w:cstheme="majorHAnsi"/>
          <w:i/>
          <w:iCs/>
          <w:sz w:val="24"/>
          <w:szCs w:val="24"/>
          <w:lang w:val="ro-RO"/>
        </w:rPr>
        <w:t xml:space="preserve"> cu cel puțin 17</w:t>
      </w:r>
      <w:r w:rsidR="00E56A11" w:rsidRPr="001C6DCE">
        <w:rPr>
          <w:rFonts w:asciiTheme="majorHAnsi" w:hAnsiTheme="majorHAnsi" w:cstheme="majorHAnsi"/>
          <w:i/>
          <w:iCs/>
          <w:sz w:val="24"/>
          <w:szCs w:val="24"/>
          <w:lang w:val="ro-RO"/>
        </w:rPr>
        <w:t>,</w:t>
      </w:r>
      <w:r w:rsidR="00535316" w:rsidRPr="001C6DCE">
        <w:rPr>
          <w:rFonts w:asciiTheme="majorHAnsi" w:hAnsiTheme="majorHAnsi" w:cstheme="majorHAnsi"/>
          <w:i/>
          <w:iCs/>
          <w:sz w:val="24"/>
          <w:szCs w:val="24"/>
          <w:lang w:val="ro-RO"/>
        </w:rPr>
        <w:t>2</w:t>
      </w:r>
      <w:r w:rsidR="00E56A11" w:rsidRPr="001C6DCE">
        <w:rPr>
          <w:rFonts w:asciiTheme="majorHAnsi" w:hAnsiTheme="majorHAnsi" w:cstheme="majorHAnsi"/>
          <w:i/>
          <w:iCs/>
          <w:sz w:val="24"/>
          <w:szCs w:val="24"/>
          <w:lang w:val="ro-RO"/>
        </w:rPr>
        <w:t>8</w:t>
      </w:r>
      <w:r w:rsidR="00535316" w:rsidRPr="001C6DCE">
        <w:rPr>
          <w:rFonts w:asciiTheme="majorHAnsi" w:hAnsiTheme="majorHAnsi" w:cstheme="majorHAnsi"/>
          <w:i/>
          <w:iCs/>
          <w:sz w:val="24"/>
          <w:szCs w:val="24"/>
          <w:lang w:val="ro-RO"/>
        </w:rPr>
        <w:t xml:space="preserve"> mi</w:t>
      </w:r>
      <w:r w:rsidR="00E56A11" w:rsidRPr="001C6DCE">
        <w:rPr>
          <w:rFonts w:asciiTheme="majorHAnsi" w:hAnsiTheme="majorHAnsi" w:cstheme="majorHAnsi"/>
          <w:i/>
          <w:iCs/>
          <w:sz w:val="24"/>
          <w:szCs w:val="24"/>
          <w:lang w:val="ro-RO"/>
        </w:rPr>
        <w:t>l.</w:t>
      </w:r>
      <w:r w:rsidR="00535316" w:rsidRPr="001C6DCE">
        <w:rPr>
          <w:rFonts w:asciiTheme="majorHAnsi" w:hAnsiTheme="majorHAnsi" w:cstheme="majorHAnsi"/>
          <w:i/>
          <w:iCs/>
          <w:sz w:val="24"/>
          <w:szCs w:val="24"/>
          <w:lang w:val="ro-RO"/>
        </w:rPr>
        <w:t xml:space="preserve"> lei, </w:t>
      </w:r>
      <w:r w:rsidR="006B4297" w:rsidRPr="001C6DCE">
        <w:rPr>
          <w:rFonts w:asciiTheme="majorHAnsi" w:hAnsiTheme="majorHAnsi" w:cstheme="majorHAnsi"/>
          <w:i/>
          <w:iCs/>
          <w:sz w:val="24"/>
          <w:szCs w:val="24"/>
          <w:lang w:val="ro-RO"/>
        </w:rPr>
        <w:t xml:space="preserve">ca </w:t>
      </w:r>
      <w:r w:rsidR="00535316" w:rsidRPr="001C6DCE">
        <w:rPr>
          <w:rFonts w:asciiTheme="majorHAnsi" w:hAnsiTheme="majorHAnsi" w:cstheme="majorHAnsi"/>
          <w:i/>
          <w:iCs/>
          <w:sz w:val="24"/>
          <w:szCs w:val="24"/>
          <w:lang w:val="ro-RO"/>
        </w:rPr>
        <w:t xml:space="preserve">urmare a: (1) neajustării valorii </w:t>
      </w:r>
      <w:r w:rsidR="00D35A7C" w:rsidRPr="001C6DCE">
        <w:rPr>
          <w:rFonts w:asciiTheme="majorHAnsi" w:hAnsiTheme="majorHAnsi" w:cstheme="majorHAnsi"/>
          <w:i/>
          <w:iCs/>
          <w:sz w:val="24"/>
          <w:szCs w:val="24"/>
          <w:lang w:val="ro-RO"/>
        </w:rPr>
        <w:t xml:space="preserve">contabile </w:t>
      </w:r>
      <w:r w:rsidR="00535316" w:rsidRPr="001C6DCE">
        <w:rPr>
          <w:rFonts w:asciiTheme="majorHAnsi" w:hAnsiTheme="majorHAnsi" w:cstheme="majorHAnsi"/>
          <w:i/>
          <w:iCs/>
          <w:sz w:val="24"/>
          <w:szCs w:val="24"/>
          <w:lang w:val="ro-RO"/>
        </w:rPr>
        <w:t>a 15 clădiri gestionate de 5 instituții din subordinea MEC (4.194,2 m</w:t>
      </w:r>
      <w:r w:rsidR="00535316" w:rsidRPr="001C6DCE">
        <w:rPr>
          <w:rFonts w:asciiTheme="majorHAnsi" w:hAnsiTheme="majorHAnsi" w:cstheme="majorHAnsi"/>
          <w:i/>
          <w:iCs/>
          <w:sz w:val="24"/>
          <w:szCs w:val="24"/>
          <w:vertAlign w:val="superscript"/>
          <w:lang w:val="ro-RO"/>
        </w:rPr>
        <w:t>2</w:t>
      </w:r>
      <w:r w:rsidR="00535316" w:rsidRPr="001C6DCE">
        <w:rPr>
          <w:rFonts w:asciiTheme="majorHAnsi" w:hAnsiTheme="majorHAnsi" w:cstheme="majorHAnsi"/>
          <w:i/>
          <w:iCs/>
          <w:sz w:val="24"/>
          <w:szCs w:val="24"/>
          <w:lang w:val="ro-RO"/>
        </w:rPr>
        <w:t>) la valoarea cadastrală de 15</w:t>
      </w:r>
      <w:r w:rsidR="00E56A11" w:rsidRPr="001C6DCE">
        <w:rPr>
          <w:rFonts w:asciiTheme="majorHAnsi" w:hAnsiTheme="majorHAnsi" w:cstheme="majorHAnsi"/>
          <w:i/>
          <w:iCs/>
          <w:sz w:val="24"/>
          <w:szCs w:val="24"/>
          <w:lang w:val="ro-RO"/>
        </w:rPr>
        <w:t>,</w:t>
      </w:r>
      <w:r w:rsidR="00535316" w:rsidRPr="001C6DCE">
        <w:rPr>
          <w:rFonts w:asciiTheme="majorHAnsi" w:hAnsiTheme="majorHAnsi" w:cstheme="majorHAnsi"/>
          <w:i/>
          <w:iCs/>
          <w:sz w:val="24"/>
          <w:szCs w:val="24"/>
          <w:lang w:val="ro-RO"/>
        </w:rPr>
        <w:t>0</w:t>
      </w:r>
      <w:r w:rsidR="00E56A11" w:rsidRPr="001C6DCE">
        <w:rPr>
          <w:rFonts w:asciiTheme="majorHAnsi" w:hAnsiTheme="majorHAnsi" w:cstheme="majorHAnsi"/>
          <w:i/>
          <w:iCs/>
          <w:sz w:val="24"/>
          <w:szCs w:val="24"/>
          <w:lang w:val="ro-RO"/>
        </w:rPr>
        <w:t>8</w:t>
      </w:r>
      <w:r w:rsidR="00535316" w:rsidRPr="001C6DCE">
        <w:rPr>
          <w:rFonts w:asciiTheme="majorHAnsi" w:hAnsiTheme="majorHAnsi" w:cstheme="majorHAnsi"/>
          <w:i/>
          <w:iCs/>
          <w:sz w:val="24"/>
          <w:szCs w:val="24"/>
          <w:lang w:val="ro-RO"/>
        </w:rPr>
        <w:t xml:space="preserve"> mi</w:t>
      </w:r>
      <w:r w:rsidR="00E56A11" w:rsidRPr="001C6DCE">
        <w:rPr>
          <w:rFonts w:asciiTheme="majorHAnsi" w:hAnsiTheme="majorHAnsi" w:cstheme="majorHAnsi"/>
          <w:i/>
          <w:iCs/>
          <w:sz w:val="24"/>
          <w:szCs w:val="24"/>
          <w:lang w:val="ro-RO"/>
        </w:rPr>
        <w:t>l.</w:t>
      </w:r>
      <w:r w:rsidR="00535316" w:rsidRPr="001C6DCE">
        <w:rPr>
          <w:rFonts w:asciiTheme="majorHAnsi" w:hAnsiTheme="majorHAnsi" w:cstheme="majorHAnsi"/>
          <w:i/>
          <w:iCs/>
          <w:sz w:val="24"/>
          <w:szCs w:val="24"/>
          <w:lang w:val="ro-RO"/>
        </w:rPr>
        <w:t xml:space="preserve">lei; (2) necontabilizării valorii a </w:t>
      </w:r>
      <w:r w:rsidR="00023A33" w:rsidRPr="001C6DCE">
        <w:rPr>
          <w:rFonts w:asciiTheme="majorHAnsi" w:hAnsiTheme="majorHAnsi" w:cstheme="majorHAnsi"/>
          <w:i/>
          <w:iCs/>
          <w:sz w:val="24"/>
          <w:szCs w:val="24"/>
          <w:lang w:val="ro-RO"/>
        </w:rPr>
        <w:t>5</w:t>
      </w:r>
      <w:r w:rsidR="00023A33">
        <w:rPr>
          <w:rFonts w:asciiTheme="majorHAnsi" w:hAnsiTheme="majorHAnsi" w:cstheme="majorHAnsi"/>
          <w:i/>
          <w:iCs/>
          <w:sz w:val="24"/>
          <w:szCs w:val="24"/>
          <w:lang w:val="ro-RO"/>
        </w:rPr>
        <w:t>2</w:t>
      </w:r>
      <w:r w:rsidR="00023A33" w:rsidRPr="001C6DCE">
        <w:rPr>
          <w:rFonts w:asciiTheme="majorHAnsi" w:hAnsiTheme="majorHAnsi" w:cstheme="majorHAnsi"/>
          <w:i/>
          <w:iCs/>
          <w:sz w:val="24"/>
          <w:szCs w:val="24"/>
          <w:lang w:val="ro-RO"/>
        </w:rPr>
        <w:t xml:space="preserve"> </w:t>
      </w:r>
      <w:r w:rsidR="00535316" w:rsidRPr="001C6DCE">
        <w:rPr>
          <w:rFonts w:asciiTheme="majorHAnsi" w:hAnsiTheme="majorHAnsi" w:cstheme="majorHAnsi"/>
          <w:i/>
          <w:iCs/>
          <w:sz w:val="24"/>
          <w:szCs w:val="24"/>
          <w:lang w:val="ro-RO"/>
        </w:rPr>
        <w:t>clădiri gestionate de către 6</w:t>
      </w:r>
      <w:r w:rsidR="00721AC1">
        <w:rPr>
          <w:rFonts w:asciiTheme="majorHAnsi" w:hAnsiTheme="majorHAnsi" w:cstheme="majorHAnsi"/>
          <w:i/>
          <w:iCs/>
          <w:sz w:val="24"/>
          <w:szCs w:val="24"/>
          <w:lang w:val="ro-RO"/>
        </w:rPr>
        <w:t xml:space="preserve"> </w:t>
      </w:r>
      <w:r w:rsidR="00535316" w:rsidRPr="001C6DCE">
        <w:rPr>
          <w:rFonts w:asciiTheme="majorHAnsi" w:hAnsiTheme="majorHAnsi" w:cstheme="majorHAnsi"/>
          <w:i/>
          <w:iCs/>
          <w:sz w:val="24"/>
          <w:szCs w:val="24"/>
          <w:lang w:val="ro-RO"/>
        </w:rPr>
        <w:t xml:space="preserve">instituții din subordinea MEC (suprafața totală la sol </w:t>
      </w:r>
      <w:r w:rsidR="00535316" w:rsidRPr="009746F8">
        <w:rPr>
          <w:rFonts w:asciiTheme="majorHAnsi" w:hAnsiTheme="majorHAnsi" w:cstheme="majorHAnsi"/>
          <w:i/>
          <w:iCs/>
          <w:sz w:val="24"/>
          <w:szCs w:val="24"/>
          <w:lang w:val="ro-RO"/>
        </w:rPr>
        <w:t>de 19.</w:t>
      </w:r>
      <w:r w:rsidR="00D04C61">
        <w:rPr>
          <w:rFonts w:asciiTheme="majorHAnsi" w:hAnsiTheme="majorHAnsi" w:cstheme="majorHAnsi"/>
          <w:i/>
          <w:iCs/>
          <w:sz w:val="24"/>
          <w:szCs w:val="24"/>
          <w:lang w:val="ro-RO"/>
        </w:rPr>
        <w:t>777</w:t>
      </w:r>
      <w:r w:rsidR="00535316" w:rsidRPr="009746F8">
        <w:rPr>
          <w:rFonts w:asciiTheme="majorHAnsi" w:hAnsiTheme="majorHAnsi" w:cstheme="majorHAnsi"/>
          <w:i/>
          <w:iCs/>
          <w:sz w:val="24"/>
          <w:szCs w:val="24"/>
          <w:lang w:val="ro-RO"/>
        </w:rPr>
        <w:t>,28 m</w:t>
      </w:r>
      <w:r w:rsidR="00535316" w:rsidRPr="009746F8">
        <w:rPr>
          <w:rFonts w:asciiTheme="majorHAnsi" w:hAnsiTheme="majorHAnsi" w:cstheme="majorHAnsi"/>
          <w:i/>
          <w:iCs/>
          <w:sz w:val="24"/>
          <w:szCs w:val="24"/>
          <w:vertAlign w:val="superscript"/>
          <w:lang w:val="ro-RO"/>
        </w:rPr>
        <w:t>2</w:t>
      </w:r>
      <w:r w:rsidR="00535316" w:rsidRPr="009746F8">
        <w:rPr>
          <w:rFonts w:asciiTheme="majorHAnsi" w:hAnsiTheme="majorHAnsi" w:cstheme="majorHAnsi"/>
          <w:i/>
          <w:iCs/>
          <w:sz w:val="24"/>
          <w:szCs w:val="24"/>
          <w:lang w:val="ro-RO"/>
        </w:rPr>
        <w:t xml:space="preserve">) cu cel puțin </w:t>
      </w:r>
      <w:r w:rsidR="00E56A11" w:rsidRPr="009746F8">
        <w:rPr>
          <w:rFonts w:asciiTheme="majorHAnsi" w:hAnsiTheme="majorHAnsi" w:cstheme="majorHAnsi"/>
          <w:i/>
          <w:iCs/>
          <w:sz w:val="24"/>
          <w:szCs w:val="24"/>
          <w:lang w:val="ro-RO"/>
        </w:rPr>
        <w:t>0,</w:t>
      </w:r>
      <w:r w:rsidR="00535316" w:rsidRPr="009746F8">
        <w:rPr>
          <w:rFonts w:asciiTheme="majorHAnsi" w:hAnsiTheme="majorHAnsi" w:cstheme="majorHAnsi"/>
          <w:i/>
          <w:iCs/>
          <w:sz w:val="24"/>
          <w:szCs w:val="24"/>
          <w:lang w:val="ro-RO"/>
        </w:rPr>
        <w:t xml:space="preserve">25 </w:t>
      </w:r>
      <w:r w:rsidR="00E56A11" w:rsidRPr="009746F8">
        <w:rPr>
          <w:rFonts w:asciiTheme="majorHAnsi" w:hAnsiTheme="majorHAnsi" w:cstheme="majorHAnsi"/>
          <w:i/>
          <w:iCs/>
          <w:sz w:val="24"/>
          <w:szCs w:val="24"/>
          <w:lang w:val="ro-RO"/>
        </w:rPr>
        <w:t>mil.</w:t>
      </w:r>
      <w:r w:rsidR="00535316" w:rsidRPr="009746F8">
        <w:rPr>
          <w:rFonts w:asciiTheme="majorHAnsi" w:hAnsiTheme="majorHAnsi" w:cstheme="majorHAnsi"/>
          <w:i/>
          <w:iCs/>
          <w:sz w:val="24"/>
          <w:szCs w:val="24"/>
          <w:lang w:val="ro-RO"/>
        </w:rPr>
        <w:t>lei</w:t>
      </w:r>
      <w:r w:rsidR="00226967" w:rsidRPr="009746F8">
        <w:rPr>
          <w:rFonts w:asciiTheme="majorHAnsi" w:hAnsiTheme="majorHAnsi" w:cstheme="majorHAnsi"/>
          <w:i/>
          <w:iCs/>
          <w:sz w:val="24"/>
          <w:szCs w:val="24"/>
          <w:lang w:val="ro-RO"/>
        </w:rPr>
        <w:t xml:space="preserve"> (valoarea</w:t>
      </w:r>
      <w:r w:rsidR="00226967" w:rsidRPr="001C6DCE">
        <w:rPr>
          <w:rFonts w:asciiTheme="majorHAnsi" w:hAnsiTheme="majorHAnsi" w:cstheme="majorHAnsi"/>
          <w:i/>
          <w:iCs/>
          <w:sz w:val="24"/>
          <w:szCs w:val="24"/>
          <w:lang w:val="ro-RO"/>
        </w:rPr>
        <w:t xml:space="preserve"> a 2 clădiri care sunt estimate în R</w:t>
      </w:r>
      <w:r w:rsidR="003B7DAF" w:rsidRPr="001C6DCE">
        <w:rPr>
          <w:rFonts w:asciiTheme="majorHAnsi" w:hAnsiTheme="majorHAnsi" w:cstheme="majorHAnsi"/>
          <w:i/>
          <w:iCs/>
          <w:sz w:val="24"/>
          <w:szCs w:val="24"/>
          <w:lang w:val="ro-RO"/>
        </w:rPr>
        <w:t>egistrul bunurilor imobile (RBI)</w:t>
      </w:r>
      <w:r w:rsidR="00226967" w:rsidRPr="001C6DCE">
        <w:rPr>
          <w:rFonts w:asciiTheme="majorHAnsi" w:hAnsiTheme="majorHAnsi" w:cstheme="majorHAnsi"/>
          <w:i/>
          <w:iCs/>
          <w:sz w:val="24"/>
          <w:szCs w:val="24"/>
          <w:lang w:val="ro-RO"/>
        </w:rPr>
        <w:t>)</w:t>
      </w:r>
      <w:r w:rsidR="00535316" w:rsidRPr="001C6DCE">
        <w:rPr>
          <w:rFonts w:asciiTheme="majorHAnsi" w:hAnsiTheme="majorHAnsi" w:cstheme="majorHAnsi"/>
          <w:i/>
          <w:iCs/>
          <w:sz w:val="24"/>
          <w:szCs w:val="24"/>
          <w:lang w:val="ro-RO"/>
        </w:rPr>
        <w:t>; (3) necapitalizării lucrărilor de reparații capitale (reflectate ca reparații curente) în sumă de 1</w:t>
      </w:r>
      <w:r w:rsidR="00E56A11" w:rsidRPr="001C6DCE">
        <w:rPr>
          <w:rFonts w:asciiTheme="majorHAnsi" w:hAnsiTheme="majorHAnsi" w:cstheme="majorHAnsi"/>
          <w:i/>
          <w:iCs/>
          <w:sz w:val="24"/>
          <w:szCs w:val="24"/>
          <w:lang w:val="ro-RO"/>
        </w:rPr>
        <w:t>,</w:t>
      </w:r>
      <w:r w:rsidR="00535316" w:rsidRPr="001C6DCE">
        <w:rPr>
          <w:rFonts w:asciiTheme="majorHAnsi" w:hAnsiTheme="majorHAnsi" w:cstheme="majorHAnsi"/>
          <w:i/>
          <w:iCs/>
          <w:sz w:val="24"/>
          <w:szCs w:val="24"/>
          <w:lang w:val="ro-RO"/>
        </w:rPr>
        <w:t>95 mi</w:t>
      </w:r>
      <w:r w:rsidR="00E56A11" w:rsidRPr="001C6DCE">
        <w:rPr>
          <w:rFonts w:asciiTheme="majorHAnsi" w:hAnsiTheme="majorHAnsi" w:cstheme="majorHAnsi"/>
          <w:i/>
          <w:iCs/>
          <w:sz w:val="24"/>
          <w:szCs w:val="24"/>
          <w:lang w:val="ro-RO"/>
        </w:rPr>
        <w:t>l.</w:t>
      </w:r>
      <w:r w:rsidR="00535316" w:rsidRPr="001C6DCE">
        <w:rPr>
          <w:rFonts w:asciiTheme="majorHAnsi" w:hAnsiTheme="majorHAnsi" w:cstheme="majorHAnsi"/>
          <w:i/>
          <w:iCs/>
          <w:sz w:val="24"/>
          <w:szCs w:val="24"/>
          <w:lang w:val="ro-RO"/>
        </w:rPr>
        <w:t xml:space="preserve">lei. </w:t>
      </w:r>
    </w:p>
    <w:p w14:paraId="01741A39" w14:textId="2F50C36C" w:rsidR="00535316" w:rsidRPr="001C6DCE" w:rsidRDefault="006772FE" w:rsidP="00721AC1">
      <w:pPr>
        <w:pStyle w:val="ab"/>
        <w:spacing w:line="276" w:lineRule="auto"/>
        <w:ind w:firstLine="0"/>
        <w:rPr>
          <w:rFonts w:asciiTheme="majorHAnsi" w:eastAsiaTheme="minorEastAsia" w:hAnsiTheme="majorHAnsi" w:cstheme="majorHAnsi"/>
          <w:i/>
          <w:iCs/>
          <w:lang w:val="ro-RO"/>
        </w:rPr>
      </w:pPr>
      <w:r w:rsidRPr="001C6DCE">
        <w:rPr>
          <w:rFonts w:asciiTheme="majorHAnsi" w:hAnsiTheme="majorHAnsi" w:cstheme="majorHAnsi"/>
          <w:b/>
          <w:bCs/>
          <w:i/>
          <w:iCs/>
          <w:lang w:val="ro-RO"/>
        </w:rPr>
        <w:t xml:space="preserve">2.2. </w:t>
      </w:r>
      <w:r w:rsidR="00535316" w:rsidRPr="001C6DCE">
        <w:rPr>
          <w:rFonts w:asciiTheme="majorHAnsi" w:eastAsiaTheme="minorEastAsia" w:hAnsiTheme="majorHAnsi" w:cstheme="majorHAnsi"/>
          <w:i/>
          <w:iCs/>
          <w:lang w:val="ro-RO"/>
        </w:rPr>
        <w:t>Diminuarea valorii terenurilor</w:t>
      </w:r>
      <w:r w:rsidR="00721AC1">
        <w:rPr>
          <w:rFonts w:asciiTheme="majorHAnsi" w:eastAsiaTheme="minorEastAsia" w:hAnsiTheme="majorHAnsi" w:cstheme="majorHAnsi"/>
          <w:i/>
          <w:iCs/>
          <w:lang w:val="ro-RO"/>
        </w:rPr>
        <w:t xml:space="preserve"> </w:t>
      </w:r>
      <w:r w:rsidR="00535316" w:rsidRPr="001C6DCE">
        <w:rPr>
          <w:rFonts w:asciiTheme="majorHAnsi" w:eastAsiaTheme="minorEastAsia" w:hAnsiTheme="majorHAnsi" w:cstheme="majorHAnsi"/>
          <w:i/>
          <w:iCs/>
          <w:lang w:val="ro-RO"/>
        </w:rPr>
        <w:t>cu 132</w:t>
      </w:r>
      <w:r w:rsidR="00E56A11" w:rsidRPr="001C6DCE">
        <w:rPr>
          <w:rFonts w:asciiTheme="majorHAnsi" w:eastAsiaTheme="minorEastAsia" w:hAnsiTheme="majorHAnsi" w:cstheme="majorHAnsi"/>
          <w:i/>
          <w:iCs/>
          <w:lang w:val="ro-RO"/>
        </w:rPr>
        <w:t>,3</w:t>
      </w:r>
      <w:r w:rsidR="00535316" w:rsidRPr="001C6DCE">
        <w:rPr>
          <w:rFonts w:asciiTheme="majorHAnsi" w:eastAsiaTheme="minorEastAsia" w:hAnsiTheme="majorHAnsi" w:cstheme="majorHAnsi"/>
          <w:i/>
          <w:iCs/>
          <w:lang w:val="ro-RO"/>
        </w:rPr>
        <w:t>0 mi</w:t>
      </w:r>
      <w:r w:rsidR="00E56A11" w:rsidRPr="001C6DCE">
        <w:rPr>
          <w:rFonts w:asciiTheme="majorHAnsi" w:eastAsiaTheme="minorEastAsia" w:hAnsiTheme="majorHAnsi" w:cstheme="majorHAnsi"/>
          <w:i/>
          <w:iCs/>
          <w:lang w:val="ro-RO"/>
        </w:rPr>
        <w:t>l.</w:t>
      </w:r>
      <w:r w:rsidR="00535316" w:rsidRPr="001C6DCE">
        <w:rPr>
          <w:rFonts w:asciiTheme="majorHAnsi" w:eastAsiaTheme="minorEastAsia" w:hAnsiTheme="majorHAnsi" w:cstheme="majorHAnsi"/>
          <w:i/>
          <w:iCs/>
          <w:lang w:val="ro-RO"/>
        </w:rPr>
        <w:t>lei, datorită neînregistrării în evidența contabilă a 29 de terenuri cu suprafața de 154,89 ha (117</w:t>
      </w:r>
      <w:r w:rsidR="00E56A11" w:rsidRPr="001C6DCE">
        <w:rPr>
          <w:rFonts w:asciiTheme="majorHAnsi" w:eastAsiaTheme="minorEastAsia" w:hAnsiTheme="majorHAnsi" w:cstheme="majorHAnsi"/>
          <w:i/>
          <w:iCs/>
          <w:lang w:val="ro-RO"/>
        </w:rPr>
        <w:t>,</w:t>
      </w:r>
      <w:r w:rsidR="00535316" w:rsidRPr="001C6DCE">
        <w:rPr>
          <w:rFonts w:asciiTheme="majorHAnsi" w:eastAsiaTheme="minorEastAsia" w:hAnsiTheme="majorHAnsi" w:cstheme="majorHAnsi"/>
          <w:i/>
          <w:iCs/>
          <w:lang w:val="ro-RO"/>
        </w:rPr>
        <w:t>5</w:t>
      </w:r>
      <w:r w:rsidR="00E56A11" w:rsidRPr="001C6DCE">
        <w:rPr>
          <w:rFonts w:asciiTheme="majorHAnsi" w:eastAsiaTheme="minorEastAsia" w:hAnsiTheme="majorHAnsi" w:cstheme="majorHAnsi"/>
          <w:i/>
          <w:iCs/>
          <w:lang w:val="ro-RO"/>
        </w:rPr>
        <w:t>4</w:t>
      </w:r>
      <w:r w:rsidR="00535316" w:rsidRPr="001C6DCE">
        <w:rPr>
          <w:rFonts w:asciiTheme="majorHAnsi" w:eastAsiaTheme="minorEastAsia" w:hAnsiTheme="majorHAnsi" w:cstheme="majorHAnsi"/>
          <w:i/>
          <w:iCs/>
          <w:lang w:val="ro-RO"/>
        </w:rPr>
        <w:t xml:space="preserve"> mi</w:t>
      </w:r>
      <w:r w:rsidR="00E56A11" w:rsidRPr="001C6DCE">
        <w:rPr>
          <w:rFonts w:asciiTheme="majorHAnsi" w:eastAsiaTheme="minorEastAsia" w:hAnsiTheme="majorHAnsi" w:cstheme="majorHAnsi"/>
          <w:i/>
          <w:iCs/>
          <w:lang w:val="ro-RO"/>
        </w:rPr>
        <w:t>l.</w:t>
      </w:r>
      <w:r w:rsidR="00535316" w:rsidRPr="001C6DCE">
        <w:rPr>
          <w:rFonts w:asciiTheme="majorHAnsi" w:eastAsiaTheme="minorEastAsia" w:hAnsiTheme="majorHAnsi" w:cstheme="majorHAnsi"/>
          <w:i/>
          <w:iCs/>
          <w:lang w:val="ro-RO"/>
        </w:rPr>
        <w:t>lei) și</w:t>
      </w:r>
      <w:r w:rsidR="00721AC1">
        <w:rPr>
          <w:rFonts w:asciiTheme="majorHAnsi" w:eastAsiaTheme="minorEastAsia" w:hAnsiTheme="majorHAnsi" w:cstheme="majorHAnsi"/>
          <w:i/>
          <w:iCs/>
          <w:lang w:val="ro-RO"/>
        </w:rPr>
        <w:t xml:space="preserve"> </w:t>
      </w:r>
      <w:r w:rsidR="00535316" w:rsidRPr="001C6DCE">
        <w:rPr>
          <w:rFonts w:asciiTheme="majorHAnsi" w:eastAsiaTheme="minorEastAsia" w:hAnsiTheme="majorHAnsi" w:cstheme="majorHAnsi"/>
          <w:i/>
          <w:iCs/>
          <w:lang w:val="ro-RO"/>
        </w:rPr>
        <w:t>neajustării valorii contabile a unui teren cu suprafața de 3,54 ha la valoarea acestora din RBI (14</w:t>
      </w:r>
      <w:r w:rsidR="00E56A11" w:rsidRPr="001C6DCE">
        <w:rPr>
          <w:rFonts w:asciiTheme="majorHAnsi" w:eastAsiaTheme="minorEastAsia" w:hAnsiTheme="majorHAnsi" w:cstheme="majorHAnsi"/>
          <w:i/>
          <w:iCs/>
          <w:lang w:val="ro-RO"/>
        </w:rPr>
        <w:t>,</w:t>
      </w:r>
      <w:r w:rsidR="00535316" w:rsidRPr="001C6DCE">
        <w:rPr>
          <w:rFonts w:asciiTheme="majorHAnsi" w:eastAsiaTheme="minorEastAsia" w:hAnsiTheme="majorHAnsi" w:cstheme="majorHAnsi"/>
          <w:i/>
          <w:iCs/>
          <w:lang w:val="ro-RO"/>
        </w:rPr>
        <w:t>76 mi</w:t>
      </w:r>
      <w:r w:rsidR="00E56A11" w:rsidRPr="001C6DCE">
        <w:rPr>
          <w:rFonts w:asciiTheme="majorHAnsi" w:eastAsiaTheme="minorEastAsia" w:hAnsiTheme="majorHAnsi" w:cstheme="majorHAnsi"/>
          <w:i/>
          <w:iCs/>
          <w:lang w:val="ro-RO"/>
        </w:rPr>
        <w:t>l.</w:t>
      </w:r>
      <w:r w:rsidR="00535316" w:rsidRPr="001C6DCE">
        <w:rPr>
          <w:rFonts w:asciiTheme="majorHAnsi" w:eastAsiaTheme="minorEastAsia" w:hAnsiTheme="majorHAnsi" w:cstheme="majorHAnsi"/>
          <w:i/>
          <w:iCs/>
          <w:lang w:val="ro-RO"/>
        </w:rPr>
        <w:t xml:space="preserve"> lei). Această</w:t>
      </w:r>
      <w:r w:rsidR="00721AC1">
        <w:rPr>
          <w:rFonts w:asciiTheme="majorHAnsi" w:eastAsiaTheme="minorEastAsia" w:hAnsiTheme="majorHAnsi" w:cstheme="majorHAnsi"/>
          <w:i/>
          <w:iCs/>
          <w:lang w:val="ro-RO"/>
        </w:rPr>
        <w:t xml:space="preserve"> </w:t>
      </w:r>
      <w:r w:rsidR="00535316" w:rsidRPr="001C6DCE">
        <w:rPr>
          <w:rFonts w:asciiTheme="majorHAnsi" w:eastAsiaTheme="minorEastAsia" w:hAnsiTheme="majorHAnsi" w:cstheme="majorHAnsi"/>
          <w:i/>
          <w:iCs/>
          <w:lang w:val="ro-RO"/>
        </w:rPr>
        <w:t>deficiență este condiționată</w:t>
      </w:r>
      <w:r w:rsidR="00962763" w:rsidRPr="001C6DCE">
        <w:rPr>
          <w:rFonts w:asciiTheme="majorHAnsi" w:eastAsiaTheme="minorEastAsia" w:hAnsiTheme="majorHAnsi" w:cstheme="majorHAnsi"/>
          <w:i/>
          <w:iCs/>
          <w:lang w:val="ro-RO"/>
        </w:rPr>
        <w:t xml:space="preserve"> </w:t>
      </w:r>
      <w:r w:rsidR="00535316" w:rsidRPr="001C6DCE">
        <w:rPr>
          <w:rFonts w:asciiTheme="majorHAnsi" w:eastAsiaTheme="minorEastAsia" w:hAnsiTheme="majorHAnsi" w:cstheme="majorHAnsi"/>
          <w:i/>
          <w:iCs/>
          <w:lang w:val="ro-RO"/>
        </w:rPr>
        <w:t xml:space="preserve">de nerespectarea/neaplicarea regulilor de recunoaștere a valorii bunurilor (pct.1.4.5.1. din Ordinul </w:t>
      </w:r>
      <w:r w:rsidR="00D35A7C" w:rsidRPr="001C6DCE">
        <w:rPr>
          <w:rFonts w:asciiTheme="majorHAnsi" w:eastAsiaTheme="minorEastAsia" w:hAnsiTheme="majorHAnsi" w:cstheme="majorHAnsi"/>
          <w:i/>
          <w:iCs/>
          <w:lang w:val="ro-RO"/>
        </w:rPr>
        <w:t>ministrului F</w:t>
      </w:r>
      <w:r w:rsidR="003B7DAF" w:rsidRPr="001C6DCE">
        <w:rPr>
          <w:rFonts w:asciiTheme="majorHAnsi" w:eastAsiaTheme="minorEastAsia" w:hAnsiTheme="majorHAnsi" w:cstheme="majorHAnsi"/>
          <w:i/>
          <w:iCs/>
          <w:lang w:val="ro-RO"/>
        </w:rPr>
        <w:t>inanțelor</w:t>
      </w:r>
      <w:r w:rsidR="00535316" w:rsidRPr="001C6DCE">
        <w:rPr>
          <w:rFonts w:asciiTheme="majorHAnsi" w:eastAsiaTheme="minorEastAsia" w:hAnsiTheme="majorHAnsi" w:cstheme="majorHAnsi"/>
          <w:i/>
          <w:iCs/>
          <w:lang w:val="ro-RO"/>
        </w:rPr>
        <w:t xml:space="preserve"> nr.216/2015), care se determină în baza extrasului din RBI, sau prin metoda de calcul al</w:t>
      </w:r>
      <w:r w:rsidR="00721AC1">
        <w:rPr>
          <w:rFonts w:asciiTheme="majorHAnsi" w:eastAsiaTheme="minorEastAsia" w:hAnsiTheme="majorHAnsi" w:cstheme="majorHAnsi"/>
          <w:i/>
          <w:iCs/>
          <w:lang w:val="ro-RO"/>
        </w:rPr>
        <w:t xml:space="preserve"> </w:t>
      </w:r>
      <w:r w:rsidR="00535316" w:rsidRPr="001C6DCE">
        <w:rPr>
          <w:rFonts w:asciiTheme="majorHAnsi" w:eastAsiaTheme="minorEastAsia" w:hAnsiTheme="majorHAnsi" w:cstheme="majorHAnsi"/>
          <w:i/>
          <w:iCs/>
          <w:lang w:val="ro-RO"/>
        </w:rPr>
        <w:t>prețului normativ (în baza tarifelor indicate) în conformitate cu Legea nr.1308 din 25.07.1997</w:t>
      </w:r>
      <w:r w:rsidR="00535316" w:rsidRPr="001C6DCE">
        <w:rPr>
          <w:rStyle w:val="a5"/>
          <w:rFonts w:asciiTheme="majorHAnsi" w:eastAsiaTheme="minorEastAsia" w:hAnsiTheme="majorHAnsi" w:cstheme="majorHAnsi"/>
          <w:i/>
          <w:iCs/>
          <w:lang w:val="ro-RO"/>
        </w:rPr>
        <w:footnoteReference w:id="2"/>
      </w:r>
      <w:r w:rsidR="00535316" w:rsidRPr="001C6DCE">
        <w:rPr>
          <w:rFonts w:asciiTheme="majorHAnsi" w:eastAsiaTheme="minorEastAsia" w:hAnsiTheme="majorHAnsi" w:cstheme="majorHAnsi"/>
          <w:i/>
          <w:iCs/>
          <w:lang w:val="ro-RO"/>
        </w:rPr>
        <w:t>.</w:t>
      </w:r>
    </w:p>
    <w:p w14:paraId="0C05938E" w14:textId="429338A9" w:rsidR="00535316" w:rsidRPr="001C6DCE" w:rsidRDefault="00535316" w:rsidP="008C4E63">
      <w:pPr>
        <w:pStyle w:val="a8"/>
        <w:numPr>
          <w:ilvl w:val="1"/>
          <w:numId w:val="13"/>
        </w:numPr>
        <w:tabs>
          <w:tab w:val="left" w:pos="426"/>
        </w:tabs>
        <w:spacing w:line="276" w:lineRule="auto"/>
        <w:ind w:left="0" w:firstLine="0"/>
        <w:rPr>
          <w:rFonts w:asciiTheme="majorHAnsi" w:hAnsiTheme="majorHAnsi" w:cstheme="majorHAnsi"/>
          <w:sz w:val="24"/>
          <w:szCs w:val="24"/>
          <w:lang w:val="ro-RO"/>
        </w:rPr>
      </w:pPr>
      <w:r w:rsidRPr="001C6DCE">
        <w:rPr>
          <w:rFonts w:asciiTheme="majorHAnsi" w:hAnsiTheme="majorHAnsi" w:cstheme="majorHAnsi"/>
          <w:i/>
          <w:iCs/>
          <w:sz w:val="24"/>
          <w:szCs w:val="24"/>
          <w:lang w:val="ro-RO"/>
        </w:rPr>
        <w:t>Diminuarea valorii contului „Alte mijloace fixe” cu cel puțin 14</w:t>
      </w:r>
      <w:r w:rsidR="00061FB3" w:rsidRPr="001C6DCE">
        <w:rPr>
          <w:rFonts w:asciiTheme="majorHAnsi" w:hAnsiTheme="majorHAnsi" w:cstheme="majorHAnsi"/>
          <w:i/>
          <w:iCs/>
          <w:sz w:val="24"/>
          <w:szCs w:val="24"/>
          <w:lang w:val="ro-RO"/>
        </w:rPr>
        <w:t>5</w:t>
      </w:r>
      <w:r w:rsidRPr="001C6DCE">
        <w:rPr>
          <w:rFonts w:asciiTheme="majorHAnsi" w:hAnsiTheme="majorHAnsi" w:cstheme="majorHAnsi"/>
          <w:i/>
          <w:iCs/>
          <w:sz w:val="24"/>
          <w:szCs w:val="24"/>
          <w:lang w:val="ro-RO"/>
        </w:rPr>
        <w:t>,8</w:t>
      </w:r>
      <w:r w:rsidR="00061FB3" w:rsidRPr="001C6DCE">
        <w:rPr>
          <w:rFonts w:asciiTheme="majorHAnsi" w:hAnsiTheme="majorHAnsi" w:cstheme="majorHAnsi"/>
          <w:i/>
          <w:iCs/>
          <w:sz w:val="24"/>
          <w:szCs w:val="24"/>
          <w:lang w:val="ro-RO"/>
        </w:rPr>
        <w:t>8</w:t>
      </w:r>
      <w:r w:rsidRPr="001C6DCE">
        <w:rPr>
          <w:rFonts w:asciiTheme="majorHAnsi" w:hAnsiTheme="majorHAnsi" w:cstheme="majorHAnsi"/>
          <w:i/>
          <w:iCs/>
          <w:sz w:val="24"/>
          <w:szCs w:val="24"/>
          <w:lang w:val="ro-RO"/>
        </w:rPr>
        <w:t xml:space="preserve"> mil.lei, datorită neînregistrării ca proprietate a MEC a fondului de manuale. </w:t>
      </w:r>
    </w:p>
    <w:p w14:paraId="5D299B19" w14:textId="1241E57F" w:rsidR="00535316" w:rsidRPr="001C6DCE" w:rsidRDefault="00535316" w:rsidP="008C4E63">
      <w:pPr>
        <w:pStyle w:val="a8"/>
        <w:numPr>
          <w:ilvl w:val="1"/>
          <w:numId w:val="13"/>
        </w:numPr>
        <w:tabs>
          <w:tab w:val="left" w:pos="426"/>
        </w:tabs>
        <w:spacing w:line="276" w:lineRule="auto"/>
        <w:ind w:left="0" w:firstLine="0"/>
        <w:rPr>
          <w:rFonts w:asciiTheme="majorHAnsi" w:eastAsiaTheme="minorEastAsia" w:hAnsiTheme="majorHAnsi" w:cstheme="majorHAnsi"/>
          <w:i/>
          <w:iCs/>
          <w:sz w:val="24"/>
          <w:szCs w:val="24"/>
          <w:lang w:val="ro-RO"/>
        </w:rPr>
      </w:pPr>
      <w:r w:rsidRPr="001C6DCE">
        <w:rPr>
          <w:rFonts w:asciiTheme="majorHAnsi" w:hAnsiTheme="majorHAnsi" w:cstheme="majorHAnsi"/>
          <w:i/>
          <w:iCs/>
          <w:sz w:val="24"/>
          <w:szCs w:val="24"/>
          <w:lang w:val="ro-RO"/>
        </w:rPr>
        <w:t xml:space="preserve">Diminuarea valorii contului 415 „Acțiuni și alte forme de participare în capital în interiorul țării” cu cel puțin 2.316,03 mil.lei, din cauza neajustării, necontabilizării integrale a valorii patrimoniului public transmis în gestiune </w:t>
      </w:r>
      <w:r w:rsidR="00E56A11" w:rsidRPr="001C6DCE">
        <w:rPr>
          <w:rFonts w:asciiTheme="majorHAnsi" w:hAnsiTheme="majorHAnsi" w:cstheme="majorHAnsi"/>
          <w:i/>
          <w:iCs/>
          <w:sz w:val="24"/>
          <w:szCs w:val="24"/>
          <w:lang w:val="ro-RO"/>
        </w:rPr>
        <w:t xml:space="preserve">instituțiilor publice (IP) </w:t>
      </w:r>
      <w:r w:rsidRPr="001C6DCE">
        <w:rPr>
          <w:rFonts w:asciiTheme="majorHAnsi" w:hAnsiTheme="majorHAnsi" w:cstheme="majorHAnsi"/>
          <w:i/>
          <w:iCs/>
          <w:sz w:val="24"/>
          <w:szCs w:val="24"/>
          <w:lang w:val="ro-RO"/>
        </w:rPr>
        <w:t>fondate, precum și datorită neevaluării acestuia la reorganizarea instituțiilor din domeniu</w:t>
      </w:r>
      <w:r w:rsidR="003B7DAF" w:rsidRPr="001C6DCE">
        <w:rPr>
          <w:rFonts w:asciiTheme="majorHAnsi" w:hAnsiTheme="majorHAnsi" w:cstheme="majorHAnsi"/>
          <w:i/>
          <w:iCs/>
          <w:sz w:val="24"/>
          <w:szCs w:val="24"/>
          <w:lang w:val="ro-RO"/>
        </w:rPr>
        <w:t>l</w:t>
      </w:r>
      <w:r w:rsidRPr="001C6DCE">
        <w:rPr>
          <w:rFonts w:asciiTheme="majorHAnsi" w:hAnsiTheme="majorHAnsi" w:cstheme="majorHAnsi"/>
          <w:i/>
          <w:iCs/>
          <w:sz w:val="24"/>
          <w:szCs w:val="24"/>
          <w:lang w:val="ro-RO"/>
        </w:rPr>
        <w:t xml:space="preserve"> educației, cercetării și inovării</w:t>
      </w:r>
      <w:r w:rsidRPr="001C6DCE">
        <w:rPr>
          <w:rStyle w:val="a5"/>
          <w:rFonts w:asciiTheme="majorHAnsi" w:hAnsiTheme="majorHAnsi" w:cstheme="majorHAnsi"/>
          <w:i/>
          <w:iCs/>
          <w:sz w:val="24"/>
          <w:szCs w:val="24"/>
          <w:lang w:val="ro-RO"/>
        </w:rPr>
        <w:footnoteReference w:id="3"/>
      </w:r>
      <w:r w:rsidRPr="001C6DCE">
        <w:rPr>
          <w:rFonts w:asciiTheme="majorHAnsi" w:hAnsiTheme="majorHAnsi" w:cstheme="majorHAnsi"/>
          <w:i/>
          <w:iCs/>
          <w:sz w:val="24"/>
          <w:szCs w:val="24"/>
          <w:lang w:val="ro-RO"/>
        </w:rPr>
        <w:t xml:space="preserve">. </w:t>
      </w:r>
    </w:p>
    <w:p w14:paraId="7FCD5D7F" w14:textId="3F624EB2" w:rsidR="00535316" w:rsidRPr="001C6DCE" w:rsidRDefault="00535316" w:rsidP="008C4E63">
      <w:pPr>
        <w:pStyle w:val="a8"/>
        <w:numPr>
          <w:ilvl w:val="1"/>
          <w:numId w:val="13"/>
        </w:numPr>
        <w:tabs>
          <w:tab w:val="left" w:pos="426"/>
        </w:tabs>
        <w:spacing w:line="276" w:lineRule="auto"/>
        <w:ind w:left="0" w:firstLine="0"/>
        <w:rPr>
          <w:rFonts w:asciiTheme="majorHAnsi" w:eastAsiaTheme="minorEastAsia" w:hAnsiTheme="majorHAnsi" w:cstheme="majorHAnsi"/>
          <w:i/>
          <w:iCs/>
          <w:sz w:val="24"/>
          <w:szCs w:val="24"/>
          <w:lang w:val="ro-RO"/>
        </w:rPr>
      </w:pPr>
      <w:bookmarkStart w:id="5" w:name="OLE_LINK1"/>
      <w:r w:rsidRPr="001C6DCE">
        <w:rPr>
          <w:rFonts w:asciiTheme="majorHAnsi" w:hAnsiTheme="majorHAnsi" w:cstheme="majorHAnsi"/>
          <w:i/>
          <w:iCs/>
          <w:sz w:val="24"/>
          <w:szCs w:val="24"/>
          <w:lang w:val="ro-RO"/>
        </w:rPr>
        <w:t>Diminuarea valorii contului 149 „Alte venituri și finanțări” cu 1.000,2 mil.lei, determinată de:</w:t>
      </w:r>
    </w:p>
    <w:p w14:paraId="0488BDF0" w14:textId="4865C8C5" w:rsidR="00535316" w:rsidRPr="001C6DCE" w:rsidRDefault="00535316" w:rsidP="008C4E63">
      <w:pPr>
        <w:pStyle w:val="a8"/>
        <w:tabs>
          <w:tab w:val="left" w:pos="426"/>
        </w:tabs>
        <w:spacing w:line="276" w:lineRule="auto"/>
        <w:ind w:left="0"/>
        <w:rPr>
          <w:rFonts w:asciiTheme="majorHAnsi" w:hAnsiTheme="majorHAnsi" w:cstheme="majorHAnsi"/>
          <w:i/>
          <w:iCs/>
          <w:sz w:val="24"/>
          <w:szCs w:val="24"/>
          <w:lang w:val="ro-RO"/>
        </w:rPr>
      </w:pPr>
      <w:r w:rsidRPr="001C6DCE">
        <w:rPr>
          <w:rFonts w:asciiTheme="majorHAnsi" w:hAnsiTheme="majorHAnsi" w:cstheme="majorHAnsi"/>
          <w:i/>
          <w:iCs/>
          <w:sz w:val="24"/>
          <w:szCs w:val="24"/>
          <w:lang w:val="ro-RO"/>
        </w:rPr>
        <w:t xml:space="preserve">- diminuarea cu 2.460,67 mil. lei, ca urmare a: (1) neajustării și necontabilizării integrale a valorii patrimoniului public transmis în gestiune IP fondate (2.169,13 mil.lei); (2) neînregistrării în evidența contabilă a 52 </w:t>
      </w:r>
      <w:r w:rsidR="003B7DAF" w:rsidRPr="001C6DCE">
        <w:rPr>
          <w:rFonts w:asciiTheme="majorHAnsi" w:hAnsiTheme="majorHAnsi" w:cstheme="majorHAnsi"/>
          <w:i/>
          <w:iCs/>
          <w:sz w:val="24"/>
          <w:szCs w:val="24"/>
          <w:lang w:val="ro-RO"/>
        </w:rPr>
        <w:t xml:space="preserve">de </w:t>
      </w:r>
      <w:r w:rsidRPr="001C6DCE">
        <w:rPr>
          <w:rFonts w:asciiTheme="majorHAnsi" w:hAnsiTheme="majorHAnsi" w:cstheme="majorHAnsi"/>
          <w:i/>
          <w:iCs/>
          <w:sz w:val="24"/>
          <w:szCs w:val="24"/>
          <w:lang w:val="ro-RO"/>
        </w:rPr>
        <w:t>terenuri cu suprafața de 427,47 ha (93,23 mil.lei) și a 7 clădiri administrate de către IP la autogestiune</w:t>
      </w:r>
      <w:r w:rsidR="00721AC1">
        <w:rPr>
          <w:rFonts w:asciiTheme="majorHAnsi" w:hAnsiTheme="majorHAnsi" w:cstheme="majorHAnsi"/>
          <w:i/>
          <w:iCs/>
          <w:sz w:val="24"/>
          <w:szCs w:val="24"/>
          <w:lang w:val="ro-RO"/>
        </w:rPr>
        <w:t xml:space="preserve"> </w:t>
      </w:r>
      <w:r w:rsidRPr="001C6DCE">
        <w:rPr>
          <w:rFonts w:asciiTheme="majorHAnsi" w:hAnsiTheme="majorHAnsi" w:cstheme="majorHAnsi"/>
          <w:i/>
          <w:iCs/>
          <w:sz w:val="24"/>
          <w:szCs w:val="24"/>
          <w:lang w:val="ro-RO"/>
        </w:rPr>
        <w:t xml:space="preserve">(0,35 mil.lei); (3) neajustării </w:t>
      </w:r>
      <w:r w:rsidR="00576AD0" w:rsidRPr="001C6DCE">
        <w:rPr>
          <w:rFonts w:asciiTheme="majorHAnsi" w:hAnsiTheme="majorHAnsi" w:cstheme="majorHAnsi"/>
          <w:i/>
          <w:iCs/>
          <w:sz w:val="24"/>
          <w:szCs w:val="24"/>
          <w:lang w:val="ro-RO"/>
        </w:rPr>
        <w:t xml:space="preserve">la valoarea cadastrală a </w:t>
      </w:r>
      <w:r w:rsidRPr="001C6DCE">
        <w:rPr>
          <w:rFonts w:asciiTheme="majorHAnsi" w:hAnsiTheme="majorHAnsi" w:cstheme="majorHAnsi"/>
          <w:i/>
          <w:iCs/>
          <w:sz w:val="24"/>
          <w:szCs w:val="24"/>
          <w:lang w:val="ro-RO"/>
        </w:rPr>
        <w:t xml:space="preserve">valorii contabile a 12 terenuri cu suprafața de 13,73 ha (27,15 mil.lei) și a 22 </w:t>
      </w:r>
      <w:r w:rsidR="003B7DAF" w:rsidRPr="001C6DCE">
        <w:rPr>
          <w:rFonts w:asciiTheme="majorHAnsi" w:hAnsiTheme="majorHAnsi" w:cstheme="majorHAnsi"/>
          <w:i/>
          <w:iCs/>
          <w:sz w:val="24"/>
          <w:szCs w:val="24"/>
          <w:lang w:val="ro-RO"/>
        </w:rPr>
        <w:t xml:space="preserve">de </w:t>
      </w:r>
      <w:r w:rsidRPr="001C6DCE">
        <w:rPr>
          <w:rFonts w:asciiTheme="majorHAnsi" w:hAnsiTheme="majorHAnsi" w:cstheme="majorHAnsi"/>
          <w:i/>
          <w:iCs/>
          <w:sz w:val="24"/>
          <w:szCs w:val="24"/>
          <w:lang w:val="ro-RO"/>
        </w:rPr>
        <w:t>clădiri gestionate de 12 instituții publice la autogestiune (23,19 mil.lei); (4) neînregistrării în evidența contabilă a 29</w:t>
      </w:r>
      <w:r w:rsidR="003B7DAF" w:rsidRPr="001C6DCE">
        <w:rPr>
          <w:rFonts w:asciiTheme="majorHAnsi" w:hAnsiTheme="majorHAnsi" w:cstheme="majorHAnsi"/>
          <w:i/>
          <w:iCs/>
          <w:sz w:val="24"/>
          <w:szCs w:val="24"/>
          <w:lang w:val="ro-RO"/>
        </w:rPr>
        <w:t xml:space="preserve"> de</w:t>
      </w:r>
      <w:r w:rsidRPr="001C6DCE">
        <w:rPr>
          <w:rFonts w:asciiTheme="majorHAnsi" w:hAnsiTheme="majorHAnsi" w:cstheme="majorHAnsi"/>
          <w:i/>
          <w:iCs/>
          <w:sz w:val="24"/>
          <w:szCs w:val="24"/>
          <w:lang w:val="ro-RO"/>
        </w:rPr>
        <w:t xml:space="preserve"> terenuri cu suprafața de 154,89 ha (117,54 mil. lei) și a </w:t>
      </w:r>
      <w:r w:rsidR="0085485B" w:rsidRPr="001C6DCE">
        <w:rPr>
          <w:rFonts w:asciiTheme="majorHAnsi" w:hAnsiTheme="majorHAnsi" w:cstheme="majorHAnsi"/>
          <w:i/>
          <w:iCs/>
          <w:sz w:val="24"/>
          <w:szCs w:val="24"/>
          <w:lang w:val="ro-RO"/>
        </w:rPr>
        <w:t xml:space="preserve">52 </w:t>
      </w:r>
      <w:r w:rsidR="003B7DAF" w:rsidRPr="001C6DCE">
        <w:rPr>
          <w:rFonts w:asciiTheme="majorHAnsi" w:hAnsiTheme="majorHAnsi" w:cstheme="majorHAnsi"/>
          <w:i/>
          <w:iCs/>
          <w:sz w:val="24"/>
          <w:szCs w:val="24"/>
          <w:lang w:val="ro-RO"/>
        </w:rPr>
        <w:t xml:space="preserve">de </w:t>
      </w:r>
      <w:r w:rsidRPr="001C6DCE">
        <w:rPr>
          <w:rFonts w:asciiTheme="majorHAnsi" w:hAnsiTheme="majorHAnsi" w:cstheme="majorHAnsi"/>
          <w:i/>
          <w:iCs/>
          <w:sz w:val="24"/>
          <w:szCs w:val="24"/>
          <w:lang w:val="ro-RO"/>
        </w:rPr>
        <w:t xml:space="preserve">clădiri gestionate de 6 instituții din subordinea MEC (0,25 mil. lei); (5) neajustării </w:t>
      </w:r>
      <w:r w:rsidR="001D1335" w:rsidRPr="001C6DCE">
        <w:rPr>
          <w:rFonts w:asciiTheme="majorHAnsi" w:hAnsiTheme="majorHAnsi" w:cstheme="majorHAnsi"/>
          <w:i/>
          <w:iCs/>
          <w:sz w:val="24"/>
          <w:szCs w:val="24"/>
          <w:lang w:val="ro-RO"/>
        </w:rPr>
        <w:t xml:space="preserve">la valoarea cadastrală a </w:t>
      </w:r>
      <w:r w:rsidRPr="001C6DCE">
        <w:rPr>
          <w:rFonts w:asciiTheme="majorHAnsi" w:hAnsiTheme="majorHAnsi" w:cstheme="majorHAnsi"/>
          <w:i/>
          <w:iCs/>
          <w:sz w:val="24"/>
          <w:szCs w:val="24"/>
          <w:lang w:val="ro-RO"/>
        </w:rPr>
        <w:t>valorii contabile a unui teren cu suprafața de 3,54 ha (14,76 mil. lei) și a 15 clădiri administrate de 5 instituții din subordinea MEC (15,07 mil. lei);</w:t>
      </w:r>
    </w:p>
    <w:p w14:paraId="403BC5FE" w14:textId="366D7BD4" w:rsidR="00185354" w:rsidRPr="001C6DCE" w:rsidRDefault="00535316" w:rsidP="008C4E63">
      <w:pPr>
        <w:pStyle w:val="a8"/>
        <w:tabs>
          <w:tab w:val="left" w:pos="426"/>
        </w:tabs>
        <w:spacing w:line="276" w:lineRule="auto"/>
        <w:ind w:left="0"/>
        <w:rPr>
          <w:rFonts w:asciiTheme="majorHAnsi" w:hAnsiTheme="majorHAnsi" w:cstheme="majorHAnsi"/>
          <w:sz w:val="24"/>
          <w:szCs w:val="24"/>
          <w:lang w:val="ro-RO"/>
        </w:rPr>
      </w:pPr>
      <w:r w:rsidRPr="001C6DCE">
        <w:rPr>
          <w:rFonts w:asciiTheme="majorHAnsi" w:hAnsiTheme="majorHAnsi" w:cstheme="majorHAnsi"/>
          <w:i/>
          <w:iCs/>
          <w:sz w:val="24"/>
          <w:szCs w:val="24"/>
          <w:lang w:val="ro-RO"/>
        </w:rPr>
        <w:t>- majorarea cu 1.460,47 mil.lei</w:t>
      </w:r>
      <w:r w:rsidR="00D35A7C" w:rsidRPr="001C6DCE">
        <w:rPr>
          <w:rFonts w:asciiTheme="majorHAnsi" w:hAnsiTheme="majorHAnsi" w:cstheme="majorHAnsi"/>
          <w:i/>
          <w:iCs/>
          <w:sz w:val="24"/>
          <w:szCs w:val="24"/>
          <w:lang w:val="ro-RO"/>
        </w:rPr>
        <w:t>, ca</w:t>
      </w:r>
      <w:r w:rsidRPr="001C6DCE">
        <w:rPr>
          <w:rFonts w:asciiTheme="majorHAnsi" w:hAnsiTheme="majorHAnsi" w:cstheme="majorHAnsi"/>
          <w:i/>
          <w:iCs/>
          <w:sz w:val="24"/>
          <w:szCs w:val="24"/>
          <w:lang w:val="ro-RO"/>
        </w:rPr>
        <w:t xml:space="preserve"> urmare a: (1) nereflectării la subcontul 723000 „Corectarea rezultatelor anilor precedenți ale autorităților/instituțiilor bugetare” a operațiunilor de transmitere/primire</w:t>
      </w:r>
      <w:r w:rsidR="00D35A7C" w:rsidRPr="001C6DCE">
        <w:rPr>
          <w:rFonts w:asciiTheme="majorHAnsi" w:hAnsiTheme="majorHAnsi" w:cstheme="majorHAnsi"/>
          <w:i/>
          <w:iCs/>
          <w:sz w:val="24"/>
          <w:szCs w:val="24"/>
          <w:lang w:val="ro-RO"/>
        </w:rPr>
        <w:t xml:space="preserve"> </w:t>
      </w:r>
      <w:r w:rsidRPr="001C6DCE">
        <w:rPr>
          <w:rFonts w:asciiTheme="majorHAnsi" w:hAnsiTheme="majorHAnsi" w:cstheme="majorHAnsi"/>
          <w:i/>
          <w:iCs/>
          <w:sz w:val="24"/>
          <w:szCs w:val="24"/>
          <w:lang w:val="ro-RO"/>
        </w:rPr>
        <w:t xml:space="preserve">a activelor și pasivelor în cazul reorganizării autorităților/instituțiilor bugetare </w:t>
      </w:r>
      <w:r w:rsidR="00D35A7C" w:rsidRPr="001C6DCE">
        <w:rPr>
          <w:rFonts w:asciiTheme="majorHAnsi" w:hAnsiTheme="majorHAnsi" w:cstheme="majorHAnsi"/>
          <w:i/>
          <w:iCs/>
          <w:sz w:val="24"/>
          <w:szCs w:val="24"/>
          <w:lang w:val="ro-RO"/>
        </w:rPr>
        <w:t xml:space="preserve">(1.460,06 mil.lei), astfel </w:t>
      </w:r>
      <w:r w:rsidRPr="001C6DCE">
        <w:rPr>
          <w:rFonts w:asciiTheme="majorHAnsi" w:hAnsiTheme="majorHAnsi" w:cstheme="majorHAnsi"/>
          <w:i/>
          <w:iCs/>
          <w:sz w:val="24"/>
          <w:szCs w:val="24"/>
          <w:lang w:val="ro-RO"/>
        </w:rPr>
        <w:t>nerespectând</w:t>
      </w:r>
      <w:r w:rsidR="00D35A7C" w:rsidRPr="001C6DCE">
        <w:rPr>
          <w:rFonts w:asciiTheme="majorHAnsi" w:hAnsiTheme="majorHAnsi" w:cstheme="majorHAnsi"/>
          <w:i/>
          <w:iCs/>
          <w:sz w:val="24"/>
          <w:szCs w:val="24"/>
          <w:lang w:val="ro-RO"/>
        </w:rPr>
        <w:t>u-se</w:t>
      </w:r>
      <w:r w:rsidRPr="001C6DCE">
        <w:rPr>
          <w:rFonts w:asciiTheme="majorHAnsi" w:hAnsiTheme="majorHAnsi" w:cstheme="majorHAnsi"/>
          <w:i/>
          <w:iCs/>
          <w:sz w:val="24"/>
          <w:szCs w:val="24"/>
          <w:lang w:val="ro-RO"/>
        </w:rPr>
        <w:t xml:space="preserve"> prevederile pct. 3.7.11</w:t>
      </w:r>
      <w:r w:rsidR="00D35A7C" w:rsidRPr="001C6DCE">
        <w:rPr>
          <w:rFonts w:asciiTheme="majorHAnsi" w:hAnsiTheme="majorHAnsi" w:cstheme="majorHAnsi"/>
          <w:i/>
          <w:iCs/>
          <w:sz w:val="24"/>
          <w:szCs w:val="24"/>
          <w:lang w:val="ro-RO"/>
        </w:rPr>
        <w:t>.</w:t>
      </w:r>
      <w:r w:rsidRPr="001C6DCE">
        <w:rPr>
          <w:rFonts w:asciiTheme="majorHAnsi" w:hAnsiTheme="majorHAnsi" w:cstheme="majorHAnsi"/>
          <w:i/>
          <w:iCs/>
          <w:sz w:val="24"/>
          <w:szCs w:val="24"/>
          <w:lang w:val="ro-RO"/>
        </w:rPr>
        <w:t xml:space="preserve"> din Ordinul </w:t>
      </w:r>
      <w:r w:rsidR="00D35A7C" w:rsidRPr="001C6DCE">
        <w:rPr>
          <w:rFonts w:asciiTheme="majorHAnsi" w:hAnsiTheme="majorHAnsi" w:cstheme="majorHAnsi"/>
          <w:i/>
          <w:iCs/>
          <w:sz w:val="24"/>
          <w:szCs w:val="24"/>
          <w:lang w:val="ro-RO"/>
        </w:rPr>
        <w:t xml:space="preserve">ministrului Finanțelor </w:t>
      </w:r>
      <w:r w:rsidRPr="001C6DCE">
        <w:rPr>
          <w:rFonts w:asciiTheme="majorHAnsi" w:hAnsiTheme="majorHAnsi" w:cstheme="majorHAnsi"/>
          <w:i/>
          <w:iCs/>
          <w:sz w:val="24"/>
          <w:szCs w:val="24"/>
          <w:lang w:val="ro-RO"/>
        </w:rPr>
        <w:t>nr.216/2015</w:t>
      </w:r>
      <w:r w:rsidR="00F94E6E" w:rsidRPr="001C6DCE">
        <w:rPr>
          <w:rFonts w:asciiTheme="majorHAnsi" w:hAnsiTheme="majorHAnsi" w:cstheme="majorHAnsi"/>
          <w:i/>
          <w:iCs/>
          <w:sz w:val="24"/>
          <w:szCs w:val="24"/>
          <w:lang w:val="ro-RO"/>
        </w:rPr>
        <w:t>;</w:t>
      </w:r>
      <w:r w:rsidRPr="001C6DCE">
        <w:rPr>
          <w:rFonts w:asciiTheme="majorHAnsi" w:hAnsiTheme="majorHAnsi" w:cstheme="majorHAnsi"/>
          <w:i/>
          <w:iCs/>
          <w:sz w:val="24"/>
          <w:szCs w:val="24"/>
          <w:lang w:val="ro-RO"/>
        </w:rPr>
        <w:t xml:space="preserve"> (2) capitalizării duble a granturilor capitale la IP Școala Profesională </w:t>
      </w:r>
      <w:r w:rsidR="00D35A7C" w:rsidRPr="001C6DCE">
        <w:rPr>
          <w:rFonts w:asciiTheme="majorHAnsi" w:hAnsiTheme="majorHAnsi" w:cstheme="majorHAnsi"/>
          <w:i/>
          <w:iCs/>
          <w:sz w:val="24"/>
          <w:szCs w:val="24"/>
          <w:lang w:val="ro-RO"/>
        </w:rPr>
        <w:t xml:space="preserve">din </w:t>
      </w:r>
      <w:r w:rsidRPr="001C6DCE">
        <w:rPr>
          <w:rFonts w:asciiTheme="majorHAnsi" w:hAnsiTheme="majorHAnsi" w:cstheme="majorHAnsi"/>
          <w:i/>
          <w:iCs/>
          <w:sz w:val="24"/>
          <w:szCs w:val="24"/>
          <w:lang w:val="ro-RO"/>
        </w:rPr>
        <w:t>or. Ștefan Vod</w:t>
      </w:r>
      <w:r w:rsidR="00D35A7C" w:rsidRPr="001C6DCE">
        <w:rPr>
          <w:rFonts w:asciiTheme="majorHAnsi" w:hAnsiTheme="majorHAnsi" w:cstheme="majorHAnsi"/>
          <w:i/>
          <w:iCs/>
          <w:sz w:val="24"/>
          <w:szCs w:val="24"/>
          <w:lang w:val="ro-RO"/>
        </w:rPr>
        <w:t>ă</w:t>
      </w:r>
      <w:r w:rsidRPr="001C6DCE">
        <w:rPr>
          <w:rFonts w:asciiTheme="majorHAnsi" w:hAnsiTheme="majorHAnsi" w:cstheme="majorHAnsi"/>
          <w:i/>
          <w:iCs/>
          <w:sz w:val="24"/>
          <w:szCs w:val="24"/>
          <w:lang w:val="ro-RO"/>
        </w:rPr>
        <w:t xml:space="preserve"> (0,41 mil.lei)</w:t>
      </w:r>
      <w:r w:rsidR="00AA0D4B" w:rsidRPr="001C6DCE">
        <w:rPr>
          <w:rFonts w:asciiTheme="majorHAnsi" w:hAnsiTheme="majorHAnsi" w:cstheme="majorHAnsi"/>
          <w:sz w:val="24"/>
          <w:szCs w:val="24"/>
          <w:lang w:val="ro-RO"/>
        </w:rPr>
        <w:t>.</w:t>
      </w:r>
    </w:p>
    <w:bookmarkEnd w:id="5"/>
    <w:p w14:paraId="502770EC" w14:textId="4A7E2D09" w:rsidR="00AA0D4B" w:rsidRPr="00CA2F39" w:rsidRDefault="00AA0D4B" w:rsidP="008C4E63">
      <w:pPr>
        <w:pStyle w:val="a8"/>
        <w:tabs>
          <w:tab w:val="left" w:pos="426"/>
        </w:tabs>
        <w:spacing w:line="276" w:lineRule="auto"/>
        <w:ind w:left="0"/>
        <w:rPr>
          <w:rFonts w:asciiTheme="majorHAnsi" w:hAnsiTheme="majorHAnsi" w:cstheme="majorHAnsi"/>
          <w:i/>
          <w:iCs/>
          <w:sz w:val="24"/>
          <w:szCs w:val="24"/>
          <w:lang w:val="ro-RO"/>
        </w:rPr>
      </w:pPr>
      <w:r w:rsidRPr="001C6DCE">
        <w:rPr>
          <w:rFonts w:asciiTheme="majorHAnsi" w:hAnsiTheme="majorHAnsi" w:cstheme="majorHAnsi"/>
          <w:b/>
          <w:sz w:val="24"/>
          <w:szCs w:val="24"/>
          <w:lang w:val="ro-RO"/>
        </w:rPr>
        <w:t>2.</w:t>
      </w:r>
      <w:r w:rsidR="00AA7CAE" w:rsidRPr="001C6DCE">
        <w:rPr>
          <w:rFonts w:asciiTheme="majorHAnsi" w:hAnsiTheme="majorHAnsi" w:cstheme="majorHAnsi"/>
          <w:b/>
          <w:i/>
          <w:iCs/>
          <w:sz w:val="24"/>
          <w:szCs w:val="24"/>
          <w:lang w:val="ro-RO"/>
        </w:rPr>
        <w:t>6</w:t>
      </w:r>
      <w:r w:rsidR="00475C77" w:rsidRPr="001C6DCE">
        <w:rPr>
          <w:rFonts w:asciiTheme="majorHAnsi" w:hAnsiTheme="majorHAnsi" w:cstheme="majorHAnsi"/>
          <w:b/>
          <w:i/>
          <w:iCs/>
          <w:sz w:val="24"/>
          <w:szCs w:val="24"/>
          <w:lang w:val="ro-RO"/>
        </w:rPr>
        <w:t>.</w:t>
      </w:r>
      <w:r w:rsidRPr="001C6DCE">
        <w:rPr>
          <w:rFonts w:asciiTheme="majorHAnsi" w:hAnsiTheme="majorHAnsi" w:cstheme="majorHAnsi"/>
          <w:i/>
          <w:iCs/>
          <w:sz w:val="24"/>
          <w:szCs w:val="24"/>
          <w:lang w:val="ro-RO"/>
        </w:rPr>
        <w:t xml:space="preserve"> </w:t>
      </w:r>
      <w:r w:rsidR="00535316" w:rsidRPr="001C6DCE">
        <w:rPr>
          <w:rFonts w:asciiTheme="majorHAnsi" w:hAnsiTheme="majorHAnsi" w:cstheme="majorHAnsi"/>
          <w:i/>
          <w:iCs/>
          <w:sz w:val="24"/>
          <w:szCs w:val="24"/>
          <w:lang w:val="ro-RO"/>
        </w:rPr>
        <w:t xml:space="preserve">Majorarea altor cheltuieli ale autorităților/instituțiilor bugetare </w:t>
      </w:r>
      <w:r w:rsidR="00C73F08" w:rsidRPr="00CA2F39">
        <w:rPr>
          <w:rFonts w:asciiTheme="majorHAnsi" w:hAnsiTheme="majorHAnsi" w:cstheme="majorHAnsi"/>
          <w:i/>
          <w:iCs/>
          <w:sz w:val="24"/>
          <w:szCs w:val="24"/>
          <w:lang w:val="ro-RO"/>
        </w:rPr>
        <w:t>cu 231,86</w:t>
      </w:r>
      <w:r w:rsidR="00535316" w:rsidRPr="00CA2F39">
        <w:rPr>
          <w:rFonts w:asciiTheme="majorHAnsi" w:hAnsiTheme="majorHAnsi" w:cstheme="majorHAnsi"/>
          <w:i/>
          <w:iCs/>
          <w:sz w:val="24"/>
          <w:szCs w:val="24"/>
          <w:lang w:val="ro-RO"/>
        </w:rPr>
        <w:t xml:space="preserve"> mil</w:t>
      </w:r>
      <w:r w:rsidR="00277AF2" w:rsidRPr="00CA2F39">
        <w:rPr>
          <w:rFonts w:asciiTheme="majorHAnsi" w:hAnsiTheme="majorHAnsi" w:cstheme="majorHAnsi"/>
          <w:i/>
          <w:iCs/>
          <w:sz w:val="24"/>
          <w:szCs w:val="24"/>
          <w:lang w:val="ro-RO"/>
        </w:rPr>
        <w:t>.</w:t>
      </w:r>
      <w:r w:rsidR="00535316" w:rsidRPr="00CA2F39">
        <w:rPr>
          <w:rFonts w:asciiTheme="majorHAnsi" w:hAnsiTheme="majorHAnsi" w:cstheme="majorHAnsi"/>
          <w:i/>
          <w:iCs/>
          <w:sz w:val="24"/>
          <w:szCs w:val="24"/>
          <w:lang w:val="ro-RO"/>
        </w:rPr>
        <w:t>lei</w:t>
      </w:r>
      <w:r w:rsidR="00475C77" w:rsidRPr="00CA2F39">
        <w:rPr>
          <w:rFonts w:asciiTheme="majorHAnsi" w:hAnsiTheme="majorHAnsi" w:cstheme="majorHAnsi"/>
          <w:i/>
          <w:iCs/>
          <w:sz w:val="24"/>
          <w:szCs w:val="24"/>
          <w:lang w:val="ro-RO"/>
        </w:rPr>
        <w:t>, ca</w:t>
      </w:r>
      <w:r w:rsidR="00535316" w:rsidRPr="00CA2F39">
        <w:rPr>
          <w:rFonts w:asciiTheme="majorHAnsi" w:hAnsiTheme="majorHAnsi" w:cstheme="majorHAnsi"/>
          <w:i/>
          <w:iCs/>
          <w:sz w:val="24"/>
          <w:szCs w:val="24"/>
          <w:lang w:val="ro-RO"/>
        </w:rPr>
        <w:t xml:space="preserve"> urmare a</w:t>
      </w:r>
      <w:r w:rsidR="00721AC1" w:rsidRPr="00CA2F39">
        <w:rPr>
          <w:rFonts w:asciiTheme="majorHAnsi" w:hAnsiTheme="majorHAnsi" w:cstheme="majorHAnsi"/>
          <w:i/>
          <w:iCs/>
          <w:sz w:val="24"/>
          <w:szCs w:val="24"/>
          <w:lang w:val="ro-RO"/>
        </w:rPr>
        <w:t xml:space="preserve"> </w:t>
      </w:r>
      <w:r w:rsidR="00535316" w:rsidRPr="00CA2F39">
        <w:rPr>
          <w:rFonts w:asciiTheme="majorHAnsi" w:hAnsiTheme="majorHAnsi" w:cstheme="majorHAnsi"/>
          <w:i/>
          <w:iCs/>
          <w:sz w:val="24"/>
          <w:szCs w:val="24"/>
          <w:lang w:val="ro-RO"/>
        </w:rPr>
        <w:t>nerespectării prevederilor cadrului normativ în vigoare privind înregistrarea operațiunilor economice în urma reorganizării.</w:t>
      </w:r>
    </w:p>
    <w:p w14:paraId="1423EACC" w14:textId="32479DCA" w:rsidR="00CE59BC" w:rsidRPr="001C6DCE" w:rsidRDefault="00CE59BC" w:rsidP="008C4E63">
      <w:pPr>
        <w:pStyle w:val="ab"/>
        <w:spacing w:line="276" w:lineRule="auto"/>
        <w:ind w:firstLine="0"/>
        <w:rPr>
          <w:rFonts w:asciiTheme="majorHAnsi" w:hAnsiTheme="majorHAnsi" w:cstheme="majorHAnsi"/>
          <w:b/>
          <w:bCs/>
          <w:i/>
          <w:iCs/>
          <w:lang w:val="ro-RO"/>
        </w:rPr>
      </w:pPr>
      <w:r w:rsidRPr="00CA2F39">
        <w:rPr>
          <w:rFonts w:asciiTheme="majorHAnsi" w:eastAsiaTheme="minorEastAsia" w:hAnsiTheme="majorHAnsi" w:cstheme="majorHAnsi"/>
          <w:b/>
          <w:i/>
          <w:iCs/>
          <w:lang w:val="ro-RO"/>
        </w:rPr>
        <w:t>2.</w:t>
      </w:r>
      <w:r w:rsidR="00AA7CAE" w:rsidRPr="00CA2F39">
        <w:rPr>
          <w:rFonts w:asciiTheme="majorHAnsi" w:eastAsiaTheme="minorEastAsia" w:hAnsiTheme="majorHAnsi" w:cstheme="majorHAnsi"/>
          <w:b/>
          <w:i/>
          <w:iCs/>
          <w:lang w:val="ro-RO"/>
        </w:rPr>
        <w:t>7</w:t>
      </w:r>
      <w:r w:rsidR="00475C77" w:rsidRPr="00CA2F39">
        <w:rPr>
          <w:rFonts w:asciiTheme="majorHAnsi" w:eastAsiaTheme="minorEastAsia" w:hAnsiTheme="majorHAnsi" w:cstheme="majorHAnsi"/>
          <w:b/>
          <w:i/>
          <w:iCs/>
          <w:lang w:val="ro-RO"/>
        </w:rPr>
        <w:t>.</w:t>
      </w:r>
      <w:r w:rsidRPr="00CA2F39">
        <w:rPr>
          <w:rFonts w:asciiTheme="majorHAnsi" w:eastAsiaTheme="minorEastAsia" w:hAnsiTheme="majorHAnsi" w:cstheme="majorHAnsi"/>
          <w:i/>
          <w:iCs/>
          <w:lang w:val="ro-RO"/>
        </w:rPr>
        <w:t xml:space="preserve"> </w:t>
      </w:r>
      <w:r w:rsidRPr="00CA2F39">
        <w:rPr>
          <w:rFonts w:asciiTheme="majorHAnsi" w:hAnsiTheme="majorHAnsi" w:cstheme="majorHAnsi"/>
          <w:i/>
          <w:iCs/>
          <w:lang w:val="ro-RO"/>
        </w:rPr>
        <w:t>Diminuarea rezultatului financiar al autorității/instituției bugetare (subclasa 72) cu 2.</w:t>
      </w:r>
      <w:r w:rsidR="005C3865" w:rsidRPr="00CA2F39">
        <w:rPr>
          <w:rFonts w:asciiTheme="majorHAnsi" w:hAnsiTheme="majorHAnsi" w:cstheme="majorHAnsi"/>
          <w:i/>
          <w:iCs/>
          <w:lang w:val="ro-RO"/>
        </w:rPr>
        <w:t>61</w:t>
      </w:r>
      <w:r w:rsidR="009746F8" w:rsidRPr="00CA2F39">
        <w:rPr>
          <w:rFonts w:asciiTheme="majorHAnsi" w:hAnsiTheme="majorHAnsi" w:cstheme="majorHAnsi"/>
          <w:i/>
          <w:iCs/>
          <w:lang w:val="ro-RO"/>
        </w:rPr>
        <w:t>0</w:t>
      </w:r>
      <w:r w:rsidR="005C3865" w:rsidRPr="00CA2F39">
        <w:rPr>
          <w:rFonts w:asciiTheme="majorHAnsi" w:hAnsiTheme="majorHAnsi" w:cstheme="majorHAnsi"/>
          <w:i/>
          <w:iCs/>
          <w:lang w:val="ro-RO"/>
        </w:rPr>
        <w:t>,</w:t>
      </w:r>
      <w:r w:rsidR="009746F8" w:rsidRPr="00CA2F39">
        <w:rPr>
          <w:rFonts w:asciiTheme="majorHAnsi" w:hAnsiTheme="majorHAnsi" w:cstheme="majorHAnsi"/>
          <w:i/>
          <w:iCs/>
          <w:lang w:val="ro-RO"/>
        </w:rPr>
        <w:t>33</w:t>
      </w:r>
      <w:r w:rsidRPr="00CA2F39">
        <w:rPr>
          <w:rFonts w:asciiTheme="majorHAnsi" w:hAnsiTheme="majorHAnsi" w:cstheme="majorHAnsi"/>
          <w:i/>
          <w:iCs/>
          <w:lang w:val="ro-RO"/>
        </w:rPr>
        <w:t xml:space="preserve"> mil.lei, ca urmare a deficiențelor indicate în Baza pentru opinie și în alte informații din prezentul </w:t>
      </w:r>
      <w:r w:rsidRPr="001C6DCE">
        <w:rPr>
          <w:rFonts w:asciiTheme="majorHAnsi" w:hAnsiTheme="majorHAnsi" w:cstheme="majorHAnsi"/>
          <w:i/>
          <w:iCs/>
          <w:lang w:val="ro-RO"/>
        </w:rPr>
        <w:t>Raport</w:t>
      </w:r>
      <w:r w:rsidRPr="001C6DCE">
        <w:rPr>
          <w:rFonts w:asciiTheme="majorHAnsi" w:hAnsiTheme="majorHAnsi" w:cstheme="majorHAnsi"/>
          <w:b/>
          <w:i/>
          <w:iCs/>
          <w:lang w:val="ro-RO"/>
        </w:rPr>
        <w:t>.</w:t>
      </w:r>
    </w:p>
    <w:p w14:paraId="40F35E83" w14:textId="77777777" w:rsidR="006664F9" w:rsidRPr="001C6DCE" w:rsidRDefault="006664F9" w:rsidP="008C4E63">
      <w:pPr>
        <w:tabs>
          <w:tab w:val="left" w:pos="720"/>
        </w:tabs>
        <w:spacing w:after="0" w:line="276" w:lineRule="auto"/>
        <w:jc w:val="both"/>
        <w:rPr>
          <w:rFonts w:asciiTheme="majorHAnsi" w:eastAsia="Times New Roman" w:hAnsiTheme="majorHAnsi" w:cstheme="majorHAnsi"/>
          <w:sz w:val="24"/>
          <w:szCs w:val="24"/>
          <w:lang w:val="ro-RO"/>
        </w:rPr>
      </w:pPr>
      <w:r w:rsidRPr="001C6DCE">
        <w:rPr>
          <w:rFonts w:asciiTheme="majorHAnsi" w:eastAsia="Times New Roman" w:hAnsiTheme="majorHAnsi" w:cstheme="majorHAnsi"/>
          <w:sz w:val="24"/>
          <w:szCs w:val="24"/>
          <w:lang w:val="ro-RO"/>
        </w:rPr>
        <w:t>Am realizat misiunea de audit în conformitate cu Standardele Internaționale ale Instituțiilor Supreme de Audit aplicate de Curtea de Conturi</w:t>
      </w:r>
      <w:r w:rsidRPr="001C6DCE">
        <w:rPr>
          <w:rStyle w:val="a5"/>
          <w:rFonts w:asciiTheme="majorHAnsi" w:eastAsia="Times New Roman" w:hAnsiTheme="majorHAnsi" w:cstheme="majorHAnsi"/>
          <w:sz w:val="24"/>
          <w:szCs w:val="24"/>
          <w:lang w:val="ro-RO"/>
        </w:rPr>
        <w:footnoteReference w:id="4"/>
      </w:r>
      <w:r w:rsidRPr="001C6DCE">
        <w:rPr>
          <w:rFonts w:asciiTheme="majorHAnsi" w:eastAsia="Times New Roman" w:hAnsiTheme="majorHAnsi" w:cstheme="majorHAnsi"/>
          <w:sz w:val="24"/>
          <w:szCs w:val="24"/>
          <w:lang w:val="ro-RO"/>
        </w:rPr>
        <w:t xml:space="preserve">. Responsabilitățile noastre, potrivit standardelor respective, sunt expuse în secțiunea </w:t>
      </w:r>
      <w:r w:rsidRPr="001C6DCE">
        <w:rPr>
          <w:rFonts w:asciiTheme="majorHAnsi" w:eastAsia="Times New Roman" w:hAnsiTheme="majorHAnsi" w:cstheme="majorHAnsi"/>
          <w:i/>
          <w:sz w:val="24"/>
          <w:szCs w:val="24"/>
          <w:lang w:val="ro-RO"/>
        </w:rPr>
        <w:t>Responsabilitățile auditorului într-un audit al situațiilor financiare consolidate</w:t>
      </w:r>
      <w:r w:rsidRPr="001C6DCE">
        <w:rPr>
          <w:rFonts w:asciiTheme="majorHAnsi" w:eastAsia="Times New Roman" w:hAnsiTheme="majorHAnsi" w:cstheme="majorHAnsi"/>
          <w:sz w:val="24"/>
          <w:szCs w:val="24"/>
          <w:lang w:val="ro-RO"/>
        </w:rPr>
        <w:t xml:space="preserve"> din prezentul Raport. Suntem independenți față de instituția auditată și am îndeplinit responsabilitățile de etică conform cerințelor Codului etic al Curții de Conturi. Considerăm că probele de audit pe care le-am obținut sunt suficiente și adecvate pentru a furniza o bază pentru opinia noastră.</w:t>
      </w:r>
    </w:p>
    <w:p w14:paraId="537DAF97" w14:textId="77777777" w:rsidR="006772FE" w:rsidRPr="001C6DCE" w:rsidRDefault="006772FE" w:rsidP="008C4E63">
      <w:pPr>
        <w:tabs>
          <w:tab w:val="left" w:pos="0"/>
        </w:tabs>
        <w:spacing w:after="0" w:line="276" w:lineRule="auto"/>
        <w:contextualSpacing/>
        <w:jc w:val="both"/>
        <w:rPr>
          <w:rFonts w:asciiTheme="majorHAnsi" w:eastAsia="Times New Roman" w:hAnsiTheme="majorHAnsi" w:cstheme="majorHAnsi"/>
          <w:sz w:val="16"/>
          <w:szCs w:val="16"/>
          <w:lang w:val="ro-RO"/>
        </w:rPr>
      </w:pPr>
    </w:p>
    <w:p w14:paraId="17C61231" w14:textId="685C654E" w:rsidR="00131197" w:rsidRPr="001C6DCE" w:rsidRDefault="00131197" w:rsidP="006D65DF">
      <w:pPr>
        <w:pStyle w:val="a8"/>
        <w:numPr>
          <w:ilvl w:val="0"/>
          <w:numId w:val="1"/>
        </w:numPr>
        <w:tabs>
          <w:tab w:val="left" w:pos="284"/>
          <w:tab w:val="left" w:pos="720"/>
        </w:tabs>
        <w:spacing w:line="276" w:lineRule="auto"/>
        <w:ind w:left="0" w:firstLine="0"/>
        <w:rPr>
          <w:rFonts w:asciiTheme="majorHAnsi" w:hAnsiTheme="majorHAnsi" w:cstheme="majorHAnsi"/>
          <w:b/>
          <w:bCs/>
          <w:sz w:val="24"/>
          <w:szCs w:val="24"/>
          <w:lang w:val="ro-MD"/>
        </w:rPr>
      </w:pPr>
      <w:r w:rsidRPr="001C6DCE">
        <w:rPr>
          <w:rFonts w:asciiTheme="majorHAnsi" w:hAnsiTheme="majorHAnsi" w:cstheme="majorHAnsi"/>
          <w:b/>
          <w:bCs/>
          <w:sz w:val="24"/>
          <w:szCs w:val="24"/>
          <w:lang w:val="ro-MD"/>
        </w:rPr>
        <w:t>PARAGRAF DE EVIDENȚIERE</w:t>
      </w:r>
    </w:p>
    <w:p w14:paraId="7F0828C9" w14:textId="6EB57B10" w:rsidR="006D65DF" w:rsidRPr="001C6DCE" w:rsidRDefault="006D65DF" w:rsidP="006D65DF">
      <w:pPr>
        <w:spacing w:after="0" w:line="240" w:lineRule="auto"/>
        <w:jc w:val="both"/>
        <w:rPr>
          <w:rFonts w:asciiTheme="majorHAnsi" w:hAnsiTheme="majorHAnsi" w:cstheme="majorHAnsi"/>
          <w:sz w:val="24"/>
          <w:szCs w:val="24"/>
          <w:lang w:val="ro-MD"/>
        </w:rPr>
      </w:pPr>
      <w:r w:rsidRPr="001C6DCE">
        <w:rPr>
          <w:rFonts w:asciiTheme="majorHAnsi" w:hAnsiTheme="majorHAnsi" w:cstheme="majorHAnsi"/>
          <w:sz w:val="24"/>
          <w:szCs w:val="24"/>
          <w:lang w:val="ro-MD"/>
        </w:rPr>
        <w:t xml:space="preserve">În contextul denaturărilor evidențiate în secțiunea </w:t>
      </w:r>
      <w:r w:rsidRPr="001C6DCE">
        <w:rPr>
          <w:rFonts w:asciiTheme="majorHAnsi" w:hAnsiTheme="majorHAnsi" w:cstheme="majorHAnsi"/>
          <w:b/>
          <w:i/>
          <w:sz w:val="24"/>
          <w:szCs w:val="24"/>
          <w:lang w:val="ro-MD"/>
        </w:rPr>
        <w:t>Baza pentru opinia contrară</w:t>
      </w:r>
      <w:r w:rsidRPr="001C6DCE">
        <w:rPr>
          <w:rFonts w:asciiTheme="majorHAnsi" w:hAnsiTheme="majorHAnsi" w:cstheme="majorHAnsi"/>
          <w:b/>
          <w:sz w:val="24"/>
          <w:szCs w:val="24"/>
          <w:lang w:val="ro-MD"/>
        </w:rPr>
        <w:t>,</w:t>
      </w:r>
      <w:r w:rsidRPr="001C6DCE">
        <w:rPr>
          <w:rFonts w:asciiTheme="majorHAnsi" w:hAnsiTheme="majorHAnsi" w:cstheme="majorHAnsi"/>
          <w:sz w:val="24"/>
          <w:szCs w:val="24"/>
          <w:lang w:val="ro-MD"/>
        </w:rPr>
        <w:t xml:space="preserve"> ținem să atragem atenția asupra u</w:t>
      </w:r>
      <w:r w:rsidR="00475C77" w:rsidRPr="001C6DCE">
        <w:rPr>
          <w:rFonts w:asciiTheme="majorHAnsi" w:hAnsiTheme="majorHAnsi" w:cstheme="majorHAnsi"/>
          <w:sz w:val="24"/>
          <w:szCs w:val="24"/>
          <w:lang w:val="ro-MD"/>
        </w:rPr>
        <w:t>rmătoarelor</w:t>
      </w:r>
      <w:r w:rsidRPr="001C6DCE">
        <w:rPr>
          <w:rFonts w:asciiTheme="majorHAnsi" w:hAnsiTheme="majorHAnsi" w:cstheme="majorHAnsi"/>
          <w:sz w:val="24"/>
          <w:szCs w:val="24"/>
          <w:lang w:val="ro-MD"/>
        </w:rPr>
        <w:t xml:space="preserve"> aspect</w:t>
      </w:r>
      <w:r w:rsidR="00475C77" w:rsidRPr="001C6DCE">
        <w:rPr>
          <w:rFonts w:asciiTheme="majorHAnsi" w:hAnsiTheme="majorHAnsi" w:cstheme="majorHAnsi"/>
          <w:sz w:val="24"/>
          <w:szCs w:val="24"/>
          <w:lang w:val="ro-MD"/>
        </w:rPr>
        <w:t>e.</w:t>
      </w:r>
    </w:p>
    <w:p w14:paraId="1892B896" w14:textId="5FEBF28F" w:rsidR="003000B5" w:rsidRPr="001C6DCE" w:rsidRDefault="006664F9" w:rsidP="006D65DF">
      <w:pPr>
        <w:spacing w:after="0" w:line="276" w:lineRule="auto"/>
        <w:jc w:val="both"/>
        <w:rPr>
          <w:rFonts w:asciiTheme="majorHAnsi" w:hAnsiTheme="majorHAnsi" w:cstheme="majorHAnsi"/>
          <w:sz w:val="24"/>
          <w:szCs w:val="24"/>
          <w:lang w:val="ro-RO"/>
        </w:rPr>
      </w:pPr>
      <w:r w:rsidRPr="001C6DCE">
        <w:rPr>
          <w:rFonts w:asciiTheme="majorHAnsi" w:hAnsiTheme="majorHAnsi" w:cstheme="majorHAnsi"/>
          <w:b/>
          <w:sz w:val="24"/>
          <w:szCs w:val="24"/>
          <w:lang w:val="ro-MD"/>
        </w:rPr>
        <w:t>3.1</w:t>
      </w:r>
      <w:r w:rsidR="00277AF2" w:rsidRPr="001C6DCE">
        <w:rPr>
          <w:rFonts w:asciiTheme="majorHAnsi" w:hAnsiTheme="majorHAnsi" w:cstheme="majorHAnsi"/>
          <w:b/>
          <w:sz w:val="24"/>
          <w:szCs w:val="24"/>
          <w:lang w:val="ro-MD"/>
        </w:rPr>
        <w:t>.</w:t>
      </w:r>
      <w:r w:rsidR="00FE7442" w:rsidRPr="001C6DCE">
        <w:rPr>
          <w:rFonts w:asciiTheme="majorHAnsi" w:hAnsiTheme="majorHAnsi" w:cstheme="majorHAnsi"/>
          <w:b/>
          <w:sz w:val="24"/>
          <w:szCs w:val="24"/>
          <w:lang w:val="ro-MD"/>
        </w:rPr>
        <w:t xml:space="preserve"> </w:t>
      </w:r>
      <w:r w:rsidR="003000B5" w:rsidRPr="001C6DCE">
        <w:rPr>
          <w:rFonts w:asciiTheme="majorHAnsi" w:hAnsiTheme="majorHAnsi" w:cstheme="majorHAnsi"/>
          <w:sz w:val="24"/>
          <w:szCs w:val="24"/>
          <w:lang w:val="ro-MD"/>
        </w:rPr>
        <w:t>Auditul a identificat unele iregularități ce țin de recunoașterea dreptului A</w:t>
      </w:r>
      <w:r w:rsidR="00ED795C" w:rsidRPr="001C6DCE">
        <w:rPr>
          <w:rFonts w:asciiTheme="majorHAnsi" w:hAnsiTheme="majorHAnsi" w:cstheme="majorHAnsi"/>
          <w:sz w:val="24"/>
          <w:szCs w:val="24"/>
          <w:lang w:val="ro-MD"/>
        </w:rPr>
        <w:t xml:space="preserve">genției </w:t>
      </w:r>
      <w:r w:rsidR="003000B5" w:rsidRPr="001C6DCE">
        <w:rPr>
          <w:rFonts w:asciiTheme="majorHAnsi" w:hAnsiTheme="majorHAnsi" w:cstheme="majorHAnsi"/>
          <w:sz w:val="24"/>
          <w:szCs w:val="24"/>
          <w:lang w:val="ro-MD"/>
        </w:rPr>
        <w:t>P</w:t>
      </w:r>
      <w:r w:rsidR="00ED795C" w:rsidRPr="001C6DCE">
        <w:rPr>
          <w:rFonts w:asciiTheme="majorHAnsi" w:hAnsiTheme="majorHAnsi" w:cstheme="majorHAnsi"/>
          <w:sz w:val="24"/>
          <w:szCs w:val="24"/>
          <w:lang w:val="ro-MD"/>
        </w:rPr>
        <w:t xml:space="preserve">roprietății </w:t>
      </w:r>
      <w:r w:rsidR="003000B5" w:rsidRPr="001C6DCE">
        <w:rPr>
          <w:rFonts w:asciiTheme="majorHAnsi" w:hAnsiTheme="majorHAnsi" w:cstheme="majorHAnsi"/>
          <w:sz w:val="24"/>
          <w:szCs w:val="24"/>
          <w:lang w:val="ro-MD"/>
        </w:rPr>
        <w:t>P</w:t>
      </w:r>
      <w:r w:rsidR="00ED795C" w:rsidRPr="001C6DCE">
        <w:rPr>
          <w:rFonts w:asciiTheme="majorHAnsi" w:hAnsiTheme="majorHAnsi" w:cstheme="majorHAnsi"/>
          <w:sz w:val="24"/>
          <w:szCs w:val="24"/>
          <w:lang w:val="ro-MD"/>
        </w:rPr>
        <w:t>ublice</w:t>
      </w:r>
      <w:r w:rsidR="003000B5" w:rsidRPr="001C6DCE">
        <w:rPr>
          <w:rFonts w:asciiTheme="majorHAnsi" w:hAnsiTheme="majorHAnsi" w:cstheme="majorHAnsi"/>
          <w:sz w:val="24"/>
          <w:szCs w:val="24"/>
          <w:lang w:val="ro-MD"/>
        </w:rPr>
        <w:t xml:space="preserve"> </w:t>
      </w:r>
      <w:r w:rsidR="002C080C" w:rsidRPr="001C6DCE">
        <w:rPr>
          <w:rFonts w:asciiTheme="majorHAnsi" w:hAnsiTheme="majorHAnsi" w:cstheme="majorHAnsi"/>
          <w:sz w:val="24"/>
          <w:szCs w:val="24"/>
          <w:lang w:val="ro-MD"/>
        </w:rPr>
        <w:t xml:space="preserve">de administrator al </w:t>
      </w:r>
      <w:r w:rsidR="003000B5" w:rsidRPr="001C6DCE">
        <w:rPr>
          <w:rFonts w:asciiTheme="majorHAnsi" w:hAnsiTheme="majorHAnsi" w:cstheme="majorHAnsi"/>
          <w:sz w:val="24"/>
          <w:szCs w:val="24"/>
          <w:lang w:val="ro-MD"/>
        </w:rPr>
        <w:t>terenurilor</w:t>
      </w:r>
      <w:r w:rsidR="003000B5" w:rsidRPr="001C6DCE">
        <w:rPr>
          <w:rFonts w:asciiTheme="majorHAnsi" w:hAnsiTheme="majorHAnsi" w:cstheme="majorHAnsi"/>
          <w:sz w:val="24"/>
          <w:szCs w:val="24"/>
          <w:lang w:val="ro-RO"/>
        </w:rPr>
        <w:t xml:space="preserve"> gestionate de către Ministerul Educației și Cercetării și instituțiile fondate (din subordine și la autogestiune). Lista terenurilor proprietate publică a statului din administrarea Agenției Proprietății Publice, aprobată prin H</w:t>
      </w:r>
      <w:r w:rsidR="002A15B4" w:rsidRPr="001C6DCE">
        <w:rPr>
          <w:rFonts w:asciiTheme="majorHAnsi" w:hAnsiTheme="majorHAnsi" w:cstheme="majorHAnsi"/>
          <w:sz w:val="24"/>
          <w:szCs w:val="24"/>
          <w:lang w:val="ro-RO"/>
        </w:rPr>
        <w:t xml:space="preserve">otărârea </w:t>
      </w:r>
      <w:r w:rsidR="003000B5" w:rsidRPr="001C6DCE">
        <w:rPr>
          <w:rFonts w:asciiTheme="majorHAnsi" w:hAnsiTheme="majorHAnsi" w:cstheme="majorHAnsi"/>
          <w:sz w:val="24"/>
          <w:szCs w:val="24"/>
          <w:lang w:val="ro-RO"/>
        </w:rPr>
        <w:t>G</w:t>
      </w:r>
      <w:r w:rsidR="002A15B4" w:rsidRPr="001C6DCE">
        <w:rPr>
          <w:rFonts w:asciiTheme="majorHAnsi" w:hAnsiTheme="majorHAnsi" w:cstheme="majorHAnsi"/>
          <w:sz w:val="24"/>
          <w:szCs w:val="24"/>
          <w:lang w:val="ro-RO"/>
        </w:rPr>
        <w:t>uvernului</w:t>
      </w:r>
      <w:r w:rsidR="003000B5" w:rsidRPr="001C6DCE">
        <w:rPr>
          <w:rFonts w:asciiTheme="majorHAnsi" w:hAnsiTheme="majorHAnsi" w:cstheme="majorHAnsi"/>
          <w:sz w:val="24"/>
          <w:szCs w:val="24"/>
          <w:lang w:val="ro-RO"/>
        </w:rPr>
        <w:t xml:space="preserve"> nr.161/2019</w:t>
      </w:r>
      <w:r w:rsidR="006F26B4" w:rsidRPr="001C6DCE">
        <w:rPr>
          <w:rStyle w:val="a5"/>
          <w:rFonts w:asciiTheme="majorHAnsi" w:hAnsiTheme="majorHAnsi" w:cstheme="majorHAnsi"/>
          <w:sz w:val="24"/>
          <w:szCs w:val="24"/>
          <w:lang w:val="ro-RO"/>
        </w:rPr>
        <w:footnoteReference w:id="5"/>
      </w:r>
      <w:r w:rsidR="003000B5" w:rsidRPr="001C6DCE">
        <w:rPr>
          <w:rFonts w:asciiTheme="majorHAnsi" w:hAnsiTheme="majorHAnsi" w:cstheme="majorHAnsi"/>
          <w:sz w:val="24"/>
          <w:szCs w:val="24"/>
          <w:lang w:val="ro-RO"/>
        </w:rPr>
        <w:t>, nu este actualizată, după cum prevede art.7 alin.(3), lit.</w:t>
      </w:r>
      <w:r w:rsidR="00226967" w:rsidRPr="001C6DCE">
        <w:rPr>
          <w:rFonts w:asciiTheme="majorHAnsi" w:hAnsiTheme="majorHAnsi" w:cstheme="majorHAnsi"/>
          <w:sz w:val="24"/>
          <w:szCs w:val="24"/>
          <w:lang w:val="ro-RO"/>
        </w:rPr>
        <w:t xml:space="preserve"> </w:t>
      </w:r>
      <w:r w:rsidR="003000B5" w:rsidRPr="001C6DCE">
        <w:rPr>
          <w:rFonts w:asciiTheme="majorHAnsi" w:hAnsiTheme="majorHAnsi" w:cstheme="majorHAnsi"/>
          <w:sz w:val="24"/>
          <w:szCs w:val="24"/>
          <w:lang w:val="ro-RO"/>
        </w:rPr>
        <w:t>f</w:t>
      </w:r>
      <w:r w:rsidR="002A15B4" w:rsidRPr="001C6DCE">
        <w:rPr>
          <w:rFonts w:asciiTheme="majorHAnsi" w:hAnsiTheme="majorHAnsi" w:cstheme="majorHAnsi"/>
          <w:sz w:val="24"/>
          <w:szCs w:val="24"/>
          <w:lang w:val="ro-RO"/>
        </w:rPr>
        <w:t>)</w:t>
      </w:r>
      <w:r w:rsidR="00CB16BC" w:rsidRPr="001C6DCE">
        <w:rPr>
          <w:rFonts w:asciiTheme="majorHAnsi" w:hAnsiTheme="majorHAnsi" w:cstheme="majorHAnsi"/>
          <w:sz w:val="24"/>
          <w:szCs w:val="24"/>
          <w:lang w:val="ro-RO"/>
        </w:rPr>
        <w:t xml:space="preserve"> </w:t>
      </w:r>
      <w:r w:rsidR="003000B5" w:rsidRPr="001C6DCE">
        <w:rPr>
          <w:rFonts w:asciiTheme="majorHAnsi" w:hAnsiTheme="majorHAnsi" w:cstheme="majorHAnsi"/>
          <w:sz w:val="24"/>
          <w:szCs w:val="24"/>
          <w:lang w:val="ro-RO"/>
        </w:rPr>
        <w:t>din Legea nr.121/2007</w:t>
      </w:r>
      <w:r w:rsidR="006F26B4" w:rsidRPr="001C6DCE">
        <w:rPr>
          <w:rStyle w:val="a5"/>
          <w:rFonts w:asciiTheme="majorHAnsi" w:hAnsiTheme="majorHAnsi" w:cstheme="majorHAnsi"/>
          <w:sz w:val="24"/>
          <w:szCs w:val="24"/>
          <w:lang w:val="ro-RO"/>
        </w:rPr>
        <w:footnoteReference w:id="6"/>
      </w:r>
      <w:r w:rsidR="003000B5" w:rsidRPr="001C6DCE">
        <w:rPr>
          <w:rFonts w:asciiTheme="majorHAnsi" w:hAnsiTheme="majorHAnsi" w:cstheme="majorHAnsi"/>
          <w:sz w:val="24"/>
          <w:szCs w:val="24"/>
          <w:lang w:val="ro-RO"/>
        </w:rPr>
        <w:t>, și anume: 14 terenuri proprietate publică a RM, cu suprafața totală de 23,56 ha, gestionate de Ministerul Educației și Cercetării și 10 instituții din subordine/la autogestiune, nu se regăsesc în H</w:t>
      </w:r>
      <w:r w:rsidR="00ED795C" w:rsidRPr="001C6DCE">
        <w:rPr>
          <w:rFonts w:asciiTheme="majorHAnsi" w:hAnsiTheme="majorHAnsi" w:cstheme="majorHAnsi"/>
          <w:sz w:val="24"/>
          <w:szCs w:val="24"/>
          <w:lang w:val="ro-RO"/>
        </w:rPr>
        <w:t xml:space="preserve">otărârea </w:t>
      </w:r>
      <w:r w:rsidR="003000B5" w:rsidRPr="001C6DCE">
        <w:rPr>
          <w:rFonts w:asciiTheme="majorHAnsi" w:hAnsiTheme="majorHAnsi" w:cstheme="majorHAnsi"/>
          <w:sz w:val="24"/>
          <w:szCs w:val="24"/>
          <w:lang w:val="ro-RO"/>
        </w:rPr>
        <w:t>G</w:t>
      </w:r>
      <w:r w:rsidR="00ED795C" w:rsidRPr="001C6DCE">
        <w:rPr>
          <w:rFonts w:asciiTheme="majorHAnsi" w:hAnsiTheme="majorHAnsi" w:cstheme="majorHAnsi"/>
          <w:sz w:val="24"/>
          <w:szCs w:val="24"/>
          <w:lang w:val="ro-RO"/>
        </w:rPr>
        <w:t>uvernului</w:t>
      </w:r>
      <w:r w:rsidR="003000B5" w:rsidRPr="001C6DCE">
        <w:rPr>
          <w:rFonts w:asciiTheme="majorHAnsi" w:hAnsiTheme="majorHAnsi" w:cstheme="majorHAnsi"/>
          <w:sz w:val="24"/>
          <w:szCs w:val="24"/>
          <w:lang w:val="ro-RO"/>
        </w:rPr>
        <w:t xml:space="preserve"> nr.161/2019; proprietar al 16 terenuri cu suprafața totală de 13,97 ha, raportate de 9 instituții</w:t>
      </w:r>
      <w:r w:rsidR="001B2007" w:rsidRPr="001C6DCE">
        <w:rPr>
          <w:rStyle w:val="a5"/>
          <w:rFonts w:asciiTheme="majorHAnsi" w:hAnsiTheme="majorHAnsi" w:cstheme="majorHAnsi"/>
          <w:sz w:val="24"/>
          <w:szCs w:val="24"/>
          <w:lang w:val="ro-RO"/>
        </w:rPr>
        <w:footnoteReference w:id="7"/>
      </w:r>
      <w:r w:rsidR="00721AC1">
        <w:rPr>
          <w:rFonts w:asciiTheme="majorHAnsi" w:hAnsiTheme="majorHAnsi" w:cstheme="majorHAnsi"/>
          <w:sz w:val="24"/>
          <w:szCs w:val="24"/>
          <w:lang w:val="ro-RO"/>
        </w:rPr>
        <w:t xml:space="preserve"> </w:t>
      </w:r>
      <w:r w:rsidR="003000B5" w:rsidRPr="001C6DCE">
        <w:rPr>
          <w:rFonts w:asciiTheme="majorHAnsi" w:hAnsiTheme="majorHAnsi" w:cstheme="majorHAnsi"/>
          <w:sz w:val="24"/>
          <w:szCs w:val="24"/>
          <w:lang w:val="ro-RO"/>
        </w:rPr>
        <w:t>din subordine/la autogestiune (conform Registrului</w:t>
      </w:r>
      <w:r w:rsidR="00721AC1">
        <w:rPr>
          <w:rFonts w:asciiTheme="majorHAnsi" w:hAnsiTheme="majorHAnsi" w:cstheme="majorHAnsi"/>
          <w:sz w:val="24"/>
          <w:szCs w:val="24"/>
          <w:lang w:val="ro-RO"/>
        </w:rPr>
        <w:t xml:space="preserve"> </w:t>
      </w:r>
      <w:r w:rsidR="003000B5" w:rsidRPr="001C6DCE">
        <w:rPr>
          <w:rFonts w:asciiTheme="majorHAnsi" w:hAnsiTheme="majorHAnsi" w:cstheme="majorHAnsi"/>
          <w:sz w:val="24"/>
          <w:szCs w:val="24"/>
          <w:lang w:val="ro-RO"/>
        </w:rPr>
        <w:t xml:space="preserve">bunurilor imobile), este </w:t>
      </w:r>
      <w:r w:rsidR="005F1CE2" w:rsidRPr="001C6DCE">
        <w:rPr>
          <w:rFonts w:asciiTheme="majorHAnsi" w:hAnsiTheme="majorHAnsi" w:cstheme="majorHAnsi"/>
          <w:sz w:val="24"/>
          <w:szCs w:val="24"/>
          <w:lang w:val="ro-RO"/>
        </w:rPr>
        <w:t>autoritatea publică locală (</w:t>
      </w:r>
      <w:r w:rsidR="003000B5" w:rsidRPr="001C6DCE">
        <w:rPr>
          <w:rFonts w:asciiTheme="majorHAnsi" w:hAnsiTheme="majorHAnsi" w:cstheme="majorHAnsi"/>
          <w:sz w:val="24"/>
          <w:szCs w:val="24"/>
          <w:lang w:val="ro-RO"/>
        </w:rPr>
        <w:t>APL</w:t>
      </w:r>
      <w:r w:rsidR="005F1CE2" w:rsidRPr="001C6DCE">
        <w:rPr>
          <w:rFonts w:asciiTheme="majorHAnsi" w:hAnsiTheme="majorHAnsi" w:cstheme="majorHAnsi"/>
          <w:sz w:val="24"/>
          <w:szCs w:val="24"/>
          <w:lang w:val="ro-RO"/>
        </w:rPr>
        <w:t>)</w:t>
      </w:r>
      <w:r w:rsidR="002A15B4" w:rsidRPr="001C6DCE">
        <w:rPr>
          <w:rFonts w:asciiTheme="majorHAnsi" w:hAnsiTheme="majorHAnsi" w:cstheme="majorHAnsi"/>
          <w:sz w:val="24"/>
          <w:szCs w:val="24"/>
          <w:lang w:val="ro-RO"/>
        </w:rPr>
        <w:t>,</w:t>
      </w:r>
      <w:r w:rsidR="003000B5" w:rsidRPr="001C6DCE">
        <w:rPr>
          <w:rFonts w:asciiTheme="majorHAnsi" w:hAnsiTheme="majorHAnsi" w:cstheme="majorHAnsi"/>
          <w:sz w:val="24"/>
          <w:szCs w:val="24"/>
          <w:lang w:val="ro-RO"/>
        </w:rPr>
        <w:t xml:space="preserve"> </w:t>
      </w:r>
      <w:r w:rsidR="002A15B4" w:rsidRPr="001C6DCE">
        <w:rPr>
          <w:rFonts w:asciiTheme="majorHAnsi" w:hAnsiTheme="majorHAnsi" w:cstheme="majorHAnsi"/>
          <w:sz w:val="24"/>
          <w:szCs w:val="24"/>
          <w:lang w:val="ro-RO"/>
        </w:rPr>
        <w:t>î</w:t>
      </w:r>
      <w:r w:rsidR="003000B5" w:rsidRPr="001C6DCE">
        <w:rPr>
          <w:rFonts w:asciiTheme="majorHAnsi" w:hAnsiTheme="majorHAnsi" w:cstheme="majorHAnsi"/>
          <w:sz w:val="24"/>
          <w:szCs w:val="24"/>
          <w:lang w:val="ro-RO"/>
        </w:rPr>
        <w:t>n același timp, acestea se regăsesc în „Lista terenurilor proprietate publică a statului, domeniul public, din administrarea Agenției Proprietății Publice”,</w:t>
      </w:r>
      <w:r w:rsidR="00721AC1">
        <w:rPr>
          <w:rFonts w:asciiTheme="majorHAnsi" w:hAnsiTheme="majorHAnsi" w:cstheme="majorHAnsi"/>
          <w:sz w:val="24"/>
          <w:szCs w:val="24"/>
          <w:lang w:val="ro-RO"/>
        </w:rPr>
        <w:t xml:space="preserve"> </w:t>
      </w:r>
      <w:r w:rsidR="003000B5" w:rsidRPr="001C6DCE">
        <w:rPr>
          <w:rFonts w:asciiTheme="majorHAnsi" w:hAnsiTheme="majorHAnsi" w:cstheme="majorHAnsi"/>
          <w:sz w:val="24"/>
          <w:szCs w:val="24"/>
          <w:lang w:val="ro-RO"/>
        </w:rPr>
        <w:t>conform H</w:t>
      </w:r>
      <w:r w:rsidR="007C3DEC" w:rsidRPr="001C6DCE">
        <w:rPr>
          <w:rFonts w:asciiTheme="majorHAnsi" w:hAnsiTheme="majorHAnsi" w:cstheme="majorHAnsi"/>
          <w:sz w:val="24"/>
          <w:szCs w:val="24"/>
          <w:lang w:val="ro-RO"/>
        </w:rPr>
        <w:t xml:space="preserve">otărârii </w:t>
      </w:r>
      <w:r w:rsidR="003000B5" w:rsidRPr="001C6DCE">
        <w:rPr>
          <w:rFonts w:asciiTheme="majorHAnsi" w:hAnsiTheme="majorHAnsi" w:cstheme="majorHAnsi"/>
          <w:sz w:val="24"/>
          <w:szCs w:val="24"/>
          <w:lang w:val="ro-RO"/>
        </w:rPr>
        <w:t>G</w:t>
      </w:r>
      <w:r w:rsidR="007C3DEC" w:rsidRPr="001C6DCE">
        <w:rPr>
          <w:rFonts w:asciiTheme="majorHAnsi" w:hAnsiTheme="majorHAnsi" w:cstheme="majorHAnsi"/>
          <w:sz w:val="24"/>
          <w:szCs w:val="24"/>
          <w:lang w:val="ro-RO"/>
        </w:rPr>
        <w:t>uvernului</w:t>
      </w:r>
      <w:r w:rsidR="003000B5" w:rsidRPr="001C6DCE">
        <w:rPr>
          <w:rFonts w:asciiTheme="majorHAnsi" w:hAnsiTheme="majorHAnsi" w:cstheme="majorHAnsi"/>
          <w:sz w:val="24"/>
          <w:szCs w:val="24"/>
          <w:lang w:val="ro-RO"/>
        </w:rPr>
        <w:t xml:space="preserve"> nr.161/2019; proprietar al 43 </w:t>
      </w:r>
      <w:r w:rsidR="002A15B4" w:rsidRPr="001C6DCE">
        <w:rPr>
          <w:rFonts w:asciiTheme="majorHAnsi" w:hAnsiTheme="majorHAnsi" w:cstheme="majorHAnsi"/>
          <w:sz w:val="24"/>
          <w:szCs w:val="24"/>
          <w:lang w:val="ro-RO"/>
        </w:rPr>
        <w:t xml:space="preserve">de </w:t>
      </w:r>
      <w:r w:rsidR="003000B5" w:rsidRPr="001C6DCE">
        <w:rPr>
          <w:rFonts w:asciiTheme="majorHAnsi" w:hAnsiTheme="majorHAnsi" w:cstheme="majorHAnsi"/>
          <w:sz w:val="24"/>
          <w:szCs w:val="24"/>
          <w:lang w:val="ro-RO"/>
        </w:rPr>
        <w:t xml:space="preserve">terenuri cu suprafața totală de 42,61 ha, raportate de 24 </w:t>
      </w:r>
      <w:r w:rsidR="002A15B4" w:rsidRPr="001C6DCE">
        <w:rPr>
          <w:rFonts w:asciiTheme="majorHAnsi" w:hAnsiTheme="majorHAnsi" w:cstheme="majorHAnsi"/>
          <w:sz w:val="24"/>
          <w:szCs w:val="24"/>
          <w:lang w:val="ro-RO"/>
        </w:rPr>
        <w:t xml:space="preserve">de </w:t>
      </w:r>
      <w:r w:rsidR="003000B5" w:rsidRPr="001C6DCE">
        <w:rPr>
          <w:rFonts w:asciiTheme="majorHAnsi" w:hAnsiTheme="majorHAnsi" w:cstheme="majorHAnsi"/>
          <w:sz w:val="24"/>
          <w:szCs w:val="24"/>
          <w:lang w:val="ro-RO"/>
        </w:rPr>
        <w:t>instituții din subordine/la autogestiune și neincluse în H</w:t>
      </w:r>
      <w:r w:rsidR="007C3DEC" w:rsidRPr="001C6DCE">
        <w:rPr>
          <w:rFonts w:asciiTheme="majorHAnsi" w:hAnsiTheme="majorHAnsi" w:cstheme="majorHAnsi"/>
          <w:sz w:val="24"/>
          <w:szCs w:val="24"/>
          <w:lang w:val="ro-RO"/>
        </w:rPr>
        <w:t xml:space="preserve">otărârea </w:t>
      </w:r>
      <w:r w:rsidR="003000B5" w:rsidRPr="001C6DCE">
        <w:rPr>
          <w:rFonts w:asciiTheme="majorHAnsi" w:hAnsiTheme="majorHAnsi" w:cstheme="majorHAnsi"/>
          <w:sz w:val="24"/>
          <w:szCs w:val="24"/>
          <w:lang w:val="ro-RO"/>
        </w:rPr>
        <w:t>G</w:t>
      </w:r>
      <w:r w:rsidR="007C3DEC" w:rsidRPr="001C6DCE">
        <w:rPr>
          <w:rFonts w:asciiTheme="majorHAnsi" w:hAnsiTheme="majorHAnsi" w:cstheme="majorHAnsi"/>
          <w:sz w:val="24"/>
          <w:szCs w:val="24"/>
          <w:lang w:val="ro-RO"/>
        </w:rPr>
        <w:t>uvernului</w:t>
      </w:r>
      <w:r w:rsidR="003000B5" w:rsidRPr="001C6DCE">
        <w:rPr>
          <w:rFonts w:asciiTheme="majorHAnsi" w:hAnsiTheme="majorHAnsi" w:cstheme="majorHAnsi"/>
          <w:sz w:val="24"/>
          <w:szCs w:val="24"/>
          <w:lang w:val="ro-RO"/>
        </w:rPr>
        <w:t xml:space="preserve"> nr.161/2019 (conform Registrului bunurilor imobile), este APL, deși acestea sunt aferente clădirilor proprietate publică de stat gestionate de Ministerul Educației și Cercetării.</w:t>
      </w:r>
    </w:p>
    <w:p w14:paraId="4FC007FE" w14:textId="2232A916" w:rsidR="003000B5" w:rsidRPr="001C6DCE" w:rsidRDefault="003000B5" w:rsidP="008C4E63">
      <w:pPr>
        <w:spacing w:after="0" w:line="276" w:lineRule="auto"/>
        <w:jc w:val="both"/>
        <w:rPr>
          <w:rFonts w:asciiTheme="majorHAnsi" w:hAnsiTheme="majorHAnsi" w:cstheme="majorHAnsi"/>
          <w:sz w:val="24"/>
          <w:szCs w:val="24"/>
          <w:lang w:val="ro-RO"/>
        </w:rPr>
      </w:pPr>
      <w:r w:rsidRPr="001C6DCE">
        <w:rPr>
          <w:rFonts w:asciiTheme="majorHAnsi" w:hAnsiTheme="majorHAnsi" w:cstheme="majorHAnsi"/>
          <w:b/>
          <w:bCs/>
          <w:sz w:val="24"/>
          <w:szCs w:val="24"/>
          <w:lang w:val="ro-RO"/>
        </w:rPr>
        <w:t>3.2.</w:t>
      </w:r>
      <w:r w:rsidRPr="001C6DCE">
        <w:rPr>
          <w:rFonts w:asciiTheme="majorHAnsi" w:hAnsiTheme="majorHAnsi" w:cstheme="majorHAnsi"/>
          <w:sz w:val="24"/>
          <w:szCs w:val="24"/>
          <w:lang w:val="ro-RO"/>
        </w:rPr>
        <w:t xml:space="preserve"> Normele metodologice privind evidența contabilă și raportarea financiară în sistemul bugetar, aprobate prin Ordinul </w:t>
      </w:r>
      <w:r w:rsidR="002A15B4" w:rsidRPr="001C6DCE">
        <w:rPr>
          <w:rFonts w:asciiTheme="majorHAnsi" w:hAnsiTheme="majorHAnsi" w:cstheme="majorHAnsi"/>
          <w:sz w:val="24"/>
          <w:szCs w:val="24"/>
          <w:lang w:val="ro-RO"/>
        </w:rPr>
        <w:t>ministrului Finanțelor</w:t>
      </w:r>
      <w:r w:rsidRPr="001C6DCE">
        <w:rPr>
          <w:rFonts w:asciiTheme="majorHAnsi" w:hAnsiTheme="majorHAnsi" w:cstheme="majorHAnsi"/>
          <w:sz w:val="24"/>
          <w:szCs w:val="24"/>
          <w:lang w:val="ro-RO"/>
        </w:rPr>
        <w:t xml:space="preserve"> nr.216 din 28.12.2015, sunt contradictorii în ceea ce privește modul de ținere a evidenței bunurilor transmise în gestiune economică</w:t>
      </w:r>
      <w:r w:rsidRPr="001C6DCE">
        <w:rPr>
          <w:rFonts w:asciiTheme="majorHAnsi" w:hAnsiTheme="majorHAnsi" w:cstheme="majorHAnsi"/>
          <w:vertAlign w:val="superscript"/>
          <w:lang w:val="ro-RO"/>
        </w:rPr>
        <w:footnoteReference w:id="8"/>
      </w:r>
      <w:r w:rsidRPr="001C6DCE">
        <w:rPr>
          <w:rFonts w:asciiTheme="majorHAnsi" w:hAnsiTheme="majorHAnsi" w:cstheme="majorHAnsi"/>
          <w:sz w:val="24"/>
          <w:szCs w:val="24"/>
          <w:lang w:val="ro-RO"/>
        </w:rPr>
        <w:t xml:space="preserve">. De asemenea, acestea nu fac distincție între bunurile proprietate publică din domeniul public și </w:t>
      </w:r>
      <w:r w:rsidR="00224CCF" w:rsidRPr="001C6DCE">
        <w:rPr>
          <w:rFonts w:asciiTheme="majorHAnsi" w:hAnsiTheme="majorHAnsi" w:cstheme="majorHAnsi"/>
          <w:sz w:val="24"/>
          <w:szCs w:val="24"/>
          <w:lang w:val="ro-RO"/>
        </w:rPr>
        <w:t xml:space="preserve">cele </w:t>
      </w:r>
      <w:r w:rsidRPr="001C6DCE">
        <w:rPr>
          <w:rFonts w:asciiTheme="majorHAnsi" w:hAnsiTheme="majorHAnsi" w:cstheme="majorHAnsi"/>
          <w:sz w:val="24"/>
          <w:szCs w:val="24"/>
          <w:lang w:val="ro-RO"/>
        </w:rPr>
        <w:t>din domeniul privat care au fost transmise de către fondator unei entități cu titlu de proprietate, în gestiune, folosință sau comodat, ai căror proprietari reali sunt fondatorul sau alte persoane terțe. Ca urmare, până în prezent</w:t>
      </w:r>
      <w:r w:rsidR="00224CCF"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nu există o reglementare privind executarea prevederilor art.11 alin.(2) din Legea nr.121 din 04.05.2007, prin care </w:t>
      </w:r>
      <w:r w:rsidR="00224CCF" w:rsidRPr="001C6DCE">
        <w:rPr>
          <w:rFonts w:asciiTheme="majorHAnsi" w:hAnsiTheme="majorHAnsi" w:cstheme="majorHAnsi"/>
          <w:sz w:val="24"/>
          <w:szCs w:val="24"/>
          <w:lang w:val="ro-RO"/>
        </w:rPr>
        <w:t>să</w:t>
      </w:r>
      <w:r w:rsidR="00721AC1">
        <w:rPr>
          <w:rFonts w:asciiTheme="majorHAnsi" w:hAnsiTheme="majorHAnsi" w:cstheme="majorHAnsi"/>
          <w:sz w:val="24"/>
          <w:szCs w:val="24"/>
          <w:lang w:val="ro-RO"/>
        </w:rPr>
        <w:t xml:space="preserve"> </w:t>
      </w:r>
      <w:r w:rsidR="00224CCF" w:rsidRPr="001C6DCE">
        <w:rPr>
          <w:rFonts w:asciiTheme="majorHAnsi" w:hAnsiTheme="majorHAnsi" w:cstheme="majorHAnsi"/>
          <w:sz w:val="24"/>
          <w:szCs w:val="24"/>
          <w:lang w:val="ro-RO"/>
        </w:rPr>
        <w:t>se</w:t>
      </w:r>
      <w:r w:rsidRPr="001C6DCE">
        <w:rPr>
          <w:rFonts w:asciiTheme="majorHAnsi" w:hAnsiTheme="majorHAnsi" w:cstheme="majorHAnsi"/>
          <w:sz w:val="24"/>
          <w:szCs w:val="24"/>
          <w:lang w:val="ro-RO"/>
        </w:rPr>
        <w:t xml:space="preserve"> </w:t>
      </w:r>
      <w:r w:rsidR="00224CCF" w:rsidRPr="001C6DCE">
        <w:rPr>
          <w:rFonts w:asciiTheme="majorHAnsi" w:hAnsiTheme="majorHAnsi" w:cstheme="majorHAnsi"/>
          <w:sz w:val="24"/>
          <w:szCs w:val="24"/>
          <w:lang w:val="ro-RO"/>
        </w:rPr>
        <w:t>prevadă</w:t>
      </w:r>
      <w:r w:rsidRPr="001C6DCE">
        <w:rPr>
          <w:rFonts w:asciiTheme="majorHAnsi" w:hAnsiTheme="majorHAnsi" w:cstheme="majorHAnsi"/>
          <w:sz w:val="24"/>
          <w:szCs w:val="24"/>
          <w:lang w:val="ro-RO"/>
        </w:rPr>
        <w:t xml:space="preserve"> o evidență contabilă distinctă a bunurilor proprietate publică din domeniul public aflate în gestiunea entităților (instituțiilor publice și întreprinderilor) la autogestiune, precum și modul de înregistrare în evidența contabilă la fondator a tranzacțiilor respective. </w:t>
      </w:r>
    </w:p>
    <w:p w14:paraId="14FF6947" w14:textId="77777777" w:rsidR="003000B5" w:rsidRPr="001C6DCE" w:rsidRDefault="003000B5" w:rsidP="008C4E63">
      <w:pPr>
        <w:spacing w:after="0" w:line="276" w:lineRule="auto"/>
        <w:jc w:val="both"/>
        <w:rPr>
          <w:rFonts w:asciiTheme="majorHAnsi" w:hAnsiTheme="majorHAnsi" w:cstheme="majorHAnsi"/>
          <w:sz w:val="24"/>
          <w:szCs w:val="24"/>
          <w:lang w:val="ro-RO"/>
        </w:rPr>
      </w:pPr>
      <w:r w:rsidRPr="001C6DCE">
        <w:rPr>
          <w:rFonts w:asciiTheme="majorHAnsi" w:hAnsiTheme="majorHAnsi" w:cstheme="majorHAnsi"/>
          <w:sz w:val="24"/>
          <w:szCs w:val="24"/>
          <w:lang w:val="ro-RO"/>
        </w:rPr>
        <w:t xml:space="preserve">Deși Planul de conturi contabile include contul 4153 „Investiții în părți legate și nelegate” pentru transmiterea în gestiune a bunurilor, acesta nu permite o evidență analitică/distinctă în sistemul informațional contabil pentru fiecare bun transmis în gestiune și pe entități fondate, ceea ce, ulterior, practic va face imposibilă identificarea în natură a bunurilor proprietate publică din domeniul public gestionate de entitățile la autogestiune, inclusiv în cazul restituirii lor. </w:t>
      </w:r>
    </w:p>
    <w:p w14:paraId="25767FA4" w14:textId="078732C2" w:rsidR="003000B5" w:rsidRPr="001C6DCE" w:rsidRDefault="003000B5" w:rsidP="008C4E63">
      <w:pPr>
        <w:spacing w:after="0" w:line="276" w:lineRule="auto"/>
        <w:jc w:val="both"/>
        <w:rPr>
          <w:rFonts w:asciiTheme="majorHAnsi" w:hAnsiTheme="majorHAnsi" w:cstheme="majorHAnsi"/>
          <w:sz w:val="24"/>
          <w:szCs w:val="24"/>
          <w:lang w:val="ro-RO"/>
        </w:rPr>
      </w:pPr>
      <w:r w:rsidRPr="001C6DCE">
        <w:rPr>
          <w:rFonts w:asciiTheme="majorHAnsi" w:hAnsiTheme="majorHAnsi" w:cstheme="majorHAnsi"/>
          <w:sz w:val="24"/>
          <w:szCs w:val="24"/>
          <w:lang w:val="ro-RO"/>
        </w:rPr>
        <w:t>Totodată, Ministerul Educației și Cercetării, la înregistrarea și raportarea operațiunilor financiare</w:t>
      </w:r>
      <w:r w:rsidR="00C83AB8" w:rsidRPr="001C6DCE">
        <w:rPr>
          <w:rFonts w:asciiTheme="majorHAnsi" w:hAnsiTheme="majorHAnsi" w:cstheme="majorHAnsi"/>
          <w:sz w:val="24"/>
          <w:szCs w:val="24"/>
          <w:lang w:val="ro-RO"/>
        </w:rPr>
        <w:t xml:space="preserve"> aferente investițiilor efectuate la bunurile transmise în gestiune economică părților legate și nelegate</w:t>
      </w:r>
      <w:r w:rsidR="00224CCF"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w:t>
      </w:r>
      <w:r w:rsidR="00C83AB8" w:rsidRPr="001C6DCE">
        <w:rPr>
          <w:rFonts w:asciiTheme="majorHAnsi" w:hAnsiTheme="majorHAnsi" w:cstheme="majorHAnsi"/>
          <w:sz w:val="24"/>
          <w:szCs w:val="24"/>
          <w:lang w:val="ro-RO"/>
        </w:rPr>
        <w:t xml:space="preserve">completează Registrul f.nr.10, însă acesta </w:t>
      </w:r>
      <w:r w:rsidRPr="001C6DCE">
        <w:rPr>
          <w:rFonts w:asciiTheme="majorHAnsi" w:hAnsiTheme="majorHAnsi" w:cstheme="majorHAnsi"/>
          <w:sz w:val="24"/>
          <w:szCs w:val="24"/>
          <w:lang w:val="ro-RO"/>
        </w:rPr>
        <w:t>nu asigură, conform prevederilor normative</w:t>
      </w:r>
      <w:r w:rsidRPr="001C6DCE">
        <w:rPr>
          <w:rStyle w:val="a5"/>
          <w:rFonts w:asciiTheme="majorHAnsi" w:hAnsiTheme="majorHAnsi" w:cstheme="majorHAnsi"/>
          <w:lang w:val="ro-RO"/>
        </w:rPr>
        <w:footnoteReference w:id="9"/>
      </w:r>
      <w:r w:rsidR="00FA4A76" w:rsidRPr="001C6DCE">
        <w:rPr>
          <w:rFonts w:asciiTheme="majorHAnsi" w:hAnsiTheme="majorHAnsi" w:cstheme="majorHAnsi"/>
          <w:sz w:val="24"/>
          <w:szCs w:val="24"/>
          <w:lang w:val="ro-RO"/>
        </w:rPr>
        <w:t>,</w:t>
      </w:r>
      <w:r w:rsidR="00721AC1">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ținerea evidenței analitice</w:t>
      </w:r>
      <w:r w:rsidR="00721AC1">
        <w:rPr>
          <w:rFonts w:asciiTheme="majorHAnsi" w:hAnsiTheme="majorHAnsi" w:cstheme="majorHAnsi"/>
          <w:sz w:val="24"/>
          <w:szCs w:val="24"/>
          <w:lang w:val="ro-RO"/>
        </w:rPr>
        <w:t xml:space="preserve"> </w:t>
      </w:r>
      <w:r w:rsidR="00C83AB8" w:rsidRPr="001C6DCE">
        <w:rPr>
          <w:rFonts w:asciiTheme="majorHAnsi" w:hAnsiTheme="majorHAnsi" w:cstheme="majorHAnsi"/>
          <w:sz w:val="24"/>
          <w:szCs w:val="24"/>
          <w:lang w:val="ro-RO"/>
        </w:rPr>
        <w:t xml:space="preserve">la contul 4153 „Investiții în părți legate și nelegate” </w:t>
      </w:r>
      <w:r w:rsidRPr="001C6DCE">
        <w:rPr>
          <w:rFonts w:asciiTheme="majorHAnsi" w:hAnsiTheme="majorHAnsi" w:cstheme="majorHAnsi"/>
          <w:sz w:val="24"/>
          <w:szCs w:val="24"/>
          <w:lang w:val="ro-RO"/>
        </w:rPr>
        <w:t>de către entitățile raportoare , după caz, pe tipuri și clase de investiții, pe emitenți sau pe întreprinderi în care au fost investite mijloace, pe termenele de stingere.</w:t>
      </w:r>
      <w:r w:rsidR="00C83AB8" w:rsidRPr="001C6DCE">
        <w:rPr>
          <w:rFonts w:asciiTheme="majorHAnsi" w:hAnsiTheme="majorHAnsi" w:cstheme="majorHAnsi"/>
          <w:sz w:val="24"/>
          <w:szCs w:val="24"/>
          <w:lang w:val="ro-RO"/>
        </w:rPr>
        <w:t xml:space="preserve"> </w:t>
      </w:r>
    </w:p>
    <w:p w14:paraId="5FDCAA12" w14:textId="37E12F35" w:rsidR="003000B5" w:rsidRPr="001C6DCE" w:rsidRDefault="003000B5" w:rsidP="008C4E63">
      <w:pPr>
        <w:spacing w:after="0" w:line="276" w:lineRule="auto"/>
        <w:jc w:val="both"/>
        <w:rPr>
          <w:rFonts w:asciiTheme="majorHAnsi" w:hAnsiTheme="majorHAnsi" w:cstheme="majorHAnsi"/>
          <w:sz w:val="24"/>
          <w:szCs w:val="24"/>
          <w:lang w:val="ro-RO"/>
        </w:rPr>
      </w:pPr>
      <w:r w:rsidRPr="001C6DCE">
        <w:rPr>
          <w:rFonts w:asciiTheme="majorHAnsi" w:hAnsiTheme="majorHAnsi" w:cstheme="majorHAnsi"/>
          <w:sz w:val="24"/>
          <w:szCs w:val="24"/>
          <w:lang w:val="ro-RO"/>
        </w:rPr>
        <w:t>De asemenea, MEC nu deține o informație exhaustivă și completă privind clădirile și terenurile proprietate publică de stat din domeniul public transmise în gestiune instituțiilor din subordine, care, potrivit art.5 alin.(2) lit. a) din Legea nr.29 din 05.04.2018</w:t>
      </w:r>
      <w:r w:rsidR="00CC4FF1" w:rsidRPr="001C6DCE">
        <w:rPr>
          <w:rStyle w:val="a5"/>
          <w:rFonts w:asciiTheme="majorHAnsi" w:hAnsiTheme="majorHAnsi" w:cstheme="majorHAnsi"/>
          <w:sz w:val="24"/>
          <w:szCs w:val="24"/>
          <w:lang w:val="ro-RO"/>
        </w:rPr>
        <w:footnoteReference w:id="10"/>
      </w:r>
      <w:r w:rsidRPr="001C6DCE">
        <w:rPr>
          <w:rFonts w:asciiTheme="majorHAnsi" w:hAnsiTheme="majorHAnsi" w:cstheme="majorHAnsi"/>
          <w:sz w:val="24"/>
          <w:szCs w:val="24"/>
          <w:lang w:val="ro-RO"/>
        </w:rPr>
        <w:t xml:space="preserve"> , urmau a fi reflectate în evidența contabilă a MEC.</w:t>
      </w:r>
    </w:p>
    <w:p w14:paraId="2F7561A3" w14:textId="68B2FA24" w:rsidR="003000B5" w:rsidRPr="001C6DCE" w:rsidRDefault="003000B5" w:rsidP="008C4E63">
      <w:pPr>
        <w:spacing w:after="0" w:line="276" w:lineRule="auto"/>
        <w:jc w:val="both"/>
        <w:rPr>
          <w:rFonts w:asciiTheme="majorHAnsi" w:hAnsiTheme="majorHAnsi" w:cstheme="majorHAnsi"/>
          <w:sz w:val="24"/>
          <w:szCs w:val="24"/>
          <w:lang w:val="ro-RO"/>
        </w:rPr>
      </w:pPr>
      <w:r w:rsidRPr="001C6DCE">
        <w:rPr>
          <w:rFonts w:asciiTheme="majorHAnsi" w:hAnsiTheme="majorHAnsi" w:cstheme="majorHAnsi"/>
          <w:sz w:val="24"/>
          <w:szCs w:val="24"/>
          <w:lang w:val="ro-RO"/>
        </w:rPr>
        <w:t>Astfel, auditul relevă că IP la autogestiune raportează pentru anul 2022 bunuri imobile în valoare totală de 7.177,82 mil.lei (terenuri - 1.721,73 mil.lei, și clădiri</w:t>
      </w:r>
      <w:r w:rsidR="00721AC1">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 xml:space="preserve">– 5.456,09 mil.lei), </w:t>
      </w:r>
      <w:r w:rsidR="00CD09D8" w:rsidRPr="001C6DCE">
        <w:rPr>
          <w:rFonts w:asciiTheme="majorHAnsi" w:hAnsiTheme="majorHAnsi" w:cstheme="majorHAnsi"/>
          <w:sz w:val="24"/>
          <w:szCs w:val="24"/>
          <w:lang w:val="ro-RO"/>
        </w:rPr>
        <w:t>sau</w:t>
      </w:r>
      <w:r w:rsidRPr="001C6DCE">
        <w:rPr>
          <w:rFonts w:asciiTheme="majorHAnsi" w:hAnsiTheme="majorHAnsi" w:cstheme="majorHAnsi"/>
          <w:sz w:val="24"/>
          <w:szCs w:val="24"/>
          <w:lang w:val="ro-RO"/>
        </w:rPr>
        <w:t xml:space="preserve"> cu 1.503,40 mil.lei mai mult decât valoarea raportată de către MEC. </w:t>
      </w:r>
    </w:p>
    <w:p w14:paraId="6011FD75" w14:textId="353323BA" w:rsidR="00206871" w:rsidRPr="001C6DCE" w:rsidRDefault="005C3865" w:rsidP="008C4E63">
      <w:pPr>
        <w:spacing w:after="0" w:line="276" w:lineRule="auto"/>
        <w:jc w:val="both"/>
        <w:rPr>
          <w:rFonts w:asciiTheme="majorHAnsi" w:hAnsiTheme="majorHAnsi" w:cstheme="majorHAnsi"/>
          <w:sz w:val="24"/>
          <w:szCs w:val="24"/>
          <w:lang w:val="ro-RO"/>
        </w:rPr>
      </w:pPr>
      <w:r w:rsidRPr="001C6DCE">
        <w:rPr>
          <w:rFonts w:asciiTheme="majorHAnsi" w:hAnsiTheme="majorHAnsi" w:cstheme="majorHAnsi"/>
          <w:b/>
          <w:bCs/>
          <w:sz w:val="24"/>
          <w:szCs w:val="24"/>
          <w:lang w:val="ro-RO"/>
        </w:rPr>
        <w:t>3</w:t>
      </w:r>
      <w:r w:rsidR="003000B5" w:rsidRPr="001C6DCE">
        <w:rPr>
          <w:rFonts w:asciiTheme="majorHAnsi" w:hAnsiTheme="majorHAnsi" w:cstheme="majorHAnsi"/>
          <w:b/>
          <w:bCs/>
          <w:sz w:val="24"/>
          <w:szCs w:val="24"/>
          <w:lang w:val="ro-RO"/>
        </w:rPr>
        <w:t>.3.</w:t>
      </w:r>
      <w:r w:rsidR="003000B5" w:rsidRPr="001C6DCE">
        <w:rPr>
          <w:rFonts w:asciiTheme="majorHAnsi" w:hAnsiTheme="majorHAnsi" w:cstheme="majorHAnsi"/>
          <w:sz w:val="24"/>
          <w:szCs w:val="24"/>
          <w:lang w:val="ro-RO"/>
        </w:rPr>
        <w:t xml:space="preserve"> Cadrul normativ în vigoare nu reglementează condițiile juridice, organizatorice și economice de funcționare a instituțiilor publice la autogestiune care își desfășoară activitatea în baza patrimoniului public a</w:t>
      </w:r>
      <w:r w:rsidR="00CD09D8" w:rsidRPr="001C6DCE">
        <w:rPr>
          <w:rFonts w:asciiTheme="majorHAnsi" w:hAnsiTheme="majorHAnsi" w:cstheme="majorHAnsi"/>
          <w:sz w:val="24"/>
          <w:szCs w:val="24"/>
          <w:lang w:val="ro-RO"/>
        </w:rPr>
        <w:t>l</w:t>
      </w:r>
      <w:r w:rsidR="003000B5" w:rsidRPr="001C6DCE">
        <w:rPr>
          <w:rFonts w:asciiTheme="majorHAnsi" w:hAnsiTheme="majorHAnsi" w:cstheme="majorHAnsi"/>
          <w:sz w:val="24"/>
          <w:szCs w:val="24"/>
          <w:lang w:val="ro-RO"/>
        </w:rPr>
        <w:t xml:space="preserve"> statului transmis în gestiune sau proprietate, utilizează mijloace bănești alocate din bugetul de stat sub diferite forme (granturi curente, granturi capitale, etc.). </w:t>
      </w:r>
      <w:r w:rsidR="009D4247" w:rsidRPr="001C6DCE">
        <w:rPr>
          <w:rFonts w:asciiTheme="majorHAnsi" w:hAnsiTheme="majorHAnsi" w:cstheme="majorHAnsi"/>
          <w:sz w:val="24"/>
          <w:szCs w:val="24"/>
          <w:lang w:val="ro-RO"/>
        </w:rPr>
        <w:t xml:space="preserve">De menționat că ponderea finanțării primite de la buget în totalul veniturilor înregistrate </w:t>
      </w:r>
      <w:r w:rsidR="00CD09D8" w:rsidRPr="001C6DCE">
        <w:rPr>
          <w:rFonts w:asciiTheme="majorHAnsi" w:hAnsiTheme="majorHAnsi" w:cstheme="majorHAnsi"/>
          <w:sz w:val="24"/>
          <w:szCs w:val="24"/>
          <w:lang w:val="ro-RO"/>
        </w:rPr>
        <w:t>la</w:t>
      </w:r>
      <w:r w:rsidR="00721AC1">
        <w:rPr>
          <w:rFonts w:asciiTheme="majorHAnsi" w:hAnsiTheme="majorHAnsi" w:cstheme="majorHAnsi"/>
          <w:sz w:val="24"/>
          <w:szCs w:val="24"/>
          <w:lang w:val="ro-RO"/>
        </w:rPr>
        <w:t xml:space="preserve"> </w:t>
      </w:r>
      <w:r w:rsidR="009D4247" w:rsidRPr="001C6DCE">
        <w:rPr>
          <w:rFonts w:asciiTheme="majorHAnsi" w:hAnsiTheme="majorHAnsi" w:cstheme="majorHAnsi"/>
          <w:sz w:val="24"/>
          <w:szCs w:val="24"/>
          <w:lang w:val="ro-RO"/>
        </w:rPr>
        <w:t xml:space="preserve">instituțiile de învățământ profesional tehnic secundar variază de la 78% până la 99 %, iar la instituțiile de învățământ profesional tehnic postsecundar </w:t>
      </w:r>
      <w:r w:rsidR="00CD09D8" w:rsidRPr="001C6DCE">
        <w:rPr>
          <w:rFonts w:asciiTheme="majorHAnsi" w:hAnsiTheme="majorHAnsi" w:cstheme="majorHAnsi"/>
          <w:sz w:val="24"/>
          <w:szCs w:val="24"/>
          <w:lang w:val="ro-RO"/>
        </w:rPr>
        <w:t xml:space="preserve">- </w:t>
      </w:r>
      <w:r w:rsidR="009D4247" w:rsidRPr="001C6DCE">
        <w:rPr>
          <w:rFonts w:asciiTheme="majorHAnsi" w:hAnsiTheme="majorHAnsi" w:cstheme="majorHAnsi"/>
          <w:sz w:val="24"/>
          <w:szCs w:val="24"/>
          <w:lang w:val="ro-RO"/>
        </w:rPr>
        <w:t>de la 55 %</w:t>
      </w:r>
      <w:r w:rsidR="00711EF9" w:rsidRPr="001C6DCE">
        <w:rPr>
          <w:rFonts w:asciiTheme="majorHAnsi" w:hAnsiTheme="majorHAnsi" w:cstheme="majorHAnsi"/>
          <w:sz w:val="24"/>
          <w:szCs w:val="24"/>
          <w:lang w:val="ro-RO"/>
        </w:rPr>
        <w:t xml:space="preserve"> până </w:t>
      </w:r>
      <w:r w:rsidR="009D4247" w:rsidRPr="001C6DCE">
        <w:rPr>
          <w:rFonts w:asciiTheme="majorHAnsi" w:hAnsiTheme="majorHAnsi" w:cstheme="majorHAnsi"/>
          <w:sz w:val="24"/>
          <w:szCs w:val="24"/>
          <w:lang w:val="ro-RO"/>
        </w:rPr>
        <w:t xml:space="preserve">la 97 %, ceea ce denotă că </w:t>
      </w:r>
      <w:r w:rsidR="00875868" w:rsidRPr="001C6DCE">
        <w:rPr>
          <w:rFonts w:asciiTheme="majorHAnsi" w:hAnsiTheme="majorHAnsi" w:cstheme="majorHAnsi"/>
          <w:sz w:val="24"/>
          <w:szCs w:val="24"/>
          <w:lang w:val="ro-RO"/>
        </w:rPr>
        <w:t>majoritatea</w:t>
      </w:r>
      <w:r w:rsidR="009D4247" w:rsidRPr="001C6DCE">
        <w:rPr>
          <w:rFonts w:asciiTheme="majorHAnsi" w:hAnsiTheme="majorHAnsi" w:cstheme="majorHAnsi"/>
          <w:sz w:val="24"/>
          <w:szCs w:val="24"/>
          <w:lang w:val="ro-RO"/>
        </w:rPr>
        <w:t xml:space="preserve"> </w:t>
      </w:r>
      <w:r w:rsidR="00711EF9" w:rsidRPr="001C6DCE">
        <w:rPr>
          <w:rFonts w:asciiTheme="majorHAnsi" w:hAnsiTheme="majorHAnsi" w:cstheme="majorHAnsi"/>
          <w:sz w:val="24"/>
          <w:szCs w:val="24"/>
          <w:lang w:val="ro-RO"/>
        </w:rPr>
        <w:t xml:space="preserve">IP la autogestiune </w:t>
      </w:r>
      <w:r w:rsidR="009D4247" w:rsidRPr="001C6DCE">
        <w:rPr>
          <w:rFonts w:asciiTheme="majorHAnsi" w:hAnsiTheme="majorHAnsi" w:cstheme="majorHAnsi"/>
          <w:sz w:val="24"/>
          <w:szCs w:val="24"/>
          <w:lang w:val="ro-RO"/>
        </w:rPr>
        <w:t xml:space="preserve">nu au capacitatea de </w:t>
      </w:r>
      <w:r w:rsidR="00CD09D8" w:rsidRPr="001C6DCE">
        <w:rPr>
          <w:rFonts w:asciiTheme="majorHAnsi" w:hAnsiTheme="majorHAnsi" w:cstheme="majorHAnsi"/>
          <w:sz w:val="24"/>
          <w:szCs w:val="24"/>
          <w:lang w:val="ro-RO"/>
        </w:rPr>
        <w:t xml:space="preserve">a </w:t>
      </w:r>
      <w:r w:rsidR="009D4247" w:rsidRPr="001C6DCE">
        <w:rPr>
          <w:rFonts w:asciiTheme="majorHAnsi" w:hAnsiTheme="majorHAnsi" w:cstheme="majorHAnsi"/>
          <w:sz w:val="24"/>
          <w:szCs w:val="24"/>
          <w:lang w:val="ro-RO"/>
        </w:rPr>
        <w:t>activa în condiții</w:t>
      </w:r>
      <w:r w:rsidR="00711EF9" w:rsidRPr="001C6DCE">
        <w:rPr>
          <w:rFonts w:asciiTheme="majorHAnsi" w:hAnsiTheme="majorHAnsi" w:cstheme="majorHAnsi"/>
          <w:sz w:val="24"/>
          <w:szCs w:val="24"/>
          <w:lang w:val="ro-RO"/>
        </w:rPr>
        <w:t xml:space="preserve"> de autonomie financiară</w:t>
      </w:r>
      <w:r w:rsidR="009D4247" w:rsidRPr="001C6DCE">
        <w:rPr>
          <w:rFonts w:asciiTheme="majorHAnsi" w:hAnsiTheme="majorHAnsi" w:cstheme="majorHAnsi"/>
          <w:sz w:val="24"/>
          <w:szCs w:val="24"/>
          <w:lang w:val="ro-RO"/>
        </w:rPr>
        <w:t xml:space="preserve">. </w:t>
      </w:r>
    </w:p>
    <w:p w14:paraId="452F6FAC" w14:textId="05EE5896" w:rsidR="003000B5" w:rsidRPr="001C6DCE" w:rsidRDefault="003000B5" w:rsidP="008C4E63">
      <w:pPr>
        <w:spacing w:after="0" w:line="276" w:lineRule="auto"/>
        <w:jc w:val="both"/>
        <w:rPr>
          <w:rFonts w:asciiTheme="majorHAnsi" w:hAnsiTheme="majorHAnsi" w:cstheme="majorHAnsi"/>
          <w:sz w:val="24"/>
          <w:szCs w:val="24"/>
          <w:lang w:val="ro-RO"/>
        </w:rPr>
      </w:pPr>
      <w:r w:rsidRPr="001C6DCE">
        <w:rPr>
          <w:rFonts w:asciiTheme="majorHAnsi" w:hAnsiTheme="majorHAnsi" w:cstheme="majorHAnsi"/>
          <w:sz w:val="24"/>
          <w:szCs w:val="24"/>
          <w:lang w:val="ro-RO"/>
        </w:rPr>
        <w:t>Faptul că termenul de prezentare a situațiilor financiare pentru aceste IP, stabilit în cadrul normativ existent, este ulterior termenului de prezentare a rapoartelor anuale privind executarea bugetului de stat influențează veridicitatea datelor raportate de</w:t>
      </w:r>
      <w:r w:rsidR="00721AC1">
        <w:rPr>
          <w:rFonts w:asciiTheme="majorHAnsi" w:hAnsiTheme="majorHAnsi" w:cstheme="majorHAnsi"/>
          <w:sz w:val="24"/>
          <w:szCs w:val="24"/>
          <w:lang w:val="ro-RO"/>
        </w:rPr>
        <w:t xml:space="preserve"> </w:t>
      </w:r>
      <w:r w:rsidR="005F1CE2" w:rsidRPr="001C6DCE">
        <w:rPr>
          <w:rFonts w:asciiTheme="majorHAnsi" w:hAnsiTheme="majorHAnsi" w:cstheme="majorHAnsi"/>
          <w:sz w:val="24"/>
          <w:szCs w:val="24"/>
          <w:lang w:val="ro-RO"/>
        </w:rPr>
        <w:t>autoritățile publice centrale (</w:t>
      </w:r>
      <w:r w:rsidR="002B4296" w:rsidRPr="001C6DCE">
        <w:rPr>
          <w:rFonts w:asciiTheme="majorHAnsi" w:hAnsiTheme="majorHAnsi" w:cstheme="majorHAnsi"/>
          <w:sz w:val="24"/>
          <w:szCs w:val="24"/>
          <w:lang w:val="ro-RO"/>
        </w:rPr>
        <w:t>APC</w:t>
      </w:r>
      <w:r w:rsidR="005F1CE2" w:rsidRPr="001C6DCE">
        <w:rPr>
          <w:rFonts w:asciiTheme="majorHAnsi" w:hAnsiTheme="majorHAnsi" w:cstheme="majorHAnsi"/>
          <w:sz w:val="24"/>
          <w:szCs w:val="24"/>
          <w:lang w:val="ro-RO"/>
        </w:rPr>
        <w:t>)</w:t>
      </w:r>
      <w:r w:rsidR="002B4296" w:rsidRPr="001C6DCE">
        <w:rPr>
          <w:rFonts w:asciiTheme="majorHAnsi" w:hAnsiTheme="majorHAnsi" w:cstheme="majorHAnsi"/>
          <w:sz w:val="24"/>
          <w:szCs w:val="24"/>
          <w:lang w:val="ro-RO"/>
        </w:rPr>
        <w:t xml:space="preserve"> către </w:t>
      </w:r>
      <w:r w:rsidRPr="001C6DCE">
        <w:rPr>
          <w:rFonts w:asciiTheme="majorHAnsi" w:hAnsiTheme="majorHAnsi" w:cstheme="majorHAnsi"/>
          <w:sz w:val="24"/>
          <w:szCs w:val="24"/>
          <w:lang w:val="ro-RO"/>
        </w:rPr>
        <w:t>M</w:t>
      </w:r>
      <w:r w:rsidR="00ED795C" w:rsidRPr="001C6DCE">
        <w:rPr>
          <w:rFonts w:asciiTheme="majorHAnsi" w:hAnsiTheme="majorHAnsi" w:cstheme="majorHAnsi"/>
          <w:sz w:val="24"/>
          <w:szCs w:val="24"/>
          <w:lang w:val="ro-RO"/>
        </w:rPr>
        <w:t xml:space="preserve">inisterul </w:t>
      </w:r>
      <w:r w:rsidRPr="001C6DCE">
        <w:rPr>
          <w:rFonts w:asciiTheme="majorHAnsi" w:hAnsiTheme="majorHAnsi" w:cstheme="majorHAnsi"/>
          <w:sz w:val="24"/>
          <w:szCs w:val="24"/>
          <w:lang w:val="ro-RO"/>
        </w:rPr>
        <w:t>F</w:t>
      </w:r>
      <w:r w:rsidR="00ED795C" w:rsidRPr="001C6DCE">
        <w:rPr>
          <w:rFonts w:asciiTheme="majorHAnsi" w:hAnsiTheme="majorHAnsi" w:cstheme="majorHAnsi"/>
          <w:sz w:val="24"/>
          <w:szCs w:val="24"/>
          <w:lang w:val="ro-RO"/>
        </w:rPr>
        <w:t>inanțelor</w:t>
      </w:r>
      <w:r w:rsidRPr="001C6DCE">
        <w:rPr>
          <w:rFonts w:asciiTheme="majorHAnsi" w:hAnsiTheme="majorHAnsi" w:cstheme="majorHAnsi"/>
          <w:sz w:val="24"/>
          <w:szCs w:val="24"/>
          <w:lang w:val="ro-RO"/>
        </w:rPr>
        <w:t>.</w:t>
      </w:r>
    </w:p>
    <w:p w14:paraId="47DC01EF" w14:textId="58D533CA" w:rsidR="003000B5" w:rsidRPr="001C6DCE" w:rsidRDefault="003000B5" w:rsidP="001B2007">
      <w:pPr>
        <w:spacing w:after="0" w:line="276" w:lineRule="auto"/>
        <w:jc w:val="both"/>
        <w:rPr>
          <w:rFonts w:asciiTheme="majorHAnsi" w:hAnsiTheme="majorHAnsi" w:cstheme="majorHAnsi"/>
          <w:sz w:val="24"/>
          <w:szCs w:val="24"/>
          <w:lang w:val="ro-RO"/>
        </w:rPr>
      </w:pPr>
      <w:r w:rsidRPr="001C6DCE">
        <w:rPr>
          <w:rFonts w:asciiTheme="majorHAnsi" w:hAnsiTheme="majorHAnsi" w:cstheme="majorHAnsi"/>
          <w:sz w:val="24"/>
          <w:szCs w:val="24"/>
          <w:lang w:val="ro-RO"/>
        </w:rPr>
        <w:t xml:space="preserve">Raportarea neuniformă a valorii patrimoniului public din domeniul public în </w:t>
      </w:r>
      <w:r w:rsidR="00CB16BC" w:rsidRPr="001C6DCE">
        <w:rPr>
          <w:rFonts w:asciiTheme="majorHAnsi" w:hAnsiTheme="majorHAnsi" w:cstheme="majorHAnsi"/>
          <w:sz w:val="24"/>
          <w:szCs w:val="24"/>
          <w:lang w:val="ro-RO"/>
        </w:rPr>
        <w:t xml:space="preserve">rapoartele financiare ale ministerelor și </w:t>
      </w:r>
      <w:r w:rsidR="00533DA2" w:rsidRPr="001C6DCE">
        <w:rPr>
          <w:rFonts w:asciiTheme="majorHAnsi" w:hAnsiTheme="majorHAnsi" w:cstheme="majorHAnsi"/>
          <w:sz w:val="24"/>
          <w:szCs w:val="24"/>
          <w:lang w:val="ro-RO"/>
        </w:rPr>
        <w:t xml:space="preserve">în </w:t>
      </w:r>
      <w:r w:rsidRPr="001C6DCE">
        <w:rPr>
          <w:rFonts w:asciiTheme="majorHAnsi" w:hAnsiTheme="majorHAnsi" w:cstheme="majorHAnsi"/>
          <w:sz w:val="24"/>
          <w:szCs w:val="24"/>
          <w:lang w:val="ro-RO"/>
        </w:rPr>
        <w:t>situațiile financiare a</w:t>
      </w:r>
      <w:r w:rsidR="00533DA2" w:rsidRPr="001C6DCE">
        <w:rPr>
          <w:rFonts w:asciiTheme="majorHAnsi" w:hAnsiTheme="majorHAnsi" w:cstheme="majorHAnsi"/>
          <w:sz w:val="24"/>
          <w:szCs w:val="24"/>
          <w:lang w:val="ro-RO"/>
        </w:rPr>
        <w:t>le</w:t>
      </w:r>
      <w:r w:rsidRPr="001C6DCE">
        <w:rPr>
          <w:rFonts w:asciiTheme="majorHAnsi" w:hAnsiTheme="majorHAnsi" w:cstheme="majorHAnsi"/>
          <w:sz w:val="24"/>
          <w:szCs w:val="24"/>
          <w:lang w:val="ro-RO"/>
        </w:rPr>
        <w:t xml:space="preserve"> instituțiilor publice la autogestiune influențează asupra caracteristicilor calitative fundamentale și celor amplificatoare ale informațiilor financiare. </w:t>
      </w:r>
    </w:p>
    <w:p w14:paraId="5E430F9B" w14:textId="1703C5B5" w:rsidR="003000B5" w:rsidRPr="001C6DCE" w:rsidRDefault="003000B5" w:rsidP="001B2007">
      <w:pPr>
        <w:spacing w:after="0" w:line="276" w:lineRule="auto"/>
        <w:jc w:val="both"/>
        <w:rPr>
          <w:rFonts w:asciiTheme="majorHAnsi" w:hAnsiTheme="majorHAnsi" w:cstheme="majorHAnsi"/>
          <w:sz w:val="24"/>
          <w:szCs w:val="24"/>
          <w:lang w:val="ro-RO"/>
        </w:rPr>
      </w:pPr>
      <w:r w:rsidRPr="001C6DCE">
        <w:rPr>
          <w:rFonts w:asciiTheme="majorHAnsi" w:hAnsiTheme="majorHAnsi" w:cstheme="majorHAnsi"/>
          <w:sz w:val="24"/>
          <w:szCs w:val="24"/>
          <w:lang w:val="ro-RO"/>
        </w:rPr>
        <w:t xml:space="preserve"> Astfel, valoarea bunurilor transmise în gestiune economică și cu drept de proprietate un</w:t>
      </w:r>
      <w:r w:rsidR="00ED795C" w:rsidRPr="001C6DCE">
        <w:rPr>
          <w:rFonts w:asciiTheme="majorHAnsi" w:hAnsiTheme="majorHAnsi" w:cstheme="majorHAnsi"/>
          <w:sz w:val="24"/>
          <w:szCs w:val="24"/>
          <w:lang w:val="ro-RO"/>
        </w:rPr>
        <w:t>or</w:t>
      </w:r>
      <w:r w:rsidR="00721AC1">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instituții de învățământ a fost înregistrat</w:t>
      </w:r>
      <w:r w:rsidR="00ED795C" w:rsidRPr="001C6DCE">
        <w:rPr>
          <w:rFonts w:asciiTheme="majorHAnsi" w:hAnsiTheme="majorHAnsi" w:cstheme="majorHAnsi"/>
          <w:sz w:val="24"/>
          <w:szCs w:val="24"/>
          <w:lang w:val="ro-RO"/>
        </w:rPr>
        <w:t>ă</w:t>
      </w:r>
      <w:r w:rsidRPr="001C6DCE">
        <w:rPr>
          <w:rFonts w:asciiTheme="majorHAnsi" w:hAnsiTheme="majorHAnsi" w:cstheme="majorHAnsi"/>
          <w:sz w:val="24"/>
          <w:szCs w:val="24"/>
          <w:lang w:val="ro-RO"/>
        </w:rPr>
        <w:t xml:space="preserve"> la Ministerul Justiției </w:t>
      </w:r>
      <w:r w:rsidR="00533DA2" w:rsidRPr="001C6DCE">
        <w:rPr>
          <w:rFonts w:asciiTheme="majorHAnsi" w:hAnsiTheme="majorHAnsi" w:cstheme="majorHAnsi"/>
          <w:sz w:val="24"/>
          <w:szCs w:val="24"/>
          <w:lang w:val="ro-RO"/>
        </w:rPr>
        <w:t>drept</w:t>
      </w:r>
      <w:r w:rsidRPr="001C6DCE">
        <w:rPr>
          <w:rFonts w:asciiTheme="majorHAnsi" w:hAnsiTheme="majorHAnsi" w:cstheme="majorHAnsi"/>
          <w:sz w:val="24"/>
          <w:szCs w:val="24"/>
          <w:lang w:val="ro-RO"/>
        </w:rPr>
        <w:t xml:space="preserve"> cota statului în capitalul social, </w:t>
      </w:r>
      <w:r w:rsidR="00533DA2" w:rsidRPr="001C6DCE">
        <w:rPr>
          <w:rFonts w:asciiTheme="majorHAnsi" w:hAnsiTheme="majorHAnsi" w:cstheme="majorHAnsi"/>
          <w:sz w:val="24"/>
          <w:szCs w:val="24"/>
          <w:lang w:val="ro-RO"/>
        </w:rPr>
        <w:t>precum și</w:t>
      </w:r>
      <w:r w:rsidR="00ED795C" w:rsidRPr="001C6DCE">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în evidența contabilă la diferite conturi. Drept urmare, situațiile financiare ale instituțiilor publice de învățământ la autogestiune</w:t>
      </w:r>
      <w:r w:rsidR="0079734A"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prezentate la Biroul Național de Statistică,</w:t>
      </w:r>
      <w:r w:rsidR="00721AC1">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nu prezintă o</w:t>
      </w:r>
      <w:r w:rsidR="00721AC1">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imagine</w:t>
      </w:r>
      <w:r w:rsidR="00721AC1">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fidelă și nu asigură comparabilitatea datelor.</w:t>
      </w:r>
    </w:p>
    <w:p w14:paraId="4C5C2C49" w14:textId="602EE439" w:rsidR="009834D6" w:rsidRPr="001C6DCE" w:rsidRDefault="003000B5" w:rsidP="001B2007">
      <w:pPr>
        <w:spacing w:after="0" w:line="276" w:lineRule="auto"/>
        <w:jc w:val="both"/>
        <w:rPr>
          <w:rFonts w:cs="Times New Roman"/>
          <w:sz w:val="24"/>
          <w:szCs w:val="24"/>
        </w:rPr>
      </w:pPr>
      <w:r w:rsidRPr="001C6DCE">
        <w:rPr>
          <w:rFonts w:asciiTheme="majorHAnsi" w:hAnsiTheme="majorHAnsi" w:cstheme="majorHAnsi"/>
          <w:sz w:val="24"/>
          <w:szCs w:val="24"/>
          <w:lang w:val="ro-RO"/>
        </w:rPr>
        <w:t xml:space="preserve">În rezultatul generalizării informațiilor din situațiile financiare, </w:t>
      </w:r>
      <w:r w:rsidR="0079734A" w:rsidRPr="001C6DCE">
        <w:rPr>
          <w:rFonts w:asciiTheme="majorHAnsi" w:hAnsiTheme="majorHAnsi" w:cstheme="majorHAnsi"/>
          <w:sz w:val="24"/>
          <w:szCs w:val="24"/>
          <w:lang w:val="ro-RO"/>
        </w:rPr>
        <w:t xml:space="preserve">în ce </w:t>
      </w:r>
      <w:r w:rsidRPr="001C6DCE">
        <w:rPr>
          <w:rFonts w:asciiTheme="majorHAnsi" w:hAnsiTheme="majorHAnsi" w:cstheme="majorHAnsi"/>
          <w:sz w:val="24"/>
          <w:szCs w:val="24"/>
          <w:lang w:val="ro-RO"/>
        </w:rPr>
        <w:t>priv</w:t>
      </w:r>
      <w:r w:rsidR="0079734A" w:rsidRPr="001C6DCE">
        <w:rPr>
          <w:rFonts w:asciiTheme="majorHAnsi" w:hAnsiTheme="majorHAnsi" w:cstheme="majorHAnsi"/>
          <w:sz w:val="24"/>
          <w:szCs w:val="24"/>
          <w:lang w:val="ro-RO"/>
        </w:rPr>
        <w:t>ește</w:t>
      </w:r>
      <w:r w:rsidRPr="001C6DCE">
        <w:rPr>
          <w:rFonts w:asciiTheme="majorHAnsi" w:hAnsiTheme="majorHAnsi" w:cstheme="majorHAnsi"/>
          <w:sz w:val="24"/>
          <w:szCs w:val="24"/>
          <w:lang w:val="ro-RO"/>
        </w:rPr>
        <w:t xml:space="preserve"> raportarea valorii bunurilor transmise în gestiune economică și cu drept de proprietate, auditul a constatat că la 7 Universități </w:t>
      </w:r>
      <w:r w:rsidR="001B2007" w:rsidRPr="001C6DCE">
        <w:rPr>
          <w:rStyle w:val="a5"/>
          <w:rFonts w:asciiTheme="majorHAnsi" w:hAnsiTheme="majorHAnsi" w:cstheme="majorHAnsi"/>
          <w:sz w:val="24"/>
          <w:szCs w:val="24"/>
          <w:shd w:val="clear" w:color="auto" w:fill="FFFFFF"/>
        </w:rPr>
        <w:footnoteReference w:id="11"/>
      </w:r>
      <w:r w:rsidR="001B2007" w:rsidRPr="001C6DCE">
        <w:rPr>
          <w:rFonts w:asciiTheme="majorHAnsi" w:hAnsiTheme="majorHAnsi" w:cstheme="majorHAnsi"/>
          <w:sz w:val="24"/>
          <w:szCs w:val="24"/>
          <w:shd w:val="clear" w:color="auto" w:fill="FFFFFF"/>
        </w:rPr>
        <w:t xml:space="preserve"> </w:t>
      </w:r>
      <w:r w:rsidRPr="001C6DCE">
        <w:rPr>
          <w:rFonts w:asciiTheme="majorHAnsi" w:hAnsiTheme="majorHAnsi" w:cstheme="majorHAnsi"/>
          <w:sz w:val="24"/>
          <w:szCs w:val="24"/>
          <w:lang w:val="ro-RO"/>
        </w:rPr>
        <w:t xml:space="preserve">evidența patrimoniului este reflectată la contul 311 „Capital </w:t>
      </w:r>
      <w:r w:rsidR="0079734A" w:rsidRPr="001C6DCE">
        <w:rPr>
          <w:rFonts w:asciiTheme="majorHAnsi" w:hAnsiTheme="majorHAnsi" w:cstheme="majorHAnsi"/>
          <w:sz w:val="24"/>
          <w:szCs w:val="24"/>
          <w:lang w:val="ro-RO"/>
        </w:rPr>
        <w:t>s</w:t>
      </w:r>
      <w:r w:rsidRPr="001C6DCE">
        <w:rPr>
          <w:rFonts w:asciiTheme="majorHAnsi" w:hAnsiTheme="majorHAnsi" w:cstheme="majorHAnsi"/>
          <w:sz w:val="24"/>
          <w:szCs w:val="24"/>
          <w:lang w:val="ro-RO"/>
        </w:rPr>
        <w:t>ocial”, la alte 3 instituții de învățământ superior</w:t>
      </w:r>
      <w:r w:rsidR="001B2007" w:rsidRPr="001C6DCE">
        <w:rPr>
          <w:rStyle w:val="a5"/>
          <w:rFonts w:asciiTheme="majorHAnsi" w:hAnsiTheme="majorHAnsi" w:cstheme="majorHAnsi"/>
          <w:sz w:val="24"/>
          <w:szCs w:val="24"/>
          <w:shd w:val="clear" w:color="auto" w:fill="FFFFFF"/>
        </w:rPr>
        <w:t xml:space="preserve"> </w:t>
      </w:r>
      <w:r w:rsidR="001B2007" w:rsidRPr="001C6DCE">
        <w:rPr>
          <w:rStyle w:val="a5"/>
          <w:rFonts w:asciiTheme="majorHAnsi" w:hAnsiTheme="majorHAnsi" w:cstheme="majorHAnsi"/>
          <w:sz w:val="24"/>
          <w:szCs w:val="24"/>
          <w:shd w:val="clear" w:color="auto" w:fill="FFFFFF"/>
        </w:rPr>
        <w:footnoteReference w:id="12"/>
      </w:r>
      <w:r w:rsidR="001B2007" w:rsidRPr="001C6DCE">
        <w:rPr>
          <w:rFonts w:cs="Times New Roman"/>
          <w:sz w:val="24"/>
          <w:szCs w:val="24"/>
        </w:rPr>
        <w:t xml:space="preserve"> </w:t>
      </w:r>
      <w:r w:rsidR="0079734A" w:rsidRPr="001C6DCE">
        <w:rPr>
          <w:rFonts w:cs="Times New Roman"/>
          <w:sz w:val="24"/>
          <w:szCs w:val="24"/>
        </w:rPr>
        <w:t>-</w:t>
      </w:r>
      <w:r w:rsidR="00721AC1">
        <w:rPr>
          <w:rFonts w:cs="Times New Roman"/>
          <w:sz w:val="24"/>
          <w:szCs w:val="24"/>
        </w:rPr>
        <w:t xml:space="preserve"> </w:t>
      </w:r>
      <w:r w:rsidRPr="001C6DCE">
        <w:rPr>
          <w:rFonts w:asciiTheme="majorHAnsi" w:hAnsiTheme="majorHAnsi" w:cstheme="majorHAnsi"/>
          <w:sz w:val="24"/>
          <w:szCs w:val="24"/>
          <w:lang w:val="ro-RO"/>
        </w:rPr>
        <w:t>o parte din patrimoniu este reflectată la contul 314 „Capital neînregistrat”,</w:t>
      </w:r>
      <w:r w:rsidR="00721AC1">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la 3 Universități</w:t>
      </w:r>
      <w:r w:rsidR="001B2007" w:rsidRPr="001C6DCE">
        <w:rPr>
          <w:rStyle w:val="a5"/>
          <w:rFonts w:asciiTheme="majorHAnsi" w:hAnsiTheme="majorHAnsi" w:cstheme="majorHAnsi"/>
          <w:sz w:val="24"/>
          <w:szCs w:val="24"/>
          <w:shd w:val="clear" w:color="auto" w:fill="FFFFFF"/>
        </w:rPr>
        <w:t xml:space="preserve"> </w:t>
      </w:r>
      <w:r w:rsidR="001B2007" w:rsidRPr="001C6DCE">
        <w:rPr>
          <w:rStyle w:val="a5"/>
          <w:rFonts w:asciiTheme="majorHAnsi" w:hAnsiTheme="majorHAnsi" w:cstheme="majorHAnsi"/>
          <w:sz w:val="24"/>
          <w:szCs w:val="24"/>
          <w:shd w:val="clear" w:color="auto" w:fill="FFFFFF"/>
        </w:rPr>
        <w:footnoteReference w:id="13"/>
      </w:r>
      <w:r w:rsidR="00721AC1">
        <w:rPr>
          <w:rFonts w:asciiTheme="majorHAnsi" w:hAnsiTheme="majorHAnsi" w:cstheme="majorHAnsi"/>
          <w:sz w:val="24"/>
          <w:szCs w:val="24"/>
          <w:shd w:val="clear" w:color="auto" w:fill="FFFFFF"/>
        </w:rPr>
        <w:t xml:space="preserve"> </w:t>
      </w:r>
      <w:r w:rsidR="0079734A" w:rsidRPr="001C6DCE">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 xml:space="preserve">patrimoniul este înregistrat la </w:t>
      </w:r>
      <w:r w:rsidR="0079734A" w:rsidRPr="001C6DCE">
        <w:rPr>
          <w:rFonts w:asciiTheme="majorHAnsi" w:hAnsiTheme="majorHAnsi" w:cstheme="majorHAnsi"/>
          <w:sz w:val="24"/>
          <w:szCs w:val="24"/>
          <w:lang w:val="ro-RO"/>
        </w:rPr>
        <w:t xml:space="preserve">contul </w:t>
      </w:r>
      <w:r w:rsidRPr="001C6DCE">
        <w:rPr>
          <w:rFonts w:asciiTheme="majorHAnsi" w:hAnsiTheme="majorHAnsi" w:cstheme="majorHAnsi"/>
          <w:sz w:val="24"/>
          <w:szCs w:val="24"/>
          <w:lang w:val="ro-RO"/>
        </w:rPr>
        <w:t xml:space="preserve">316 „Patrimoniul primit de la stat cu drept de proprietate”, </w:t>
      </w:r>
      <w:r w:rsidR="006210A0" w:rsidRPr="001C6DCE">
        <w:rPr>
          <w:rFonts w:asciiTheme="majorHAnsi" w:hAnsiTheme="majorHAnsi" w:cstheme="majorHAnsi"/>
          <w:sz w:val="24"/>
          <w:szCs w:val="24"/>
          <w:lang w:val="ro-RO"/>
        </w:rPr>
        <w:t>la U</w:t>
      </w:r>
      <w:r w:rsidR="00157C16" w:rsidRPr="001C6DCE">
        <w:rPr>
          <w:rFonts w:asciiTheme="majorHAnsi" w:hAnsiTheme="majorHAnsi" w:cstheme="majorHAnsi"/>
          <w:sz w:val="24"/>
          <w:szCs w:val="24"/>
          <w:lang w:val="ro-RO"/>
        </w:rPr>
        <w:t xml:space="preserve">niversitatea de </w:t>
      </w:r>
      <w:r w:rsidR="006210A0" w:rsidRPr="001C6DCE">
        <w:rPr>
          <w:rFonts w:asciiTheme="majorHAnsi" w:hAnsiTheme="majorHAnsi" w:cstheme="majorHAnsi"/>
          <w:sz w:val="24"/>
          <w:szCs w:val="24"/>
          <w:lang w:val="ro-RO"/>
        </w:rPr>
        <w:t>S</w:t>
      </w:r>
      <w:r w:rsidR="00157C16" w:rsidRPr="001C6DCE">
        <w:rPr>
          <w:rFonts w:asciiTheme="majorHAnsi" w:hAnsiTheme="majorHAnsi" w:cstheme="majorHAnsi"/>
          <w:sz w:val="24"/>
          <w:szCs w:val="24"/>
          <w:lang w:val="ro-RO"/>
        </w:rPr>
        <w:t>tat „Alecu Russo”</w:t>
      </w:r>
      <w:r w:rsidR="006210A0" w:rsidRPr="001C6DCE">
        <w:rPr>
          <w:rFonts w:asciiTheme="majorHAnsi" w:hAnsiTheme="majorHAnsi" w:cstheme="majorHAnsi"/>
          <w:sz w:val="24"/>
          <w:szCs w:val="24"/>
          <w:lang w:val="ro-RO"/>
        </w:rPr>
        <w:t xml:space="preserve"> din Bălți </w:t>
      </w:r>
      <w:r w:rsidR="0079734A" w:rsidRPr="001C6DCE">
        <w:rPr>
          <w:rFonts w:asciiTheme="majorHAnsi" w:hAnsiTheme="majorHAnsi" w:cstheme="majorHAnsi"/>
          <w:sz w:val="24"/>
          <w:szCs w:val="24"/>
          <w:lang w:val="ro-RO"/>
        </w:rPr>
        <w:t xml:space="preserve">- </w:t>
      </w:r>
      <w:r w:rsidR="006210A0" w:rsidRPr="001C6DCE">
        <w:rPr>
          <w:rFonts w:asciiTheme="majorHAnsi" w:hAnsiTheme="majorHAnsi" w:cstheme="majorHAnsi"/>
          <w:sz w:val="24"/>
          <w:szCs w:val="24"/>
          <w:lang w:val="ro-RO"/>
        </w:rPr>
        <w:t>este înregistrat</w:t>
      </w:r>
      <w:r w:rsidR="0079734A" w:rsidRPr="001C6DCE">
        <w:rPr>
          <w:rFonts w:asciiTheme="majorHAnsi" w:hAnsiTheme="majorHAnsi" w:cstheme="majorHAnsi"/>
          <w:sz w:val="24"/>
          <w:szCs w:val="24"/>
          <w:lang w:val="ro-RO"/>
        </w:rPr>
        <w:t>ă</w:t>
      </w:r>
      <w:r w:rsidR="006210A0" w:rsidRPr="001C6DCE">
        <w:rPr>
          <w:rFonts w:asciiTheme="majorHAnsi" w:hAnsiTheme="majorHAnsi" w:cstheme="majorHAnsi"/>
          <w:sz w:val="24"/>
          <w:szCs w:val="24"/>
          <w:lang w:val="ro-RO"/>
        </w:rPr>
        <w:t xml:space="preserve"> cu semnul minus suma de 16,70 mil.lei la contul 313 „Capital nevărsat”, iar la U</w:t>
      </w:r>
      <w:r w:rsidR="00157C16" w:rsidRPr="001C6DCE">
        <w:rPr>
          <w:rFonts w:asciiTheme="majorHAnsi" w:hAnsiTheme="majorHAnsi" w:cstheme="majorHAnsi"/>
          <w:sz w:val="24"/>
          <w:szCs w:val="24"/>
          <w:lang w:val="ro-RO"/>
        </w:rPr>
        <w:t xml:space="preserve">niversitatea </w:t>
      </w:r>
      <w:r w:rsidR="006210A0" w:rsidRPr="001C6DCE">
        <w:rPr>
          <w:rFonts w:asciiTheme="majorHAnsi" w:hAnsiTheme="majorHAnsi" w:cstheme="majorHAnsi"/>
          <w:sz w:val="24"/>
          <w:szCs w:val="24"/>
          <w:lang w:val="ro-RO"/>
        </w:rPr>
        <w:t>T</w:t>
      </w:r>
      <w:r w:rsidR="00157C16" w:rsidRPr="001C6DCE">
        <w:rPr>
          <w:rFonts w:asciiTheme="majorHAnsi" w:hAnsiTheme="majorHAnsi" w:cstheme="majorHAnsi"/>
          <w:sz w:val="24"/>
          <w:szCs w:val="24"/>
          <w:lang w:val="ro-RO"/>
        </w:rPr>
        <w:t xml:space="preserve">ehnică a </w:t>
      </w:r>
      <w:r w:rsidR="006210A0" w:rsidRPr="001C6DCE">
        <w:rPr>
          <w:rFonts w:asciiTheme="majorHAnsi" w:hAnsiTheme="majorHAnsi" w:cstheme="majorHAnsi"/>
          <w:sz w:val="24"/>
          <w:szCs w:val="24"/>
          <w:lang w:val="ro-RO"/>
        </w:rPr>
        <w:t>M</w:t>
      </w:r>
      <w:r w:rsidR="00157C16" w:rsidRPr="001C6DCE">
        <w:rPr>
          <w:rFonts w:asciiTheme="majorHAnsi" w:hAnsiTheme="majorHAnsi" w:cstheme="majorHAnsi"/>
          <w:sz w:val="24"/>
          <w:szCs w:val="24"/>
          <w:lang w:val="ro-RO"/>
        </w:rPr>
        <w:t>oldovei</w:t>
      </w:r>
      <w:r w:rsidR="0079734A" w:rsidRPr="001C6DCE">
        <w:rPr>
          <w:rFonts w:asciiTheme="majorHAnsi" w:hAnsiTheme="majorHAnsi" w:cstheme="majorHAnsi"/>
          <w:sz w:val="24"/>
          <w:szCs w:val="24"/>
          <w:lang w:val="ro-RO"/>
        </w:rPr>
        <w:t xml:space="preserve"> -</w:t>
      </w:r>
      <w:r w:rsidR="006210A0" w:rsidRPr="001C6DCE">
        <w:rPr>
          <w:rFonts w:asciiTheme="majorHAnsi" w:hAnsiTheme="majorHAnsi" w:cstheme="majorHAnsi"/>
          <w:sz w:val="24"/>
          <w:szCs w:val="24"/>
          <w:lang w:val="ro-RO"/>
        </w:rPr>
        <w:t xml:space="preserve"> reevaluarea terenurilor este reflectată în situația financiară pentru anul 2022</w:t>
      </w:r>
      <w:r w:rsidR="0079734A" w:rsidRPr="001C6DCE">
        <w:rPr>
          <w:rFonts w:asciiTheme="majorHAnsi" w:hAnsiTheme="majorHAnsi" w:cstheme="majorHAnsi"/>
          <w:sz w:val="24"/>
          <w:szCs w:val="24"/>
          <w:lang w:val="ro-RO"/>
        </w:rPr>
        <w:t>,</w:t>
      </w:r>
      <w:r w:rsidR="006210A0" w:rsidRPr="001C6DCE">
        <w:rPr>
          <w:rFonts w:asciiTheme="majorHAnsi" w:hAnsiTheme="majorHAnsi" w:cstheme="majorHAnsi"/>
          <w:sz w:val="24"/>
          <w:szCs w:val="24"/>
          <w:lang w:val="ro-RO"/>
        </w:rPr>
        <w:t xml:space="preserve"> la contul 423 „Avansuri primite pe termen lung”, </w:t>
      </w:r>
      <w:r w:rsidRPr="001C6DCE">
        <w:rPr>
          <w:rFonts w:asciiTheme="majorHAnsi" w:hAnsiTheme="majorHAnsi" w:cstheme="majorHAnsi"/>
          <w:sz w:val="24"/>
          <w:szCs w:val="24"/>
          <w:lang w:val="ro-RO"/>
        </w:rPr>
        <w:t xml:space="preserve">la Colegiul „Alexei Mateevici” din Chișinău </w:t>
      </w:r>
      <w:r w:rsidR="0079734A"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reflectat la contul 536</w:t>
      </w:r>
      <w:r w:rsidR="00721AC1">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 xml:space="preserve">„Datorii față de proprietari”, la Colegiul de Ecologie din Chișinău </w:t>
      </w:r>
      <w:r w:rsidR="0079734A" w:rsidRPr="001C6DCE">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nu e</w:t>
      </w:r>
      <w:r w:rsidR="00277AF2" w:rsidRPr="001C6DCE">
        <w:rPr>
          <w:rFonts w:asciiTheme="majorHAnsi" w:hAnsiTheme="majorHAnsi" w:cstheme="majorHAnsi"/>
          <w:sz w:val="24"/>
          <w:szCs w:val="24"/>
          <w:lang w:val="ro-RO"/>
        </w:rPr>
        <w:t>ste</w:t>
      </w:r>
      <w:r w:rsidRPr="001C6DCE">
        <w:rPr>
          <w:rFonts w:asciiTheme="majorHAnsi" w:hAnsiTheme="majorHAnsi" w:cstheme="majorHAnsi"/>
          <w:sz w:val="24"/>
          <w:szCs w:val="24"/>
          <w:lang w:val="ro-RO"/>
        </w:rPr>
        <w:t xml:space="preserve"> înregistrată datoria față de fondator privind patrimoniul primit.</w:t>
      </w:r>
    </w:p>
    <w:p w14:paraId="071BBD72" w14:textId="77777777" w:rsidR="00131197" w:rsidRPr="001C6DCE" w:rsidRDefault="00131197" w:rsidP="008C4E63">
      <w:pPr>
        <w:tabs>
          <w:tab w:val="left" w:pos="720"/>
        </w:tabs>
        <w:spacing w:before="240" w:after="0" w:line="276" w:lineRule="auto"/>
        <w:jc w:val="both"/>
        <w:rPr>
          <w:rFonts w:asciiTheme="majorHAnsi" w:hAnsiTheme="majorHAnsi" w:cstheme="majorHAnsi"/>
          <w:b/>
          <w:bCs/>
          <w:sz w:val="24"/>
          <w:szCs w:val="24"/>
          <w:lang w:val="ro-RO"/>
        </w:rPr>
      </w:pPr>
      <w:r w:rsidRPr="001C6DCE">
        <w:rPr>
          <w:rFonts w:asciiTheme="majorHAnsi" w:hAnsiTheme="majorHAnsi" w:cstheme="majorHAnsi"/>
          <w:b/>
          <w:bCs/>
          <w:sz w:val="24"/>
          <w:szCs w:val="24"/>
          <w:lang w:val="ro-RO"/>
        </w:rPr>
        <w:t>IV. ASPECTE-CHEIE DE AUDIT</w:t>
      </w:r>
    </w:p>
    <w:p w14:paraId="4E3F787C" w14:textId="5A25431F" w:rsidR="009834D6" w:rsidRPr="001C6DCE" w:rsidRDefault="009834D6" w:rsidP="008C4E63">
      <w:pPr>
        <w:spacing w:line="276" w:lineRule="auto"/>
        <w:jc w:val="both"/>
        <w:rPr>
          <w:rFonts w:asciiTheme="majorHAnsi" w:hAnsiTheme="majorHAnsi" w:cstheme="majorHAnsi"/>
          <w:sz w:val="24"/>
          <w:szCs w:val="24"/>
          <w:lang w:val="ro-RO"/>
        </w:rPr>
      </w:pPr>
      <w:r w:rsidRPr="001C6DCE">
        <w:rPr>
          <w:rFonts w:asciiTheme="majorHAnsi" w:hAnsiTheme="majorHAnsi" w:cstheme="majorHAnsi"/>
          <w:sz w:val="24"/>
          <w:szCs w:val="24"/>
          <w:lang w:val="ro-RO"/>
        </w:rPr>
        <w:t xml:space="preserve">Aspectele-cheie de audit sunt acele aspecte care, în baza raționamentului nostru profesional, au avut cea mai mare importanță pentru auditul rapoartelor financiare ale Ministerului Educației și </w:t>
      </w:r>
      <w:r w:rsidR="00A62BFE" w:rsidRPr="001C6DCE">
        <w:rPr>
          <w:rFonts w:asciiTheme="majorHAnsi" w:hAnsiTheme="majorHAnsi" w:cstheme="majorHAnsi"/>
          <w:sz w:val="24"/>
          <w:szCs w:val="24"/>
          <w:lang w:val="ro-RO"/>
        </w:rPr>
        <w:t>C</w:t>
      </w:r>
      <w:r w:rsidRPr="001C6DCE">
        <w:rPr>
          <w:rFonts w:asciiTheme="majorHAnsi" w:hAnsiTheme="majorHAnsi" w:cstheme="majorHAnsi"/>
          <w:sz w:val="24"/>
          <w:szCs w:val="24"/>
          <w:lang w:val="ro-RO"/>
        </w:rPr>
        <w:t xml:space="preserve">ercetării încheiate la 31 decembrie 2022. Aceste aspecte au fost abordate în contextul auditului rapoartelor financiare în ansamblu și nu oferim o opinie separată </w:t>
      </w:r>
      <w:r w:rsidR="00C646E7" w:rsidRPr="001C6DCE">
        <w:rPr>
          <w:rFonts w:asciiTheme="majorHAnsi" w:hAnsiTheme="majorHAnsi" w:cstheme="majorHAnsi"/>
          <w:sz w:val="24"/>
          <w:szCs w:val="24"/>
          <w:lang w:val="ro-RO"/>
        </w:rPr>
        <w:t>asupra lor</w:t>
      </w:r>
      <w:r w:rsidRPr="001C6DCE">
        <w:rPr>
          <w:rFonts w:asciiTheme="majorHAnsi" w:hAnsiTheme="majorHAnsi" w:cstheme="majorHAnsi"/>
          <w:sz w:val="24"/>
          <w:szCs w:val="24"/>
          <w:lang w:val="ro-RO"/>
        </w:rPr>
        <w:t xml:space="preserve">. Cu excepția aspectelor descrise în secțiunea </w:t>
      </w:r>
      <w:r w:rsidRPr="001C6DCE">
        <w:rPr>
          <w:rFonts w:asciiTheme="majorHAnsi" w:hAnsiTheme="majorHAnsi" w:cstheme="majorHAnsi"/>
          <w:i/>
          <w:sz w:val="24"/>
          <w:szCs w:val="24"/>
          <w:lang w:val="ro-RO"/>
        </w:rPr>
        <w:t>Baza pentru opinia contrară</w:t>
      </w:r>
      <w:r w:rsidRPr="001C6DCE">
        <w:rPr>
          <w:rFonts w:asciiTheme="majorHAnsi" w:hAnsiTheme="majorHAnsi" w:cstheme="majorHAnsi"/>
          <w:sz w:val="24"/>
          <w:szCs w:val="24"/>
          <w:lang w:val="ro-RO"/>
        </w:rPr>
        <w:t>, am determinat că nu mai există alte aspecte-cheie de audit c</w:t>
      </w:r>
      <w:r w:rsidR="00A62BFE" w:rsidRPr="001C6DCE">
        <w:rPr>
          <w:rFonts w:asciiTheme="majorHAnsi" w:hAnsiTheme="majorHAnsi" w:cstheme="majorHAnsi"/>
          <w:sz w:val="24"/>
          <w:szCs w:val="24"/>
          <w:lang w:val="ro-RO"/>
        </w:rPr>
        <w:t>ar</w:t>
      </w:r>
      <w:r w:rsidRPr="001C6DCE">
        <w:rPr>
          <w:rFonts w:asciiTheme="majorHAnsi" w:hAnsiTheme="majorHAnsi" w:cstheme="majorHAnsi"/>
          <w:sz w:val="24"/>
          <w:szCs w:val="24"/>
          <w:lang w:val="ro-RO"/>
        </w:rPr>
        <w:t>e trebuie comunicate în Raportul de audit.</w:t>
      </w:r>
    </w:p>
    <w:p w14:paraId="73FDFE1E" w14:textId="77777777" w:rsidR="006772FE" w:rsidRPr="001C6DCE" w:rsidRDefault="006772FE" w:rsidP="008C4E63">
      <w:pPr>
        <w:pStyle w:val="1"/>
        <w:spacing w:before="0" w:line="276" w:lineRule="auto"/>
        <w:jc w:val="both"/>
        <w:rPr>
          <w:rFonts w:asciiTheme="majorHAnsi" w:hAnsiTheme="majorHAnsi" w:cstheme="majorHAnsi"/>
          <w:bCs/>
          <w:sz w:val="24"/>
          <w:szCs w:val="24"/>
          <w:lang w:val="ro-RO"/>
        </w:rPr>
      </w:pPr>
      <w:r w:rsidRPr="001C6DCE">
        <w:rPr>
          <w:rFonts w:asciiTheme="majorHAnsi" w:hAnsiTheme="majorHAnsi" w:cstheme="majorHAnsi"/>
          <w:bCs/>
          <w:sz w:val="24"/>
          <w:szCs w:val="24"/>
          <w:lang w:val="ro-RO"/>
        </w:rPr>
        <w:t>V. ALTE INFORMAȚII</w:t>
      </w:r>
    </w:p>
    <w:p w14:paraId="7B22AB62" w14:textId="5DE9E445" w:rsidR="005C3865" w:rsidRPr="001C6DCE" w:rsidRDefault="00CA126F" w:rsidP="008C4E63">
      <w:pPr>
        <w:spacing w:after="0" w:line="276" w:lineRule="auto"/>
        <w:ind w:right="-54"/>
        <w:jc w:val="both"/>
        <w:rPr>
          <w:rFonts w:asciiTheme="majorHAnsi" w:hAnsiTheme="majorHAnsi" w:cstheme="majorHAnsi"/>
          <w:sz w:val="24"/>
          <w:szCs w:val="24"/>
          <w:lang w:val="ro-RO"/>
        </w:rPr>
      </w:pPr>
      <w:r w:rsidRPr="001C6DCE">
        <w:rPr>
          <w:rFonts w:ascii="Calibri Light" w:hAnsi="Calibri Light" w:cs="Calibri Light"/>
          <w:b/>
          <w:sz w:val="24"/>
          <w:szCs w:val="24"/>
          <w:lang w:val="ro-RO"/>
        </w:rPr>
        <w:t>5</w:t>
      </w:r>
      <w:r w:rsidR="006772FE" w:rsidRPr="001C6DCE">
        <w:rPr>
          <w:rFonts w:ascii="Calibri Light" w:hAnsi="Calibri Light" w:cs="Calibri Light"/>
          <w:b/>
          <w:sz w:val="24"/>
          <w:szCs w:val="24"/>
          <w:lang w:val="ro-RO"/>
        </w:rPr>
        <w:t>.1.</w:t>
      </w:r>
      <w:r w:rsidR="005C3865" w:rsidRPr="001C6DCE">
        <w:rPr>
          <w:rFonts w:ascii="Calibri Light" w:hAnsi="Calibri Light" w:cs="Calibri Light"/>
          <w:b/>
          <w:sz w:val="24"/>
          <w:szCs w:val="24"/>
          <w:lang w:val="ro-RO"/>
        </w:rPr>
        <w:t xml:space="preserve"> </w:t>
      </w:r>
      <w:r w:rsidR="005C3865" w:rsidRPr="001C6DCE">
        <w:rPr>
          <w:rFonts w:asciiTheme="majorHAnsi" w:hAnsiTheme="majorHAnsi" w:cstheme="majorHAnsi"/>
          <w:sz w:val="24"/>
          <w:szCs w:val="24"/>
          <w:lang w:val="ro-RO"/>
        </w:rPr>
        <w:t>MEC nu s-a asigurat că instituțiile bugetare din subordine aplică corect prevederile cadrului legal la stabilirea coeficientului de piață</w:t>
      </w:r>
      <w:r w:rsidR="005C3865" w:rsidRPr="001C6DCE">
        <w:rPr>
          <w:rFonts w:asciiTheme="majorHAnsi" w:hAnsiTheme="majorHAnsi" w:cstheme="majorHAnsi"/>
          <w:sz w:val="24"/>
          <w:szCs w:val="24"/>
          <w:vertAlign w:val="superscript"/>
          <w:lang w:val="ro-RO"/>
        </w:rPr>
        <w:footnoteReference w:id="14"/>
      </w:r>
      <w:r w:rsidR="005C3865" w:rsidRPr="001C6DCE">
        <w:rPr>
          <w:rFonts w:asciiTheme="majorHAnsi" w:hAnsiTheme="majorHAnsi" w:cstheme="majorHAnsi"/>
          <w:sz w:val="24"/>
          <w:szCs w:val="24"/>
          <w:lang w:val="ro-RO"/>
        </w:rPr>
        <w:t xml:space="preserve"> pentru determinarea cuantumului chiriei. Astfel, la 3 instituții</w:t>
      </w:r>
      <w:r w:rsidR="005C3865" w:rsidRPr="001C6DCE">
        <w:rPr>
          <w:rFonts w:asciiTheme="majorHAnsi" w:hAnsiTheme="majorHAnsi" w:cstheme="majorHAnsi"/>
          <w:sz w:val="24"/>
          <w:szCs w:val="24"/>
          <w:vertAlign w:val="superscript"/>
          <w:lang w:val="ro-RO"/>
        </w:rPr>
        <w:footnoteReference w:id="15"/>
      </w:r>
      <w:r w:rsidR="005C3865" w:rsidRPr="001C6DCE">
        <w:rPr>
          <w:rFonts w:asciiTheme="majorHAnsi" w:hAnsiTheme="majorHAnsi" w:cstheme="majorHAnsi"/>
          <w:sz w:val="24"/>
          <w:szCs w:val="24"/>
          <w:lang w:val="ro-RO"/>
        </w:rPr>
        <w:t xml:space="preserve"> coeficientul de piață (K4) la 10 contracte de locațiune a fost stabilit </w:t>
      </w:r>
      <w:r w:rsidR="00A62BFE" w:rsidRPr="001C6DCE">
        <w:rPr>
          <w:rFonts w:asciiTheme="majorHAnsi" w:hAnsiTheme="majorHAnsi" w:cstheme="majorHAnsi"/>
          <w:sz w:val="24"/>
          <w:szCs w:val="24"/>
          <w:lang w:val="ro-RO"/>
        </w:rPr>
        <w:t xml:space="preserve">în mărime </w:t>
      </w:r>
      <w:r w:rsidR="005C3865" w:rsidRPr="001C6DCE">
        <w:rPr>
          <w:rFonts w:asciiTheme="majorHAnsi" w:hAnsiTheme="majorHAnsi" w:cstheme="majorHAnsi"/>
          <w:sz w:val="24"/>
          <w:szCs w:val="24"/>
          <w:lang w:val="ro-RO"/>
        </w:rPr>
        <w:t>mai mic</w:t>
      </w:r>
      <w:r w:rsidR="00A62BFE" w:rsidRPr="001C6DCE">
        <w:rPr>
          <w:rFonts w:asciiTheme="majorHAnsi" w:hAnsiTheme="majorHAnsi" w:cstheme="majorHAnsi"/>
          <w:sz w:val="24"/>
          <w:szCs w:val="24"/>
          <w:lang w:val="ro-RO"/>
        </w:rPr>
        <w:t>ă</w:t>
      </w:r>
      <w:r w:rsidR="00721AC1">
        <w:rPr>
          <w:rFonts w:asciiTheme="majorHAnsi" w:hAnsiTheme="majorHAnsi" w:cstheme="majorHAnsi"/>
          <w:sz w:val="24"/>
          <w:szCs w:val="24"/>
          <w:lang w:val="ro-RO"/>
        </w:rPr>
        <w:t xml:space="preserve"> </w:t>
      </w:r>
      <w:r w:rsidR="001B2007" w:rsidRPr="001C6DCE">
        <w:rPr>
          <w:rFonts w:asciiTheme="majorHAnsi" w:hAnsiTheme="majorHAnsi" w:cstheme="majorHAnsi"/>
          <w:sz w:val="24"/>
          <w:szCs w:val="24"/>
          <w:lang w:val="ro-RO"/>
        </w:rPr>
        <w:t xml:space="preserve">(de la 0,6 până la 0,85) </w:t>
      </w:r>
      <w:r w:rsidR="005C3865" w:rsidRPr="001C6DCE">
        <w:rPr>
          <w:rFonts w:asciiTheme="majorHAnsi" w:hAnsiTheme="majorHAnsi" w:cstheme="majorHAnsi"/>
          <w:sz w:val="24"/>
          <w:szCs w:val="24"/>
          <w:lang w:val="ro-RO"/>
        </w:rPr>
        <w:t>decât prevede cadrul legal</w:t>
      </w:r>
      <w:r w:rsidR="00255A48" w:rsidRPr="001C6DCE">
        <w:rPr>
          <w:rFonts w:asciiTheme="majorHAnsi" w:hAnsiTheme="majorHAnsi" w:cstheme="majorHAnsi"/>
          <w:sz w:val="24"/>
          <w:szCs w:val="24"/>
          <w:lang w:val="ro-RO"/>
        </w:rPr>
        <w:t>,</w:t>
      </w:r>
      <w:r w:rsidR="005C3865" w:rsidRPr="001C6DCE">
        <w:rPr>
          <w:rFonts w:asciiTheme="majorHAnsi" w:hAnsiTheme="majorHAnsi" w:cstheme="majorHAnsi"/>
          <w:sz w:val="24"/>
          <w:szCs w:val="24"/>
          <w:lang w:val="ro-RO"/>
        </w:rPr>
        <w:t xml:space="preserve"> ceea ce a dus la micșorarea veniturilor cu c</w:t>
      </w:r>
      <w:r w:rsidR="00C646E7" w:rsidRPr="001C6DCE">
        <w:rPr>
          <w:rFonts w:asciiTheme="majorHAnsi" w:hAnsiTheme="majorHAnsi" w:cstheme="majorHAnsi"/>
          <w:sz w:val="24"/>
          <w:szCs w:val="24"/>
          <w:lang w:val="ro-RO"/>
        </w:rPr>
        <w:t>ir</w:t>
      </w:r>
      <w:r w:rsidR="005C3865" w:rsidRPr="001C6DCE">
        <w:rPr>
          <w:rFonts w:asciiTheme="majorHAnsi" w:hAnsiTheme="majorHAnsi" w:cstheme="majorHAnsi"/>
          <w:sz w:val="24"/>
          <w:szCs w:val="24"/>
          <w:lang w:val="ro-RO"/>
        </w:rPr>
        <w:t>ca 168,16 mii lei.</w:t>
      </w:r>
    </w:p>
    <w:p w14:paraId="17A5F3D0" w14:textId="6E266DBE" w:rsidR="005C3865" w:rsidRPr="001C6DCE" w:rsidRDefault="005C3865" w:rsidP="008C4E63">
      <w:pPr>
        <w:spacing w:after="0" w:line="276" w:lineRule="auto"/>
        <w:ind w:right="-54"/>
        <w:jc w:val="both"/>
        <w:rPr>
          <w:rFonts w:asciiTheme="majorHAnsi" w:hAnsiTheme="majorHAnsi" w:cstheme="majorHAnsi"/>
          <w:sz w:val="24"/>
          <w:szCs w:val="24"/>
          <w:lang w:val="ro-RO"/>
        </w:rPr>
      </w:pPr>
      <w:r w:rsidRPr="001C6DCE">
        <w:rPr>
          <w:rFonts w:ascii="Calibri Light" w:hAnsi="Calibri Light" w:cs="Calibri Light"/>
          <w:b/>
          <w:sz w:val="24"/>
          <w:szCs w:val="24"/>
          <w:lang w:val="ro-RO"/>
        </w:rPr>
        <w:t>5.2.</w:t>
      </w:r>
      <w:r w:rsidR="00721AC1">
        <w:rPr>
          <w:rFonts w:ascii="Calibri Light" w:hAnsi="Calibri Light" w:cs="Calibri Light"/>
          <w:b/>
          <w:sz w:val="24"/>
          <w:szCs w:val="24"/>
          <w:lang w:val="ro-RO"/>
        </w:rPr>
        <w:t xml:space="preserve"> </w:t>
      </w:r>
      <w:r w:rsidR="007632F9" w:rsidRPr="001C6DCE">
        <w:rPr>
          <w:rFonts w:asciiTheme="majorHAnsi" w:hAnsiTheme="majorHAnsi" w:cstheme="majorHAnsi"/>
          <w:sz w:val="24"/>
          <w:szCs w:val="24"/>
          <w:lang w:val="ro-RO"/>
        </w:rPr>
        <w:t>Supraevaluarea cheltuielilor de reparații curente și</w:t>
      </w:r>
      <w:r w:rsidR="00C646E7" w:rsidRPr="001C6DCE">
        <w:rPr>
          <w:rFonts w:asciiTheme="majorHAnsi" w:hAnsiTheme="majorHAnsi" w:cstheme="majorHAnsi"/>
          <w:sz w:val="24"/>
          <w:szCs w:val="24"/>
          <w:lang w:val="ro-RO"/>
        </w:rPr>
        <w:t>,</w:t>
      </w:r>
      <w:r w:rsidR="007632F9" w:rsidRPr="001C6DCE">
        <w:rPr>
          <w:rFonts w:asciiTheme="majorHAnsi" w:hAnsiTheme="majorHAnsi" w:cstheme="majorHAnsi"/>
          <w:sz w:val="24"/>
          <w:szCs w:val="24"/>
          <w:lang w:val="ro-RO"/>
        </w:rPr>
        <w:t xml:space="preserve"> respectiv</w:t>
      </w:r>
      <w:r w:rsidR="00C646E7" w:rsidRPr="001C6DCE">
        <w:rPr>
          <w:rFonts w:asciiTheme="majorHAnsi" w:hAnsiTheme="majorHAnsi" w:cstheme="majorHAnsi"/>
          <w:sz w:val="24"/>
          <w:szCs w:val="24"/>
          <w:lang w:val="ro-RO"/>
        </w:rPr>
        <w:t>,</w:t>
      </w:r>
      <w:r w:rsidR="007632F9" w:rsidRPr="001C6DCE">
        <w:rPr>
          <w:rFonts w:asciiTheme="majorHAnsi" w:hAnsiTheme="majorHAnsi" w:cstheme="majorHAnsi"/>
          <w:sz w:val="24"/>
          <w:szCs w:val="24"/>
          <w:lang w:val="ro-RO"/>
        </w:rPr>
        <w:t xml:space="preserve"> diminuarea valorii mijloacelor fixe cu 2,32 mil.lei (clădiri – 1,95 mil. lei</w:t>
      </w:r>
      <w:r w:rsidR="007632F9" w:rsidRPr="001C6DCE">
        <w:rPr>
          <w:rStyle w:val="a5"/>
          <w:rFonts w:asciiTheme="majorHAnsi" w:hAnsiTheme="majorHAnsi" w:cstheme="majorHAnsi"/>
          <w:sz w:val="24"/>
          <w:szCs w:val="24"/>
          <w:lang w:val="ro-RO"/>
        </w:rPr>
        <w:footnoteReference w:id="16"/>
      </w:r>
      <w:r w:rsidR="007632F9" w:rsidRPr="001C6DCE">
        <w:rPr>
          <w:rFonts w:asciiTheme="majorHAnsi" w:hAnsiTheme="majorHAnsi" w:cstheme="majorHAnsi"/>
          <w:sz w:val="24"/>
          <w:szCs w:val="24"/>
          <w:lang w:val="ro-RO"/>
        </w:rPr>
        <w:t>, construcții speciale</w:t>
      </w:r>
      <w:r w:rsidR="00721AC1">
        <w:rPr>
          <w:rFonts w:asciiTheme="majorHAnsi" w:hAnsiTheme="majorHAnsi" w:cstheme="majorHAnsi"/>
          <w:sz w:val="24"/>
          <w:szCs w:val="24"/>
          <w:lang w:val="ro-RO"/>
        </w:rPr>
        <w:t xml:space="preserve"> </w:t>
      </w:r>
      <w:r w:rsidR="007632F9" w:rsidRPr="001C6DCE">
        <w:rPr>
          <w:rFonts w:asciiTheme="majorHAnsi" w:hAnsiTheme="majorHAnsi" w:cstheme="majorHAnsi"/>
          <w:sz w:val="24"/>
          <w:szCs w:val="24"/>
          <w:lang w:val="ro-RO"/>
        </w:rPr>
        <w:t>- 0,36 mil.lei</w:t>
      </w:r>
      <w:r w:rsidR="007632F9" w:rsidRPr="001C6DCE">
        <w:rPr>
          <w:rStyle w:val="a5"/>
          <w:rFonts w:asciiTheme="majorHAnsi" w:hAnsiTheme="majorHAnsi" w:cstheme="majorHAnsi"/>
          <w:sz w:val="24"/>
          <w:szCs w:val="24"/>
          <w:lang w:val="ro-RO"/>
        </w:rPr>
        <w:t xml:space="preserve"> </w:t>
      </w:r>
      <w:r w:rsidR="007632F9" w:rsidRPr="001C6DCE">
        <w:rPr>
          <w:rStyle w:val="a5"/>
          <w:rFonts w:asciiTheme="majorHAnsi" w:hAnsiTheme="majorHAnsi" w:cstheme="majorHAnsi"/>
          <w:sz w:val="24"/>
          <w:szCs w:val="24"/>
          <w:lang w:val="ro-RO"/>
        </w:rPr>
        <w:footnoteReference w:id="17"/>
      </w:r>
      <w:r w:rsidR="007632F9" w:rsidRPr="001C6DCE">
        <w:rPr>
          <w:rFonts w:asciiTheme="majorHAnsi" w:hAnsiTheme="majorHAnsi" w:cstheme="majorHAnsi"/>
          <w:sz w:val="24"/>
          <w:szCs w:val="24"/>
          <w:lang w:val="ro-RO"/>
        </w:rPr>
        <w:t>, mijloace de transport - 4,2 mii lei</w:t>
      </w:r>
      <w:r w:rsidR="007632F9" w:rsidRPr="001C6DCE">
        <w:rPr>
          <w:rStyle w:val="a5"/>
          <w:rFonts w:asciiTheme="majorHAnsi" w:hAnsiTheme="majorHAnsi" w:cstheme="majorHAnsi"/>
          <w:sz w:val="24"/>
          <w:szCs w:val="24"/>
          <w:lang w:val="ro-RO"/>
        </w:rPr>
        <w:t xml:space="preserve"> </w:t>
      </w:r>
      <w:r w:rsidR="007632F9" w:rsidRPr="001C6DCE">
        <w:rPr>
          <w:rStyle w:val="a5"/>
          <w:rFonts w:asciiTheme="majorHAnsi" w:hAnsiTheme="majorHAnsi" w:cstheme="majorHAnsi"/>
          <w:sz w:val="24"/>
          <w:szCs w:val="24"/>
          <w:lang w:val="ro-RO"/>
        </w:rPr>
        <w:footnoteReference w:id="18"/>
      </w:r>
      <w:r w:rsidR="007632F9" w:rsidRPr="001C6DCE">
        <w:rPr>
          <w:rFonts w:asciiTheme="majorHAnsi" w:hAnsiTheme="majorHAnsi" w:cstheme="majorHAnsi"/>
          <w:sz w:val="24"/>
          <w:szCs w:val="24"/>
          <w:lang w:val="ro-RO"/>
        </w:rPr>
        <w:t>), datorită necapitalizării lucrărilor de reparații capitale</w:t>
      </w:r>
      <w:r w:rsidR="00C646E7" w:rsidRPr="001C6DCE">
        <w:rPr>
          <w:rFonts w:asciiTheme="majorHAnsi" w:hAnsiTheme="majorHAnsi" w:cstheme="majorHAnsi"/>
          <w:sz w:val="24"/>
          <w:szCs w:val="24"/>
          <w:lang w:val="ro-RO"/>
        </w:rPr>
        <w:t>,</w:t>
      </w:r>
      <w:r w:rsidR="007632F9" w:rsidRPr="001C6DCE">
        <w:rPr>
          <w:rFonts w:asciiTheme="majorHAnsi" w:hAnsiTheme="majorHAnsi" w:cstheme="majorHAnsi"/>
          <w:sz w:val="24"/>
          <w:szCs w:val="24"/>
          <w:lang w:val="ro-RO"/>
        </w:rPr>
        <w:t xml:space="preserve"> c</w:t>
      </w:r>
      <w:r w:rsidR="00C646E7" w:rsidRPr="001C6DCE">
        <w:rPr>
          <w:rFonts w:asciiTheme="majorHAnsi" w:hAnsiTheme="majorHAnsi" w:cstheme="majorHAnsi"/>
          <w:sz w:val="24"/>
          <w:szCs w:val="24"/>
          <w:lang w:val="ro-RO"/>
        </w:rPr>
        <w:t>ar</w:t>
      </w:r>
      <w:r w:rsidR="007632F9" w:rsidRPr="001C6DCE">
        <w:rPr>
          <w:rFonts w:asciiTheme="majorHAnsi" w:hAnsiTheme="majorHAnsi" w:cstheme="majorHAnsi"/>
          <w:sz w:val="24"/>
          <w:szCs w:val="24"/>
          <w:lang w:val="ro-RO"/>
        </w:rPr>
        <w:t>e au fost atribuite ca reparații curente.</w:t>
      </w:r>
    </w:p>
    <w:p w14:paraId="00273606" w14:textId="3483463D" w:rsidR="007632F9" w:rsidRPr="001C6DCE" w:rsidRDefault="00CA126F" w:rsidP="0051236C">
      <w:pPr>
        <w:spacing w:after="0" w:line="276" w:lineRule="auto"/>
        <w:ind w:right="-54"/>
        <w:jc w:val="both"/>
        <w:rPr>
          <w:rFonts w:asciiTheme="majorHAnsi" w:hAnsiTheme="majorHAnsi" w:cstheme="majorHAnsi"/>
          <w:sz w:val="24"/>
          <w:szCs w:val="24"/>
          <w:lang w:val="ro-RO"/>
        </w:rPr>
      </w:pPr>
      <w:r w:rsidRPr="001C6DCE">
        <w:rPr>
          <w:rFonts w:ascii="Calibri Light" w:hAnsi="Calibri Light" w:cs="Calibri Light"/>
          <w:b/>
          <w:sz w:val="24"/>
          <w:szCs w:val="24"/>
          <w:lang w:val="ro-RO"/>
        </w:rPr>
        <w:t>5.</w:t>
      </w:r>
      <w:r w:rsidR="005C3865" w:rsidRPr="001C6DCE">
        <w:rPr>
          <w:rFonts w:asciiTheme="majorHAnsi" w:hAnsiTheme="majorHAnsi" w:cstheme="majorHAnsi"/>
          <w:b/>
          <w:sz w:val="24"/>
          <w:szCs w:val="24"/>
          <w:lang w:val="ro-RO"/>
        </w:rPr>
        <w:t>3.</w:t>
      </w:r>
      <w:r w:rsidR="00721AC1">
        <w:rPr>
          <w:rFonts w:asciiTheme="majorHAnsi" w:hAnsiTheme="majorHAnsi" w:cstheme="majorHAnsi"/>
          <w:sz w:val="24"/>
          <w:szCs w:val="24"/>
          <w:lang w:val="ro-RO"/>
        </w:rPr>
        <w:t xml:space="preserve"> </w:t>
      </w:r>
      <w:r w:rsidR="007632F9" w:rsidRPr="001C6DCE">
        <w:rPr>
          <w:rFonts w:asciiTheme="majorHAnsi" w:hAnsiTheme="majorHAnsi" w:cstheme="majorHAnsi"/>
          <w:sz w:val="24"/>
          <w:szCs w:val="24"/>
          <w:lang w:val="ro-RO"/>
        </w:rPr>
        <w:t>Supraevaluarea creanțelor (contul</w:t>
      </w:r>
      <w:r w:rsidR="00C646E7" w:rsidRPr="001C6DCE">
        <w:rPr>
          <w:rFonts w:asciiTheme="majorHAnsi" w:hAnsiTheme="majorHAnsi" w:cstheme="majorHAnsi"/>
          <w:sz w:val="24"/>
          <w:szCs w:val="24"/>
          <w:lang w:val="ro-RO"/>
        </w:rPr>
        <w:t xml:space="preserve"> </w:t>
      </w:r>
      <w:r w:rsidR="007632F9" w:rsidRPr="001C6DCE">
        <w:rPr>
          <w:rFonts w:asciiTheme="majorHAnsi" w:hAnsiTheme="majorHAnsi" w:cstheme="majorHAnsi"/>
          <w:sz w:val="24"/>
          <w:szCs w:val="24"/>
          <w:lang w:val="ro-RO"/>
        </w:rPr>
        <w:t xml:space="preserve">419) cu 1,53 mil. lei, </w:t>
      </w:r>
      <w:r w:rsidR="00C646E7" w:rsidRPr="001C6DCE">
        <w:rPr>
          <w:rFonts w:asciiTheme="majorHAnsi" w:hAnsiTheme="majorHAnsi" w:cstheme="majorHAnsi"/>
          <w:sz w:val="24"/>
          <w:szCs w:val="24"/>
          <w:lang w:val="ro-RO"/>
        </w:rPr>
        <w:t xml:space="preserve">ca </w:t>
      </w:r>
      <w:r w:rsidR="007632F9" w:rsidRPr="001C6DCE">
        <w:rPr>
          <w:rFonts w:asciiTheme="majorHAnsi" w:hAnsiTheme="majorHAnsi" w:cstheme="majorHAnsi"/>
          <w:sz w:val="24"/>
          <w:szCs w:val="24"/>
          <w:lang w:val="ro-RO"/>
        </w:rPr>
        <w:t xml:space="preserve">urmare a netransmiterii </w:t>
      </w:r>
      <w:r w:rsidR="00C646E7" w:rsidRPr="001C6DCE">
        <w:rPr>
          <w:rFonts w:asciiTheme="majorHAnsi" w:hAnsiTheme="majorHAnsi" w:cstheme="majorHAnsi"/>
          <w:sz w:val="24"/>
          <w:szCs w:val="24"/>
          <w:lang w:val="ro-RO"/>
        </w:rPr>
        <w:t xml:space="preserve">către </w:t>
      </w:r>
      <w:r w:rsidR="007632F9" w:rsidRPr="001C6DCE">
        <w:rPr>
          <w:rFonts w:asciiTheme="majorHAnsi" w:hAnsiTheme="majorHAnsi" w:cstheme="majorHAnsi"/>
          <w:sz w:val="24"/>
          <w:szCs w:val="24"/>
          <w:lang w:val="ro-RO"/>
        </w:rPr>
        <w:t>Ministerul Culturii a creanței aferente granturilor capitale acordate</w:t>
      </w:r>
      <w:r w:rsidR="00721AC1">
        <w:rPr>
          <w:rFonts w:asciiTheme="majorHAnsi" w:hAnsiTheme="majorHAnsi" w:cstheme="majorHAnsi"/>
          <w:sz w:val="24"/>
          <w:szCs w:val="24"/>
          <w:lang w:val="ro-RO"/>
        </w:rPr>
        <w:t xml:space="preserve"> </w:t>
      </w:r>
      <w:r w:rsidR="007632F9" w:rsidRPr="001C6DCE">
        <w:rPr>
          <w:rFonts w:asciiTheme="majorHAnsi" w:hAnsiTheme="majorHAnsi" w:cstheme="majorHAnsi"/>
          <w:sz w:val="24"/>
          <w:szCs w:val="24"/>
          <w:lang w:val="ro-RO"/>
        </w:rPr>
        <w:t>A</w:t>
      </w:r>
      <w:r w:rsidR="00255A48" w:rsidRPr="001C6DCE">
        <w:rPr>
          <w:rFonts w:asciiTheme="majorHAnsi" w:hAnsiTheme="majorHAnsi" w:cstheme="majorHAnsi"/>
          <w:sz w:val="24"/>
          <w:szCs w:val="24"/>
          <w:lang w:val="ro-RO"/>
        </w:rPr>
        <w:t xml:space="preserve">cademiei de </w:t>
      </w:r>
      <w:r w:rsidR="007632F9" w:rsidRPr="001C6DCE">
        <w:rPr>
          <w:rFonts w:asciiTheme="majorHAnsi" w:hAnsiTheme="majorHAnsi" w:cstheme="majorHAnsi"/>
          <w:sz w:val="24"/>
          <w:szCs w:val="24"/>
          <w:lang w:val="ro-RO"/>
        </w:rPr>
        <w:t>M</w:t>
      </w:r>
      <w:r w:rsidR="00255A48" w:rsidRPr="001C6DCE">
        <w:rPr>
          <w:rFonts w:asciiTheme="majorHAnsi" w:hAnsiTheme="majorHAnsi" w:cstheme="majorHAnsi"/>
          <w:sz w:val="24"/>
          <w:szCs w:val="24"/>
          <w:lang w:val="ro-RO"/>
        </w:rPr>
        <w:t xml:space="preserve">uzică, </w:t>
      </w:r>
      <w:r w:rsidR="007632F9" w:rsidRPr="001C6DCE">
        <w:rPr>
          <w:rFonts w:asciiTheme="majorHAnsi" w:hAnsiTheme="majorHAnsi" w:cstheme="majorHAnsi"/>
          <w:sz w:val="24"/>
          <w:szCs w:val="24"/>
          <w:lang w:val="ro-RO"/>
        </w:rPr>
        <w:t>T</w:t>
      </w:r>
      <w:r w:rsidR="00255A48" w:rsidRPr="001C6DCE">
        <w:rPr>
          <w:rFonts w:asciiTheme="majorHAnsi" w:hAnsiTheme="majorHAnsi" w:cstheme="majorHAnsi"/>
          <w:sz w:val="24"/>
          <w:szCs w:val="24"/>
          <w:lang w:val="ro-RO"/>
        </w:rPr>
        <w:t xml:space="preserve">eatru și </w:t>
      </w:r>
      <w:r w:rsidR="007632F9" w:rsidRPr="001C6DCE">
        <w:rPr>
          <w:rFonts w:asciiTheme="majorHAnsi" w:hAnsiTheme="majorHAnsi" w:cstheme="majorHAnsi"/>
          <w:sz w:val="24"/>
          <w:szCs w:val="24"/>
          <w:lang w:val="ro-RO"/>
        </w:rPr>
        <w:t>A</w:t>
      </w:r>
      <w:r w:rsidR="00255A48" w:rsidRPr="001C6DCE">
        <w:rPr>
          <w:rFonts w:asciiTheme="majorHAnsi" w:hAnsiTheme="majorHAnsi" w:cstheme="majorHAnsi"/>
          <w:sz w:val="24"/>
          <w:szCs w:val="24"/>
          <w:lang w:val="ro-RO"/>
        </w:rPr>
        <w:t xml:space="preserve">rte </w:t>
      </w:r>
      <w:r w:rsidR="007632F9" w:rsidRPr="001C6DCE">
        <w:rPr>
          <w:rFonts w:asciiTheme="majorHAnsi" w:hAnsiTheme="majorHAnsi" w:cstheme="majorHAnsi"/>
          <w:sz w:val="24"/>
          <w:szCs w:val="24"/>
          <w:lang w:val="ro-RO"/>
        </w:rPr>
        <w:t>P</w:t>
      </w:r>
      <w:r w:rsidR="00255A48" w:rsidRPr="001C6DCE">
        <w:rPr>
          <w:rFonts w:asciiTheme="majorHAnsi" w:hAnsiTheme="majorHAnsi" w:cstheme="majorHAnsi"/>
          <w:sz w:val="24"/>
          <w:szCs w:val="24"/>
          <w:lang w:val="ro-RO"/>
        </w:rPr>
        <w:t>lastice</w:t>
      </w:r>
      <w:r w:rsidR="007632F9" w:rsidRPr="001C6DCE">
        <w:rPr>
          <w:rFonts w:asciiTheme="majorHAnsi" w:hAnsiTheme="majorHAnsi" w:cstheme="majorHAnsi"/>
          <w:sz w:val="24"/>
          <w:szCs w:val="24"/>
          <w:lang w:val="ro-RO"/>
        </w:rPr>
        <w:t>.</w:t>
      </w:r>
    </w:p>
    <w:p w14:paraId="696FDAF5" w14:textId="138FA3EB" w:rsidR="007632F9" w:rsidRPr="001C6DCE" w:rsidRDefault="007632F9" w:rsidP="0051236C">
      <w:pPr>
        <w:spacing w:after="0" w:line="276" w:lineRule="auto"/>
        <w:ind w:right="-57"/>
        <w:jc w:val="both"/>
        <w:rPr>
          <w:rFonts w:asciiTheme="majorHAnsi" w:hAnsiTheme="majorHAnsi" w:cstheme="majorHAnsi"/>
          <w:sz w:val="24"/>
          <w:szCs w:val="24"/>
          <w:lang w:val="ro-RO"/>
        </w:rPr>
      </w:pPr>
      <w:r w:rsidRPr="001C6DCE">
        <w:rPr>
          <w:rFonts w:asciiTheme="majorHAnsi" w:hAnsiTheme="majorHAnsi" w:cstheme="majorHAnsi"/>
          <w:b/>
          <w:sz w:val="24"/>
          <w:szCs w:val="24"/>
          <w:lang w:val="ro-RO"/>
        </w:rPr>
        <w:t>5.</w:t>
      </w:r>
      <w:r w:rsidR="00061FB3" w:rsidRPr="001C6DCE">
        <w:rPr>
          <w:rFonts w:asciiTheme="majorHAnsi" w:hAnsiTheme="majorHAnsi" w:cstheme="majorHAnsi"/>
          <w:b/>
          <w:sz w:val="24"/>
          <w:szCs w:val="24"/>
          <w:lang w:val="ro-RO"/>
        </w:rPr>
        <w:t>4</w:t>
      </w:r>
      <w:r w:rsidR="005C3865" w:rsidRPr="001C6DCE">
        <w:rPr>
          <w:rFonts w:asciiTheme="majorHAnsi" w:hAnsiTheme="majorHAnsi" w:cstheme="majorHAnsi"/>
          <w:b/>
          <w:sz w:val="24"/>
          <w:szCs w:val="24"/>
          <w:lang w:val="ro-RO"/>
        </w:rPr>
        <w:t>.</w:t>
      </w:r>
      <w:r w:rsidR="00721AC1">
        <w:rPr>
          <w:rFonts w:asciiTheme="majorHAnsi" w:hAnsiTheme="majorHAnsi" w:cstheme="majorHAnsi"/>
          <w:sz w:val="24"/>
          <w:szCs w:val="24"/>
          <w:lang w:val="ro-RO"/>
        </w:rPr>
        <w:t xml:space="preserve"> </w:t>
      </w:r>
      <w:r w:rsidRPr="001C6DCE">
        <w:rPr>
          <w:rFonts w:asciiTheme="majorHAnsi" w:eastAsia="Calibri" w:hAnsiTheme="majorHAnsi" w:cstheme="majorHAnsi"/>
          <w:sz w:val="24"/>
          <w:szCs w:val="24"/>
          <w:lang w:val="ro-RO"/>
        </w:rPr>
        <w:t>MEC nu a respectat cerințele de întocmire a Raportului narativ privind executarea bugetului</w:t>
      </w:r>
      <w:r w:rsidR="00721AC1">
        <w:rPr>
          <w:rFonts w:asciiTheme="majorHAnsi" w:eastAsia="Calibri" w:hAnsiTheme="majorHAnsi" w:cstheme="majorHAnsi"/>
          <w:sz w:val="24"/>
          <w:szCs w:val="24"/>
          <w:lang w:val="ro-RO"/>
        </w:rPr>
        <w:t xml:space="preserve"> </w:t>
      </w:r>
      <w:r w:rsidRPr="001C6DCE">
        <w:rPr>
          <w:rFonts w:asciiTheme="majorHAnsi" w:eastAsia="Calibri" w:hAnsiTheme="majorHAnsi" w:cstheme="majorHAnsi"/>
          <w:sz w:val="24"/>
          <w:szCs w:val="24"/>
          <w:lang w:val="ro-RO"/>
        </w:rPr>
        <w:t>co</w:t>
      </w:r>
      <w:r w:rsidR="00541D2A" w:rsidRPr="001C6DCE">
        <w:rPr>
          <w:rFonts w:asciiTheme="majorHAnsi" w:eastAsia="Calibri" w:hAnsiTheme="majorHAnsi" w:cstheme="majorHAnsi"/>
          <w:sz w:val="24"/>
          <w:szCs w:val="24"/>
          <w:lang w:val="ro-RO"/>
        </w:rPr>
        <w:t>nform</w:t>
      </w:r>
      <w:r w:rsidRPr="001C6DCE">
        <w:rPr>
          <w:rFonts w:asciiTheme="majorHAnsi" w:eastAsia="Calibri" w:hAnsiTheme="majorHAnsi" w:cstheme="majorHAnsi"/>
          <w:sz w:val="24"/>
          <w:szCs w:val="24"/>
          <w:lang w:val="ro-RO"/>
        </w:rPr>
        <w:t xml:space="preserve"> </w:t>
      </w:r>
      <w:r w:rsidRPr="001C6DCE">
        <w:rPr>
          <w:rFonts w:asciiTheme="majorHAnsi" w:hAnsiTheme="majorHAnsi" w:cstheme="majorHAnsi"/>
          <w:sz w:val="24"/>
          <w:szCs w:val="24"/>
          <w:lang w:val="ro-RO"/>
        </w:rPr>
        <w:t>prevederilor</w:t>
      </w:r>
      <w:r w:rsidRPr="001C6DCE">
        <w:rPr>
          <w:rFonts w:asciiTheme="majorHAnsi" w:eastAsia="Calibri" w:hAnsiTheme="majorHAnsi" w:cstheme="majorHAnsi"/>
          <w:sz w:val="24"/>
          <w:szCs w:val="24"/>
          <w:lang w:val="ro-RO"/>
        </w:rPr>
        <w:t xml:space="preserve"> Ordinului ministrului Finanțelor nr.164 din 30.12.2016, informația </w:t>
      </w:r>
      <w:r w:rsidR="00C646E7" w:rsidRPr="001C6DCE">
        <w:rPr>
          <w:rFonts w:asciiTheme="majorHAnsi" w:eastAsia="Calibri" w:hAnsiTheme="majorHAnsi" w:cstheme="majorHAnsi"/>
          <w:sz w:val="24"/>
          <w:szCs w:val="24"/>
          <w:lang w:val="ro-RO"/>
        </w:rPr>
        <w:t>expus</w:t>
      </w:r>
      <w:r w:rsidRPr="001C6DCE">
        <w:rPr>
          <w:rFonts w:asciiTheme="majorHAnsi" w:eastAsia="Calibri" w:hAnsiTheme="majorHAnsi" w:cstheme="majorHAnsi"/>
          <w:sz w:val="24"/>
          <w:szCs w:val="24"/>
          <w:lang w:val="ro-RO"/>
        </w:rPr>
        <w:t xml:space="preserve">ă fiind una incompletă. Astfel, MEC nu a reflectat și nu a prezentat informația în corespundere cu </w:t>
      </w:r>
      <w:r w:rsidR="00C646E7" w:rsidRPr="001C6DCE">
        <w:rPr>
          <w:rFonts w:asciiTheme="majorHAnsi" w:eastAsia="Calibri" w:hAnsiTheme="majorHAnsi" w:cstheme="majorHAnsi"/>
          <w:sz w:val="24"/>
          <w:szCs w:val="24"/>
          <w:lang w:val="ro-RO"/>
        </w:rPr>
        <w:t>A</w:t>
      </w:r>
      <w:r w:rsidRPr="001C6DCE">
        <w:rPr>
          <w:rFonts w:asciiTheme="majorHAnsi" w:eastAsia="Calibri" w:hAnsiTheme="majorHAnsi" w:cstheme="majorHAnsi"/>
          <w:sz w:val="24"/>
          <w:szCs w:val="24"/>
          <w:lang w:val="ro-RO"/>
        </w:rPr>
        <w:t>nexele nr.3, nr.4 și nr.5 la O</w:t>
      </w:r>
      <w:r w:rsidR="00C646E7" w:rsidRPr="001C6DCE">
        <w:rPr>
          <w:rFonts w:asciiTheme="majorHAnsi" w:eastAsia="Calibri" w:hAnsiTheme="majorHAnsi" w:cstheme="majorHAnsi"/>
          <w:sz w:val="24"/>
          <w:szCs w:val="24"/>
          <w:lang w:val="ro-RO"/>
        </w:rPr>
        <w:t>rdinul ministrului Finanțelor</w:t>
      </w:r>
      <w:r w:rsidRPr="001C6DCE">
        <w:rPr>
          <w:rFonts w:asciiTheme="majorHAnsi" w:eastAsia="Calibri" w:hAnsiTheme="majorHAnsi" w:cstheme="majorHAnsi"/>
          <w:sz w:val="24"/>
          <w:szCs w:val="24"/>
          <w:lang w:val="ro-RO"/>
        </w:rPr>
        <w:t xml:space="preserve"> nr.164 din 14.12.2016</w:t>
      </w:r>
      <w:r w:rsidRPr="001C6DCE">
        <w:rPr>
          <w:rStyle w:val="a5"/>
          <w:rFonts w:asciiTheme="majorHAnsi" w:eastAsia="Calibri" w:hAnsiTheme="majorHAnsi" w:cstheme="majorHAnsi"/>
          <w:sz w:val="24"/>
          <w:szCs w:val="24"/>
          <w:lang w:val="ro-RO"/>
        </w:rPr>
        <w:footnoteReference w:id="19"/>
      </w:r>
      <w:r w:rsidR="00C646E7" w:rsidRPr="001C6DCE">
        <w:rPr>
          <w:rFonts w:asciiTheme="majorHAnsi" w:eastAsia="Calibri" w:hAnsiTheme="majorHAnsi" w:cstheme="majorHAnsi"/>
          <w:sz w:val="24"/>
          <w:szCs w:val="24"/>
          <w:lang w:val="ro-RO"/>
        </w:rPr>
        <w:t>, precum</w:t>
      </w:r>
      <w:r w:rsidRPr="001C6DCE">
        <w:rPr>
          <w:rFonts w:asciiTheme="majorHAnsi" w:eastAsia="Calibri" w:hAnsiTheme="majorHAnsi" w:cstheme="majorHAnsi"/>
          <w:sz w:val="24"/>
          <w:szCs w:val="24"/>
          <w:lang w:val="ro-RO"/>
        </w:rPr>
        <w:t xml:space="preserve"> și nu a detaliat informația cu privire la creanțele și datoriile cu termenul de achitare expirat, cauzel</w:t>
      </w:r>
      <w:r w:rsidR="00541D2A" w:rsidRPr="001C6DCE">
        <w:rPr>
          <w:rFonts w:asciiTheme="majorHAnsi" w:eastAsia="Calibri" w:hAnsiTheme="majorHAnsi" w:cstheme="majorHAnsi"/>
          <w:sz w:val="24"/>
          <w:szCs w:val="24"/>
          <w:lang w:val="ro-RO"/>
        </w:rPr>
        <w:t>e</w:t>
      </w:r>
      <w:r w:rsidRPr="001C6DCE">
        <w:rPr>
          <w:rFonts w:asciiTheme="majorHAnsi" w:eastAsia="Calibri" w:hAnsiTheme="majorHAnsi" w:cstheme="majorHAnsi"/>
          <w:sz w:val="24"/>
          <w:szCs w:val="24"/>
          <w:lang w:val="ro-RO"/>
        </w:rPr>
        <w:t xml:space="preserve"> admiterii acestora și măsuril</w:t>
      </w:r>
      <w:r w:rsidR="00541D2A" w:rsidRPr="001C6DCE">
        <w:rPr>
          <w:rFonts w:asciiTheme="majorHAnsi" w:eastAsia="Calibri" w:hAnsiTheme="majorHAnsi" w:cstheme="majorHAnsi"/>
          <w:sz w:val="24"/>
          <w:szCs w:val="24"/>
          <w:lang w:val="ro-RO"/>
        </w:rPr>
        <w:t>e</w:t>
      </w:r>
      <w:r w:rsidRPr="001C6DCE">
        <w:rPr>
          <w:rFonts w:asciiTheme="majorHAnsi" w:eastAsia="Calibri" w:hAnsiTheme="majorHAnsi" w:cstheme="majorHAnsi"/>
          <w:sz w:val="24"/>
          <w:szCs w:val="24"/>
          <w:lang w:val="ro-RO"/>
        </w:rPr>
        <w:t xml:space="preserve"> întreprinse </w:t>
      </w:r>
      <w:r w:rsidR="00541D2A" w:rsidRPr="001C6DCE">
        <w:rPr>
          <w:rFonts w:asciiTheme="majorHAnsi" w:eastAsia="Calibri" w:hAnsiTheme="majorHAnsi" w:cstheme="majorHAnsi"/>
          <w:sz w:val="24"/>
          <w:szCs w:val="24"/>
          <w:lang w:val="ro-RO"/>
        </w:rPr>
        <w:t>pe</w:t>
      </w:r>
      <w:r w:rsidRPr="001C6DCE">
        <w:rPr>
          <w:rFonts w:asciiTheme="majorHAnsi" w:eastAsia="Calibri" w:hAnsiTheme="majorHAnsi" w:cstheme="majorHAnsi"/>
          <w:sz w:val="24"/>
          <w:szCs w:val="24"/>
          <w:lang w:val="ro-RO"/>
        </w:rPr>
        <w:t xml:space="preserve">ntru lichidarea </w:t>
      </w:r>
      <w:r w:rsidR="00541D2A" w:rsidRPr="001C6DCE">
        <w:rPr>
          <w:rFonts w:asciiTheme="majorHAnsi" w:eastAsia="Calibri" w:hAnsiTheme="majorHAnsi" w:cstheme="majorHAnsi"/>
          <w:sz w:val="24"/>
          <w:szCs w:val="24"/>
          <w:lang w:val="ro-RO"/>
        </w:rPr>
        <w:t>lor</w:t>
      </w:r>
      <w:r w:rsidRPr="001C6DCE">
        <w:rPr>
          <w:rFonts w:asciiTheme="majorHAnsi" w:eastAsia="Calibri" w:hAnsiTheme="majorHAnsi" w:cstheme="majorHAnsi"/>
          <w:sz w:val="24"/>
          <w:szCs w:val="24"/>
          <w:lang w:val="ro-RO"/>
        </w:rPr>
        <w:t>.</w:t>
      </w:r>
    </w:p>
    <w:p w14:paraId="269A79EA" w14:textId="77777777" w:rsidR="006772FE" w:rsidRPr="001C6DCE" w:rsidRDefault="006772FE" w:rsidP="008C4E63">
      <w:pPr>
        <w:spacing w:after="0" w:line="276" w:lineRule="auto"/>
        <w:jc w:val="both"/>
        <w:rPr>
          <w:rFonts w:asciiTheme="majorHAnsi" w:hAnsiTheme="majorHAnsi" w:cstheme="majorHAnsi"/>
          <w:b/>
          <w:bCs/>
          <w:sz w:val="16"/>
          <w:szCs w:val="16"/>
          <w:lang w:val="ro-RO"/>
        </w:rPr>
      </w:pPr>
    </w:p>
    <w:p w14:paraId="0F43DD74" w14:textId="77777777" w:rsidR="006772FE" w:rsidRPr="001C6DCE" w:rsidRDefault="006772FE" w:rsidP="008C4E63">
      <w:pPr>
        <w:spacing w:after="0" w:line="276" w:lineRule="auto"/>
        <w:jc w:val="both"/>
        <w:rPr>
          <w:rFonts w:cstheme="minorHAnsi"/>
          <w:b/>
          <w:bCs/>
          <w:sz w:val="24"/>
          <w:szCs w:val="24"/>
          <w:lang w:val="ro-RO"/>
        </w:rPr>
      </w:pPr>
      <w:bookmarkStart w:id="6" w:name="_Toc520708135"/>
      <w:bookmarkStart w:id="7" w:name="_Toc527989153"/>
      <w:bookmarkStart w:id="8" w:name="_Toc528164110"/>
      <w:r w:rsidRPr="001C6DCE">
        <w:rPr>
          <w:rFonts w:asciiTheme="majorHAnsi" w:hAnsiTheme="majorHAnsi" w:cstheme="majorHAnsi"/>
          <w:b/>
          <w:sz w:val="24"/>
          <w:szCs w:val="24"/>
          <w:lang w:val="ro-RO"/>
        </w:rPr>
        <w:t>V</w:t>
      </w:r>
      <w:r w:rsidR="00131197" w:rsidRPr="001C6DCE">
        <w:rPr>
          <w:rFonts w:asciiTheme="majorHAnsi" w:hAnsiTheme="majorHAnsi" w:cstheme="majorHAnsi"/>
          <w:b/>
          <w:sz w:val="24"/>
          <w:szCs w:val="24"/>
          <w:lang w:val="ro-RO"/>
        </w:rPr>
        <w:t>I</w:t>
      </w:r>
      <w:r w:rsidRPr="001C6DCE">
        <w:rPr>
          <w:rFonts w:asciiTheme="majorHAnsi" w:hAnsiTheme="majorHAnsi" w:cstheme="majorHAnsi"/>
          <w:b/>
          <w:sz w:val="24"/>
          <w:szCs w:val="24"/>
          <w:lang w:val="ro-RO"/>
        </w:rPr>
        <w:t>. BUNA GUVERNANȚĂ</w:t>
      </w:r>
    </w:p>
    <w:p w14:paraId="7821CC21" w14:textId="75E0D414" w:rsidR="007632F9" w:rsidRPr="001C6DCE" w:rsidRDefault="00131197" w:rsidP="008C4E63">
      <w:pPr>
        <w:spacing w:line="276" w:lineRule="auto"/>
        <w:contextualSpacing/>
        <w:jc w:val="both"/>
        <w:rPr>
          <w:rFonts w:asciiTheme="majorHAnsi" w:hAnsiTheme="majorHAnsi" w:cstheme="majorHAnsi"/>
          <w:sz w:val="24"/>
          <w:szCs w:val="24"/>
          <w:lang w:val="ro-RO"/>
        </w:rPr>
      </w:pPr>
      <w:r w:rsidRPr="001C6DCE">
        <w:rPr>
          <w:rFonts w:asciiTheme="majorHAnsi" w:hAnsiTheme="majorHAnsi"/>
          <w:b/>
          <w:bCs/>
          <w:sz w:val="24"/>
          <w:szCs w:val="24"/>
          <w:lang w:val="ro-RO"/>
        </w:rPr>
        <w:t>6.1</w:t>
      </w:r>
      <w:r w:rsidR="00B04116" w:rsidRPr="001C6DCE">
        <w:rPr>
          <w:rFonts w:asciiTheme="majorHAnsi" w:hAnsiTheme="majorHAnsi"/>
          <w:b/>
          <w:bCs/>
          <w:sz w:val="24"/>
          <w:szCs w:val="24"/>
          <w:lang w:val="ro-RO"/>
        </w:rPr>
        <w:t>.</w:t>
      </w:r>
      <w:r w:rsidR="001B7E37" w:rsidRPr="001C6DCE">
        <w:rPr>
          <w:rFonts w:asciiTheme="majorHAnsi" w:hAnsiTheme="majorHAnsi"/>
          <w:b/>
          <w:bCs/>
          <w:sz w:val="24"/>
          <w:szCs w:val="24"/>
          <w:lang w:val="ro-RO"/>
        </w:rPr>
        <w:t xml:space="preserve"> </w:t>
      </w:r>
      <w:r w:rsidR="007632F9" w:rsidRPr="001C6DCE">
        <w:rPr>
          <w:rFonts w:asciiTheme="majorHAnsi" w:hAnsiTheme="majorHAnsi" w:cstheme="majorHAnsi"/>
          <w:sz w:val="24"/>
          <w:szCs w:val="24"/>
          <w:lang w:val="ro-RO"/>
        </w:rPr>
        <w:t xml:space="preserve">Potrivit Declarațiilor de răspundere managerială din anul 2022, Ministerul Educației și Cercetării dispune de un </w:t>
      </w:r>
      <w:r w:rsidR="007632F9" w:rsidRPr="001C6DCE">
        <w:rPr>
          <w:rFonts w:asciiTheme="majorHAnsi" w:hAnsiTheme="majorHAnsi" w:cstheme="majorHAnsi"/>
          <w:bCs/>
          <w:sz w:val="24"/>
          <w:szCs w:val="24"/>
          <w:lang w:val="ro-RO"/>
        </w:rPr>
        <w:t>sistem de</w:t>
      </w:r>
      <w:r w:rsidR="007632F9" w:rsidRPr="001C6DCE">
        <w:rPr>
          <w:rFonts w:asciiTheme="majorHAnsi" w:hAnsiTheme="majorHAnsi" w:cstheme="majorHAnsi"/>
          <w:b/>
          <w:bCs/>
          <w:sz w:val="24"/>
          <w:szCs w:val="24"/>
          <w:lang w:val="ro-RO"/>
        </w:rPr>
        <w:t xml:space="preserve"> control intern managerial</w:t>
      </w:r>
      <w:r w:rsidR="003A26E6" w:rsidRPr="001C6DCE">
        <w:rPr>
          <w:rFonts w:asciiTheme="majorHAnsi" w:hAnsiTheme="majorHAnsi" w:cstheme="majorHAnsi"/>
          <w:b/>
          <w:bCs/>
          <w:sz w:val="24"/>
          <w:szCs w:val="24"/>
          <w:lang w:val="ro-RO"/>
        </w:rPr>
        <w:t xml:space="preserve"> (CIM)</w:t>
      </w:r>
      <w:r w:rsidR="007632F9" w:rsidRPr="001C6DCE">
        <w:rPr>
          <w:rFonts w:asciiTheme="majorHAnsi" w:hAnsiTheme="majorHAnsi" w:cstheme="majorHAnsi"/>
          <w:sz w:val="24"/>
          <w:szCs w:val="24"/>
          <w:lang w:val="ro-RO"/>
        </w:rPr>
        <w:t xml:space="preserve"> ale cărui organizare și funcționare </w:t>
      </w:r>
      <w:r w:rsidR="007632F9" w:rsidRPr="001C6DCE">
        <w:rPr>
          <w:rFonts w:asciiTheme="majorHAnsi" w:hAnsiTheme="majorHAnsi" w:cstheme="majorHAnsi"/>
          <w:b/>
          <w:bCs/>
          <w:sz w:val="24"/>
          <w:szCs w:val="24"/>
          <w:lang w:val="ro-RO"/>
        </w:rPr>
        <w:t>permit parțial</w:t>
      </w:r>
      <w:r w:rsidR="007632F9" w:rsidRPr="001C6DCE">
        <w:rPr>
          <w:rFonts w:asciiTheme="majorHAnsi" w:hAnsiTheme="majorHAnsi" w:cstheme="majorHAnsi"/>
          <w:sz w:val="24"/>
          <w:szCs w:val="24"/>
          <w:lang w:val="ro-RO"/>
        </w:rPr>
        <w:t xml:space="preserve"> furnizarea unei asigurări rezonabile precum că fondurile publice alocate în scopul atingerii obiectivelor strategice și operaționale au fost utilizate în condiții de transparență, economicitate, eficiență, eficacitate, legalitate, etică și integritate.</w:t>
      </w:r>
    </w:p>
    <w:p w14:paraId="43A10ECB" w14:textId="44C679D4" w:rsidR="007632F9" w:rsidRPr="001C6DCE" w:rsidRDefault="007632F9" w:rsidP="008C4E63">
      <w:pPr>
        <w:spacing w:line="276" w:lineRule="auto"/>
        <w:contextualSpacing/>
        <w:jc w:val="both"/>
        <w:rPr>
          <w:rFonts w:asciiTheme="majorHAnsi" w:hAnsiTheme="majorHAnsi" w:cstheme="majorHAnsi"/>
          <w:sz w:val="24"/>
          <w:szCs w:val="24"/>
          <w:lang w:val="ro-RO"/>
        </w:rPr>
      </w:pPr>
      <w:r w:rsidRPr="001C6DCE">
        <w:rPr>
          <w:rFonts w:asciiTheme="majorHAnsi" w:hAnsiTheme="majorHAnsi" w:cstheme="majorHAnsi"/>
          <w:sz w:val="24"/>
          <w:szCs w:val="24"/>
          <w:lang w:val="ro-RO"/>
        </w:rPr>
        <w:t xml:space="preserve">Evaluarea sistemului CIM în cadrul ministerului </w:t>
      </w:r>
      <w:r w:rsidR="003A26E6" w:rsidRPr="001C6DCE">
        <w:rPr>
          <w:rFonts w:asciiTheme="majorHAnsi" w:hAnsiTheme="majorHAnsi" w:cstheme="majorHAnsi"/>
          <w:sz w:val="24"/>
          <w:szCs w:val="24"/>
          <w:lang w:val="ro-RO"/>
        </w:rPr>
        <w:t>indică</w:t>
      </w:r>
      <w:r w:rsidRPr="001C6DCE">
        <w:rPr>
          <w:rFonts w:asciiTheme="majorHAnsi" w:hAnsiTheme="majorHAnsi" w:cstheme="majorHAnsi"/>
          <w:sz w:val="24"/>
          <w:szCs w:val="24"/>
          <w:lang w:val="ro-RO"/>
        </w:rPr>
        <w:t xml:space="preserve"> că sistemul este parțial implementat.</w:t>
      </w:r>
      <w:r w:rsidR="00721AC1">
        <w:rPr>
          <w:rFonts w:asciiTheme="majorHAnsi" w:hAnsiTheme="majorHAnsi" w:cstheme="majorHAnsi"/>
          <w:sz w:val="24"/>
          <w:szCs w:val="24"/>
          <w:lang w:val="ro-RO"/>
        </w:rPr>
        <w:t xml:space="preserve"> </w:t>
      </w:r>
      <w:r w:rsidR="003A26E6" w:rsidRPr="001C6DCE">
        <w:rPr>
          <w:rFonts w:asciiTheme="majorHAnsi" w:hAnsiTheme="majorHAnsi" w:cstheme="majorHAnsi"/>
          <w:sz w:val="24"/>
          <w:szCs w:val="24"/>
          <w:lang w:val="ro-RO"/>
        </w:rPr>
        <w:t>La</w:t>
      </w:r>
      <w:r w:rsidR="00721AC1">
        <w:rPr>
          <w:rFonts w:asciiTheme="majorHAnsi" w:hAnsiTheme="majorHAnsi" w:cstheme="majorHAnsi"/>
          <w:sz w:val="24"/>
          <w:szCs w:val="24"/>
          <w:lang w:val="ro-RO"/>
        </w:rPr>
        <w:t xml:space="preserve"> </w:t>
      </w:r>
      <w:r w:rsidR="006F0607" w:rsidRPr="001C6DCE">
        <w:rPr>
          <w:rFonts w:asciiTheme="majorHAnsi" w:hAnsiTheme="majorHAnsi" w:cstheme="majorHAnsi"/>
          <w:sz w:val="24"/>
          <w:szCs w:val="24"/>
          <w:lang w:val="ro-RO"/>
        </w:rPr>
        <w:t xml:space="preserve">unele </w:t>
      </w:r>
      <w:r w:rsidRPr="001C6DCE">
        <w:rPr>
          <w:rFonts w:asciiTheme="majorHAnsi" w:hAnsiTheme="majorHAnsi" w:cstheme="majorHAnsi"/>
          <w:sz w:val="24"/>
          <w:szCs w:val="24"/>
          <w:lang w:val="ro-RO"/>
        </w:rPr>
        <w:t>componente</w:t>
      </w:r>
      <w:r w:rsidR="006F0607" w:rsidRPr="001C6DCE">
        <w:rPr>
          <w:rFonts w:asciiTheme="majorHAnsi" w:hAnsiTheme="majorHAnsi" w:cstheme="majorHAnsi"/>
          <w:sz w:val="24"/>
          <w:szCs w:val="24"/>
          <w:lang w:val="ro-RO"/>
        </w:rPr>
        <w:t xml:space="preserve"> ale</w:t>
      </w:r>
      <w:r w:rsidRPr="001C6DCE">
        <w:rPr>
          <w:rFonts w:asciiTheme="majorHAnsi" w:hAnsiTheme="majorHAnsi" w:cstheme="majorHAnsi"/>
          <w:sz w:val="24"/>
          <w:szCs w:val="24"/>
          <w:lang w:val="ro-RO"/>
        </w:rPr>
        <w:t xml:space="preserve"> sistemului CIM au fost </w:t>
      </w:r>
      <w:r w:rsidR="00FA3AB5" w:rsidRPr="001C6DCE">
        <w:rPr>
          <w:rFonts w:asciiTheme="majorHAnsi" w:hAnsiTheme="majorHAnsi" w:cstheme="majorHAnsi"/>
          <w:sz w:val="24"/>
          <w:szCs w:val="24"/>
          <w:lang w:val="ro-RO"/>
        </w:rPr>
        <w:t>constat</w:t>
      </w:r>
      <w:r w:rsidRPr="001C6DCE">
        <w:rPr>
          <w:rFonts w:asciiTheme="majorHAnsi" w:hAnsiTheme="majorHAnsi" w:cstheme="majorHAnsi"/>
          <w:sz w:val="24"/>
          <w:szCs w:val="24"/>
          <w:lang w:val="ro-RO"/>
        </w:rPr>
        <w:t>ate puncte slabe, care necesită a fi revizuite</w:t>
      </w:r>
      <w:r w:rsidR="00721AC1">
        <w:rPr>
          <w:rFonts w:asciiTheme="majorHAnsi" w:hAnsiTheme="majorHAnsi" w:cstheme="majorHAnsi"/>
          <w:sz w:val="24"/>
          <w:szCs w:val="24"/>
          <w:lang w:val="ro-RO"/>
        </w:rPr>
        <w:t xml:space="preserve"> </w:t>
      </w:r>
      <w:r w:rsidR="00FA3AB5" w:rsidRPr="001C6DCE">
        <w:rPr>
          <w:rFonts w:asciiTheme="majorHAnsi" w:hAnsiTheme="majorHAnsi" w:cstheme="majorHAnsi"/>
          <w:sz w:val="24"/>
          <w:szCs w:val="24"/>
          <w:lang w:val="ro-RO"/>
        </w:rPr>
        <w:t xml:space="preserve">și </w:t>
      </w:r>
      <w:r w:rsidRPr="001C6DCE">
        <w:rPr>
          <w:rFonts w:asciiTheme="majorHAnsi" w:hAnsiTheme="majorHAnsi" w:cstheme="majorHAnsi"/>
          <w:sz w:val="24"/>
          <w:szCs w:val="24"/>
          <w:lang w:val="ro-RO"/>
        </w:rPr>
        <w:t>analizate</w:t>
      </w:r>
      <w:r w:rsidR="00FA3AB5" w:rsidRPr="001C6DCE">
        <w:rPr>
          <w:rFonts w:asciiTheme="majorHAnsi" w:hAnsiTheme="majorHAnsi" w:cstheme="majorHAnsi"/>
          <w:sz w:val="24"/>
          <w:szCs w:val="24"/>
          <w:lang w:val="ro-RO"/>
        </w:rPr>
        <w:t>, iar</w:t>
      </w:r>
      <w:r w:rsidRPr="001C6DCE">
        <w:rPr>
          <w:rFonts w:asciiTheme="majorHAnsi" w:hAnsiTheme="majorHAnsi" w:cstheme="majorHAnsi"/>
          <w:sz w:val="24"/>
          <w:szCs w:val="24"/>
          <w:lang w:val="ro-RO"/>
        </w:rPr>
        <w:t xml:space="preserve"> ulterior să </w:t>
      </w:r>
      <w:r w:rsidR="003A26E6" w:rsidRPr="001C6DCE">
        <w:rPr>
          <w:rFonts w:asciiTheme="majorHAnsi" w:hAnsiTheme="majorHAnsi" w:cstheme="majorHAnsi"/>
          <w:sz w:val="24"/>
          <w:szCs w:val="24"/>
          <w:lang w:val="ro-RO"/>
        </w:rPr>
        <w:t>se</w:t>
      </w:r>
      <w:r w:rsidRPr="001C6DCE">
        <w:rPr>
          <w:rFonts w:asciiTheme="majorHAnsi" w:hAnsiTheme="majorHAnsi" w:cstheme="majorHAnsi"/>
          <w:sz w:val="24"/>
          <w:szCs w:val="24"/>
          <w:lang w:val="ro-RO"/>
        </w:rPr>
        <w:t xml:space="preserve"> identific</w:t>
      </w:r>
      <w:r w:rsidR="003A26E6" w:rsidRPr="001C6DCE">
        <w:rPr>
          <w:rFonts w:asciiTheme="majorHAnsi" w:hAnsiTheme="majorHAnsi" w:cstheme="majorHAnsi"/>
          <w:sz w:val="24"/>
          <w:szCs w:val="24"/>
          <w:lang w:val="ro-RO"/>
        </w:rPr>
        <w:t>e</w:t>
      </w:r>
      <w:r w:rsidRPr="001C6DCE">
        <w:rPr>
          <w:rFonts w:asciiTheme="majorHAnsi" w:hAnsiTheme="majorHAnsi" w:cstheme="majorHAnsi"/>
          <w:sz w:val="24"/>
          <w:szCs w:val="24"/>
          <w:lang w:val="ro-RO"/>
        </w:rPr>
        <w:t xml:space="preserve"> acțiuni de dezvoltare </w:t>
      </w:r>
      <w:r w:rsidR="00FA3AB5" w:rsidRPr="001C6DCE">
        <w:rPr>
          <w:rFonts w:asciiTheme="majorHAnsi" w:hAnsiTheme="majorHAnsi" w:cstheme="majorHAnsi"/>
          <w:sz w:val="24"/>
          <w:szCs w:val="24"/>
          <w:lang w:val="ro-RO"/>
        </w:rPr>
        <w:t xml:space="preserve">a </w:t>
      </w:r>
      <w:r w:rsidRPr="001C6DCE">
        <w:rPr>
          <w:rFonts w:asciiTheme="majorHAnsi" w:hAnsiTheme="majorHAnsi" w:cstheme="majorHAnsi"/>
          <w:sz w:val="24"/>
          <w:szCs w:val="24"/>
          <w:lang w:val="ro-RO"/>
        </w:rPr>
        <w:t>unui sistem CIM care</w:t>
      </w:r>
      <w:r w:rsidR="00FA3AB5"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prin acțiunile de control implementate</w:t>
      </w:r>
      <w:r w:rsidR="00FA3AB5"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ar gestiona riscurile și ar oferi o asigurare rezonabilă privind atingerea obiectivelor și rezultatelor planificate de minister.</w:t>
      </w:r>
    </w:p>
    <w:p w14:paraId="14C14A0E" w14:textId="11D17ED1" w:rsidR="007632F9" w:rsidRPr="001C6DCE" w:rsidRDefault="007632F9" w:rsidP="008C4E63">
      <w:pPr>
        <w:spacing w:line="276" w:lineRule="auto"/>
        <w:ind w:right="-33"/>
        <w:contextualSpacing/>
        <w:jc w:val="both"/>
        <w:rPr>
          <w:rFonts w:asciiTheme="majorHAnsi" w:hAnsiTheme="majorHAnsi" w:cstheme="majorHAnsi"/>
          <w:sz w:val="24"/>
          <w:szCs w:val="24"/>
          <w:lang w:val="ro-RO"/>
        </w:rPr>
      </w:pPr>
      <w:r w:rsidRPr="001C6DCE">
        <w:rPr>
          <w:rFonts w:asciiTheme="majorHAnsi" w:hAnsiTheme="majorHAnsi" w:cstheme="majorHAnsi"/>
          <w:sz w:val="24"/>
          <w:szCs w:val="24"/>
          <w:lang w:val="ro-RO"/>
        </w:rPr>
        <w:t>Activitățile de control al procesului financiar contabil instituite în cadrul ministerului sunt axate pe gestionarea riscurilor de ținere a evidenței contabile la nivel de Aparat Central.</w:t>
      </w:r>
    </w:p>
    <w:p w14:paraId="5642B96D" w14:textId="11E7CC64" w:rsidR="007632F9" w:rsidRPr="001C6DCE" w:rsidRDefault="007632F9" w:rsidP="008C4E63">
      <w:pPr>
        <w:spacing w:after="0" w:line="276" w:lineRule="auto"/>
        <w:ind w:right="-33"/>
        <w:contextualSpacing/>
        <w:jc w:val="both"/>
        <w:rPr>
          <w:rFonts w:asciiTheme="majorHAnsi" w:eastAsia="Times New Roman" w:hAnsiTheme="majorHAnsi" w:cstheme="majorHAnsi"/>
          <w:sz w:val="24"/>
          <w:szCs w:val="24"/>
          <w:lang w:val="ro-RO"/>
        </w:rPr>
      </w:pPr>
      <w:r w:rsidRPr="001C6DCE">
        <w:rPr>
          <w:rFonts w:asciiTheme="majorHAnsi" w:eastAsia="Times New Roman" w:hAnsiTheme="majorHAnsi" w:cstheme="majorHAnsi"/>
          <w:sz w:val="24"/>
          <w:szCs w:val="24"/>
          <w:lang w:val="ro-RO"/>
        </w:rPr>
        <w:t xml:space="preserve">În pofida faptului că ministerul este responsabil </w:t>
      </w:r>
      <w:r w:rsidR="00C82925" w:rsidRPr="001C6DCE">
        <w:rPr>
          <w:rFonts w:asciiTheme="majorHAnsi" w:eastAsia="Times New Roman" w:hAnsiTheme="majorHAnsi" w:cstheme="majorHAnsi"/>
          <w:sz w:val="24"/>
          <w:szCs w:val="24"/>
          <w:lang w:val="ro-RO"/>
        </w:rPr>
        <w:t>de</w:t>
      </w:r>
      <w:r w:rsidRPr="001C6DCE">
        <w:rPr>
          <w:rFonts w:asciiTheme="majorHAnsi" w:eastAsia="Times New Roman" w:hAnsiTheme="majorHAnsi" w:cstheme="majorHAnsi"/>
          <w:sz w:val="24"/>
          <w:szCs w:val="24"/>
          <w:lang w:val="ro-RO"/>
        </w:rPr>
        <w:t xml:space="preserve"> calitatea rapoartelor financiare consolidate, acesta nu a elaborat și aprobat politica de contabilitate-tip pentru autoritățile/</w:t>
      </w:r>
      <w:r w:rsidR="002C49E3" w:rsidRPr="001C6DCE">
        <w:rPr>
          <w:rFonts w:asciiTheme="majorHAnsi" w:eastAsia="Times New Roman" w:hAnsiTheme="majorHAnsi" w:cstheme="majorHAnsi"/>
          <w:sz w:val="24"/>
          <w:szCs w:val="24"/>
          <w:lang w:val="ro-RO"/>
        </w:rPr>
        <w:t xml:space="preserve"> </w:t>
      </w:r>
      <w:r w:rsidRPr="001C6DCE">
        <w:rPr>
          <w:rFonts w:asciiTheme="majorHAnsi" w:eastAsia="Times New Roman" w:hAnsiTheme="majorHAnsi" w:cstheme="majorHAnsi"/>
          <w:sz w:val="24"/>
          <w:szCs w:val="24"/>
          <w:lang w:val="ro-RO"/>
        </w:rPr>
        <w:t>instituțiile bugetare din domeniul patronat, care trebuia să conțină</w:t>
      </w:r>
      <w:r w:rsidR="00C82925" w:rsidRPr="001C6DCE">
        <w:rPr>
          <w:rFonts w:asciiTheme="majorHAnsi" w:eastAsia="Times New Roman" w:hAnsiTheme="majorHAnsi" w:cstheme="majorHAnsi"/>
          <w:sz w:val="24"/>
          <w:szCs w:val="24"/>
          <w:lang w:val="ro-RO"/>
        </w:rPr>
        <w:t>,</w:t>
      </w:r>
      <w:r w:rsidRPr="001C6DCE">
        <w:rPr>
          <w:rFonts w:asciiTheme="majorHAnsi" w:eastAsia="Times New Roman" w:hAnsiTheme="majorHAnsi" w:cstheme="majorHAnsi"/>
          <w:sz w:val="24"/>
          <w:szCs w:val="24"/>
          <w:lang w:val="ro-RO"/>
        </w:rPr>
        <w:t xml:space="preserve"> la necesitate</w:t>
      </w:r>
      <w:r w:rsidR="00C82925" w:rsidRPr="001C6DCE">
        <w:rPr>
          <w:rFonts w:asciiTheme="majorHAnsi" w:eastAsia="Times New Roman" w:hAnsiTheme="majorHAnsi" w:cstheme="majorHAnsi"/>
          <w:sz w:val="24"/>
          <w:szCs w:val="24"/>
          <w:lang w:val="ro-RO"/>
        </w:rPr>
        <w:t>,</w:t>
      </w:r>
      <w:r w:rsidRPr="001C6DCE">
        <w:rPr>
          <w:rFonts w:asciiTheme="majorHAnsi" w:eastAsia="Times New Roman" w:hAnsiTheme="majorHAnsi" w:cstheme="majorHAnsi"/>
          <w:sz w:val="24"/>
          <w:szCs w:val="24"/>
          <w:lang w:val="ro-RO"/>
        </w:rPr>
        <w:t xml:space="preserve"> prevederi suplimentare ce țin de specificul activității acestora, în scopul asigurării comparabilității datelor reflectate în rapoartele financiare. De asemenea</w:t>
      </w:r>
      <w:r w:rsidR="002C49E3" w:rsidRPr="001C6DCE">
        <w:rPr>
          <w:rFonts w:asciiTheme="majorHAnsi" w:eastAsia="Times New Roman" w:hAnsiTheme="majorHAnsi" w:cstheme="majorHAnsi"/>
          <w:sz w:val="24"/>
          <w:szCs w:val="24"/>
          <w:lang w:val="ro-RO"/>
        </w:rPr>
        <w:t>,</w:t>
      </w:r>
      <w:r w:rsidRPr="001C6DCE">
        <w:rPr>
          <w:rFonts w:asciiTheme="majorHAnsi" w:eastAsia="Times New Roman" w:hAnsiTheme="majorHAnsi" w:cstheme="majorHAnsi"/>
          <w:sz w:val="24"/>
          <w:szCs w:val="24"/>
          <w:lang w:val="ro-RO"/>
        </w:rPr>
        <w:t xml:space="preserve"> informațiile financiare raportate de instituțiile bugetare subordonate nu sunt verificate, n</w:t>
      </w:r>
      <w:r w:rsidR="00C82925" w:rsidRPr="001C6DCE">
        <w:rPr>
          <w:rFonts w:asciiTheme="majorHAnsi" w:eastAsia="Times New Roman" w:hAnsiTheme="majorHAnsi" w:cstheme="majorHAnsi"/>
          <w:sz w:val="24"/>
          <w:szCs w:val="24"/>
          <w:lang w:val="ro-RO"/>
        </w:rPr>
        <w:t>eefectuându-se</w:t>
      </w:r>
      <w:r w:rsidRPr="001C6DCE">
        <w:rPr>
          <w:rFonts w:asciiTheme="majorHAnsi" w:eastAsia="Times New Roman" w:hAnsiTheme="majorHAnsi" w:cstheme="majorHAnsi"/>
          <w:sz w:val="24"/>
          <w:szCs w:val="24"/>
          <w:lang w:val="ro-RO"/>
        </w:rPr>
        <w:t xml:space="preserve"> proceduri de revizuire analitică critică a valorilor raportate de acestea, nu corespund caracteristicilor calitative</w:t>
      </w:r>
      <w:r w:rsidR="002C49E3" w:rsidRPr="001C6DCE">
        <w:rPr>
          <w:rFonts w:asciiTheme="majorHAnsi" w:eastAsia="Times New Roman" w:hAnsiTheme="majorHAnsi" w:cstheme="majorHAnsi"/>
          <w:sz w:val="24"/>
          <w:szCs w:val="24"/>
          <w:lang w:val="ro-RO"/>
        </w:rPr>
        <w:t>,</w:t>
      </w:r>
      <w:r w:rsidRPr="001C6DCE">
        <w:rPr>
          <w:rFonts w:asciiTheme="majorHAnsi" w:eastAsia="Times New Roman" w:hAnsiTheme="majorHAnsi" w:cstheme="majorHAnsi"/>
          <w:sz w:val="24"/>
          <w:szCs w:val="24"/>
          <w:lang w:val="ro-RO"/>
        </w:rPr>
        <w:t xml:space="preserve"> etc.</w:t>
      </w:r>
    </w:p>
    <w:p w14:paraId="4E61E615" w14:textId="04E04F51" w:rsidR="007632F9" w:rsidRPr="001C6DCE" w:rsidRDefault="007632F9" w:rsidP="008C4E63">
      <w:pPr>
        <w:spacing w:after="0" w:line="276" w:lineRule="auto"/>
        <w:ind w:right="-33"/>
        <w:contextualSpacing/>
        <w:jc w:val="both"/>
        <w:rPr>
          <w:rFonts w:asciiTheme="majorHAnsi" w:hAnsiTheme="majorHAnsi" w:cstheme="majorHAnsi"/>
          <w:sz w:val="24"/>
          <w:szCs w:val="24"/>
          <w:lang w:val="ro-RO"/>
        </w:rPr>
      </w:pPr>
      <w:r w:rsidRPr="001C6DCE">
        <w:rPr>
          <w:rFonts w:asciiTheme="majorHAnsi" w:hAnsiTheme="majorHAnsi" w:cstheme="majorHAnsi"/>
          <w:sz w:val="24"/>
          <w:szCs w:val="24"/>
          <w:lang w:val="ro-RO"/>
        </w:rPr>
        <w:t>Ministerul nu are identificate riscuri de fraudă și corupție și n</w:t>
      </w:r>
      <w:r w:rsidR="00C82925" w:rsidRPr="001C6DCE">
        <w:rPr>
          <w:rFonts w:asciiTheme="majorHAnsi" w:hAnsiTheme="majorHAnsi" w:cstheme="majorHAnsi"/>
          <w:sz w:val="24"/>
          <w:szCs w:val="24"/>
          <w:lang w:val="ro-RO"/>
        </w:rPr>
        <w:t>ici</w:t>
      </w:r>
      <w:r w:rsidRPr="001C6DCE">
        <w:rPr>
          <w:rFonts w:asciiTheme="majorHAnsi" w:hAnsiTheme="majorHAnsi" w:cstheme="majorHAnsi"/>
          <w:sz w:val="24"/>
          <w:szCs w:val="24"/>
          <w:lang w:val="ro-RO"/>
        </w:rPr>
        <w:t xml:space="preserve"> prevăzute acțiuni de control privind prevenirea și detectarea fraudei și corupției</w:t>
      </w:r>
      <w:r w:rsidR="00C82925" w:rsidRPr="001C6DCE">
        <w:rPr>
          <w:rFonts w:asciiTheme="majorHAnsi" w:hAnsiTheme="majorHAnsi" w:cstheme="majorHAnsi"/>
          <w:sz w:val="24"/>
          <w:szCs w:val="24"/>
          <w:lang w:val="ro-RO"/>
        </w:rPr>
        <w:t>. P</w:t>
      </w:r>
      <w:r w:rsidRPr="001C6DCE">
        <w:rPr>
          <w:rFonts w:asciiTheme="majorHAnsi" w:hAnsiTheme="majorHAnsi" w:cstheme="majorHAnsi"/>
          <w:sz w:val="24"/>
          <w:szCs w:val="24"/>
          <w:lang w:val="ro-RO"/>
        </w:rPr>
        <w:t>rin urmare, nu este creat și dezvoltat</w:t>
      </w:r>
      <w:r w:rsidR="00C82925" w:rsidRPr="001C6DCE">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mediul instituțional intern care să sporească</w:t>
      </w:r>
      <w:r w:rsidR="00721AC1">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gradul de conștientizare a riscurilor și a consecințelor</w:t>
      </w:r>
      <w:r w:rsidR="00450ECE" w:rsidRPr="001C6DCE">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fraud</w:t>
      </w:r>
      <w:r w:rsidR="00450ECE" w:rsidRPr="001C6DCE">
        <w:rPr>
          <w:rFonts w:asciiTheme="majorHAnsi" w:hAnsiTheme="majorHAnsi" w:cstheme="majorHAnsi"/>
          <w:sz w:val="24"/>
          <w:szCs w:val="24"/>
          <w:lang w:val="ro-RO"/>
        </w:rPr>
        <w:t>ei</w:t>
      </w:r>
      <w:r w:rsidR="00721AC1">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și corupție</w:t>
      </w:r>
      <w:r w:rsidR="00450ECE" w:rsidRPr="001C6DCE">
        <w:rPr>
          <w:rFonts w:asciiTheme="majorHAnsi" w:hAnsiTheme="majorHAnsi" w:cstheme="majorHAnsi"/>
          <w:sz w:val="24"/>
          <w:szCs w:val="24"/>
          <w:lang w:val="ro-RO"/>
        </w:rPr>
        <w:t>i</w:t>
      </w:r>
      <w:r w:rsidRPr="001C6DCE">
        <w:rPr>
          <w:rFonts w:asciiTheme="majorHAnsi" w:hAnsiTheme="majorHAnsi" w:cstheme="majorHAnsi"/>
          <w:sz w:val="24"/>
          <w:szCs w:val="24"/>
          <w:lang w:val="ro-RO"/>
        </w:rPr>
        <w:t>.</w:t>
      </w:r>
    </w:p>
    <w:p w14:paraId="0DE2B572" w14:textId="12FE17B2" w:rsidR="00404882" w:rsidRPr="001C6DCE" w:rsidRDefault="00B04116" w:rsidP="008C4E63">
      <w:pPr>
        <w:pStyle w:val="a8"/>
        <w:spacing w:line="276" w:lineRule="auto"/>
        <w:ind w:left="0" w:right="-68"/>
        <w:rPr>
          <w:rFonts w:asciiTheme="majorHAnsi" w:hAnsiTheme="majorHAnsi" w:cstheme="majorHAnsi"/>
          <w:sz w:val="24"/>
          <w:szCs w:val="24"/>
          <w:lang w:val="ro-RO"/>
        </w:rPr>
      </w:pPr>
      <w:r w:rsidRPr="001C6DCE">
        <w:rPr>
          <w:rFonts w:asciiTheme="majorHAnsi" w:eastAsia="Times New Roman" w:hAnsiTheme="majorHAnsi" w:cstheme="majorHAnsi"/>
          <w:b/>
          <w:bCs/>
          <w:sz w:val="24"/>
          <w:szCs w:val="24"/>
          <w:lang w:val="ro-RO"/>
        </w:rPr>
        <w:t>6.</w:t>
      </w:r>
      <w:r w:rsidR="00404882" w:rsidRPr="001C6DCE">
        <w:rPr>
          <w:rFonts w:asciiTheme="majorHAnsi" w:eastAsia="Times New Roman" w:hAnsiTheme="majorHAnsi" w:cstheme="majorHAnsi"/>
          <w:b/>
          <w:bCs/>
          <w:sz w:val="24"/>
          <w:szCs w:val="24"/>
          <w:lang w:val="ro-RO"/>
        </w:rPr>
        <w:t>2</w:t>
      </w:r>
      <w:r w:rsidR="005C3865" w:rsidRPr="001C6DCE">
        <w:rPr>
          <w:rFonts w:asciiTheme="majorHAnsi" w:eastAsia="Times New Roman" w:hAnsiTheme="majorHAnsi" w:cstheme="majorHAnsi"/>
          <w:b/>
          <w:bCs/>
          <w:sz w:val="24"/>
          <w:szCs w:val="24"/>
          <w:lang w:val="ro-RO"/>
        </w:rPr>
        <w:t>.</w:t>
      </w:r>
      <w:r w:rsidRPr="001C6DCE">
        <w:rPr>
          <w:rFonts w:asciiTheme="majorHAnsi" w:eastAsia="Times New Roman" w:hAnsiTheme="majorHAnsi" w:cstheme="majorHAnsi"/>
          <w:sz w:val="24"/>
          <w:szCs w:val="24"/>
          <w:lang w:val="ro-RO"/>
        </w:rPr>
        <w:t xml:space="preserve"> </w:t>
      </w:r>
      <w:r w:rsidR="00404882" w:rsidRPr="001C6DCE">
        <w:rPr>
          <w:rFonts w:asciiTheme="majorHAnsi" w:hAnsiTheme="majorHAnsi" w:cstheme="majorHAnsi"/>
          <w:sz w:val="24"/>
          <w:szCs w:val="24"/>
          <w:lang w:val="ro-RO"/>
        </w:rPr>
        <w:t>Pe parcursul anului 2022 funcția de audit intern</w:t>
      </w:r>
      <w:r w:rsidR="00FF6F12" w:rsidRPr="001C6DCE">
        <w:rPr>
          <w:rFonts w:asciiTheme="majorHAnsi" w:hAnsiTheme="majorHAnsi" w:cstheme="majorHAnsi"/>
          <w:sz w:val="24"/>
          <w:szCs w:val="24"/>
          <w:lang w:val="ro-RO"/>
        </w:rPr>
        <w:t xml:space="preserve"> era suplinită</w:t>
      </w:r>
      <w:r w:rsidR="00404882" w:rsidRPr="001C6DCE">
        <w:rPr>
          <w:rFonts w:asciiTheme="majorHAnsi" w:hAnsiTheme="majorHAnsi" w:cstheme="majorHAnsi"/>
          <w:sz w:val="24"/>
          <w:szCs w:val="24"/>
          <w:lang w:val="ro-RO"/>
        </w:rPr>
        <w:t xml:space="preserve">, însă din iunie 2023 aceasta este vacantă. Totodată, </w:t>
      </w:r>
      <w:r w:rsidR="0033665F" w:rsidRPr="001C6DCE">
        <w:rPr>
          <w:rFonts w:asciiTheme="majorHAnsi" w:hAnsiTheme="majorHAnsi" w:cstheme="majorHAnsi"/>
          <w:sz w:val="24"/>
          <w:szCs w:val="24"/>
          <w:lang w:val="ro-RO"/>
        </w:rPr>
        <w:t>m</w:t>
      </w:r>
      <w:r w:rsidR="00404882" w:rsidRPr="001C6DCE">
        <w:rPr>
          <w:rFonts w:asciiTheme="majorHAnsi" w:hAnsiTheme="majorHAnsi" w:cstheme="majorHAnsi"/>
          <w:sz w:val="24"/>
          <w:szCs w:val="24"/>
          <w:lang w:val="ro-RO"/>
        </w:rPr>
        <w:t xml:space="preserve">inisterul a prevăzut în Statul de personal doar o funcție de auditor intern, ceea ce contravine art. 19 alin.(11) din Legea nr.229/2010 privind controlul intern managerial, care prevede că în structura ministerelor este necesar să fie instituită subdiviziunea de audit intern în </w:t>
      </w:r>
      <w:r w:rsidR="0033665F" w:rsidRPr="001C6DCE">
        <w:rPr>
          <w:rFonts w:asciiTheme="majorHAnsi" w:hAnsiTheme="majorHAnsi" w:cstheme="majorHAnsi"/>
          <w:sz w:val="24"/>
          <w:szCs w:val="24"/>
          <w:lang w:val="ro-RO"/>
        </w:rPr>
        <w:t>componența a</w:t>
      </w:r>
      <w:r w:rsidR="00404882" w:rsidRPr="001C6DCE">
        <w:rPr>
          <w:rFonts w:asciiTheme="majorHAnsi" w:hAnsiTheme="majorHAnsi" w:cstheme="majorHAnsi"/>
          <w:sz w:val="24"/>
          <w:szCs w:val="24"/>
          <w:lang w:val="ro-RO"/>
        </w:rPr>
        <w:t xml:space="preserve"> cel puțin trei unități de personal, fapt ce nu oferă posibilitatea auditării tuturor entităților (151) și activităților desfășurate de acest</w:t>
      </w:r>
      <w:r w:rsidR="0033665F" w:rsidRPr="001C6DCE">
        <w:rPr>
          <w:rFonts w:asciiTheme="majorHAnsi" w:hAnsiTheme="majorHAnsi" w:cstheme="majorHAnsi"/>
          <w:sz w:val="24"/>
          <w:szCs w:val="24"/>
          <w:lang w:val="ro-RO"/>
        </w:rPr>
        <w:t>e</w:t>
      </w:r>
      <w:r w:rsidR="00404882" w:rsidRPr="001C6DCE">
        <w:rPr>
          <w:rFonts w:asciiTheme="majorHAnsi" w:hAnsiTheme="majorHAnsi" w:cstheme="majorHAnsi"/>
          <w:sz w:val="24"/>
          <w:szCs w:val="24"/>
          <w:lang w:val="ro-RO"/>
        </w:rPr>
        <w:t>a pe parcursul unui an.</w:t>
      </w:r>
    </w:p>
    <w:p w14:paraId="6E51A591" w14:textId="7EAB4904" w:rsidR="00404882" w:rsidRPr="001C6DCE" w:rsidRDefault="00404882" w:rsidP="008C4E63">
      <w:pPr>
        <w:spacing w:after="0" w:line="276" w:lineRule="auto"/>
        <w:jc w:val="both"/>
        <w:rPr>
          <w:rFonts w:asciiTheme="majorHAnsi" w:hAnsiTheme="majorHAnsi" w:cstheme="majorHAnsi"/>
          <w:sz w:val="24"/>
          <w:szCs w:val="24"/>
          <w:lang w:val="ro-RO"/>
        </w:rPr>
      </w:pPr>
      <w:r w:rsidRPr="001C6DCE">
        <w:rPr>
          <w:rFonts w:asciiTheme="majorHAnsi" w:hAnsiTheme="majorHAnsi" w:cstheme="majorHAnsi"/>
          <w:sz w:val="24"/>
          <w:szCs w:val="24"/>
          <w:lang w:val="ro-RO"/>
        </w:rPr>
        <w:t>În pofida acțiunilor desfășurate de auditorul intern pe parcursul anului 2022 (2 misiuni de audit), numărul limitat de auditori interni</w:t>
      </w:r>
      <w:r w:rsidR="00172E4A"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prevăzut în Statul de personal</w:t>
      </w:r>
      <w:r w:rsidR="00172E4A"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va</w:t>
      </w:r>
      <w:r w:rsidR="00172E4A" w:rsidRPr="001C6DCE">
        <w:rPr>
          <w:rFonts w:asciiTheme="majorHAnsi" w:hAnsiTheme="majorHAnsi" w:cstheme="majorHAnsi"/>
          <w:sz w:val="24"/>
          <w:szCs w:val="24"/>
          <w:lang w:val="ro-RO"/>
        </w:rPr>
        <w:t xml:space="preserve"> influența</w:t>
      </w:r>
      <w:r w:rsidRPr="001C6DCE">
        <w:rPr>
          <w:rFonts w:asciiTheme="majorHAnsi" w:hAnsiTheme="majorHAnsi" w:cstheme="majorHAnsi"/>
          <w:sz w:val="24"/>
          <w:szCs w:val="24"/>
          <w:lang w:val="ro-RO"/>
        </w:rPr>
        <w:t xml:space="preserve"> asupra calității consilierii și analizei obiective </w:t>
      </w:r>
      <w:r w:rsidR="00172E4A" w:rsidRPr="001C6DCE">
        <w:rPr>
          <w:rFonts w:asciiTheme="majorHAnsi" w:hAnsiTheme="majorHAnsi" w:cstheme="majorHAnsi"/>
          <w:sz w:val="24"/>
          <w:szCs w:val="24"/>
          <w:lang w:val="ro-RO"/>
        </w:rPr>
        <w:t>de către</w:t>
      </w:r>
      <w:r w:rsidRPr="001C6DCE">
        <w:rPr>
          <w:rFonts w:asciiTheme="majorHAnsi" w:hAnsiTheme="majorHAnsi" w:cstheme="majorHAnsi"/>
          <w:sz w:val="24"/>
          <w:szCs w:val="24"/>
          <w:lang w:val="ro-RO"/>
        </w:rPr>
        <w:t xml:space="preserve"> auditorul intern privind eficacitatea sistemului de control intern managerial instituit în cadrul ministerului. </w:t>
      </w:r>
    </w:p>
    <w:p w14:paraId="182CFF1B" w14:textId="0C1D1511" w:rsidR="00404882" w:rsidRPr="001C6DCE" w:rsidRDefault="00404882" w:rsidP="008C4E63">
      <w:pPr>
        <w:spacing w:after="0" w:line="276" w:lineRule="auto"/>
        <w:jc w:val="both"/>
        <w:rPr>
          <w:rFonts w:asciiTheme="majorHAnsi" w:hAnsiTheme="majorHAnsi" w:cstheme="majorHAnsi"/>
          <w:sz w:val="24"/>
          <w:szCs w:val="24"/>
          <w:lang w:val="ro-RO"/>
        </w:rPr>
      </w:pPr>
      <w:r w:rsidRPr="001C6DCE">
        <w:rPr>
          <w:rFonts w:asciiTheme="majorHAnsi" w:hAnsiTheme="majorHAnsi" w:cstheme="majorHAnsi"/>
          <w:b/>
          <w:bCs/>
          <w:sz w:val="24"/>
          <w:szCs w:val="24"/>
          <w:lang w:val="ro-RO"/>
        </w:rPr>
        <w:t>6.3</w:t>
      </w:r>
      <w:r w:rsidR="005C3865" w:rsidRPr="001C6DCE">
        <w:rPr>
          <w:rFonts w:asciiTheme="majorHAnsi" w:hAnsiTheme="majorHAnsi" w:cstheme="majorHAnsi"/>
          <w:b/>
          <w:bCs/>
          <w:sz w:val="24"/>
          <w:szCs w:val="24"/>
          <w:lang w:val="ro-RO"/>
        </w:rPr>
        <w:t>.</w:t>
      </w:r>
      <w:r w:rsidRPr="001C6DCE">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eastAsia="ro-MD"/>
        </w:rPr>
        <w:t xml:space="preserve">Auditul nu atestă progrese </w:t>
      </w:r>
      <w:r w:rsidR="00BD7960" w:rsidRPr="001C6DCE">
        <w:rPr>
          <w:rFonts w:asciiTheme="majorHAnsi" w:hAnsiTheme="majorHAnsi" w:cstheme="majorHAnsi"/>
          <w:sz w:val="24"/>
          <w:szCs w:val="24"/>
          <w:lang w:val="ro-RO" w:eastAsia="ro-MD"/>
        </w:rPr>
        <w:t xml:space="preserve">semnificative </w:t>
      </w:r>
      <w:r w:rsidR="00172E4A" w:rsidRPr="001C6DCE">
        <w:rPr>
          <w:rFonts w:asciiTheme="majorHAnsi" w:hAnsiTheme="majorHAnsi" w:cstheme="majorHAnsi"/>
          <w:sz w:val="24"/>
          <w:szCs w:val="24"/>
          <w:lang w:val="ro-RO" w:eastAsia="ro-MD"/>
        </w:rPr>
        <w:t>la</w:t>
      </w:r>
      <w:r w:rsidRPr="001C6DCE">
        <w:rPr>
          <w:rFonts w:asciiTheme="majorHAnsi" w:hAnsiTheme="majorHAnsi" w:cstheme="majorHAnsi"/>
          <w:sz w:val="24"/>
          <w:szCs w:val="24"/>
          <w:lang w:val="ro-RO" w:eastAsia="ro-MD"/>
        </w:rPr>
        <w:t xml:space="preserve"> implementarea recomandărilor</w:t>
      </w:r>
      <w:r w:rsidRPr="001C6DCE">
        <w:rPr>
          <w:rFonts w:asciiTheme="majorHAnsi" w:hAnsiTheme="majorHAnsi" w:cstheme="majorHAnsi"/>
          <w:sz w:val="24"/>
          <w:szCs w:val="24"/>
          <w:lang w:val="ro-RO"/>
        </w:rPr>
        <w:t xml:space="preserve"> înaintate prin Hotărârea Curții de Conturi nr.41 din 29.07.2022, din lipsa unui sistem de monitorizare a activităților de implementare a recomandărilor de audit, inclusiv din lipsa procedurilor și proceselor clar definite pentru fiecare subdiviziune, precum și din cauza nemonitorizării activității entităților subordonate </w:t>
      </w:r>
      <w:r w:rsidRPr="001C6DCE">
        <w:rPr>
          <w:rFonts w:asciiTheme="majorHAnsi" w:eastAsia="Times New Roman" w:hAnsiTheme="majorHAnsi" w:cstheme="majorHAnsi"/>
          <w:bCs/>
          <w:sz w:val="24"/>
          <w:szCs w:val="24"/>
          <w:lang w:val="ro-RO"/>
        </w:rPr>
        <w:t xml:space="preserve">(73 de instituții bugetare și 78 de instituții la autogestiune). </w:t>
      </w:r>
      <w:r w:rsidRPr="001C6DCE">
        <w:rPr>
          <w:rFonts w:asciiTheme="majorHAnsi" w:hAnsiTheme="majorHAnsi" w:cstheme="majorHAnsi"/>
          <w:sz w:val="24"/>
          <w:szCs w:val="24"/>
          <w:lang w:val="ro-RO"/>
        </w:rPr>
        <w:t xml:space="preserve">Din 23 </w:t>
      </w:r>
      <w:r w:rsidR="002B52D7" w:rsidRPr="001C6DCE">
        <w:rPr>
          <w:rFonts w:asciiTheme="majorHAnsi" w:hAnsiTheme="majorHAnsi" w:cstheme="majorHAnsi"/>
          <w:sz w:val="24"/>
          <w:szCs w:val="24"/>
          <w:lang w:val="ro-RO"/>
        </w:rPr>
        <w:t xml:space="preserve">de </w:t>
      </w:r>
      <w:r w:rsidRPr="001C6DCE">
        <w:rPr>
          <w:rFonts w:asciiTheme="majorHAnsi" w:hAnsiTheme="majorHAnsi" w:cstheme="majorHAnsi"/>
          <w:sz w:val="24"/>
          <w:szCs w:val="24"/>
          <w:lang w:val="ro-RO"/>
        </w:rPr>
        <w:t xml:space="preserve">recomandări înaintate, </w:t>
      </w:r>
      <w:r w:rsidR="002C49E3" w:rsidRPr="001C6DCE">
        <w:rPr>
          <w:rFonts w:asciiTheme="majorHAnsi" w:hAnsiTheme="majorHAnsi" w:cstheme="majorHAnsi"/>
          <w:sz w:val="24"/>
          <w:szCs w:val="24"/>
          <w:lang w:val="ro-RO"/>
        </w:rPr>
        <w:t xml:space="preserve">5 </w:t>
      </w:r>
      <w:r w:rsidRPr="001C6DCE">
        <w:rPr>
          <w:rFonts w:asciiTheme="majorHAnsi" w:hAnsiTheme="majorHAnsi" w:cstheme="majorHAnsi"/>
          <w:sz w:val="24"/>
          <w:szCs w:val="24"/>
          <w:lang w:val="ro-RO"/>
        </w:rPr>
        <w:t xml:space="preserve">recomandări au fost executate, </w:t>
      </w:r>
      <w:r w:rsidR="002C49E3" w:rsidRPr="001C6DCE">
        <w:rPr>
          <w:rFonts w:asciiTheme="majorHAnsi" w:hAnsiTheme="majorHAnsi" w:cstheme="majorHAnsi"/>
          <w:sz w:val="24"/>
          <w:szCs w:val="24"/>
          <w:lang w:val="ro-RO"/>
        </w:rPr>
        <w:t xml:space="preserve">6 </w:t>
      </w:r>
      <w:r w:rsidRPr="001C6DCE">
        <w:rPr>
          <w:rFonts w:asciiTheme="majorHAnsi" w:hAnsiTheme="majorHAnsi" w:cstheme="majorHAnsi"/>
          <w:sz w:val="24"/>
          <w:szCs w:val="24"/>
          <w:lang w:val="ro-RO"/>
        </w:rPr>
        <w:t xml:space="preserve">recomandări - parțial executate, iar </w:t>
      </w:r>
      <w:r w:rsidR="002C49E3" w:rsidRPr="001C6DCE">
        <w:rPr>
          <w:rFonts w:asciiTheme="majorHAnsi" w:hAnsiTheme="majorHAnsi" w:cstheme="majorHAnsi"/>
          <w:sz w:val="24"/>
          <w:szCs w:val="24"/>
          <w:lang w:val="ro-RO"/>
        </w:rPr>
        <w:t xml:space="preserve">12 </w:t>
      </w:r>
      <w:r w:rsidRPr="001C6DCE">
        <w:rPr>
          <w:rFonts w:asciiTheme="majorHAnsi" w:hAnsiTheme="majorHAnsi" w:cstheme="majorHAnsi"/>
          <w:sz w:val="24"/>
          <w:szCs w:val="24"/>
          <w:lang w:val="ro-RO"/>
        </w:rPr>
        <w:t>- neexecutate. Situația dată a condiționat persistența unor aspecte care au influențat opinia de audit și asupra cărora este orientată în continuare atenția noastră.</w:t>
      </w:r>
    </w:p>
    <w:p w14:paraId="2F4E1B3E" w14:textId="4FA0679C" w:rsidR="00404882" w:rsidRPr="001C6DCE" w:rsidRDefault="00614CB7" w:rsidP="008C4E63">
      <w:pPr>
        <w:pStyle w:val="a8"/>
        <w:spacing w:line="276" w:lineRule="auto"/>
        <w:ind w:left="0" w:right="-41"/>
        <w:rPr>
          <w:rFonts w:asciiTheme="majorHAnsi" w:hAnsiTheme="majorHAnsi" w:cstheme="majorHAnsi"/>
          <w:sz w:val="24"/>
          <w:szCs w:val="24"/>
          <w:shd w:val="clear" w:color="auto" w:fill="FFFFFF"/>
          <w:lang w:val="ro-RO"/>
        </w:rPr>
      </w:pPr>
      <w:r w:rsidRPr="001C6DCE">
        <w:rPr>
          <w:rFonts w:asciiTheme="majorHAnsi" w:hAnsiTheme="majorHAnsi" w:cstheme="majorHAnsi"/>
          <w:b/>
          <w:bCs/>
          <w:sz w:val="24"/>
          <w:szCs w:val="24"/>
          <w:lang w:val="ro-RO"/>
        </w:rPr>
        <w:t>6.</w:t>
      </w:r>
      <w:r w:rsidR="00B5365A" w:rsidRPr="001C6DCE">
        <w:rPr>
          <w:rFonts w:asciiTheme="majorHAnsi" w:hAnsiTheme="majorHAnsi" w:cstheme="majorHAnsi"/>
          <w:b/>
          <w:bCs/>
          <w:sz w:val="24"/>
          <w:szCs w:val="24"/>
          <w:lang w:val="ro-RO"/>
        </w:rPr>
        <w:t>4</w:t>
      </w:r>
      <w:r w:rsidR="005C3865" w:rsidRPr="001C6DCE">
        <w:rPr>
          <w:rFonts w:asciiTheme="majorHAnsi" w:hAnsiTheme="majorHAnsi" w:cstheme="majorHAnsi"/>
          <w:b/>
          <w:bCs/>
          <w:sz w:val="24"/>
          <w:szCs w:val="24"/>
          <w:lang w:val="ro-RO"/>
        </w:rPr>
        <w:t>.</w:t>
      </w:r>
      <w:r w:rsidR="00404882" w:rsidRPr="001C6DCE">
        <w:rPr>
          <w:rFonts w:asciiTheme="majorHAnsi" w:hAnsiTheme="majorHAnsi" w:cstheme="majorHAnsi"/>
          <w:b/>
          <w:bCs/>
          <w:sz w:val="24"/>
          <w:szCs w:val="24"/>
          <w:lang w:val="ro-RO"/>
        </w:rPr>
        <w:t xml:space="preserve"> </w:t>
      </w:r>
      <w:r w:rsidR="00404882" w:rsidRPr="001C6DCE">
        <w:rPr>
          <w:rFonts w:asciiTheme="majorHAnsi" w:hAnsiTheme="majorHAnsi" w:cstheme="majorHAnsi"/>
          <w:sz w:val="24"/>
          <w:szCs w:val="24"/>
          <w:lang w:val="ro-RO"/>
        </w:rPr>
        <w:t>Procesul de reorganizare</w:t>
      </w:r>
      <w:r w:rsidR="00BD7960" w:rsidRPr="001C6DCE">
        <w:rPr>
          <w:rFonts w:asciiTheme="majorHAnsi" w:hAnsiTheme="majorHAnsi" w:cstheme="majorHAnsi"/>
          <w:sz w:val="24"/>
          <w:szCs w:val="24"/>
          <w:lang w:val="ro-RO"/>
        </w:rPr>
        <w:t>/fuziune</w:t>
      </w:r>
      <w:r w:rsidR="00404882" w:rsidRPr="001C6DCE">
        <w:rPr>
          <w:rFonts w:asciiTheme="majorHAnsi" w:hAnsiTheme="majorHAnsi" w:cstheme="majorHAnsi"/>
          <w:sz w:val="24"/>
          <w:szCs w:val="24"/>
          <w:lang w:val="ro-RO"/>
        </w:rPr>
        <w:t xml:space="preserve"> a instituțiilor de învățământ superior </w:t>
      </w:r>
      <w:r w:rsidR="00EB5234" w:rsidRPr="001C6DCE">
        <w:rPr>
          <w:rFonts w:asciiTheme="majorHAnsi" w:hAnsiTheme="majorHAnsi" w:cstheme="majorHAnsi"/>
          <w:sz w:val="24"/>
          <w:szCs w:val="24"/>
          <w:lang w:val="ro-RO"/>
        </w:rPr>
        <w:t>nu s-a realizat în corespundere cu prevederile H</w:t>
      </w:r>
      <w:r w:rsidR="002B52D7" w:rsidRPr="001C6DCE">
        <w:rPr>
          <w:rFonts w:asciiTheme="majorHAnsi" w:hAnsiTheme="majorHAnsi" w:cstheme="majorHAnsi"/>
          <w:sz w:val="24"/>
          <w:szCs w:val="24"/>
          <w:lang w:val="ro-RO"/>
        </w:rPr>
        <w:t xml:space="preserve">otărârii </w:t>
      </w:r>
      <w:r w:rsidR="00EB5234" w:rsidRPr="001C6DCE">
        <w:rPr>
          <w:rFonts w:asciiTheme="majorHAnsi" w:hAnsiTheme="majorHAnsi" w:cstheme="majorHAnsi"/>
          <w:sz w:val="24"/>
          <w:szCs w:val="24"/>
          <w:lang w:val="ro-RO"/>
        </w:rPr>
        <w:t>G</w:t>
      </w:r>
      <w:r w:rsidR="002B52D7" w:rsidRPr="001C6DCE">
        <w:rPr>
          <w:rFonts w:asciiTheme="majorHAnsi" w:hAnsiTheme="majorHAnsi" w:cstheme="majorHAnsi"/>
          <w:sz w:val="24"/>
          <w:szCs w:val="24"/>
          <w:lang w:val="ro-RO"/>
        </w:rPr>
        <w:t>uvernului</w:t>
      </w:r>
      <w:r w:rsidR="00EB5234" w:rsidRPr="001C6DCE">
        <w:rPr>
          <w:rFonts w:asciiTheme="majorHAnsi" w:hAnsiTheme="majorHAnsi" w:cstheme="majorHAnsi"/>
          <w:sz w:val="24"/>
          <w:szCs w:val="24"/>
          <w:lang w:val="ro-RO"/>
        </w:rPr>
        <w:t xml:space="preserve"> nr. 485/2022</w:t>
      </w:r>
      <w:r w:rsidR="00CC4FF1" w:rsidRPr="001C6DCE">
        <w:rPr>
          <w:rStyle w:val="a5"/>
          <w:rFonts w:asciiTheme="majorHAnsi" w:hAnsiTheme="majorHAnsi" w:cstheme="majorHAnsi"/>
          <w:sz w:val="24"/>
          <w:szCs w:val="24"/>
          <w:lang w:val="ro-RO"/>
        </w:rPr>
        <w:footnoteReference w:id="20"/>
      </w:r>
      <w:r w:rsidR="00EB5234" w:rsidRPr="001C6DCE">
        <w:rPr>
          <w:rFonts w:asciiTheme="majorHAnsi" w:hAnsiTheme="majorHAnsi" w:cstheme="majorHAnsi"/>
          <w:sz w:val="24"/>
          <w:szCs w:val="24"/>
          <w:lang w:val="ro-RO"/>
        </w:rPr>
        <w:t xml:space="preserve"> </w:t>
      </w:r>
      <w:r w:rsidR="00713A0A" w:rsidRPr="001C6DCE">
        <w:rPr>
          <w:rFonts w:asciiTheme="majorHAnsi" w:hAnsiTheme="majorHAnsi" w:cstheme="majorHAnsi"/>
          <w:sz w:val="24"/>
          <w:szCs w:val="24"/>
          <w:lang w:val="ro-RO"/>
        </w:rPr>
        <w:t>(pct. 13)</w:t>
      </w:r>
      <w:r w:rsidR="002B52D7" w:rsidRPr="001C6DCE">
        <w:rPr>
          <w:rFonts w:asciiTheme="majorHAnsi" w:hAnsiTheme="majorHAnsi" w:cstheme="majorHAnsi"/>
          <w:sz w:val="24"/>
          <w:szCs w:val="24"/>
          <w:lang w:val="ro-RO"/>
        </w:rPr>
        <w:t>,</w:t>
      </w:r>
      <w:r w:rsidR="00721AC1">
        <w:rPr>
          <w:rFonts w:asciiTheme="majorHAnsi" w:hAnsiTheme="majorHAnsi" w:cstheme="majorHAnsi"/>
          <w:sz w:val="24"/>
          <w:szCs w:val="24"/>
          <w:lang w:val="ro-RO"/>
        </w:rPr>
        <w:t xml:space="preserve"> </w:t>
      </w:r>
      <w:r w:rsidR="002B52D7" w:rsidRPr="001C6DCE">
        <w:rPr>
          <w:rFonts w:asciiTheme="majorHAnsi" w:hAnsiTheme="majorHAnsi" w:cstheme="majorHAnsi"/>
          <w:sz w:val="24"/>
          <w:szCs w:val="24"/>
          <w:lang w:val="ro-RO"/>
        </w:rPr>
        <w:t>potrivit</w:t>
      </w:r>
      <w:r w:rsidR="00EB5234" w:rsidRPr="001C6DCE">
        <w:rPr>
          <w:rFonts w:asciiTheme="majorHAnsi" w:hAnsiTheme="majorHAnsi" w:cstheme="majorHAnsi"/>
          <w:sz w:val="24"/>
          <w:szCs w:val="24"/>
          <w:lang w:val="ro-RO"/>
        </w:rPr>
        <w:t xml:space="preserve"> căr</w:t>
      </w:r>
      <w:r w:rsidR="002B52D7" w:rsidRPr="001C6DCE">
        <w:rPr>
          <w:rFonts w:asciiTheme="majorHAnsi" w:hAnsiTheme="majorHAnsi" w:cstheme="majorHAnsi"/>
          <w:sz w:val="24"/>
          <w:szCs w:val="24"/>
          <w:lang w:val="ro-RO"/>
        </w:rPr>
        <w:t>or</w:t>
      </w:r>
      <w:r w:rsidR="00EB5234" w:rsidRPr="001C6DCE">
        <w:rPr>
          <w:rFonts w:asciiTheme="majorHAnsi" w:hAnsiTheme="majorHAnsi" w:cstheme="majorHAnsi"/>
          <w:sz w:val="24"/>
          <w:szCs w:val="24"/>
          <w:lang w:val="ro-RO"/>
        </w:rPr>
        <w:t>a</w:t>
      </w:r>
      <w:r w:rsidR="002B52D7" w:rsidRPr="001C6DCE">
        <w:rPr>
          <w:rFonts w:asciiTheme="majorHAnsi" w:hAnsiTheme="majorHAnsi" w:cstheme="majorHAnsi"/>
          <w:sz w:val="24"/>
          <w:szCs w:val="24"/>
          <w:lang w:val="ro-RO"/>
        </w:rPr>
        <w:t>,</w:t>
      </w:r>
      <w:r w:rsidR="00EB5234" w:rsidRPr="001C6DCE">
        <w:rPr>
          <w:rFonts w:asciiTheme="majorHAnsi" w:hAnsiTheme="majorHAnsi" w:cstheme="majorHAnsi"/>
          <w:sz w:val="24"/>
          <w:szCs w:val="24"/>
          <w:lang w:val="ro-RO"/>
        </w:rPr>
        <w:t xml:space="preserve"> urmau a fi absorbite 4 instituții de învățământ superior, </w:t>
      </w:r>
      <w:r w:rsidR="002B52D7" w:rsidRPr="001C6DCE">
        <w:rPr>
          <w:rFonts w:asciiTheme="majorHAnsi" w:hAnsiTheme="majorHAnsi" w:cstheme="majorHAnsi"/>
          <w:sz w:val="24"/>
          <w:szCs w:val="24"/>
          <w:lang w:val="ro-RO"/>
        </w:rPr>
        <w:t>da</w:t>
      </w:r>
      <w:r w:rsidR="00EB5234" w:rsidRPr="001C6DCE">
        <w:rPr>
          <w:rFonts w:asciiTheme="majorHAnsi" w:hAnsiTheme="majorHAnsi" w:cstheme="majorHAnsi"/>
          <w:sz w:val="24"/>
          <w:szCs w:val="24"/>
          <w:lang w:val="ro-RO"/>
        </w:rPr>
        <w:t>r de fapt au fost absorbite doar 3 instituții, deși</w:t>
      </w:r>
      <w:r w:rsidR="00721AC1">
        <w:rPr>
          <w:rFonts w:asciiTheme="majorHAnsi" w:hAnsiTheme="majorHAnsi" w:cstheme="majorHAnsi"/>
          <w:sz w:val="24"/>
          <w:szCs w:val="24"/>
          <w:lang w:val="ro-RO"/>
        </w:rPr>
        <w:t xml:space="preserve"> </w:t>
      </w:r>
      <w:r w:rsidR="00EB5234" w:rsidRPr="001C6DCE">
        <w:rPr>
          <w:rFonts w:asciiTheme="majorHAnsi" w:hAnsiTheme="majorHAnsi" w:cstheme="majorHAnsi"/>
          <w:sz w:val="24"/>
          <w:szCs w:val="24"/>
          <w:lang w:val="ro-RO"/>
        </w:rPr>
        <w:t>analizel</w:t>
      </w:r>
      <w:r w:rsidR="002B52D7" w:rsidRPr="001C6DCE">
        <w:rPr>
          <w:rFonts w:asciiTheme="majorHAnsi" w:hAnsiTheme="majorHAnsi" w:cstheme="majorHAnsi"/>
          <w:sz w:val="24"/>
          <w:szCs w:val="24"/>
          <w:lang w:val="ro-RO"/>
        </w:rPr>
        <w:t>e</w:t>
      </w:r>
      <w:r w:rsidR="00EB5234" w:rsidRPr="001C6DCE">
        <w:rPr>
          <w:rFonts w:asciiTheme="majorHAnsi" w:hAnsiTheme="majorHAnsi" w:cstheme="majorHAnsi"/>
          <w:sz w:val="24"/>
          <w:szCs w:val="24"/>
          <w:lang w:val="ro-RO"/>
        </w:rPr>
        <w:t xml:space="preserve"> efectuate de MEC </w:t>
      </w:r>
      <w:r w:rsidR="002B52D7" w:rsidRPr="001C6DCE">
        <w:rPr>
          <w:rFonts w:asciiTheme="majorHAnsi" w:hAnsiTheme="majorHAnsi" w:cstheme="majorHAnsi"/>
          <w:sz w:val="24"/>
          <w:szCs w:val="24"/>
          <w:lang w:val="ro-RO"/>
        </w:rPr>
        <w:t xml:space="preserve">indică că </w:t>
      </w:r>
      <w:r w:rsidR="00EB5234" w:rsidRPr="001C6DCE">
        <w:rPr>
          <w:rFonts w:asciiTheme="majorHAnsi" w:hAnsiTheme="majorHAnsi" w:cstheme="majorHAnsi"/>
          <w:sz w:val="24"/>
          <w:szCs w:val="24"/>
          <w:lang w:val="ro-RO"/>
        </w:rPr>
        <w:t xml:space="preserve">urmau a fi absorbite 5 instituții de învățământ superior. </w:t>
      </w:r>
    </w:p>
    <w:p w14:paraId="49DB0529" w14:textId="1046EA08" w:rsidR="00404882" w:rsidRPr="001C6DCE" w:rsidRDefault="00713A0A">
      <w:pPr>
        <w:spacing w:after="0" w:line="276" w:lineRule="auto"/>
        <w:jc w:val="both"/>
        <w:rPr>
          <w:rFonts w:asciiTheme="majorHAnsi" w:hAnsiTheme="majorHAnsi" w:cstheme="majorHAnsi"/>
          <w:sz w:val="24"/>
          <w:szCs w:val="24"/>
          <w:lang w:val="ro-RO"/>
        </w:rPr>
      </w:pPr>
      <w:r w:rsidRPr="001C6DCE">
        <w:rPr>
          <w:rFonts w:asciiTheme="majorHAnsi" w:hAnsiTheme="majorHAnsi" w:cstheme="majorHAnsi"/>
          <w:sz w:val="24"/>
          <w:szCs w:val="24"/>
          <w:lang w:val="ro-RO"/>
        </w:rPr>
        <w:t>De asemenea</w:t>
      </w:r>
      <w:r w:rsidR="00404882" w:rsidRPr="001C6DCE">
        <w:rPr>
          <w:rFonts w:asciiTheme="majorHAnsi" w:hAnsiTheme="majorHAnsi" w:cstheme="majorHAnsi"/>
          <w:sz w:val="24"/>
          <w:szCs w:val="24"/>
          <w:lang w:val="ro-RO"/>
        </w:rPr>
        <w:t>, potrivit analizelor efectuate</w:t>
      </w:r>
      <w:r w:rsidR="002B52D7" w:rsidRPr="001C6DCE">
        <w:rPr>
          <w:rFonts w:asciiTheme="majorHAnsi" w:hAnsiTheme="majorHAnsi" w:cstheme="majorHAnsi"/>
          <w:sz w:val="24"/>
          <w:szCs w:val="24"/>
          <w:lang w:val="ro-RO"/>
        </w:rPr>
        <w:t>,</w:t>
      </w:r>
      <w:r w:rsidR="00404882" w:rsidRPr="001C6DCE">
        <w:rPr>
          <w:rFonts w:asciiTheme="majorHAnsi" w:hAnsiTheme="majorHAnsi" w:cstheme="majorHAnsi"/>
          <w:sz w:val="24"/>
          <w:szCs w:val="24"/>
          <w:lang w:val="ro-RO"/>
        </w:rPr>
        <w:t xml:space="preserve"> unul din</w:t>
      </w:r>
      <w:r w:rsidR="002B52D7" w:rsidRPr="001C6DCE">
        <w:rPr>
          <w:rFonts w:asciiTheme="majorHAnsi" w:hAnsiTheme="majorHAnsi" w:cstheme="majorHAnsi"/>
          <w:sz w:val="24"/>
          <w:szCs w:val="24"/>
          <w:lang w:val="ro-RO"/>
        </w:rPr>
        <w:t>tre</w:t>
      </w:r>
      <w:r w:rsidR="00404882" w:rsidRPr="001C6DCE">
        <w:rPr>
          <w:rFonts w:asciiTheme="majorHAnsi" w:hAnsiTheme="majorHAnsi" w:cstheme="majorHAnsi"/>
          <w:sz w:val="24"/>
          <w:szCs w:val="24"/>
          <w:lang w:val="ro-RO"/>
        </w:rPr>
        <w:t xml:space="preserve"> obiective</w:t>
      </w:r>
      <w:r w:rsidR="002B52D7" w:rsidRPr="001C6DCE">
        <w:rPr>
          <w:rFonts w:asciiTheme="majorHAnsi" w:hAnsiTheme="majorHAnsi" w:cstheme="majorHAnsi"/>
          <w:sz w:val="24"/>
          <w:szCs w:val="24"/>
          <w:lang w:val="ro-RO"/>
        </w:rPr>
        <w:t>le</w:t>
      </w:r>
      <w:r w:rsidR="00404882" w:rsidRPr="001C6DCE">
        <w:rPr>
          <w:rFonts w:asciiTheme="majorHAnsi" w:hAnsiTheme="majorHAnsi" w:cstheme="majorHAnsi"/>
          <w:sz w:val="24"/>
          <w:szCs w:val="24"/>
          <w:lang w:val="ro-RO"/>
        </w:rPr>
        <w:t xml:space="preserve"> care a</w:t>
      </w:r>
      <w:r w:rsidR="002B52D7" w:rsidRPr="001C6DCE">
        <w:rPr>
          <w:rFonts w:asciiTheme="majorHAnsi" w:hAnsiTheme="majorHAnsi" w:cstheme="majorHAnsi"/>
          <w:sz w:val="24"/>
          <w:szCs w:val="24"/>
          <w:lang w:val="ro-RO"/>
        </w:rPr>
        <w:t>u</w:t>
      </w:r>
      <w:r w:rsidR="00404882" w:rsidRPr="001C6DCE">
        <w:rPr>
          <w:rFonts w:asciiTheme="majorHAnsi" w:hAnsiTheme="majorHAnsi" w:cstheme="majorHAnsi"/>
          <w:sz w:val="24"/>
          <w:szCs w:val="24"/>
          <w:lang w:val="ro-RO"/>
        </w:rPr>
        <w:t xml:space="preserve"> stat la baza reformei </w:t>
      </w:r>
      <w:r w:rsidR="002B52D7" w:rsidRPr="001C6DCE">
        <w:rPr>
          <w:rFonts w:asciiTheme="majorHAnsi" w:hAnsiTheme="majorHAnsi" w:cstheme="majorHAnsi"/>
          <w:sz w:val="24"/>
          <w:szCs w:val="24"/>
          <w:lang w:val="ro-RO"/>
        </w:rPr>
        <w:t xml:space="preserve">date </w:t>
      </w:r>
      <w:r w:rsidR="00404882" w:rsidRPr="001C6DCE">
        <w:rPr>
          <w:rFonts w:asciiTheme="majorHAnsi" w:hAnsiTheme="majorHAnsi" w:cstheme="majorHAnsi"/>
          <w:sz w:val="24"/>
          <w:szCs w:val="24"/>
          <w:lang w:val="ro-RO"/>
        </w:rPr>
        <w:t xml:space="preserve">a fost numărul de locuri bugetare </w:t>
      </w:r>
      <w:r w:rsidR="00431189" w:rsidRPr="001C6DCE">
        <w:rPr>
          <w:rFonts w:asciiTheme="majorHAnsi" w:hAnsiTheme="majorHAnsi" w:cstheme="majorHAnsi"/>
          <w:sz w:val="24"/>
          <w:szCs w:val="24"/>
          <w:lang w:val="ro-RO"/>
        </w:rPr>
        <w:t>„</w:t>
      </w:r>
      <w:r w:rsidR="00404882" w:rsidRPr="001C6DCE">
        <w:rPr>
          <w:rFonts w:asciiTheme="majorHAnsi" w:hAnsiTheme="majorHAnsi" w:cstheme="majorHAnsi"/>
          <w:sz w:val="24"/>
          <w:szCs w:val="24"/>
          <w:lang w:val="ro-RO"/>
        </w:rPr>
        <w:t>bucățite</w:t>
      </w:r>
      <w:r w:rsidR="00226967" w:rsidRPr="001C6DCE">
        <w:rPr>
          <w:rFonts w:asciiTheme="majorHAnsi" w:hAnsiTheme="majorHAnsi" w:cstheme="majorHAnsi"/>
          <w:sz w:val="24"/>
          <w:szCs w:val="24"/>
          <w:lang w:val="ro-RO"/>
        </w:rPr>
        <w:t>”/repartizate</w:t>
      </w:r>
      <w:r w:rsidR="00404882" w:rsidRPr="001C6DCE">
        <w:rPr>
          <w:rFonts w:asciiTheme="majorHAnsi" w:hAnsiTheme="majorHAnsi" w:cstheme="majorHAnsi"/>
          <w:sz w:val="24"/>
          <w:szCs w:val="24"/>
          <w:lang w:val="ro-RO"/>
        </w:rPr>
        <w:t xml:space="preserve"> pe universități</w:t>
      </w:r>
      <w:r w:rsidR="002B52D7" w:rsidRPr="001C6DCE">
        <w:rPr>
          <w:rFonts w:asciiTheme="majorHAnsi" w:hAnsiTheme="majorHAnsi" w:cstheme="majorHAnsi"/>
          <w:sz w:val="24"/>
          <w:szCs w:val="24"/>
          <w:lang w:val="ro-RO"/>
        </w:rPr>
        <w:t>, de care nu s-a ținut cont</w:t>
      </w:r>
      <w:r w:rsidR="00404882" w:rsidRPr="001C6DCE">
        <w:rPr>
          <w:rFonts w:asciiTheme="majorHAnsi" w:hAnsiTheme="majorHAnsi" w:cstheme="majorHAnsi"/>
          <w:sz w:val="24"/>
          <w:szCs w:val="24"/>
          <w:lang w:val="ro-RO"/>
        </w:rPr>
        <w:t xml:space="preserve"> </w:t>
      </w:r>
      <w:r w:rsidR="002B52D7" w:rsidRPr="001C6DCE">
        <w:rPr>
          <w:rFonts w:asciiTheme="majorHAnsi" w:hAnsiTheme="majorHAnsi" w:cstheme="majorHAnsi"/>
          <w:sz w:val="24"/>
          <w:szCs w:val="24"/>
          <w:lang w:val="ro-RO"/>
        </w:rPr>
        <w:t xml:space="preserve">la </w:t>
      </w:r>
      <w:r w:rsidR="00404882" w:rsidRPr="001C6DCE">
        <w:rPr>
          <w:rFonts w:asciiTheme="majorHAnsi" w:hAnsiTheme="majorHAnsi" w:cstheme="majorHAnsi"/>
          <w:sz w:val="24"/>
          <w:szCs w:val="24"/>
          <w:lang w:val="ro-RO"/>
        </w:rPr>
        <w:t>reorganizarea</w:t>
      </w:r>
      <w:r w:rsidR="002B52D7" w:rsidRPr="001C6DCE">
        <w:rPr>
          <w:rFonts w:asciiTheme="majorHAnsi" w:hAnsiTheme="majorHAnsi" w:cstheme="majorHAnsi"/>
          <w:sz w:val="24"/>
          <w:szCs w:val="24"/>
          <w:lang w:val="ro-RO"/>
        </w:rPr>
        <w:t xml:space="preserve"> </w:t>
      </w:r>
      <w:r w:rsidR="00404882" w:rsidRPr="001C6DCE">
        <w:rPr>
          <w:rFonts w:asciiTheme="majorHAnsi" w:hAnsiTheme="majorHAnsi" w:cstheme="majorHAnsi"/>
          <w:sz w:val="24"/>
          <w:szCs w:val="24"/>
          <w:lang w:val="ro-RO"/>
        </w:rPr>
        <w:t>instituțiilor de învățământ superior</w:t>
      </w:r>
      <w:r w:rsidR="00241E0E" w:rsidRPr="001C6DCE">
        <w:rPr>
          <w:rFonts w:asciiTheme="majorHAnsi" w:hAnsiTheme="majorHAnsi" w:cstheme="majorHAnsi"/>
          <w:sz w:val="24"/>
          <w:szCs w:val="24"/>
          <w:lang w:val="ro-RO"/>
        </w:rPr>
        <w:t xml:space="preserve">, </w:t>
      </w:r>
      <w:r w:rsidR="00404882" w:rsidRPr="001C6DCE">
        <w:rPr>
          <w:rFonts w:asciiTheme="majorHAnsi" w:hAnsiTheme="majorHAnsi" w:cstheme="majorHAnsi"/>
          <w:sz w:val="24"/>
          <w:szCs w:val="24"/>
          <w:lang w:val="ro-RO"/>
        </w:rPr>
        <w:t>urmare</w:t>
      </w:r>
      <w:r w:rsidR="00241E0E" w:rsidRPr="001C6DCE">
        <w:rPr>
          <w:rFonts w:asciiTheme="majorHAnsi" w:hAnsiTheme="majorHAnsi" w:cstheme="majorHAnsi"/>
          <w:sz w:val="24"/>
          <w:szCs w:val="24"/>
          <w:lang w:val="ro-RO"/>
        </w:rPr>
        <w:t xml:space="preserve"> cărui fapt</w:t>
      </w:r>
      <w:r w:rsidR="002B52D7" w:rsidRPr="001C6DCE">
        <w:rPr>
          <w:rFonts w:asciiTheme="majorHAnsi" w:hAnsiTheme="majorHAnsi" w:cstheme="majorHAnsi"/>
          <w:sz w:val="24"/>
          <w:szCs w:val="24"/>
          <w:lang w:val="ro-RO"/>
        </w:rPr>
        <w:t>,</w:t>
      </w:r>
      <w:r w:rsidR="00404882" w:rsidRPr="001C6DCE">
        <w:rPr>
          <w:rFonts w:asciiTheme="majorHAnsi" w:hAnsiTheme="majorHAnsi" w:cstheme="majorHAnsi"/>
          <w:sz w:val="24"/>
          <w:szCs w:val="24"/>
          <w:lang w:val="ro-RO"/>
        </w:rPr>
        <w:t xml:space="preserve"> unele și aceleași specialități sunt repartizate la mai multe instituții de învățământ superior</w:t>
      </w:r>
      <w:r w:rsidR="00241E0E" w:rsidRPr="001C6DCE">
        <w:rPr>
          <w:rFonts w:asciiTheme="majorHAnsi" w:hAnsiTheme="majorHAnsi" w:cstheme="majorHAnsi"/>
          <w:sz w:val="24"/>
          <w:szCs w:val="24"/>
          <w:lang w:val="ro-RO"/>
        </w:rPr>
        <w:t>, și anume</w:t>
      </w:r>
      <w:r w:rsidRPr="001C6DCE">
        <w:rPr>
          <w:rFonts w:asciiTheme="majorHAnsi" w:hAnsiTheme="majorHAnsi" w:cstheme="majorHAnsi"/>
          <w:sz w:val="24"/>
          <w:szCs w:val="24"/>
          <w:lang w:val="ro-RO"/>
        </w:rPr>
        <w:t>:</w:t>
      </w:r>
    </w:p>
    <w:tbl>
      <w:tblPr>
        <w:tblW w:w="9433" w:type="dxa"/>
        <w:tblLook w:val="04A0" w:firstRow="1" w:lastRow="0" w:firstColumn="1" w:lastColumn="0" w:noHBand="0" w:noVBand="1"/>
      </w:tblPr>
      <w:tblGrid>
        <w:gridCol w:w="2837"/>
        <w:gridCol w:w="1200"/>
        <w:gridCol w:w="998"/>
        <w:gridCol w:w="998"/>
        <w:gridCol w:w="999"/>
        <w:gridCol w:w="999"/>
        <w:gridCol w:w="1402"/>
      </w:tblGrid>
      <w:tr w:rsidR="00713A0A" w:rsidRPr="00721AC1" w14:paraId="3A5C2FC0" w14:textId="77777777" w:rsidTr="00721AC1">
        <w:trPr>
          <w:trHeight w:val="56"/>
        </w:trPr>
        <w:tc>
          <w:tcPr>
            <w:tcW w:w="283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1EF541" w14:textId="245F878E" w:rsidR="00713A0A" w:rsidRPr="00721AC1" w:rsidRDefault="00713A0A" w:rsidP="0051236C">
            <w:pPr>
              <w:spacing w:after="0" w:line="276" w:lineRule="auto"/>
              <w:jc w:val="center"/>
              <w:rPr>
                <w:rFonts w:asciiTheme="majorHAnsi" w:eastAsia="Times New Roman" w:hAnsiTheme="majorHAnsi" w:cstheme="majorHAnsi"/>
                <w:b/>
                <w:bCs/>
                <w:sz w:val="16"/>
                <w:szCs w:val="16"/>
                <w:lang w:val="ro-MD"/>
              </w:rPr>
            </w:pPr>
            <w:r w:rsidRPr="00721AC1">
              <w:rPr>
                <w:rFonts w:asciiTheme="majorHAnsi" w:eastAsia="Times New Roman" w:hAnsiTheme="majorHAnsi" w:cstheme="majorHAnsi"/>
                <w:b/>
                <w:bCs/>
                <w:sz w:val="16"/>
                <w:szCs w:val="16"/>
                <w:lang w:val="ro-MD"/>
              </w:rPr>
              <w:t>Denumire</w:t>
            </w:r>
            <w:r w:rsidR="00241E0E" w:rsidRPr="00721AC1">
              <w:rPr>
                <w:rFonts w:asciiTheme="majorHAnsi" w:eastAsia="Times New Roman" w:hAnsiTheme="majorHAnsi" w:cstheme="majorHAnsi"/>
                <w:b/>
                <w:bCs/>
                <w:sz w:val="16"/>
                <w:szCs w:val="16"/>
                <w:lang w:val="ro-MD"/>
              </w:rPr>
              <w:t>a</w:t>
            </w:r>
            <w:r w:rsidR="00721AC1" w:rsidRPr="00721AC1">
              <w:rPr>
                <w:rFonts w:asciiTheme="majorHAnsi" w:eastAsia="Times New Roman" w:hAnsiTheme="majorHAnsi" w:cstheme="majorHAnsi"/>
                <w:b/>
                <w:bCs/>
                <w:sz w:val="16"/>
                <w:szCs w:val="16"/>
                <w:lang w:val="ro-MD"/>
              </w:rPr>
              <w:t xml:space="preserve"> </w:t>
            </w:r>
            <w:r w:rsidRPr="00721AC1">
              <w:rPr>
                <w:rFonts w:asciiTheme="majorHAnsi" w:eastAsia="Times New Roman" w:hAnsiTheme="majorHAnsi" w:cstheme="majorHAnsi"/>
                <w:b/>
                <w:bCs/>
                <w:sz w:val="16"/>
                <w:szCs w:val="16"/>
                <w:lang w:val="ro-MD"/>
              </w:rPr>
              <w:t xml:space="preserve">specialității </w:t>
            </w:r>
          </w:p>
        </w:tc>
        <w:tc>
          <w:tcPr>
            <w:tcW w:w="6596" w:type="dxa"/>
            <w:gridSpan w:val="6"/>
            <w:tcBorders>
              <w:top w:val="single" w:sz="4" w:space="0" w:color="auto"/>
              <w:left w:val="nil"/>
              <w:bottom w:val="single" w:sz="4" w:space="0" w:color="auto"/>
              <w:right w:val="single" w:sz="4" w:space="0" w:color="auto"/>
            </w:tcBorders>
            <w:shd w:val="clear" w:color="000000" w:fill="D9D9D9"/>
            <w:noWrap/>
            <w:vAlign w:val="center"/>
            <w:hideMark/>
          </w:tcPr>
          <w:p w14:paraId="4FB3A8B6" w14:textId="77777777" w:rsidR="00713A0A" w:rsidRPr="00721AC1" w:rsidRDefault="00713A0A" w:rsidP="0051236C">
            <w:pPr>
              <w:spacing w:after="0" w:line="276" w:lineRule="auto"/>
              <w:jc w:val="center"/>
              <w:rPr>
                <w:rFonts w:asciiTheme="majorHAnsi" w:eastAsia="Times New Roman" w:hAnsiTheme="majorHAnsi" w:cstheme="majorHAnsi"/>
                <w:b/>
                <w:bCs/>
                <w:sz w:val="16"/>
                <w:szCs w:val="16"/>
                <w:lang w:val="ro-MD"/>
              </w:rPr>
            </w:pPr>
            <w:r w:rsidRPr="00721AC1">
              <w:rPr>
                <w:rFonts w:asciiTheme="majorHAnsi" w:eastAsia="Times New Roman" w:hAnsiTheme="majorHAnsi" w:cstheme="majorHAnsi"/>
                <w:b/>
                <w:bCs/>
                <w:sz w:val="16"/>
                <w:szCs w:val="16"/>
                <w:lang w:val="ro-MD"/>
              </w:rPr>
              <w:t>Numărul de studenți înscriși la aceeași specialitate în diferite instituții</w:t>
            </w:r>
          </w:p>
        </w:tc>
      </w:tr>
      <w:tr w:rsidR="00713A0A" w:rsidRPr="00721AC1" w14:paraId="0F4DA548" w14:textId="77777777" w:rsidTr="00721AC1">
        <w:trPr>
          <w:trHeight w:val="47"/>
        </w:trPr>
        <w:tc>
          <w:tcPr>
            <w:tcW w:w="2837" w:type="dxa"/>
            <w:vMerge/>
            <w:tcBorders>
              <w:top w:val="single" w:sz="4" w:space="0" w:color="auto"/>
              <w:left w:val="single" w:sz="4" w:space="0" w:color="auto"/>
              <w:bottom w:val="single" w:sz="4" w:space="0" w:color="auto"/>
              <w:right w:val="single" w:sz="4" w:space="0" w:color="auto"/>
            </w:tcBorders>
            <w:vAlign w:val="center"/>
            <w:hideMark/>
          </w:tcPr>
          <w:p w14:paraId="7DA0A639" w14:textId="77777777" w:rsidR="00713A0A" w:rsidRPr="00721AC1" w:rsidRDefault="00713A0A" w:rsidP="0051236C">
            <w:pPr>
              <w:spacing w:after="0" w:line="276" w:lineRule="auto"/>
              <w:rPr>
                <w:rFonts w:asciiTheme="majorHAnsi" w:eastAsia="Times New Roman" w:hAnsiTheme="majorHAnsi" w:cstheme="majorHAnsi"/>
                <w:b/>
                <w:bCs/>
                <w:sz w:val="16"/>
                <w:szCs w:val="16"/>
                <w:lang w:val="ro-MD"/>
              </w:rPr>
            </w:pPr>
          </w:p>
        </w:tc>
        <w:tc>
          <w:tcPr>
            <w:tcW w:w="1200" w:type="dxa"/>
            <w:tcBorders>
              <w:top w:val="nil"/>
              <w:left w:val="nil"/>
              <w:bottom w:val="single" w:sz="4" w:space="0" w:color="auto"/>
              <w:right w:val="single" w:sz="4" w:space="0" w:color="auto"/>
            </w:tcBorders>
            <w:shd w:val="clear" w:color="000000" w:fill="D9D9D9"/>
            <w:noWrap/>
            <w:vAlign w:val="center"/>
            <w:hideMark/>
          </w:tcPr>
          <w:p w14:paraId="1715D1DE" w14:textId="0F71F139" w:rsidR="00713A0A" w:rsidRPr="00721AC1" w:rsidRDefault="00713A0A" w:rsidP="00721AC1">
            <w:pPr>
              <w:spacing w:after="0" w:line="276" w:lineRule="auto"/>
              <w:jc w:val="center"/>
              <w:rPr>
                <w:rFonts w:asciiTheme="majorHAnsi" w:eastAsia="Times New Roman" w:hAnsiTheme="majorHAnsi" w:cstheme="majorHAnsi"/>
                <w:b/>
                <w:bCs/>
                <w:sz w:val="16"/>
                <w:szCs w:val="16"/>
                <w:lang w:val="ro-MD"/>
              </w:rPr>
            </w:pPr>
            <w:r w:rsidRPr="00721AC1">
              <w:rPr>
                <w:rFonts w:asciiTheme="majorHAnsi" w:eastAsia="Times New Roman" w:hAnsiTheme="majorHAnsi" w:cstheme="majorHAnsi"/>
                <w:b/>
                <w:bCs/>
                <w:sz w:val="16"/>
                <w:szCs w:val="16"/>
                <w:lang w:val="ro-MD"/>
              </w:rPr>
              <w:t>codul</w:t>
            </w:r>
          </w:p>
        </w:tc>
        <w:tc>
          <w:tcPr>
            <w:tcW w:w="998" w:type="dxa"/>
            <w:tcBorders>
              <w:top w:val="nil"/>
              <w:left w:val="nil"/>
              <w:bottom w:val="single" w:sz="4" w:space="0" w:color="auto"/>
              <w:right w:val="single" w:sz="4" w:space="0" w:color="auto"/>
            </w:tcBorders>
            <w:shd w:val="clear" w:color="000000" w:fill="D9D9D9"/>
            <w:noWrap/>
            <w:vAlign w:val="center"/>
            <w:hideMark/>
          </w:tcPr>
          <w:p w14:paraId="3B21008C" w14:textId="77777777" w:rsidR="00713A0A" w:rsidRPr="00721AC1" w:rsidRDefault="00713A0A" w:rsidP="00721AC1">
            <w:pPr>
              <w:spacing w:after="0" w:line="276" w:lineRule="auto"/>
              <w:jc w:val="center"/>
              <w:rPr>
                <w:rFonts w:asciiTheme="majorHAnsi" w:eastAsia="Times New Roman" w:hAnsiTheme="majorHAnsi" w:cstheme="majorHAnsi"/>
                <w:b/>
                <w:bCs/>
                <w:sz w:val="16"/>
                <w:szCs w:val="16"/>
                <w:lang w:val="ro-MD"/>
              </w:rPr>
            </w:pPr>
            <w:r w:rsidRPr="00721AC1">
              <w:rPr>
                <w:rFonts w:asciiTheme="majorHAnsi" w:eastAsia="Times New Roman" w:hAnsiTheme="majorHAnsi" w:cstheme="majorHAnsi"/>
                <w:b/>
                <w:bCs/>
                <w:sz w:val="16"/>
                <w:szCs w:val="16"/>
                <w:lang w:val="ro-MD"/>
              </w:rPr>
              <w:t>UTM</w:t>
            </w:r>
          </w:p>
        </w:tc>
        <w:tc>
          <w:tcPr>
            <w:tcW w:w="998" w:type="dxa"/>
            <w:tcBorders>
              <w:top w:val="nil"/>
              <w:left w:val="nil"/>
              <w:bottom w:val="single" w:sz="4" w:space="0" w:color="auto"/>
              <w:right w:val="single" w:sz="4" w:space="0" w:color="auto"/>
            </w:tcBorders>
            <w:shd w:val="clear" w:color="000000" w:fill="D9D9D9"/>
            <w:noWrap/>
            <w:vAlign w:val="center"/>
            <w:hideMark/>
          </w:tcPr>
          <w:p w14:paraId="7C1EDEF6" w14:textId="77777777" w:rsidR="00713A0A" w:rsidRPr="00721AC1" w:rsidRDefault="00713A0A" w:rsidP="00721AC1">
            <w:pPr>
              <w:spacing w:after="0" w:line="276" w:lineRule="auto"/>
              <w:jc w:val="center"/>
              <w:rPr>
                <w:rFonts w:asciiTheme="majorHAnsi" w:eastAsia="Times New Roman" w:hAnsiTheme="majorHAnsi" w:cstheme="majorHAnsi"/>
                <w:b/>
                <w:bCs/>
                <w:sz w:val="16"/>
                <w:szCs w:val="16"/>
                <w:lang w:val="ro-MD"/>
              </w:rPr>
            </w:pPr>
            <w:r w:rsidRPr="00721AC1">
              <w:rPr>
                <w:rFonts w:asciiTheme="majorHAnsi" w:eastAsia="Times New Roman" w:hAnsiTheme="majorHAnsi" w:cstheme="majorHAnsi"/>
                <w:b/>
                <w:bCs/>
                <w:sz w:val="16"/>
                <w:szCs w:val="16"/>
                <w:lang w:val="ro-MD"/>
              </w:rPr>
              <w:t>ASEM</w:t>
            </w:r>
          </w:p>
        </w:tc>
        <w:tc>
          <w:tcPr>
            <w:tcW w:w="999" w:type="dxa"/>
            <w:tcBorders>
              <w:top w:val="nil"/>
              <w:left w:val="nil"/>
              <w:bottom w:val="single" w:sz="4" w:space="0" w:color="auto"/>
              <w:right w:val="single" w:sz="4" w:space="0" w:color="auto"/>
            </w:tcBorders>
            <w:shd w:val="clear" w:color="000000" w:fill="D9D9D9"/>
            <w:noWrap/>
            <w:vAlign w:val="center"/>
            <w:hideMark/>
          </w:tcPr>
          <w:p w14:paraId="475C76FB" w14:textId="77777777" w:rsidR="00713A0A" w:rsidRPr="00721AC1" w:rsidRDefault="00713A0A" w:rsidP="00721AC1">
            <w:pPr>
              <w:spacing w:after="0" w:line="276" w:lineRule="auto"/>
              <w:jc w:val="center"/>
              <w:rPr>
                <w:rFonts w:asciiTheme="majorHAnsi" w:eastAsia="Times New Roman" w:hAnsiTheme="majorHAnsi" w:cstheme="majorHAnsi"/>
                <w:b/>
                <w:bCs/>
                <w:sz w:val="16"/>
                <w:szCs w:val="16"/>
                <w:lang w:val="ro-MD"/>
              </w:rPr>
            </w:pPr>
            <w:r w:rsidRPr="00721AC1">
              <w:rPr>
                <w:rFonts w:asciiTheme="majorHAnsi" w:eastAsia="Times New Roman" w:hAnsiTheme="majorHAnsi" w:cstheme="majorHAnsi"/>
                <w:b/>
                <w:bCs/>
                <w:sz w:val="16"/>
                <w:szCs w:val="16"/>
                <w:lang w:val="ro-MD"/>
              </w:rPr>
              <w:t>USM</w:t>
            </w:r>
          </w:p>
        </w:tc>
        <w:tc>
          <w:tcPr>
            <w:tcW w:w="999" w:type="dxa"/>
            <w:tcBorders>
              <w:top w:val="nil"/>
              <w:left w:val="nil"/>
              <w:bottom w:val="single" w:sz="4" w:space="0" w:color="auto"/>
              <w:right w:val="single" w:sz="4" w:space="0" w:color="auto"/>
            </w:tcBorders>
            <w:shd w:val="clear" w:color="000000" w:fill="D9D9D9"/>
            <w:noWrap/>
            <w:vAlign w:val="center"/>
            <w:hideMark/>
          </w:tcPr>
          <w:p w14:paraId="414D5F83" w14:textId="77777777" w:rsidR="00713A0A" w:rsidRPr="00721AC1" w:rsidRDefault="00713A0A" w:rsidP="00721AC1">
            <w:pPr>
              <w:spacing w:after="0" w:line="276" w:lineRule="auto"/>
              <w:jc w:val="center"/>
              <w:rPr>
                <w:rFonts w:asciiTheme="majorHAnsi" w:eastAsia="Times New Roman" w:hAnsiTheme="majorHAnsi" w:cstheme="majorHAnsi"/>
                <w:b/>
                <w:bCs/>
                <w:sz w:val="16"/>
                <w:szCs w:val="16"/>
                <w:lang w:val="ro-MD"/>
              </w:rPr>
            </w:pPr>
            <w:r w:rsidRPr="00721AC1">
              <w:rPr>
                <w:rFonts w:asciiTheme="majorHAnsi" w:eastAsia="Times New Roman" w:hAnsiTheme="majorHAnsi" w:cstheme="majorHAnsi"/>
                <w:b/>
                <w:bCs/>
                <w:sz w:val="16"/>
                <w:szCs w:val="16"/>
                <w:lang w:val="ro-MD"/>
              </w:rPr>
              <w:t>UPSIC</w:t>
            </w:r>
          </w:p>
        </w:tc>
        <w:tc>
          <w:tcPr>
            <w:tcW w:w="1399" w:type="dxa"/>
            <w:tcBorders>
              <w:top w:val="nil"/>
              <w:left w:val="nil"/>
              <w:bottom w:val="single" w:sz="4" w:space="0" w:color="auto"/>
              <w:right w:val="single" w:sz="4" w:space="0" w:color="auto"/>
            </w:tcBorders>
            <w:shd w:val="clear" w:color="000000" w:fill="D9D9D9"/>
            <w:noWrap/>
            <w:vAlign w:val="center"/>
            <w:hideMark/>
          </w:tcPr>
          <w:p w14:paraId="505606BF" w14:textId="77777777" w:rsidR="00713A0A" w:rsidRPr="00721AC1" w:rsidRDefault="00713A0A" w:rsidP="00721AC1">
            <w:pPr>
              <w:spacing w:after="0" w:line="276" w:lineRule="auto"/>
              <w:jc w:val="center"/>
              <w:rPr>
                <w:rFonts w:asciiTheme="majorHAnsi" w:eastAsia="Times New Roman" w:hAnsiTheme="majorHAnsi" w:cstheme="majorHAnsi"/>
                <w:b/>
                <w:bCs/>
                <w:sz w:val="16"/>
                <w:szCs w:val="16"/>
                <w:lang w:val="ro-MD"/>
              </w:rPr>
            </w:pPr>
            <w:r w:rsidRPr="00721AC1">
              <w:rPr>
                <w:rFonts w:asciiTheme="majorHAnsi" w:eastAsia="Times New Roman" w:hAnsiTheme="majorHAnsi" w:cstheme="majorHAnsi"/>
                <w:b/>
                <w:bCs/>
                <w:sz w:val="16"/>
                <w:szCs w:val="16"/>
                <w:lang w:val="ro-MD"/>
              </w:rPr>
              <w:t>Total</w:t>
            </w:r>
          </w:p>
        </w:tc>
      </w:tr>
      <w:tr w:rsidR="00713A0A" w:rsidRPr="00721AC1" w14:paraId="42B48928" w14:textId="77777777" w:rsidTr="00721AC1">
        <w:trPr>
          <w:trHeight w:val="47"/>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14:paraId="30CA711B"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Tehnologia informației</w:t>
            </w:r>
          </w:p>
        </w:tc>
        <w:tc>
          <w:tcPr>
            <w:tcW w:w="1200" w:type="dxa"/>
            <w:tcBorders>
              <w:top w:val="nil"/>
              <w:left w:val="nil"/>
              <w:bottom w:val="single" w:sz="4" w:space="0" w:color="auto"/>
              <w:right w:val="single" w:sz="4" w:space="0" w:color="auto"/>
            </w:tcBorders>
            <w:shd w:val="clear" w:color="auto" w:fill="auto"/>
            <w:noWrap/>
            <w:vAlign w:val="bottom"/>
            <w:hideMark/>
          </w:tcPr>
          <w:p w14:paraId="6161EA41"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_0613.1</w:t>
            </w:r>
          </w:p>
        </w:tc>
        <w:tc>
          <w:tcPr>
            <w:tcW w:w="998" w:type="dxa"/>
            <w:tcBorders>
              <w:top w:val="nil"/>
              <w:left w:val="nil"/>
              <w:bottom w:val="single" w:sz="4" w:space="0" w:color="auto"/>
              <w:right w:val="single" w:sz="4" w:space="0" w:color="auto"/>
            </w:tcBorders>
            <w:shd w:val="clear" w:color="auto" w:fill="auto"/>
            <w:noWrap/>
            <w:vAlign w:val="bottom"/>
            <w:hideMark/>
          </w:tcPr>
          <w:p w14:paraId="0464AA77"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619</w:t>
            </w:r>
          </w:p>
        </w:tc>
        <w:tc>
          <w:tcPr>
            <w:tcW w:w="998" w:type="dxa"/>
            <w:tcBorders>
              <w:top w:val="nil"/>
              <w:left w:val="nil"/>
              <w:bottom w:val="single" w:sz="4" w:space="0" w:color="auto"/>
              <w:right w:val="single" w:sz="4" w:space="0" w:color="auto"/>
            </w:tcBorders>
            <w:shd w:val="clear" w:color="auto" w:fill="auto"/>
            <w:noWrap/>
            <w:vAlign w:val="bottom"/>
            <w:hideMark/>
          </w:tcPr>
          <w:p w14:paraId="24EC4B75"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106</w:t>
            </w:r>
          </w:p>
        </w:tc>
        <w:tc>
          <w:tcPr>
            <w:tcW w:w="999" w:type="dxa"/>
            <w:tcBorders>
              <w:top w:val="nil"/>
              <w:left w:val="nil"/>
              <w:bottom w:val="single" w:sz="4" w:space="0" w:color="auto"/>
              <w:right w:val="single" w:sz="4" w:space="0" w:color="auto"/>
            </w:tcBorders>
            <w:shd w:val="clear" w:color="auto" w:fill="auto"/>
            <w:noWrap/>
            <w:vAlign w:val="bottom"/>
            <w:hideMark/>
          </w:tcPr>
          <w:p w14:paraId="18179223"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96</w:t>
            </w:r>
          </w:p>
        </w:tc>
        <w:tc>
          <w:tcPr>
            <w:tcW w:w="999" w:type="dxa"/>
            <w:tcBorders>
              <w:top w:val="nil"/>
              <w:left w:val="nil"/>
              <w:bottom w:val="single" w:sz="4" w:space="0" w:color="auto"/>
              <w:right w:val="single" w:sz="4" w:space="0" w:color="auto"/>
            </w:tcBorders>
            <w:shd w:val="clear" w:color="auto" w:fill="auto"/>
            <w:noWrap/>
            <w:vAlign w:val="bottom"/>
            <w:hideMark/>
          </w:tcPr>
          <w:p w14:paraId="5B4DF8E4"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w:t>
            </w:r>
          </w:p>
        </w:tc>
        <w:tc>
          <w:tcPr>
            <w:tcW w:w="1399" w:type="dxa"/>
            <w:tcBorders>
              <w:top w:val="nil"/>
              <w:left w:val="nil"/>
              <w:bottom w:val="single" w:sz="4" w:space="0" w:color="auto"/>
              <w:right w:val="single" w:sz="4" w:space="0" w:color="auto"/>
            </w:tcBorders>
            <w:shd w:val="clear" w:color="auto" w:fill="auto"/>
            <w:noWrap/>
            <w:vAlign w:val="bottom"/>
            <w:hideMark/>
          </w:tcPr>
          <w:p w14:paraId="59523B29"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821</w:t>
            </w:r>
          </w:p>
        </w:tc>
      </w:tr>
      <w:tr w:rsidR="00713A0A" w:rsidRPr="00721AC1" w14:paraId="5D49D188" w14:textId="77777777" w:rsidTr="0051236C">
        <w:trPr>
          <w:trHeight w:val="61"/>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14:paraId="22FEA7A3"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Informatică Aplicată</w:t>
            </w:r>
          </w:p>
        </w:tc>
        <w:tc>
          <w:tcPr>
            <w:tcW w:w="1200" w:type="dxa"/>
            <w:tcBorders>
              <w:top w:val="nil"/>
              <w:left w:val="nil"/>
              <w:bottom w:val="single" w:sz="4" w:space="0" w:color="auto"/>
              <w:right w:val="single" w:sz="4" w:space="0" w:color="auto"/>
            </w:tcBorders>
            <w:shd w:val="clear" w:color="auto" w:fill="auto"/>
            <w:noWrap/>
            <w:vAlign w:val="bottom"/>
            <w:hideMark/>
          </w:tcPr>
          <w:p w14:paraId="1E71E578"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_0613.5</w:t>
            </w:r>
          </w:p>
        </w:tc>
        <w:tc>
          <w:tcPr>
            <w:tcW w:w="998" w:type="dxa"/>
            <w:tcBorders>
              <w:top w:val="nil"/>
              <w:left w:val="nil"/>
              <w:bottom w:val="single" w:sz="4" w:space="0" w:color="auto"/>
              <w:right w:val="single" w:sz="4" w:space="0" w:color="auto"/>
            </w:tcBorders>
            <w:shd w:val="clear" w:color="auto" w:fill="auto"/>
            <w:noWrap/>
            <w:vAlign w:val="bottom"/>
            <w:hideMark/>
          </w:tcPr>
          <w:p w14:paraId="127CEA7D"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175</w:t>
            </w:r>
          </w:p>
        </w:tc>
        <w:tc>
          <w:tcPr>
            <w:tcW w:w="998" w:type="dxa"/>
            <w:tcBorders>
              <w:top w:val="nil"/>
              <w:left w:val="nil"/>
              <w:bottom w:val="single" w:sz="4" w:space="0" w:color="auto"/>
              <w:right w:val="single" w:sz="4" w:space="0" w:color="auto"/>
            </w:tcBorders>
            <w:shd w:val="clear" w:color="auto" w:fill="auto"/>
            <w:noWrap/>
            <w:vAlign w:val="bottom"/>
            <w:hideMark/>
          </w:tcPr>
          <w:p w14:paraId="5D3C723C"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55</w:t>
            </w:r>
          </w:p>
        </w:tc>
        <w:tc>
          <w:tcPr>
            <w:tcW w:w="999" w:type="dxa"/>
            <w:tcBorders>
              <w:top w:val="nil"/>
              <w:left w:val="nil"/>
              <w:bottom w:val="single" w:sz="4" w:space="0" w:color="auto"/>
              <w:right w:val="single" w:sz="4" w:space="0" w:color="auto"/>
            </w:tcBorders>
            <w:shd w:val="clear" w:color="auto" w:fill="auto"/>
            <w:noWrap/>
            <w:vAlign w:val="bottom"/>
            <w:hideMark/>
          </w:tcPr>
          <w:p w14:paraId="72F743CE"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147</w:t>
            </w:r>
          </w:p>
        </w:tc>
        <w:tc>
          <w:tcPr>
            <w:tcW w:w="999" w:type="dxa"/>
            <w:tcBorders>
              <w:top w:val="nil"/>
              <w:left w:val="nil"/>
              <w:bottom w:val="single" w:sz="4" w:space="0" w:color="auto"/>
              <w:right w:val="single" w:sz="4" w:space="0" w:color="auto"/>
            </w:tcBorders>
            <w:shd w:val="clear" w:color="auto" w:fill="auto"/>
            <w:noWrap/>
            <w:vAlign w:val="bottom"/>
            <w:hideMark/>
          </w:tcPr>
          <w:p w14:paraId="12F13824"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w:t>
            </w:r>
          </w:p>
        </w:tc>
        <w:tc>
          <w:tcPr>
            <w:tcW w:w="1399" w:type="dxa"/>
            <w:tcBorders>
              <w:top w:val="nil"/>
              <w:left w:val="nil"/>
              <w:bottom w:val="single" w:sz="4" w:space="0" w:color="auto"/>
              <w:right w:val="single" w:sz="4" w:space="0" w:color="auto"/>
            </w:tcBorders>
            <w:shd w:val="clear" w:color="auto" w:fill="auto"/>
            <w:noWrap/>
            <w:vAlign w:val="bottom"/>
            <w:hideMark/>
          </w:tcPr>
          <w:p w14:paraId="4B036BC2"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377</w:t>
            </w:r>
          </w:p>
        </w:tc>
      </w:tr>
      <w:tr w:rsidR="00713A0A" w:rsidRPr="00721AC1" w14:paraId="41477B96" w14:textId="77777777" w:rsidTr="0051236C">
        <w:trPr>
          <w:trHeight w:val="61"/>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14:paraId="73F8495C"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xml:space="preserve">Informatică </w:t>
            </w:r>
          </w:p>
        </w:tc>
        <w:tc>
          <w:tcPr>
            <w:tcW w:w="1200" w:type="dxa"/>
            <w:tcBorders>
              <w:top w:val="nil"/>
              <w:left w:val="nil"/>
              <w:bottom w:val="single" w:sz="4" w:space="0" w:color="auto"/>
              <w:right w:val="single" w:sz="4" w:space="0" w:color="auto"/>
            </w:tcBorders>
            <w:shd w:val="clear" w:color="auto" w:fill="auto"/>
            <w:noWrap/>
            <w:vAlign w:val="bottom"/>
            <w:hideMark/>
          </w:tcPr>
          <w:p w14:paraId="17235166"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_0613.4</w:t>
            </w:r>
          </w:p>
        </w:tc>
        <w:tc>
          <w:tcPr>
            <w:tcW w:w="998" w:type="dxa"/>
            <w:tcBorders>
              <w:top w:val="nil"/>
              <w:left w:val="nil"/>
              <w:bottom w:val="single" w:sz="4" w:space="0" w:color="auto"/>
              <w:right w:val="single" w:sz="4" w:space="0" w:color="auto"/>
            </w:tcBorders>
            <w:shd w:val="clear" w:color="auto" w:fill="auto"/>
            <w:noWrap/>
            <w:vAlign w:val="bottom"/>
            <w:hideMark/>
          </w:tcPr>
          <w:p w14:paraId="40F67D03"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w:t>
            </w:r>
          </w:p>
        </w:tc>
        <w:tc>
          <w:tcPr>
            <w:tcW w:w="998" w:type="dxa"/>
            <w:tcBorders>
              <w:top w:val="nil"/>
              <w:left w:val="nil"/>
              <w:bottom w:val="single" w:sz="4" w:space="0" w:color="auto"/>
              <w:right w:val="single" w:sz="4" w:space="0" w:color="auto"/>
            </w:tcBorders>
            <w:shd w:val="clear" w:color="auto" w:fill="auto"/>
            <w:noWrap/>
            <w:vAlign w:val="bottom"/>
            <w:hideMark/>
          </w:tcPr>
          <w:p w14:paraId="4B26B674"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w:t>
            </w:r>
          </w:p>
        </w:tc>
        <w:tc>
          <w:tcPr>
            <w:tcW w:w="999" w:type="dxa"/>
            <w:tcBorders>
              <w:top w:val="nil"/>
              <w:left w:val="nil"/>
              <w:bottom w:val="single" w:sz="4" w:space="0" w:color="auto"/>
              <w:right w:val="single" w:sz="4" w:space="0" w:color="auto"/>
            </w:tcBorders>
            <w:shd w:val="clear" w:color="auto" w:fill="auto"/>
            <w:noWrap/>
            <w:vAlign w:val="bottom"/>
            <w:hideMark/>
          </w:tcPr>
          <w:p w14:paraId="27325C3B"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100</w:t>
            </w:r>
          </w:p>
        </w:tc>
        <w:tc>
          <w:tcPr>
            <w:tcW w:w="999" w:type="dxa"/>
            <w:tcBorders>
              <w:top w:val="nil"/>
              <w:left w:val="nil"/>
              <w:bottom w:val="single" w:sz="4" w:space="0" w:color="auto"/>
              <w:right w:val="single" w:sz="4" w:space="0" w:color="auto"/>
            </w:tcBorders>
            <w:shd w:val="clear" w:color="auto" w:fill="auto"/>
            <w:noWrap/>
            <w:vAlign w:val="bottom"/>
            <w:hideMark/>
          </w:tcPr>
          <w:p w14:paraId="5208FFFA"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w:t>
            </w:r>
          </w:p>
        </w:tc>
        <w:tc>
          <w:tcPr>
            <w:tcW w:w="1399" w:type="dxa"/>
            <w:tcBorders>
              <w:top w:val="nil"/>
              <w:left w:val="nil"/>
              <w:bottom w:val="single" w:sz="4" w:space="0" w:color="auto"/>
              <w:right w:val="single" w:sz="4" w:space="0" w:color="auto"/>
            </w:tcBorders>
            <w:shd w:val="clear" w:color="auto" w:fill="auto"/>
            <w:noWrap/>
            <w:vAlign w:val="bottom"/>
            <w:hideMark/>
          </w:tcPr>
          <w:p w14:paraId="3E50EAAB"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100</w:t>
            </w:r>
          </w:p>
        </w:tc>
      </w:tr>
      <w:tr w:rsidR="00713A0A" w:rsidRPr="00721AC1" w14:paraId="6F8EE445" w14:textId="77777777" w:rsidTr="0051236C">
        <w:trPr>
          <w:trHeight w:val="61"/>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14:paraId="6E5CFEAF"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Contabilitate</w:t>
            </w:r>
          </w:p>
        </w:tc>
        <w:tc>
          <w:tcPr>
            <w:tcW w:w="1200" w:type="dxa"/>
            <w:tcBorders>
              <w:top w:val="nil"/>
              <w:left w:val="nil"/>
              <w:bottom w:val="single" w:sz="4" w:space="0" w:color="auto"/>
              <w:right w:val="single" w:sz="4" w:space="0" w:color="auto"/>
            </w:tcBorders>
            <w:shd w:val="clear" w:color="auto" w:fill="auto"/>
            <w:noWrap/>
            <w:vAlign w:val="bottom"/>
            <w:hideMark/>
          </w:tcPr>
          <w:p w14:paraId="00A36D93"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_0411.1</w:t>
            </w:r>
          </w:p>
        </w:tc>
        <w:tc>
          <w:tcPr>
            <w:tcW w:w="998" w:type="dxa"/>
            <w:tcBorders>
              <w:top w:val="nil"/>
              <w:left w:val="nil"/>
              <w:bottom w:val="single" w:sz="4" w:space="0" w:color="auto"/>
              <w:right w:val="single" w:sz="4" w:space="0" w:color="auto"/>
            </w:tcBorders>
            <w:shd w:val="clear" w:color="auto" w:fill="auto"/>
            <w:noWrap/>
            <w:vAlign w:val="bottom"/>
            <w:hideMark/>
          </w:tcPr>
          <w:p w14:paraId="18AF4665"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49</w:t>
            </w:r>
          </w:p>
        </w:tc>
        <w:tc>
          <w:tcPr>
            <w:tcW w:w="998" w:type="dxa"/>
            <w:tcBorders>
              <w:top w:val="nil"/>
              <w:left w:val="nil"/>
              <w:bottom w:val="single" w:sz="4" w:space="0" w:color="auto"/>
              <w:right w:val="single" w:sz="4" w:space="0" w:color="auto"/>
            </w:tcBorders>
            <w:shd w:val="clear" w:color="auto" w:fill="auto"/>
            <w:noWrap/>
            <w:vAlign w:val="bottom"/>
            <w:hideMark/>
          </w:tcPr>
          <w:p w14:paraId="172C47B1"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92</w:t>
            </w:r>
          </w:p>
        </w:tc>
        <w:tc>
          <w:tcPr>
            <w:tcW w:w="999" w:type="dxa"/>
            <w:tcBorders>
              <w:top w:val="nil"/>
              <w:left w:val="nil"/>
              <w:bottom w:val="single" w:sz="4" w:space="0" w:color="auto"/>
              <w:right w:val="single" w:sz="4" w:space="0" w:color="auto"/>
            </w:tcBorders>
            <w:shd w:val="clear" w:color="auto" w:fill="auto"/>
            <w:noWrap/>
            <w:vAlign w:val="bottom"/>
            <w:hideMark/>
          </w:tcPr>
          <w:p w14:paraId="18C71CB8"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14</w:t>
            </w:r>
          </w:p>
        </w:tc>
        <w:tc>
          <w:tcPr>
            <w:tcW w:w="999" w:type="dxa"/>
            <w:tcBorders>
              <w:top w:val="nil"/>
              <w:left w:val="nil"/>
              <w:bottom w:val="single" w:sz="4" w:space="0" w:color="auto"/>
              <w:right w:val="single" w:sz="4" w:space="0" w:color="auto"/>
            </w:tcBorders>
            <w:shd w:val="clear" w:color="auto" w:fill="auto"/>
            <w:noWrap/>
            <w:vAlign w:val="bottom"/>
            <w:hideMark/>
          </w:tcPr>
          <w:p w14:paraId="29A57EA6"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w:t>
            </w:r>
          </w:p>
        </w:tc>
        <w:tc>
          <w:tcPr>
            <w:tcW w:w="1399" w:type="dxa"/>
            <w:tcBorders>
              <w:top w:val="nil"/>
              <w:left w:val="nil"/>
              <w:bottom w:val="single" w:sz="4" w:space="0" w:color="auto"/>
              <w:right w:val="single" w:sz="4" w:space="0" w:color="auto"/>
            </w:tcBorders>
            <w:shd w:val="clear" w:color="auto" w:fill="auto"/>
            <w:noWrap/>
            <w:vAlign w:val="bottom"/>
            <w:hideMark/>
          </w:tcPr>
          <w:p w14:paraId="4CF86030"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155</w:t>
            </w:r>
          </w:p>
        </w:tc>
      </w:tr>
      <w:tr w:rsidR="00713A0A" w:rsidRPr="00721AC1" w14:paraId="3CD35FFA" w14:textId="77777777" w:rsidTr="00721AC1">
        <w:trPr>
          <w:trHeight w:val="47"/>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14:paraId="57D81085"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Business și administrare</w:t>
            </w:r>
          </w:p>
        </w:tc>
        <w:tc>
          <w:tcPr>
            <w:tcW w:w="1200" w:type="dxa"/>
            <w:tcBorders>
              <w:top w:val="nil"/>
              <w:left w:val="nil"/>
              <w:bottom w:val="single" w:sz="4" w:space="0" w:color="auto"/>
              <w:right w:val="single" w:sz="4" w:space="0" w:color="auto"/>
            </w:tcBorders>
            <w:shd w:val="clear" w:color="auto" w:fill="auto"/>
            <w:noWrap/>
            <w:vAlign w:val="bottom"/>
            <w:hideMark/>
          </w:tcPr>
          <w:p w14:paraId="16FE960F"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_0413.1</w:t>
            </w:r>
          </w:p>
        </w:tc>
        <w:tc>
          <w:tcPr>
            <w:tcW w:w="998" w:type="dxa"/>
            <w:tcBorders>
              <w:top w:val="nil"/>
              <w:left w:val="nil"/>
              <w:bottom w:val="single" w:sz="4" w:space="0" w:color="auto"/>
              <w:right w:val="single" w:sz="4" w:space="0" w:color="auto"/>
            </w:tcBorders>
            <w:shd w:val="clear" w:color="auto" w:fill="auto"/>
            <w:noWrap/>
            <w:vAlign w:val="bottom"/>
            <w:hideMark/>
          </w:tcPr>
          <w:p w14:paraId="3FCF8BD3"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70</w:t>
            </w:r>
          </w:p>
        </w:tc>
        <w:tc>
          <w:tcPr>
            <w:tcW w:w="998" w:type="dxa"/>
            <w:tcBorders>
              <w:top w:val="nil"/>
              <w:left w:val="nil"/>
              <w:bottom w:val="single" w:sz="4" w:space="0" w:color="auto"/>
              <w:right w:val="single" w:sz="4" w:space="0" w:color="auto"/>
            </w:tcBorders>
            <w:shd w:val="clear" w:color="auto" w:fill="auto"/>
            <w:noWrap/>
            <w:vAlign w:val="bottom"/>
            <w:hideMark/>
          </w:tcPr>
          <w:p w14:paraId="1833F758"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100</w:t>
            </w:r>
          </w:p>
        </w:tc>
        <w:tc>
          <w:tcPr>
            <w:tcW w:w="999" w:type="dxa"/>
            <w:tcBorders>
              <w:top w:val="nil"/>
              <w:left w:val="nil"/>
              <w:bottom w:val="single" w:sz="4" w:space="0" w:color="auto"/>
              <w:right w:val="single" w:sz="4" w:space="0" w:color="auto"/>
            </w:tcBorders>
            <w:shd w:val="clear" w:color="auto" w:fill="auto"/>
            <w:noWrap/>
            <w:vAlign w:val="bottom"/>
            <w:hideMark/>
          </w:tcPr>
          <w:p w14:paraId="1CA4AEB5"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17</w:t>
            </w:r>
          </w:p>
        </w:tc>
        <w:tc>
          <w:tcPr>
            <w:tcW w:w="999" w:type="dxa"/>
            <w:tcBorders>
              <w:top w:val="nil"/>
              <w:left w:val="nil"/>
              <w:bottom w:val="single" w:sz="4" w:space="0" w:color="auto"/>
              <w:right w:val="single" w:sz="4" w:space="0" w:color="auto"/>
            </w:tcBorders>
            <w:shd w:val="clear" w:color="auto" w:fill="auto"/>
            <w:noWrap/>
            <w:vAlign w:val="bottom"/>
            <w:hideMark/>
          </w:tcPr>
          <w:p w14:paraId="74CF1105"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w:t>
            </w:r>
          </w:p>
        </w:tc>
        <w:tc>
          <w:tcPr>
            <w:tcW w:w="1399" w:type="dxa"/>
            <w:tcBorders>
              <w:top w:val="nil"/>
              <w:left w:val="nil"/>
              <w:bottom w:val="single" w:sz="4" w:space="0" w:color="auto"/>
              <w:right w:val="single" w:sz="4" w:space="0" w:color="auto"/>
            </w:tcBorders>
            <w:shd w:val="clear" w:color="auto" w:fill="auto"/>
            <w:noWrap/>
            <w:vAlign w:val="bottom"/>
            <w:hideMark/>
          </w:tcPr>
          <w:p w14:paraId="46CCE0A8"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187</w:t>
            </w:r>
          </w:p>
        </w:tc>
      </w:tr>
      <w:tr w:rsidR="00713A0A" w:rsidRPr="00721AC1" w14:paraId="10F1E925" w14:textId="77777777" w:rsidTr="0051236C">
        <w:trPr>
          <w:trHeight w:val="61"/>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14:paraId="1415D696"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Marketing și logistică</w:t>
            </w:r>
          </w:p>
        </w:tc>
        <w:tc>
          <w:tcPr>
            <w:tcW w:w="1200" w:type="dxa"/>
            <w:tcBorders>
              <w:top w:val="nil"/>
              <w:left w:val="nil"/>
              <w:bottom w:val="single" w:sz="4" w:space="0" w:color="auto"/>
              <w:right w:val="single" w:sz="4" w:space="0" w:color="auto"/>
            </w:tcBorders>
            <w:shd w:val="clear" w:color="auto" w:fill="auto"/>
            <w:noWrap/>
            <w:vAlign w:val="bottom"/>
            <w:hideMark/>
          </w:tcPr>
          <w:p w14:paraId="24D5E706"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_0414.1</w:t>
            </w:r>
          </w:p>
        </w:tc>
        <w:tc>
          <w:tcPr>
            <w:tcW w:w="998" w:type="dxa"/>
            <w:tcBorders>
              <w:top w:val="nil"/>
              <w:left w:val="nil"/>
              <w:bottom w:val="single" w:sz="4" w:space="0" w:color="auto"/>
              <w:right w:val="single" w:sz="4" w:space="0" w:color="auto"/>
            </w:tcBorders>
            <w:shd w:val="clear" w:color="auto" w:fill="auto"/>
            <w:noWrap/>
            <w:vAlign w:val="bottom"/>
            <w:hideMark/>
          </w:tcPr>
          <w:p w14:paraId="3D0CA34D"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67</w:t>
            </w:r>
          </w:p>
        </w:tc>
        <w:tc>
          <w:tcPr>
            <w:tcW w:w="998" w:type="dxa"/>
            <w:tcBorders>
              <w:top w:val="nil"/>
              <w:left w:val="nil"/>
              <w:bottom w:val="single" w:sz="4" w:space="0" w:color="auto"/>
              <w:right w:val="single" w:sz="4" w:space="0" w:color="auto"/>
            </w:tcBorders>
            <w:shd w:val="clear" w:color="auto" w:fill="auto"/>
            <w:noWrap/>
            <w:vAlign w:val="bottom"/>
            <w:hideMark/>
          </w:tcPr>
          <w:p w14:paraId="28E19DCF"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71</w:t>
            </w:r>
          </w:p>
        </w:tc>
        <w:tc>
          <w:tcPr>
            <w:tcW w:w="999" w:type="dxa"/>
            <w:tcBorders>
              <w:top w:val="nil"/>
              <w:left w:val="nil"/>
              <w:bottom w:val="single" w:sz="4" w:space="0" w:color="auto"/>
              <w:right w:val="single" w:sz="4" w:space="0" w:color="auto"/>
            </w:tcBorders>
            <w:shd w:val="clear" w:color="auto" w:fill="auto"/>
            <w:noWrap/>
            <w:vAlign w:val="bottom"/>
            <w:hideMark/>
          </w:tcPr>
          <w:p w14:paraId="726FEA0F"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23</w:t>
            </w:r>
          </w:p>
        </w:tc>
        <w:tc>
          <w:tcPr>
            <w:tcW w:w="999" w:type="dxa"/>
            <w:tcBorders>
              <w:top w:val="nil"/>
              <w:left w:val="nil"/>
              <w:bottom w:val="single" w:sz="4" w:space="0" w:color="auto"/>
              <w:right w:val="single" w:sz="4" w:space="0" w:color="auto"/>
            </w:tcBorders>
            <w:shd w:val="clear" w:color="auto" w:fill="auto"/>
            <w:noWrap/>
            <w:vAlign w:val="bottom"/>
            <w:hideMark/>
          </w:tcPr>
          <w:p w14:paraId="4A7335D0"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w:t>
            </w:r>
          </w:p>
        </w:tc>
        <w:tc>
          <w:tcPr>
            <w:tcW w:w="1399" w:type="dxa"/>
            <w:tcBorders>
              <w:top w:val="nil"/>
              <w:left w:val="nil"/>
              <w:bottom w:val="single" w:sz="4" w:space="0" w:color="auto"/>
              <w:right w:val="single" w:sz="4" w:space="0" w:color="auto"/>
            </w:tcBorders>
            <w:shd w:val="clear" w:color="auto" w:fill="auto"/>
            <w:noWrap/>
            <w:vAlign w:val="bottom"/>
            <w:hideMark/>
          </w:tcPr>
          <w:p w14:paraId="40E449D9"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161</w:t>
            </w:r>
          </w:p>
        </w:tc>
      </w:tr>
      <w:tr w:rsidR="00713A0A" w:rsidRPr="00721AC1" w14:paraId="1B8D9AD7" w14:textId="77777777" w:rsidTr="0051236C">
        <w:trPr>
          <w:trHeight w:val="61"/>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14:paraId="2B89E5B8"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Drept</w:t>
            </w:r>
          </w:p>
        </w:tc>
        <w:tc>
          <w:tcPr>
            <w:tcW w:w="1200" w:type="dxa"/>
            <w:tcBorders>
              <w:top w:val="nil"/>
              <w:left w:val="nil"/>
              <w:bottom w:val="single" w:sz="4" w:space="0" w:color="auto"/>
              <w:right w:val="single" w:sz="4" w:space="0" w:color="auto"/>
            </w:tcBorders>
            <w:shd w:val="clear" w:color="auto" w:fill="auto"/>
            <w:noWrap/>
            <w:vAlign w:val="bottom"/>
            <w:hideMark/>
          </w:tcPr>
          <w:p w14:paraId="643E7CF0"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_0421.1</w:t>
            </w:r>
          </w:p>
        </w:tc>
        <w:tc>
          <w:tcPr>
            <w:tcW w:w="998" w:type="dxa"/>
            <w:tcBorders>
              <w:top w:val="nil"/>
              <w:left w:val="nil"/>
              <w:bottom w:val="single" w:sz="4" w:space="0" w:color="auto"/>
              <w:right w:val="single" w:sz="4" w:space="0" w:color="auto"/>
            </w:tcBorders>
            <w:shd w:val="clear" w:color="auto" w:fill="auto"/>
            <w:noWrap/>
            <w:vAlign w:val="bottom"/>
            <w:hideMark/>
          </w:tcPr>
          <w:p w14:paraId="4C4BECC3"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29</w:t>
            </w:r>
          </w:p>
        </w:tc>
        <w:tc>
          <w:tcPr>
            <w:tcW w:w="998" w:type="dxa"/>
            <w:tcBorders>
              <w:top w:val="nil"/>
              <w:left w:val="nil"/>
              <w:bottom w:val="single" w:sz="4" w:space="0" w:color="auto"/>
              <w:right w:val="single" w:sz="4" w:space="0" w:color="auto"/>
            </w:tcBorders>
            <w:shd w:val="clear" w:color="auto" w:fill="auto"/>
            <w:noWrap/>
            <w:vAlign w:val="bottom"/>
            <w:hideMark/>
          </w:tcPr>
          <w:p w14:paraId="17C6CC0F"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53</w:t>
            </w:r>
          </w:p>
        </w:tc>
        <w:tc>
          <w:tcPr>
            <w:tcW w:w="999" w:type="dxa"/>
            <w:tcBorders>
              <w:top w:val="nil"/>
              <w:left w:val="nil"/>
              <w:bottom w:val="single" w:sz="4" w:space="0" w:color="auto"/>
              <w:right w:val="single" w:sz="4" w:space="0" w:color="auto"/>
            </w:tcBorders>
            <w:shd w:val="clear" w:color="auto" w:fill="auto"/>
            <w:noWrap/>
            <w:vAlign w:val="bottom"/>
            <w:hideMark/>
          </w:tcPr>
          <w:p w14:paraId="408F1F69"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120</w:t>
            </w:r>
          </w:p>
        </w:tc>
        <w:tc>
          <w:tcPr>
            <w:tcW w:w="999" w:type="dxa"/>
            <w:tcBorders>
              <w:top w:val="nil"/>
              <w:left w:val="nil"/>
              <w:bottom w:val="single" w:sz="4" w:space="0" w:color="auto"/>
              <w:right w:val="single" w:sz="4" w:space="0" w:color="auto"/>
            </w:tcBorders>
            <w:shd w:val="clear" w:color="auto" w:fill="auto"/>
            <w:noWrap/>
            <w:vAlign w:val="bottom"/>
            <w:hideMark/>
          </w:tcPr>
          <w:p w14:paraId="4DB4CF51"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w:t>
            </w:r>
          </w:p>
        </w:tc>
        <w:tc>
          <w:tcPr>
            <w:tcW w:w="1399" w:type="dxa"/>
            <w:tcBorders>
              <w:top w:val="nil"/>
              <w:left w:val="nil"/>
              <w:bottom w:val="single" w:sz="4" w:space="0" w:color="auto"/>
              <w:right w:val="single" w:sz="4" w:space="0" w:color="auto"/>
            </w:tcBorders>
            <w:shd w:val="clear" w:color="auto" w:fill="auto"/>
            <w:noWrap/>
            <w:vAlign w:val="bottom"/>
            <w:hideMark/>
          </w:tcPr>
          <w:p w14:paraId="2C823DE7"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202</w:t>
            </w:r>
          </w:p>
        </w:tc>
      </w:tr>
      <w:tr w:rsidR="00713A0A" w:rsidRPr="00721AC1" w14:paraId="1E87A468" w14:textId="77777777" w:rsidTr="00721AC1">
        <w:trPr>
          <w:trHeight w:val="47"/>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14:paraId="2279EE5E"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limba și literatura română</w:t>
            </w:r>
          </w:p>
        </w:tc>
        <w:tc>
          <w:tcPr>
            <w:tcW w:w="1200" w:type="dxa"/>
            <w:tcBorders>
              <w:top w:val="nil"/>
              <w:left w:val="nil"/>
              <w:bottom w:val="single" w:sz="4" w:space="0" w:color="auto"/>
              <w:right w:val="single" w:sz="4" w:space="0" w:color="auto"/>
            </w:tcBorders>
            <w:shd w:val="clear" w:color="auto" w:fill="auto"/>
            <w:noWrap/>
            <w:vAlign w:val="bottom"/>
            <w:hideMark/>
          </w:tcPr>
          <w:p w14:paraId="3ABA51D5"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_0114.8</w:t>
            </w:r>
          </w:p>
        </w:tc>
        <w:tc>
          <w:tcPr>
            <w:tcW w:w="998" w:type="dxa"/>
            <w:tcBorders>
              <w:top w:val="nil"/>
              <w:left w:val="nil"/>
              <w:bottom w:val="single" w:sz="4" w:space="0" w:color="auto"/>
              <w:right w:val="single" w:sz="4" w:space="0" w:color="auto"/>
            </w:tcBorders>
            <w:shd w:val="clear" w:color="auto" w:fill="auto"/>
            <w:noWrap/>
            <w:vAlign w:val="bottom"/>
            <w:hideMark/>
          </w:tcPr>
          <w:p w14:paraId="18E22F60"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w:t>
            </w:r>
          </w:p>
        </w:tc>
        <w:tc>
          <w:tcPr>
            <w:tcW w:w="998" w:type="dxa"/>
            <w:tcBorders>
              <w:top w:val="nil"/>
              <w:left w:val="nil"/>
              <w:bottom w:val="single" w:sz="4" w:space="0" w:color="auto"/>
              <w:right w:val="single" w:sz="4" w:space="0" w:color="auto"/>
            </w:tcBorders>
            <w:shd w:val="clear" w:color="auto" w:fill="auto"/>
            <w:noWrap/>
            <w:vAlign w:val="bottom"/>
            <w:hideMark/>
          </w:tcPr>
          <w:p w14:paraId="384024EE"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w:t>
            </w:r>
          </w:p>
        </w:tc>
        <w:tc>
          <w:tcPr>
            <w:tcW w:w="999" w:type="dxa"/>
            <w:tcBorders>
              <w:top w:val="nil"/>
              <w:left w:val="nil"/>
              <w:bottom w:val="single" w:sz="4" w:space="0" w:color="auto"/>
              <w:right w:val="single" w:sz="4" w:space="0" w:color="auto"/>
            </w:tcBorders>
            <w:shd w:val="clear" w:color="auto" w:fill="auto"/>
            <w:noWrap/>
            <w:vAlign w:val="bottom"/>
            <w:hideMark/>
          </w:tcPr>
          <w:p w14:paraId="0FD59B00"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43</w:t>
            </w:r>
          </w:p>
        </w:tc>
        <w:tc>
          <w:tcPr>
            <w:tcW w:w="999" w:type="dxa"/>
            <w:tcBorders>
              <w:top w:val="nil"/>
              <w:left w:val="nil"/>
              <w:bottom w:val="single" w:sz="4" w:space="0" w:color="auto"/>
              <w:right w:val="single" w:sz="4" w:space="0" w:color="auto"/>
            </w:tcBorders>
            <w:shd w:val="clear" w:color="auto" w:fill="auto"/>
            <w:noWrap/>
            <w:vAlign w:val="bottom"/>
            <w:hideMark/>
          </w:tcPr>
          <w:p w14:paraId="10A80EFE"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22</w:t>
            </w:r>
          </w:p>
        </w:tc>
        <w:tc>
          <w:tcPr>
            <w:tcW w:w="1399" w:type="dxa"/>
            <w:tcBorders>
              <w:top w:val="nil"/>
              <w:left w:val="nil"/>
              <w:bottom w:val="single" w:sz="4" w:space="0" w:color="auto"/>
              <w:right w:val="single" w:sz="4" w:space="0" w:color="auto"/>
            </w:tcBorders>
            <w:shd w:val="clear" w:color="auto" w:fill="auto"/>
            <w:noWrap/>
            <w:vAlign w:val="bottom"/>
            <w:hideMark/>
          </w:tcPr>
          <w:p w14:paraId="1A53DE66"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65</w:t>
            </w:r>
          </w:p>
        </w:tc>
      </w:tr>
      <w:tr w:rsidR="00713A0A" w:rsidRPr="00721AC1" w14:paraId="6CD52CE6" w14:textId="77777777" w:rsidTr="00721AC1">
        <w:trPr>
          <w:trHeight w:val="47"/>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14:paraId="54BAE9D8"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Istorie</w:t>
            </w:r>
          </w:p>
        </w:tc>
        <w:tc>
          <w:tcPr>
            <w:tcW w:w="1200" w:type="dxa"/>
            <w:tcBorders>
              <w:top w:val="nil"/>
              <w:left w:val="nil"/>
              <w:bottom w:val="single" w:sz="4" w:space="0" w:color="auto"/>
              <w:right w:val="single" w:sz="4" w:space="0" w:color="auto"/>
            </w:tcBorders>
            <w:shd w:val="clear" w:color="auto" w:fill="auto"/>
            <w:noWrap/>
            <w:vAlign w:val="bottom"/>
            <w:hideMark/>
          </w:tcPr>
          <w:p w14:paraId="21A9E8ED"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_0222.1</w:t>
            </w:r>
          </w:p>
        </w:tc>
        <w:tc>
          <w:tcPr>
            <w:tcW w:w="998" w:type="dxa"/>
            <w:tcBorders>
              <w:top w:val="nil"/>
              <w:left w:val="nil"/>
              <w:bottom w:val="single" w:sz="4" w:space="0" w:color="auto"/>
              <w:right w:val="single" w:sz="4" w:space="0" w:color="auto"/>
            </w:tcBorders>
            <w:shd w:val="clear" w:color="auto" w:fill="auto"/>
            <w:noWrap/>
            <w:vAlign w:val="bottom"/>
            <w:hideMark/>
          </w:tcPr>
          <w:p w14:paraId="0E597D54"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w:t>
            </w:r>
          </w:p>
        </w:tc>
        <w:tc>
          <w:tcPr>
            <w:tcW w:w="998" w:type="dxa"/>
            <w:tcBorders>
              <w:top w:val="nil"/>
              <w:left w:val="nil"/>
              <w:bottom w:val="single" w:sz="4" w:space="0" w:color="auto"/>
              <w:right w:val="single" w:sz="4" w:space="0" w:color="auto"/>
            </w:tcBorders>
            <w:shd w:val="clear" w:color="auto" w:fill="auto"/>
            <w:noWrap/>
            <w:vAlign w:val="bottom"/>
            <w:hideMark/>
          </w:tcPr>
          <w:p w14:paraId="1A29BFF5"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w:t>
            </w:r>
          </w:p>
        </w:tc>
        <w:tc>
          <w:tcPr>
            <w:tcW w:w="999" w:type="dxa"/>
            <w:tcBorders>
              <w:top w:val="nil"/>
              <w:left w:val="nil"/>
              <w:bottom w:val="single" w:sz="4" w:space="0" w:color="auto"/>
              <w:right w:val="single" w:sz="4" w:space="0" w:color="auto"/>
            </w:tcBorders>
            <w:shd w:val="clear" w:color="auto" w:fill="auto"/>
            <w:noWrap/>
            <w:vAlign w:val="bottom"/>
            <w:hideMark/>
          </w:tcPr>
          <w:p w14:paraId="4EB5D592"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39</w:t>
            </w:r>
          </w:p>
        </w:tc>
        <w:tc>
          <w:tcPr>
            <w:tcW w:w="999" w:type="dxa"/>
            <w:tcBorders>
              <w:top w:val="nil"/>
              <w:left w:val="nil"/>
              <w:bottom w:val="single" w:sz="4" w:space="0" w:color="auto"/>
              <w:right w:val="single" w:sz="4" w:space="0" w:color="auto"/>
            </w:tcBorders>
            <w:shd w:val="clear" w:color="auto" w:fill="auto"/>
            <w:noWrap/>
            <w:vAlign w:val="bottom"/>
            <w:hideMark/>
          </w:tcPr>
          <w:p w14:paraId="30CF2B64"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28</w:t>
            </w:r>
          </w:p>
        </w:tc>
        <w:tc>
          <w:tcPr>
            <w:tcW w:w="1399" w:type="dxa"/>
            <w:tcBorders>
              <w:top w:val="nil"/>
              <w:left w:val="nil"/>
              <w:bottom w:val="single" w:sz="4" w:space="0" w:color="auto"/>
              <w:right w:val="single" w:sz="4" w:space="0" w:color="auto"/>
            </w:tcBorders>
            <w:shd w:val="clear" w:color="auto" w:fill="auto"/>
            <w:noWrap/>
            <w:vAlign w:val="bottom"/>
            <w:hideMark/>
          </w:tcPr>
          <w:p w14:paraId="16C05DA4"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67</w:t>
            </w:r>
          </w:p>
        </w:tc>
      </w:tr>
      <w:tr w:rsidR="00713A0A" w:rsidRPr="00721AC1" w14:paraId="0B40E56C" w14:textId="77777777" w:rsidTr="0051236C">
        <w:trPr>
          <w:trHeight w:val="61"/>
        </w:trPr>
        <w:tc>
          <w:tcPr>
            <w:tcW w:w="2837" w:type="dxa"/>
            <w:tcBorders>
              <w:top w:val="nil"/>
              <w:left w:val="single" w:sz="4" w:space="0" w:color="auto"/>
              <w:bottom w:val="single" w:sz="4" w:space="0" w:color="auto"/>
              <w:right w:val="single" w:sz="4" w:space="0" w:color="auto"/>
            </w:tcBorders>
            <w:shd w:val="clear" w:color="auto" w:fill="auto"/>
            <w:noWrap/>
            <w:vAlign w:val="bottom"/>
            <w:hideMark/>
          </w:tcPr>
          <w:p w14:paraId="492868F8" w14:textId="0B8CEC0F"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xml:space="preserve">Asistență </w:t>
            </w:r>
            <w:r w:rsidR="00241E0E" w:rsidRPr="00721AC1">
              <w:rPr>
                <w:rFonts w:asciiTheme="majorHAnsi" w:eastAsia="Times New Roman" w:hAnsiTheme="majorHAnsi" w:cstheme="majorHAnsi"/>
                <w:sz w:val="16"/>
                <w:szCs w:val="16"/>
                <w:lang w:val="ro-MD"/>
              </w:rPr>
              <w:t>social</w:t>
            </w:r>
          </w:p>
        </w:tc>
        <w:tc>
          <w:tcPr>
            <w:tcW w:w="1200" w:type="dxa"/>
            <w:tcBorders>
              <w:top w:val="nil"/>
              <w:left w:val="nil"/>
              <w:bottom w:val="single" w:sz="4" w:space="0" w:color="auto"/>
              <w:right w:val="single" w:sz="4" w:space="0" w:color="auto"/>
            </w:tcBorders>
            <w:shd w:val="clear" w:color="auto" w:fill="auto"/>
            <w:noWrap/>
            <w:vAlign w:val="bottom"/>
            <w:hideMark/>
          </w:tcPr>
          <w:p w14:paraId="2E4FBDD9"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_0319.1</w:t>
            </w:r>
          </w:p>
        </w:tc>
        <w:tc>
          <w:tcPr>
            <w:tcW w:w="998" w:type="dxa"/>
            <w:tcBorders>
              <w:top w:val="nil"/>
              <w:left w:val="nil"/>
              <w:bottom w:val="single" w:sz="4" w:space="0" w:color="auto"/>
              <w:right w:val="single" w:sz="4" w:space="0" w:color="auto"/>
            </w:tcBorders>
            <w:shd w:val="clear" w:color="auto" w:fill="auto"/>
            <w:noWrap/>
            <w:vAlign w:val="bottom"/>
            <w:hideMark/>
          </w:tcPr>
          <w:p w14:paraId="4432F9CF"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w:t>
            </w:r>
          </w:p>
        </w:tc>
        <w:tc>
          <w:tcPr>
            <w:tcW w:w="998" w:type="dxa"/>
            <w:tcBorders>
              <w:top w:val="nil"/>
              <w:left w:val="nil"/>
              <w:bottom w:val="single" w:sz="4" w:space="0" w:color="auto"/>
              <w:right w:val="single" w:sz="4" w:space="0" w:color="auto"/>
            </w:tcBorders>
            <w:shd w:val="clear" w:color="auto" w:fill="auto"/>
            <w:noWrap/>
            <w:vAlign w:val="bottom"/>
            <w:hideMark/>
          </w:tcPr>
          <w:p w14:paraId="72A65B14" w14:textId="77777777" w:rsidR="00713A0A" w:rsidRPr="00721AC1" w:rsidRDefault="00713A0A" w:rsidP="0051236C">
            <w:pPr>
              <w:spacing w:after="0" w:line="276" w:lineRule="auto"/>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 </w:t>
            </w:r>
          </w:p>
        </w:tc>
        <w:tc>
          <w:tcPr>
            <w:tcW w:w="999" w:type="dxa"/>
            <w:tcBorders>
              <w:top w:val="nil"/>
              <w:left w:val="nil"/>
              <w:bottom w:val="single" w:sz="4" w:space="0" w:color="auto"/>
              <w:right w:val="single" w:sz="4" w:space="0" w:color="auto"/>
            </w:tcBorders>
            <w:shd w:val="clear" w:color="auto" w:fill="auto"/>
            <w:noWrap/>
            <w:vAlign w:val="bottom"/>
            <w:hideMark/>
          </w:tcPr>
          <w:p w14:paraId="73010925"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34</w:t>
            </w:r>
          </w:p>
        </w:tc>
        <w:tc>
          <w:tcPr>
            <w:tcW w:w="999" w:type="dxa"/>
            <w:tcBorders>
              <w:top w:val="nil"/>
              <w:left w:val="nil"/>
              <w:bottom w:val="single" w:sz="4" w:space="0" w:color="auto"/>
              <w:right w:val="single" w:sz="4" w:space="0" w:color="auto"/>
            </w:tcBorders>
            <w:shd w:val="clear" w:color="auto" w:fill="auto"/>
            <w:noWrap/>
            <w:vAlign w:val="bottom"/>
            <w:hideMark/>
          </w:tcPr>
          <w:p w14:paraId="09C8CC74"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56</w:t>
            </w:r>
          </w:p>
        </w:tc>
        <w:tc>
          <w:tcPr>
            <w:tcW w:w="1399" w:type="dxa"/>
            <w:tcBorders>
              <w:top w:val="nil"/>
              <w:left w:val="nil"/>
              <w:bottom w:val="single" w:sz="4" w:space="0" w:color="auto"/>
              <w:right w:val="single" w:sz="4" w:space="0" w:color="auto"/>
            </w:tcBorders>
            <w:shd w:val="clear" w:color="auto" w:fill="auto"/>
            <w:noWrap/>
            <w:vAlign w:val="bottom"/>
            <w:hideMark/>
          </w:tcPr>
          <w:p w14:paraId="775822ED" w14:textId="77777777" w:rsidR="00713A0A" w:rsidRPr="00721AC1" w:rsidRDefault="00713A0A" w:rsidP="0051236C">
            <w:pPr>
              <w:spacing w:after="0" w:line="276" w:lineRule="auto"/>
              <w:jc w:val="right"/>
              <w:rPr>
                <w:rFonts w:asciiTheme="majorHAnsi" w:eastAsia="Times New Roman" w:hAnsiTheme="majorHAnsi" w:cstheme="majorHAnsi"/>
                <w:sz w:val="16"/>
                <w:szCs w:val="16"/>
                <w:lang w:val="ro-MD"/>
              </w:rPr>
            </w:pPr>
            <w:r w:rsidRPr="00721AC1">
              <w:rPr>
                <w:rFonts w:asciiTheme="majorHAnsi" w:eastAsia="Times New Roman" w:hAnsiTheme="majorHAnsi" w:cstheme="majorHAnsi"/>
                <w:sz w:val="16"/>
                <w:szCs w:val="16"/>
                <w:lang w:val="ro-MD"/>
              </w:rPr>
              <w:t>90</w:t>
            </w:r>
          </w:p>
        </w:tc>
      </w:tr>
    </w:tbl>
    <w:p w14:paraId="4C8A72E6" w14:textId="77777777" w:rsidR="00713A0A" w:rsidRPr="001C6DCE" w:rsidRDefault="00713A0A">
      <w:pPr>
        <w:spacing w:after="0" w:line="276" w:lineRule="auto"/>
        <w:jc w:val="both"/>
        <w:rPr>
          <w:rFonts w:asciiTheme="majorHAnsi" w:hAnsiTheme="majorHAnsi" w:cstheme="majorHAnsi"/>
          <w:sz w:val="24"/>
          <w:szCs w:val="24"/>
          <w:lang w:val="ro-RO"/>
        </w:rPr>
      </w:pPr>
    </w:p>
    <w:p w14:paraId="2B30CD9F" w14:textId="559FA076" w:rsidR="00404882" w:rsidRPr="001C6DCE" w:rsidRDefault="00713A0A" w:rsidP="008C4E63">
      <w:pPr>
        <w:pStyle w:val="a8"/>
        <w:tabs>
          <w:tab w:val="left" w:pos="426"/>
        </w:tabs>
        <w:spacing w:line="276" w:lineRule="auto"/>
        <w:ind w:left="0" w:right="-41"/>
        <w:rPr>
          <w:rFonts w:asciiTheme="majorHAnsi" w:hAnsiTheme="majorHAnsi" w:cstheme="majorHAnsi"/>
          <w:sz w:val="24"/>
          <w:szCs w:val="24"/>
          <w:lang w:val="ro-RO"/>
        </w:rPr>
      </w:pPr>
      <w:r w:rsidRPr="001C6DCE">
        <w:rPr>
          <w:rFonts w:asciiTheme="majorHAnsi" w:hAnsiTheme="majorHAnsi" w:cstheme="majorHAnsi"/>
          <w:sz w:val="24"/>
          <w:szCs w:val="24"/>
          <w:lang w:val="ro-RO"/>
        </w:rPr>
        <w:t xml:space="preserve">Totodată, transmiterea patrimoniului în gestiune economică în rezultatul </w:t>
      </w:r>
      <w:r w:rsidR="00404882" w:rsidRPr="001C6DCE">
        <w:rPr>
          <w:rFonts w:asciiTheme="majorHAnsi" w:hAnsiTheme="majorHAnsi" w:cstheme="majorHAnsi"/>
          <w:sz w:val="24"/>
          <w:szCs w:val="24"/>
          <w:lang w:val="ro-RO"/>
        </w:rPr>
        <w:t>reorganiz</w:t>
      </w:r>
      <w:r w:rsidRPr="001C6DCE">
        <w:rPr>
          <w:rFonts w:asciiTheme="majorHAnsi" w:hAnsiTheme="majorHAnsi" w:cstheme="majorHAnsi"/>
          <w:sz w:val="24"/>
          <w:szCs w:val="24"/>
          <w:lang w:val="ro-RO"/>
        </w:rPr>
        <w:t>ării</w:t>
      </w:r>
      <w:r w:rsidR="00404882" w:rsidRPr="001C6DCE">
        <w:rPr>
          <w:rFonts w:asciiTheme="majorHAnsi" w:hAnsiTheme="majorHAnsi" w:cstheme="majorHAnsi"/>
          <w:sz w:val="24"/>
          <w:szCs w:val="24"/>
          <w:lang w:val="ro-RO"/>
        </w:rPr>
        <w:t xml:space="preserve"> instituțiilor din domeniul educație</w:t>
      </w:r>
      <w:r w:rsidR="00241E0E" w:rsidRPr="001C6DCE">
        <w:rPr>
          <w:rFonts w:asciiTheme="majorHAnsi" w:hAnsiTheme="majorHAnsi" w:cstheme="majorHAnsi"/>
          <w:sz w:val="24"/>
          <w:szCs w:val="24"/>
          <w:lang w:val="ro-RO"/>
        </w:rPr>
        <w:t>i</w:t>
      </w:r>
      <w:r w:rsidR="00404882" w:rsidRPr="001C6DCE">
        <w:rPr>
          <w:rFonts w:asciiTheme="majorHAnsi" w:hAnsiTheme="majorHAnsi" w:cstheme="majorHAnsi"/>
          <w:sz w:val="24"/>
          <w:szCs w:val="24"/>
          <w:lang w:val="ro-RO"/>
        </w:rPr>
        <w:t>, cercetării și inovării s-a efectuat cu abateri de la cadrul normativ în vigoare</w:t>
      </w:r>
      <w:r w:rsidRPr="001C6DCE">
        <w:rPr>
          <w:rFonts w:asciiTheme="majorHAnsi" w:hAnsiTheme="majorHAnsi" w:cstheme="majorHAnsi"/>
          <w:sz w:val="24"/>
          <w:szCs w:val="24"/>
          <w:lang w:val="ro-RO"/>
        </w:rPr>
        <w:t>,</w:t>
      </w:r>
      <w:r w:rsidR="00404882" w:rsidRPr="001C6DCE">
        <w:rPr>
          <w:rFonts w:asciiTheme="majorHAnsi" w:hAnsiTheme="majorHAnsi" w:cstheme="majorHAnsi"/>
          <w:sz w:val="24"/>
          <w:szCs w:val="24"/>
          <w:lang w:val="ro-RO"/>
        </w:rPr>
        <w:t xml:space="preserve"> prin ce a fost denaturată valoarea </w:t>
      </w:r>
      <w:r w:rsidRPr="001C6DCE">
        <w:rPr>
          <w:rFonts w:asciiTheme="majorHAnsi" w:hAnsiTheme="majorHAnsi" w:cstheme="majorHAnsi"/>
          <w:sz w:val="24"/>
          <w:szCs w:val="24"/>
          <w:lang w:val="ro-RO"/>
        </w:rPr>
        <w:t>acestuia</w:t>
      </w:r>
      <w:r w:rsidR="00404882" w:rsidRPr="001C6DCE">
        <w:rPr>
          <w:rFonts w:asciiTheme="majorHAnsi" w:hAnsiTheme="majorHAnsi" w:cstheme="majorHAnsi"/>
          <w:sz w:val="24"/>
          <w:szCs w:val="24"/>
          <w:lang w:val="ro-RO"/>
        </w:rPr>
        <w:t>.</w:t>
      </w:r>
      <w:r w:rsidR="002D592E" w:rsidRPr="001C6DCE">
        <w:rPr>
          <w:rFonts w:asciiTheme="majorHAnsi" w:hAnsiTheme="majorHAnsi" w:cstheme="majorHAnsi"/>
          <w:sz w:val="24"/>
          <w:szCs w:val="24"/>
          <w:lang w:val="ro-RO"/>
        </w:rPr>
        <w:t xml:space="preserve"> Astfel,</w:t>
      </w:r>
    </w:p>
    <w:p w14:paraId="0E5B3AD1" w14:textId="51245C2C" w:rsidR="002D592E" w:rsidRPr="001C6DCE" w:rsidRDefault="00404882" w:rsidP="008C4E63">
      <w:pPr>
        <w:pStyle w:val="a8"/>
        <w:numPr>
          <w:ilvl w:val="0"/>
          <w:numId w:val="19"/>
        </w:numPr>
        <w:tabs>
          <w:tab w:val="left" w:pos="284"/>
        </w:tabs>
        <w:spacing w:line="276" w:lineRule="auto"/>
        <w:ind w:left="0" w:right="-41" w:firstLine="0"/>
        <w:rPr>
          <w:rFonts w:asciiTheme="majorHAnsi" w:hAnsiTheme="majorHAnsi" w:cstheme="majorHAnsi"/>
          <w:sz w:val="24"/>
          <w:szCs w:val="24"/>
          <w:lang w:val="ro-RO"/>
        </w:rPr>
      </w:pPr>
      <w:r w:rsidRPr="001C6DCE">
        <w:rPr>
          <w:rFonts w:asciiTheme="majorHAnsi" w:hAnsiTheme="majorHAnsi" w:cstheme="majorHAnsi"/>
          <w:sz w:val="24"/>
          <w:szCs w:val="24"/>
          <w:lang w:val="ro-RO"/>
        </w:rPr>
        <w:t>MEC și APC</w:t>
      </w:r>
      <w:r w:rsidRPr="001C6DCE">
        <w:rPr>
          <w:rStyle w:val="a5"/>
          <w:rFonts w:asciiTheme="majorHAnsi" w:hAnsiTheme="majorHAnsi" w:cstheme="majorHAnsi"/>
          <w:sz w:val="24"/>
          <w:szCs w:val="24"/>
          <w:lang w:val="ro-RO"/>
        </w:rPr>
        <w:footnoteReference w:id="21"/>
      </w:r>
      <w:r w:rsidRPr="001C6DCE">
        <w:rPr>
          <w:rFonts w:asciiTheme="majorHAnsi" w:hAnsiTheme="majorHAnsi" w:cstheme="majorHAnsi"/>
          <w:sz w:val="24"/>
          <w:szCs w:val="24"/>
          <w:lang w:val="ro-RO"/>
        </w:rPr>
        <w:t xml:space="preserve"> nu au asigurat reevaluarea patrimoniului public potrivit prevederilor pct. 1.4.5.2</w:t>
      </w:r>
      <w:r w:rsidR="00241E0E" w:rsidRPr="001C6DCE">
        <w:rPr>
          <w:rFonts w:asciiTheme="majorHAnsi" w:hAnsiTheme="majorHAnsi" w:cstheme="majorHAnsi"/>
          <w:sz w:val="24"/>
          <w:szCs w:val="24"/>
          <w:lang w:val="ro-RO"/>
        </w:rPr>
        <w:t>.</w:t>
      </w:r>
      <w:r w:rsidR="00721AC1">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 xml:space="preserve">din Ordinul </w:t>
      </w:r>
      <w:r w:rsidR="00241E0E" w:rsidRPr="001C6DCE">
        <w:rPr>
          <w:rFonts w:asciiTheme="majorHAnsi" w:hAnsiTheme="majorHAnsi" w:cstheme="majorHAnsi"/>
          <w:sz w:val="24"/>
          <w:szCs w:val="24"/>
          <w:lang w:val="ro-RO"/>
        </w:rPr>
        <w:t xml:space="preserve">ministrului Finanțelor nr. </w:t>
      </w:r>
      <w:r w:rsidRPr="001C6DCE">
        <w:rPr>
          <w:rFonts w:asciiTheme="majorHAnsi" w:hAnsiTheme="majorHAnsi" w:cstheme="majorHAnsi"/>
          <w:sz w:val="24"/>
          <w:szCs w:val="24"/>
          <w:lang w:val="ro-RO"/>
        </w:rPr>
        <w:t xml:space="preserve">216/2015. </w:t>
      </w:r>
    </w:p>
    <w:p w14:paraId="024E6083" w14:textId="39A5DE26" w:rsidR="00404882" w:rsidRPr="001C6DCE" w:rsidRDefault="00404882" w:rsidP="008C4E63">
      <w:pPr>
        <w:pStyle w:val="a8"/>
        <w:numPr>
          <w:ilvl w:val="0"/>
          <w:numId w:val="19"/>
        </w:numPr>
        <w:tabs>
          <w:tab w:val="left" w:pos="284"/>
        </w:tabs>
        <w:spacing w:line="276" w:lineRule="auto"/>
        <w:ind w:left="0" w:right="-41" w:firstLine="0"/>
        <w:rPr>
          <w:rFonts w:asciiTheme="majorHAnsi" w:hAnsiTheme="majorHAnsi" w:cstheme="majorHAnsi"/>
          <w:sz w:val="24"/>
          <w:szCs w:val="24"/>
          <w:lang w:val="ro-RO"/>
        </w:rPr>
      </w:pPr>
      <w:r w:rsidRPr="001C6DCE">
        <w:rPr>
          <w:rFonts w:asciiTheme="majorHAnsi" w:hAnsiTheme="majorHAnsi" w:cstheme="majorHAnsi"/>
          <w:sz w:val="24"/>
          <w:szCs w:val="24"/>
          <w:lang w:val="ro-RO"/>
        </w:rPr>
        <w:t>În urma verificărilor efectuate de audit privind corectitudinea determinării investițiilor în părți legate și nelegate în procesul de reorganizare a instituțiilor din domeniul educației, cercetării și inovării</w:t>
      </w:r>
      <w:r w:rsidR="00241E0E" w:rsidRPr="001C6DCE">
        <w:rPr>
          <w:rFonts w:asciiTheme="majorHAnsi" w:hAnsiTheme="majorHAnsi" w:cstheme="majorHAnsi"/>
          <w:sz w:val="24"/>
          <w:szCs w:val="24"/>
          <w:lang w:val="ro-RO"/>
        </w:rPr>
        <w:t>, s-</w:t>
      </w:r>
      <w:r w:rsidRPr="001C6DCE">
        <w:rPr>
          <w:rFonts w:asciiTheme="majorHAnsi" w:hAnsiTheme="majorHAnsi" w:cstheme="majorHAnsi"/>
          <w:sz w:val="24"/>
          <w:szCs w:val="24"/>
          <w:lang w:val="ro-RO"/>
        </w:rPr>
        <w:t>a constatat că patrimoniul statului transmis în gestiune economică și gestionat de instituțiile publice la autogestiune nu reprezintă o valoare reală și credibilă. De exemplu, potrivit actelor de transmitere prezentate de Academia de Administrare Publică</w:t>
      </w:r>
      <w:r w:rsidR="00241E0E"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valoarea patrimoniului public primit în gestiune economică și cu drept de proprietate a constituit 43</w:t>
      </w:r>
      <w:r w:rsidR="002D592E" w:rsidRPr="001C6DCE">
        <w:rPr>
          <w:rFonts w:asciiTheme="majorHAnsi" w:hAnsiTheme="majorHAnsi" w:cstheme="majorHAnsi"/>
          <w:sz w:val="24"/>
          <w:szCs w:val="24"/>
          <w:lang w:val="ro-RO"/>
        </w:rPr>
        <w:t>,30</w:t>
      </w:r>
      <w:r w:rsidRPr="001C6DCE">
        <w:rPr>
          <w:rFonts w:asciiTheme="majorHAnsi" w:hAnsiTheme="majorHAnsi" w:cstheme="majorHAnsi"/>
          <w:sz w:val="24"/>
          <w:szCs w:val="24"/>
          <w:lang w:val="ro-RO"/>
        </w:rPr>
        <w:t xml:space="preserve"> mi</w:t>
      </w:r>
      <w:r w:rsidR="002D592E" w:rsidRPr="001C6DCE">
        <w:rPr>
          <w:rFonts w:asciiTheme="majorHAnsi" w:hAnsiTheme="majorHAnsi" w:cstheme="majorHAnsi"/>
          <w:sz w:val="24"/>
          <w:szCs w:val="24"/>
          <w:lang w:val="ro-RO"/>
        </w:rPr>
        <w:t>l.</w:t>
      </w:r>
      <w:r w:rsidRPr="001C6DCE">
        <w:rPr>
          <w:rFonts w:asciiTheme="majorHAnsi" w:hAnsiTheme="majorHAnsi" w:cstheme="majorHAnsi"/>
          <w:sz w:val="24"/>
          <w:szCs w:val="24"/>
          <w:lang w:val="ro-RO"/>
        </w:rPr>
        <w:t>lei</w:t>
      </w:r>
      <w:r w:rsidR="002D592E" w:rsidRPr="001C6DCE">
        <w:rPr>
          <w:rStyle w:val="a5"/>
          <w:rFonts w:asciiTheme="majorHAnsi" w:hAnsiTheme="majorHAnsi" w:cstheme="majorHAnsi"/>
          <w:sz w:val="24"/>
          <w:szCs w:val="24"/>
          <w:lang w:val="ro-RO"/>
        </w:rPr>
        <w:footnoteReference w:id="22"/>
      </w:r>
      <w:r w:rsidRPr="001C6DCE">
        <w:rPr>
          <w:rFonts w:asciiTheme="majorHAnsi" w:hAnsiTheme="majorHAnsi" w:cstheme="majorHAnsi"/>
          <w:sz w:val="24"/>
          <w:szCs w:val="24"/>
          <w:lang w:val="ro-RO"/>
        </w:rPr>
        <w:t>. Totodată</w:t>
      </w:r>
      <w:r w:rsidR="00241E0E"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valoarea activelor nete la momentul transmiterii a constituit 37</w:t>
      </w:r>
      <w:r w:rsidR="006A0DCA"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34 mi</w:t>
      </w:r>
      <w:r w:rsidR="006A0DCA" w:rsidRPr="001C6DCE">
        <w:rPr>
          <w:rFonts w:asciiTheme="majorHAnsi" w:hAnsiTheme="majorHAnsi" w:cstheme="majorHAnsi"/>
          <w:sz w:val="24"/>
          <w:szCs w:val="24"/>
          <w:lang w:val="ro-RO"/>
        </w:rPr>
        <w:t>l.</w:t>
      </w:r>
      <w:r w:rsidRPr="001C6DCE">
        <w:rPr>
          <w:rFonts w:asciiTheme="majorHAnsi" w:hAnsiTheme="majorHAnsi" w:cstheme="majorHAnsi"/>
          <w:sz w:val="24"/>
          <w:szCs w:val="24"/>
          <w:lang w:val="ro-RO"/>
        </w:rPr>
        <w:t>lei</w:t>
      </w:r>
      <w:r w:rsidR="006A0DCA" w:rsidRPr="001C6DCE">
        <w:rPr>
          <w:rStyle w:val="a5"/>
          <w:rFonts w:asciiTheme="majorHAnsi" w:hAnsiTheme="majorHAnsi" w:cstheme="majorHAnsi"/>
          <w:sz w:val="24"/>
          <w:szCs w:val="24"/>
          <w:lang w:val="ro-RO"/>
        </w:rPr>
        <w:footnoteReference w:id="23"/>
      </w:r>
      <w:r w:rsidRPr="001C6DCE">
        <w:rPr>
          <w:rFonts w:asciiTheme="majorHAnsi" w:hAnsiTheme="majorHAnsi" w:cstheme="majorHAnsi"/>
          <w:sz w:val="24"/>
          <w:szCs w:val="24"/>
          <w:lang w:val="ro-RO"/>
        </w:rPr>
        <w:t>, sau cu 5</w:t>
      </w:r>
      <w:r w:rsidR="000B4AB8"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9</w:t>
      </w:r>
      <w:r w:rsidR="000B4AB8" w:rsidRPr="001C6DCE">
        <w:rPr>
          <w:rFonts w:asciiTheme="majorHAnsi" w:hAnsiTheme="majorHAnsi" w:cstheme="majorHAnsi"/>
          <w:sz w:val="24"/>
          <w:szCs w:val="24"/>
          <w:lang w:val="ro-RO"/>
        </w:rPr>
        <w:t>6</w:t>
      </w:r>
      <w:r w:rsidRPr="001C6DCE">
        <w:rPr>
          <w:rFonts w:asciiTheme="majorHAnsi" w:hAnsiTheme="majorHAnsi" w:cstheme="majorHAnsi"/>
          <w:sz w:val="24"/>
          <w:szCs w:val="24"/>
          <w:lang w:val="ro-RO"/>
        </w:rPr>
        <w:t xml:space="preserve"> mi</w:t>
      </w:r>
      <w:r w:rsidR="000B4AB8" w:rsidRPr="001C6DCE">
        <w:rPr>
          <w:rFonts w:asciiTheme="majorHAnsi" w:hAnsiTheme="majorHAnsi" w:cstheme="majorHAnsi"/>
          <w:sz w:val="24"/>
          <w:szCs w:val="24"/>
          <w:lang w:val="ro-RO"/>
        </w:rPr>
        <w:t>l.</w:t>
      </w:r>
      <w:r w:rsidRPr="001C6DCE">
        <w:rPr>
          <w:rFonts w:asciiTheme="majorHAnsi" w:hAnsiTheme="majorHAnsi" w:cstheme="majorHAnsi"/>
          <w:sz w:val="24"/>
          <w:szCs w:val="24"/>
          <w:lang w:val="ro-RO"/>
        </w:rPr>
        <w:t>lei mai puțin decât valoarea investițiilor înregistrate la MEC.</w:t>
      </w:r>
    </w:p>
    <w:p w14:paraId="13D929AE" w14:textId="0938748D" w:rsidR="00404882" w:rsidRPr="001C6DCE" w:rsidRDefault="00241E0E" w:rsidP="008C4E63">
      <w:pPr>
        <w:pStyle w:val="Default"/>
        <w:spacing w:line="276" w:lineRule="auto"/>
        <w:jc w:val="both"/>
        <w:rPr>
          <w:rFonts w:asciiTheme="majorHAnsi" w:hAnsiTheme="majorHAnsi" w:cstheme="majorHAnsi"/>
          <w:color w:val="auto"/>
          <w:lang w:val="ro-RO"/>
        </w:rPr>
      </w:pPr>
      <w:r w:rsidRPr="001C6DCE">
        <w:rPr>
          <w:rFonts w:asciiTheme="majorHAnsi" w:hAnsiTheme="majorHAnsi" w:cstheme="majorHAnsi"/>
          <w:color w:val="auto"/>
          <w:lang w:val="ro-RO"/>
        </w:rPr>
        <w:t>O s</w:t>
      </w:r>
      <w:r w:rsidR="00404882" w:rsidRPr="001C6DCE">
        <w:rPr>
          <w:rFonts w:asciiTheme="majorHAnsi" w:hAnsiTheme="majorHAnsi" w:cstheme="majorHAnsi"/>
          <w:color w:val="auto"/>
          <w:lang w:val="ro-RO"/>
        </w:rPr>
        <w:t>ituație similară se atestă și la absorbția Institutului de Formare Continuă de către U</w:t>
      </w:r>
      <w:r w:rsidR="000B4AB8" w:rsidRPr="001C6DCE">
        <w:rPr>
          <w:rFonts w:asciiTheme="majorHAnsi" w:hAnsiTheme="majorHAnsi" w:cstheme="majorHAnsi"/>
          <w:color w:val="auto"/>
          <w:lang w:val="ro-RO"/>
        </w:rPr>
        <w:t xml:space="preserve">niversitatea </w:t>
      </w:r>
      <w:r w:rsidR="00404882" w:rsidRPr="001C6DCE">
        <w:rPr>
          <w:rFonts w:asciiTheme="majorHAnsi" w:hAnsiTheme="majorHAnsi" w:cstheme="majorHAnsi"/>
          <w:color w:val="auto"/>
          <w:lang w:val="ro-RO"/>
        </w:rPr>
        <w:t>P</w:t>
      </w:r>
      <w:r w:rsidR="000B4AB8" w:rsidRPr="001C6DCE">
        <w:rPr>
          <w:rFonts w:asciiTheme="majorHAnsi" w:hAnsiTheme="majorHAnsi" w:cstheme="majorHAnsi"/>
          <w:color w:val="auto"/>
          <w:lang w:val="ro-RO"/>
        </w:rPr>
        <w:t xml:space="preserve">edagogică de </w:t>
      </w:r>
      <w:r w:rsidR="00404882" w:rsidRPr="001C6DCE">
        <w:rPr>
          <w:rFonts w:asciiTheme="majorHAnsi" w:hAnsiTheme="majorHAnsi" w:cstheme="majorHAnsi"/>
          <w:color w:val="auto"/>
          <w:lang w:val="ro-RO"/>
        </w:rPr>
        <w:t>S</w:t>
      </w:r>
      <w:r w:rsidR="000B4AB8" w:rsidRPr="001C6DCE">
        <w:rPr>
          <w:rFonts w:asciiTheme="majorHAnsi" w:hAnsiTheme="majorHAnsi" w:cstheme="majorHAnsi"/>
          <w:color w:val="auto"/>
          <w:lang w:val="ro-RO"/>
        </w:rPr>
        <w:t>tat „</w:t>
      </w:r>
      <w:r w:rsidR="00404882" w:rsidRPr="001C6DCE">
        <w:rPr>
          <w:rFonts w:asciiTheme="majorHAnsi" w:hAnsiTheme="majorHAnsi" w:cstheme="majorHAnsi"/>
          <w:color w:val="auto"/>
          <w:lang w:val="ro-RO"/>
        </w:rPr>
        <w:t>I</w:t>
      </w:r>
      <w:r w:rsidR="000B4AB8" w:rsidRPr="001C6DCE">
        <w:rPr>
          <w:rFonts w:asciiTheme="majorHAnsi" w:hAnsiTheme="majorHAnsi" w:cstheme="majorHAnsi"/>
          <w:color w:val="auto"/>
          <w:lang w:val="ro-RO"/>
        </w:rPr>
        <w:t xml:space="preserve">on </w:t>
      </w:r>
      <w:r w:rsidR="00404882" w:rsidRPr="001C6DCE">
        <w:rPr>
          <w:rFonts w:asciiTheme="majorHAnsi" w:hAnsiTheme="majorHAnsi" w:cstheme="majorHAnsi"/>
          <w:color w:val="auto"/>
          <w:lang w:val="ro-RO"/>
        </w:rPr>
        <w:t>C</w:t>
      </w:r>
      <w:r w:rsidR="000B4AB8" w:rsidRPr="001C6DCE">
        <w:rPr>
          <w:rFonts w:asciiTheme="majorHAnsi" w:hAnsiTheme="majorHAnsi" w:cstheme="majorHAnsi"/>
          <w:color w:val="auto"/>
          <w:lang w:val="ro-RO"/>
        </w:rPr>
        <w:t>reangă”</w:t>
      </w:r>
      <w:r w:rsidR="00FB3E01" w:rsidRPr="001C6DCE">
        <w:rPr>
          <w:rFonts w:asciiTheme="majorHAnsi" w:hAnsiTheme="majorHAnsi" w:cstheme="majorHAnsi"/>
          <w:color w:val="auto"/>
          <w:lang w:val="ro-RO"/>
        </w:rPr>
        <w:t>,</w:t>
      </w:r>
      <w:r w:rsidR="00404882" w:rsidRPr="001C6DCE">
        <w:rPr>
          <w:rFonts w:asciiTheme="majorHAnsi" w:hAnsiTheme="majorHAnsi" w:cstheme="majorHAnsi"/>
          <w:color w:val="auto"/>
          <w:lang w:val="ro-RO"/>
        </w:rPr>
        <w:t xml:space="preserve"> la care valoarea capitalului social înregistrat în situațiile financiare și </w:t>
      </w:r>
      <w:r w:rsidR="00FB3E01" w:rsidRPr="001C6DCE">
        <w:rPr>
          <w:rFonts w:asciiTheme="majorHAnsi" w:hAnsiTheme="majorHAnsi" w:cstheme="majorHAnsi"/>
          <w:color w:val="auto"/>
          <w:lang w:val="ro-RO"/>
        </w:rPr>
        <w:t xml:space="preserve">în </w:t>
      </w:r>
      <w:r w:rsidR="00404882" w:rsidRPr="001C6DCE">
        <w:rPr>
          <w:rFonts w:asciiTheme="majorHAnsi" w:hAnsiTheme="majorHAnsi" w:cstheme="majorHAnsi"/>
          <w:color w:val="auto"/>
          <w:lang w:val="ro-RO"/>
        </w:rPr>
        <w:t>rapoartele MEC la data transmiterii constituia 4</w:t>
      </w:r>
      <w:r w:rsidR="000B4AB8" w:rsidRPr="001C6DCE">
        <w:rPr>
          <w:rFonts w:asciiTheme="majorHAnsi" w:hAnsiTheme="majorHAnsi" w:cstheme="majorHAnsi"/>
          <w:color w:val="auto"/>
          <w:lang w:val="ro-RO"/>
        </w:rPr>
        <w:t>,</w:t>
      </w:r>
      <w:r w:rsidR="00404882" w:rsidRPr="001C6DCE">
        <w:rPr>
          <w:rFonts w:asciiTheme="majorHAnsi" w:hAnsiTheme="majorHAnsi" w:cstheme="majorHAnsi"/>
          <w:color w:val="auto"/>
          <w:lang w:val="ro-RO"/>
        </w:rPr>
        <w:t>1</w:t>
      </w:r>
      <w:r w:rsidR="000B4AB8" w:rsidRPr="001C6DCE">
        <w:rPr>
          <w:rFonts w:asciiTheme="majorHAnsi" w:hAnsiTheme="majorHAnsi" w:cstheme="majorHAnsi"/>
          <w:color w:val="auto"/>
          <w:lang w:val="ro-RO"/>
        </w:rPr>
        <w:t>5</w:t>
      </w:r>
      <w:r w:rsidR="00404882" w:rsidRPr="001C6DCE">
        <w:rPr>
          <w:rFonts w:asciiTheme="majorHAnsi" w:hAnsiTheme="majorHAnsi" w:cstheme="majorHAnsi"/>
          <w:color w:val="auto"/>
          <w:lang w:val="ro-RO"/>
        </w:rPr>
        <w:t xml:space="preserve"> mi</w:t>
      </w:r>
      <w:r w:rsidR="000B4AB8" w:rsidRPr="001C6DCE">
        <w:rPr>
          <w:rFonts w:asciiTheme="majorHAnsi" w:hAnsiTheme="majorHAnsi" w:cstheme="majorHAnsi"/>
          <w:color w:val="auto"/>
          <w:lang w:val="ro-RO"/>
        </w:rPr>
        <w:t>l.</w:t>
      </w:r>
      <w:r w:rsidR="00404882" w:rsidRPr="001C6DCE">
        <w:rPr>
          <w:rFonts w:asciiTheme="majorHAnsi" w:hAnsiTheme="majorHAnsi" w:cstheme="majorHAnsi"/>
          <w:color w:val="auto"/>
          <w:lang w:val="ro-RO"/>
        </w:rPr>
        <w:t>lei, iar valoarea</w:t>
      </w:r>
      <w:r w:rsidR="00404882" w:rsidRPr="001C6DCE" w:rsidDel="0076475E">
        <w:rPr>
          <w:rFonts w:asciiTheme="majorHAnsi" w:hAnsiTheme="majorHAnsi" w:cstheme="majorHAnsi"/>
          <w:color w:val="auto"/>
          <w:lang w:val="ro-RO"/>
        </w:rPr>
        <w:t xml:space="preserve"> </w:t>
      </w:r>
      <w:r w:rsidR="00404882" w:rsidRPr="001C6DCE">
        <w:rPr>
          <w:rFonts w:asciiTheme="majorHAnsi" w:hAnsiTheme="majorHAnsi" w:cstheme="majorHAnsi"/>
          <w:color w:val="auto"/>
          <w:lang w:val="ro-RO"/>
        </w:rPr>
        <w:t xml:space="preserve">activelor nete (conform datelor din bilanț) </w:t>
      </w:r>
      <w:r w:rsidR="000B4AB8" w:rsidRPr="001C6DCE">
        <w:rPr>
          <w:rFonts w:asciiTheme="majorHAnsi" w:hAnsiTheme="majorHAnsi" w:cstheme="majorHAnsi"/>
          <w:color w:val="auto"/>
          <w:lang w:val="ro-RO"/>
        </w:rPr>
        <w:t>– 0,</w:t>
      </w:r>
      <w:r w:rsidR="00404882" w:rsidRPr="001C6DCE">
        <w:rPr>
          <w:rFonts w:asciiTheme="majorHAnsi" w:hAnsiTheme="majorHAnsi" w:cstheme="majorHAnsi"/>
          <w:color w:val="auto"/>
          <w:lang w:val="ro-RO"/>
        </w:rPr>
        <w:t>4</w:t>
      </w:r>
      <w:r w:rsidR="000B4AB8" w:rsidRPr="001C6DCE">
        <w:rPr>
          <w:rFonts w:asciiTheme="majorHAnsi" w:hAnsiTheme="majorHAnsi" w:cstheme="majorHAnsi"/>
          <w:color w:val="auto"/>
          <w:lang w:val="ro-RO"/>
        </w:rPr>
        <w:t>1</w:t>
      </w:r>
      <w:r w:rsidR="00404882" w:rsidRPr="001C6DCE">
        <w:rPr>
          <w:rFonts w:asciiTheme="majorHAnsi" w:hAnsiTheme="majorHAnsi" w:cstheme="majorHAnsi"/>
          <w:color w:val="auto"/>
          <w:lang w:val="ro-RO"/>
        </w:rPr>
        <w:t xml:space="preserve"> mi</w:t>
      </w:r>
      <w:r w:rsidR="000B4AB8" w:rsidRPr="001C6DCE">
        <w:rPr>
          <w:rFonts w:asciiTheme="majorHAnsi" w:hAnsiTheme="majorHAnsi" w:cstheme="majorHAnsi"/>
          <w:color w:val="auto"/>
          <w:lang w:val="ro-RO"/>
        </w:rPr>
        <w:t>l.</w:t>
      </w:r>
      <w:r w:rsidR="00404882" w:rsidRPr="001C6DCE">
        <w:rPr>
          <w:rFonts w:asciiTheme="majorHAnsi" w:hAnsiTheme="majorHAnsi" w:cstheme="majorHAnsi"/>
          <w:color w:val="auto"/>
          <w:lang w:val="ro-RO"/>
        </w:rPr>
        <w:t>lei, sau cu 3</w:t>
      </w:r>
      <w:r w:rsidR="000B4AB8" w:rsidRPr="001C6DCE">
        <w:rPr>
          <w:rFonts w:asciiTheme="majorHAnsi" w:hAnsiTheme="majorHAnsi" w:cstheme="majorHAnsi"/>
          <w:color w:val="auto"/>
          <w:lang w:val="ro-RO"/>
        </w:rPr>
        <w:t>,</w:t>
      </w:r>
      <w:r w:rsidR="00404882" w:rsidRPr="001C6DCE">
        <w:rPr>
          <w:rFonts w:asciiTheme="majorHAnsi" w:hAnsiTheme="majorHAnsi" w:cstheme="majorHAnsi"/>
          <w:color w:val="auto"/>
          <w:lang w:val="ro-RO"/>
        </w:rPr>
        <w:t>7</w:t>
      </w:r>
      <w:r w:rsidR="000B4AB8" w:rsidRPr="001C6DCE">
        <w:rPr>
          <w:rFonts w:asciiTheme="majorHAnsi" w:hAnsiTheme="majorHAnsi" w:cstheme="majorHAnsi"/>
          <w:color w:val="auto"/>
          <w:lang w:val="ro-RO"/>
        </w:rPr>
        <w:t>4</w:t>
      </w:r>
      <w:r w:rsidR="00404882" w:rsidRPr="001C6DCE">
        <w:rPr>
          <w:rFonts w:asciiTheme="majorHAnsi" w:hAnsiTheme="majorHAnsi" w:cstheme="majorHAnsi"/>
          <w:color w:val="auto"/>
          <w:lang w:val="ro-RO"/>
        </w:rPr>
        <w:t xml:space="preserve"> mi</w:t>
      </w:r>
      <w:r w:rsidR="000B4AB8" w:rsidRPr="001C6DCE">
        <w:rPr>
          <w:rFonts w:asciiTheme="majorHAnsi" w:hAnsiTheme="majorHAnsi" w:cstheme="majorHAnsi"/>
          <w:color w:val="auto"/>
          <w:lang w:val="ro-RO"/>
        </w:rPr>
        <w:t>l.</w:t>
      </w:r>
      <w:r w:rsidR="00404882" w:rsidRPr="001C6DCE">
        <w:rPr>
          <w:rFonts w:asciiTheme="majorHAnsi" w:hAnsiTheme="majorHAnsi" w:cstheme="majorHAnsi"/>
          <w:color w:val="auto"/>
          <w:lang w:val="ro-RO"/>
        </w:rPr>
        <w:t>lei mai puțin decât valoarea investițiilor înregistrate la MEC. Totodată</w:t>
      </w:r>
      <w:r w:rsidR="000B4AB8" w:rsidRPr="001C6DCE">
        <w:rPr>
          <w:rFonts w:asciiTheme="majorHAnsi" w:hAnsiTheme="majorHAnsi" w:cstheme="majorHAnsi"/>
          <w:color w:val="auto"/>
          <w:lang w:val="ro-RO"/>
        </w:rPr>
        <w:t>,</w:t>
      </w:r>
      <w:r w:rsidR="00404882" w:rsidRPr="001C6DCE">
        <w:rPr>
          <w:rFonts w:asciiTheme="majorHAnsi" w:hAnsiTheme="majorHAnsi" w:cstheme="majorHAnsi"/>
          <w:color w:val="auto"/>
          <w:lang w:val="ro-RO"/>
        </w:rPr>
        <w:t xml:space="preserve"> menționăm că UPSIC a înregistrat în evidența contabilă doar valoarea mijloacelor fixe și a numerarului în sumă de </w:t>
      </w:r>
      <w:r w:rsidR="000B4AB8" w:rsidRPr="001C6DCE">
        <w:rPr>
          <w:rFonts w:asciiTheme="majorHAnsi" w:hAnsiTheme="majorHAnsi" w:cstheme="majorHAnsi"/>
          <w:color w:val="auto"/>
          <w:lang w:val="ro-RO"/>
        </w:rPr>
        <w:t>0,</w:t>
      </w:r>
      <w:r w:rsidR="00404882" w:rsidRPr="001C6DCE">
        <w:rPr>
          <w:rFonts w:asciiTheme="majorHAnsi" w:hAnsiTheme="majorHAnsi" w:cstheme="majorHAnsi"/>
          <w:color w:val="auto"/>
          <w:lang w:val="ro-RO"/>
        </w:rPr>
        <w:t>40 mi</w:t>
      </w:r>
      <w:r w:rsidR="000B4AB8" w:rsidRPr="001C6DCE">
        <w:rPr>
          <w:rFonts w:asciiTheme="majorHAnsi" w:hAnsiTheme="majorHAnsi" w:cstheme="majorHAnsi"/>
          <w:color w:val="auto"/>
          <w:lang w:val="ro-RO"/>
        </w:rPr>
        <w:t>l.</w:t>
      </w:r>
      <w:r w:rsidR="00404882" w:rsidRPr="001C6DCE">
        <w:rPr>
          <w:rFonts w:asciiTheme="majorHAnsi" w:hAnsiTheme="majorHAnsi" w:cstheme="majorHAnsi"/>
          <w:color w:val="auto"/>
          <w:lang w:val="ro-RO"/>
        </w:rPr>
        <w:t>lei</w:t>
      </w:r>
      <w:r w:rsidR="00404882" w:rsidRPr="001C6DCE">
        <w:rPr>
          <w:rStyle w:val="a5"/>
          <w:rFonts w:asciiTheme="majorHAnsi" w:hAnsiTheme="majorHAnsi" w:cstheme="majorHAnsi"/>
          <w:color w:val="auto"/>
          <w:lang w:val="ro-RO"/>
        </w:rPr>
        <w:footnoteReference w:id="24"/>
      </w:r>
      <w:r w:rsidR="00404882" w:rsidRPr="001C6DCE">
        <w:rPr>
          <w:rFonts w:asciiTheme="majorHAnsi" w:hAnsiTheme="majorHAnsi" w:cstheme="majorHAnsi"/>
          <w:color w:val="auto"/>
          <w:lang w:val="ro-RO"/>
        </w:rPr>
        <w:t>.</w:t>
      </w:r>
    </w:p>
    <w:p w14:paraId="0D20B283" w14:textId="73FA7006" w:rsidR="00404882" w:rsidRPr="001C6DCE" w:rsidRDefault="00FB3E01" w:rsidP="008C4E63">
      <w:pPr>
        <w:pStyle w:val="Default"/>
        <w:spacing w:line="276" w:lineRule="auto"/>
        <w:jc w:val="both"/>
        <w:rPr>
          <w:rFonts w:asciiTheme="majorHAnsi" w:hAnsiTheme="majorHAnsi" w:cstheme="majorHAnsi"/>
          <w:color w:val="auto"/>
          <w:lang w:val="ro-RO"/>
        </w:rPr>
      </w:pPr>
      <w:r w:rsidRPr="001C6DCE">
        <w:rPr>
          <w:rFonts w:asciiTheme="majorHAnsi" w:hAnsiTheme="majorHAnsi" w:cstheme="majorHAnsi"/>
          <w:color w:val="auto"/>
          <w:lang w:val="ro-RO"/>
        </w:rPr>
        <w:t>O a</w:t>
      </w:r>
      <w:r w:rsidR="00404882" w:rsidRPr="001C6DCE">
        <w:rPr>
          <w:rFonts w:asciiTheme="majorHAnsi" w:hAnsiTheme="majorHAnsi" w:cstheme="majorHAnsi"/>
          <w:color w:val="auto"/>
          <w:lang w:val="ro-RO"/>
        </w:rPr>
        <w:t>ltă situație se constată în cazul absorbției U</w:t>
      </w:r>
      <w:r w:rsidR="0032146C" w:rsidRPr="001C6DCE">
        <w:rPr>
          <w:rFonts w:asciiTheme="majorHAnsi" w:hAnsiTheme="majorHAnsi" w:cstheme="majorHAnsi"/>
          <w:color w:val="auto"/>
          <w:lang w:val="ro-RO"/>
        </w:rPr>
        <w:t xml:space="preserve">niversității </w:t>
      </w:r>
      <w:r w:rsidR="00404882" w:rsidRPr="001C6DCE">
        <w:rPr>
          <w:rFonts w:asciiTheme="majorHAnsi" w:hAnsiTheme="majorHAnsi" w:cstheme="majorHAnsi"/>
          <w:color w:val="auto"/>
          <w:lang w:val="ro-RO"/>
        </w:rPr>
        <w:t>A</w:t>
      </w:r>
      <w:r w:rsidR="0032146C" w:rsidRPr="001C6DCE">
        <w:rPr>
          <w:rFonts w:asciiTheme="majorHAnsi" w:hAnsiTheme="majorHAnsi" w:cstheme="majorHAnsi"/>
          <w:color w:val="auto"/>
          <w:lang w:val="ro-RO"/>
        </w:rPr>
        <w:t xml:space="preserve">grare de </w:t>
      </w:r>
      <w:r w:rsidR="00404882" w:rsidRPr="001C6DCE">
        <w:rPr>
          <w:rFonts w:asciiTheme="majorHAnsi" w:hAnsiTheme="majorHAnsi" w:cstheme="majorHAnsi"/>
          <w:color w:val="auto"/>
          <w:lang w:val="ro-RO"/>
        </w:rPr>
        <w:t>S</w:t>
      </w:r>
      <w:r w:rsidR="0032146C" w:rsidRPr="001C6DCE">
        <w:rPr>
          <w:rFonts w:asciiTheme="majorHAnsi" w:hAnsiTheme="majorHAnsi" w:cstheme="majorHAnsi"/>
          <w:color w:val="auto"/>
          <w:lang w:val="ro-RO"/>
        </w:rPr>
        <w:t xml:space="preserve">tat din </w:t>
      </w:r>
      <w:r w:rsidR="00404882" w:rsidRPr="001C6DCE">
        <w:rPr>
          <w:rFonts w:asciiTheme="majorHAnsi" w:hAnsiTheme="majorHAnsi" w:cstheme="majorHAnsi"/>
          <w:color w:val="auto"/>
          <w:lang w:val="ro-RO"/>
        </w:rPr>
        <w:t>M</w:t>
      </w:r>
      <w:r w:rsidR="0032146C" w:rsidRPr="001C6DCE">
        <w:rPr>
          <w:rFonts w:asciiTheme="majorHAnsi" w:hAnsiTheme="majorHAnsi" w:cstheme="majorHAnsi"/>
          <w:color w:val="auto"/>
          <w:lang w:val="ro-RO"/>
        </w:rPr>
        <w:t>oldova</w:t>
      </w:r>
      <w:r w:rsidR="00935EC2" w:rsidRPr="001C6DCE">
        <w:rPr>
          <w:rFonts w:asciiTheme="majorHAnsi" w:hAnsiTheme="majorHAnsi" w:cstheme="majorHAnsi"/>
          <w:color w:val="auto"/>
          <w:lang w:val="ro-RO"/>
        </w:rPr>
        <w:t xml:space="preserve"> (UASM)</w:t>
      </w:r>
      <w:r w:rsidR="00404882" w:rsidRPr="001C6DCE">
        <w:rPr>
          <w:rFonts w:asciiTheme="majorHAnsi" w:hAnsiTheme="majorHAnsi" w:cstheme="majorHAnsi"/>
          <w:color w:val="auto"/>
          <w:lang w:val="ro-RO"/>
        </w:rPr>
        <w:t>, unde valoarea patrimoniului transmis</w:t>
      </w:r>
      <w:r w:rsidR="00A90084" w:rsidRPr="001C6DCE">
        <w:rPr>
          <w:rFonts w:asciiTheme="majorHAnsi" w:hAnsiTheme="majorHAnsi" w:cstheme="majorHAnsi"/>
          <w:color w:val="auto"/>
          <w:lang w:val="ro-RO"/>
        </w:rPr>
        <w:t xml:space="preserve"> </w:t>
      </w:r>
      <w:r w:rsidR="00404882" w:rsidRPr="001C6DCE">
        <w:rPr>
          <w:rFonts w:asciiTheme="majorHAnsi" w:hAnsiTheme="majorHAnsi" w:cstheme="majorHAnsi"/>
          <w:color w:val="auto"/>
          <w:lang w:val="ro-RO"/>
        </w:rPr>
        <w:t>(555,6 mil.lei</w:t>
      </w:r>
      <w:r w:rsidR="00DA2EE1" w:rsidRPr="001C6DCE">
        <w:rPr>
          <w:rStyle w:val="a5"/>
          <w:rFonts w:asciiTheme="majorHAnsi" w:hAnsiTheme="majorHAnsi" w:cstheme="majorHAnsi"/>
          <w:color w:val="auto"/>
          <w:lang w:val="ro-RO"/>
        </w:rPr>
        <w:footnoteReference w:id="25"/>
      </w:r>
      <w:r w:rsidR="00404882" w:rsidRPr="001C6DCE">
        <w:rPr>
          <w:rFonts w:asciiTheme="majorHAnsi" w:hAnsiTheme="majorHAnsi" w:cstheme="majorHAnsi"/>
          <w:color w:val="auto"/>
          <w:lang w:val="ro-RO"/>
        </w:rPr>
        <w:t xml:space="preserve">) este mai mare </w:t>
      </w:r>
      <w:r w:rsidRPr="001C6DCE">
        <w:rPr>
          <w:rFonts w:asciiTheme="majorHAnsi" w:hAnsiTheme="majorHAnsi" w:cstheme="majorHAnsi"/>
          <w:color w:val="auto"/>
          <w:lang w:val="ro-RO"/>
        </w:rPr>
        <w:t>decât</w:t>
      </w:r>
      <w:r w:rsidR="00404882" w:rsidRPr="001C6DCE">
        <w:rPr>
          <w:rFonts w:asciiTheme="majorHAnsi" w:hAnsiTheme="majorHAnsi" w:cstheme="majorHAnsi"/>
          <w:color w:val="auto"/>
          <w:lang w:val="ro-RO"/>
        </w:rPr>
        <w:t xml:space="preserve"> valoarea investițiilor înregistrate (438,71 mil.lei) cu 116,89 mil.lei.</w:t>
      </w:r>
    </w:p>
    <w:p w14:paraId="3A6CFBD8" w14:textId="06F62842" w:rsidR="00404882" w:rsidRPr="001C6DCE" w:rsidRDefault="00404882" w:rsidP="008C4E63">
      <w:pPr>
        <w:spacing w:after="0" w:line="276" w:lineRule="auto"/>
        <w:ind w:right="-41"/>
        <w:jc w:val="both"/>
        <w:rPr>
          <w:rFonts w:asciiTheme="majorHAnsi" w:hAnsiTheme="majorHAnsi" w:cstheme="majorHAnsi"/>
          <w:sz w:val="24"/>
          <w:szCs w:val="24"/>
          <w:lang w:val="ro-RO"/>
        </w:rPr>
      </w:pPr>
      <w:r w:rsidRPr="001C6DCE">
        <w:rPr>
          <w:rFonts w:asciiTheme="majorHAnsi" w:hAnsiTheme="majorHAnsi" w:cstheme="majorHAnsi"/>
          <w:sz w:val="24"/>
          <w:szCs w:val="24"/>
          <w:lang w:val="ro-RO"/>
        </w:rPr>
        <w:t xml:space="preserve">Reieșind din cele </w:t>
      </w:r>
      <w:r w:rsidR="00FB3E01" w:rsidRPr="001C6DCE">
        <w:rPr>
          <w:rFonts w:asciiTheme="majorHAnsi" w:hAnsiTheme="majorHAnsi" w:cstheme="majorHAnsi"/>
          <w:sz w:val="24"/>
          <w:szCs w:val="24"/>
          <w:lang w:val="ro-RO"/>
        </w:rPr>
        <w:t>mențion</w:t>
      </w:r>
      <w:r w:rsidRPr="001C6DCE">
        <w:rPr>
          <w:rFonts w:asciiTheme="majorHAnsi" w:hAnsiTheme="majorHAnsi" w:cstheme="majorHAnsi"/>
          <w:sz w:val="24"/>
          <w:szCs w:val="24"/>
          <w:lang w:val="ro-RO"/>
        </w:rPr>
        <w:t>ate</w:t>
      </w:r>
      <w:r w:rsidR="00FB3E01"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se denotă că normele metodologice privind modul de contabilizare a investițiilor în părți legate și nelegate nu prevăd actualizarea valorii acestora în timp</w:t>
      </w:r>
      <w:r w:rsidR="001F6B2D"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w:t>
      </w:r>
      <w:r w:rsidR="00FB3E01" w:rsidRPr="001C6DCE">
        <w:rPr>
          <w:rFonts w:asciiTheme="majorHAnsi" w:hAnsiTheme="majorHAnsi" w:cstheme="majorHAnsi"/>
          <w:sz w:val="24"/>
          <w:szCs w:val="24"/>
          <w:lang w:val="ro-RO"/>
        </w:rPr>
        <w:t xml:space="preserve">ca </w:t>
      </w:r>
      <w:r w:rsidRPr="001C6DCE">
        <w:rPr>
          <w:rFonts w:asciiTheme="majorHAnsi" w:hAnsiTheme="majorHAnsi" w:cstheme="majorHAnsi"/>
          <w:sz w:val="24"/>
          <w:szCs w:val="24"/>
          <w:lang w:val="ro-RO"/>
        </w:rPr>
        <w:t>urmare a gestionării patrimoniului transmis în gestiunea IP la autogestiune</w:t>
      </w:r>
      <w:r w:rsidR="00B51590" w:rsidRPr="001C6DCE">
        <w:rPr>
          <w:rFonts w:asciiTheme="majorHAnsi" w:hAnsiTheme="majorHAnsi" w:cstheme="majorHAnsi"/>
          <w:sz w:val="24"/>
          <w:szCs w:val="24"/>
          <w:lang w:val="ro-RO"/>
        </w:rPr>
        <w:t xml:space="preserve"> (calculării uzurii, reparații</w:t>
      </w:r>
      <w:r w:rsidR="00FB3E01" w:rsidRPr="001C6DCE">
        <w:rPr>
          <w:rFonts w:asciiTheme="majorHAnsi" w:hAnsiTheme="majorHAnsi" w:cstheme="majorHAnsi"/>
          <w:sz w:val="24"/>
          <w:szCs w:val="24"/>
          <w:lang w:val="ro-RO"/>
        </w:rPr>
        <w:t>lor</w:t>
      </w:r>
      <w:r w:rsidR="00721AC1">
        <w:rPr>
          <w:rFonts w:asciiTheme="majorHAnsi" w:hAnsiTheme="majorHAnsi" w:cstheme="majorHAnsi"/>
          <w:sz w:val="24"/>
          <w:szCs w:val="24"/>
          <w:lang w:val="ro-RO"/>
        </w:rPr>
        <w:t xml:space="preserve"> </w:t>
      </w:r>
      <w:r w:rsidR="00B51590" w:rsidRPr="001C6DCE">
        <w:rPr>
          <w:rFonts w:asciiTheme="majorHAnsi" w:hAnsiTheme="majorHAnsi" w:cstheme="majorHAnsi"/>
          <w:sz w:val="24"/>
          <w:szCs w:val="24"/>
          <w:lang w:val="ro-RO"/>
        </w:rPr>
        <w:t>capitale, reevaluării etc.)</w:t>
      </w:r>
      <w:r w:rsidRPr="001C6DCE">
        <w:rPr>
          <w:rFonts w:asciiTheme="majorHAnsi" w:hAnsiTheme="majorHAnsi" w:cstheme="majorHAnsi"/>
          <w:sz w:val="24"/>
          <w:szCs w:val="24"/>
          <w:lang w:val="ro-RO"/>
        </w:rPr>
        <w:t>.</w:t>
      </w:r>
    </w:p>
    <w:p w14:paraId="0206666A" w14:textId="5676833A" w:rsidR="00404882" w:rsidRPr="001C6DCE" w:rsidRDefault="00404882" w:rsidP="008C4E63">
      <w:pPr>
        <w:spacing w:after="0" w:line="276" w:lineRule="auto"/>
        <w:ind w:right="-41"/>
        <w:jc w:val="both"/>
        <w:rPr>
          <w:rFonts w:asciiTheme="majorHAnsi" w:hAnsiTheme="majorHAnsi" w:cstheme="majorHAnsi"/>
          <w:sz w:val="24"/>
          <w:szCs w:val="24"/>
          <w:shd w:val="clear" w:color="auto" w:fill="FFFFFF"/>
          <w:lang w:val="ro-RO"/>
        </w:rPr>
      </w:pPr>
      <w:r w:rsidRPr="001C6DCE">
        <w:rPr>
          <w:rFonts w:asciiTheme="majorHAnsi" w:hAnsiTheme="majorHAnsi" w:cstheme="majorHAnsi"/>
          <w:sz w:val="24"/>
          <w:szCs w:val="24"/>
          <w:lang w:val="ro-RO"/>
        </w:rPr>
        <w:t>La fel</w:t>
      </w:r>
      <w:r w:rsidR="00FB3E01"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în rezultatul reorganiz</w:t>
      </w:r>
      <w:r w:rsidR="00FB3E01" w:rsidRPr="001C6DCE">
        <w:rPr>
          <w:rFonts w:asciiTheme="majorHAnsi" w:hAnsiTheme="majorHAnsi" w:cstheme="majorHAnsi"/>
          <w:sz w:val="24"/>
          <w:szCs w:val="24"/>
          <w:lang w:val="ro-RO"/>
        </w:rPr>
        <w:t>ării</w:t>
      </w:r>
      <w:r w:rsidRPr="001C6DCE">
        <w:rPr>
          <w:rFonts w:asciiTheme="majorHAnsi" w:hAnsiTheme="majorHAnsi" w:cstheme="majorHAnsi"/>
          <w:sz w:val="24"/>
          <w:szCs w:val="24"/>
          <w:lang w:val="ro-RO"/>
        </w:rPr>
        <w:t xml:space="preserve"> și absorbției UASM de către U</w:t>
      </w:r>
      <w:r w:rsidR="00935EC2" w:rsidRPr="001C6DCE">
        <w:rPr>
          <w:rFonts w:asciiTheme="majorHAnsi" w:hAnsiTheme="majorHAnsi" w:cstheme="majorHAnsi"/>
          <w:sz w:val="24"/>
          <w:szCs w:val="24"/>
          <w:lang w:val="ro-RO"/>
        </w:rPr>
        <w:t xml:space="preserve">niversitatea </w:t>
      </w:r>
      <w:r w:rsidRPr="001C6DCE">
        <w:rPr>
          <w:rFonts w:asciiTheme="majorHAnsi" w:hAnsiTheme="majorHAnsi" w:cstheme="majorHAnsi"/>
          <w:sz w:val="24"/>
          <w:szCs w:val="24"/>
          <w:lang w:val="ro-RO"/>
        </w:rPr>
        <w:t>T</w:t>
      </w:r>
      <w:r w:rsidR="00935EC2" w:rsidRPr="001C6DCE">
        <w:rPr>
          <w:rFonts w:asciiTheme="majorHAnsi" w:hAnsiTheme="majorHAnsi" w:cstheme="majorHAnsi"/>
          <w:sz w:val="24"/>
          <w:szCs w:val="24"/>
          <w:lang w:val="ro-RO"/>
        </w:rPr>
        <w:t xml:space="preserve">ehnică </w:t>
      </w:r>
      <w:r w:rsidR="00FB3E01" w:rsidRPr="001C6DCE">
        <w:rPr>
          <w:rFonts w:asciiTheme="majorHAnsi" w:hAnsiTheme="majorHAnsi" w:cstheme="majorHAnsi"/>
          <w:sz w:val="24"/>
          <w:szCs w:val="24"/>
          <w:lang w:val="ro-RO"/>
        </w:rPr>
        <w:t>a</w:t>
      </w:r>
      <w:r w:rsidR="00935EC2" w:rsidRPr="001C6DCE">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M</w:t>
      </w:r>
      <w:r w:rsidR="00935EC2" w:rsidRPr="001C6DCE">
        <w:rPr>
          <w:rFonts w:asciiTheme="majorHAnsi" w:hAnsiTheme="majorHAnsi" w:cstheme="majorHAnsi"/>
          <w:sz w:val="24"/>
          <w:szCs w:val="24"/>
          <w:lang w:val="ro-RO"/>
        </w:rPr>
        <w:t>oldov</w:t>
      </w:r>
      <w:r w:rsidR="002C080C" w:rsidRPr="001C6DCE">
        <w:rPr>
          <w:rFonts w:asciiTheme="majorHAnsi" w:hAnsiTheme="majorHAnsi" w:cstheme="majorHAnsi"/>
          <w:sz w:val="24"/>
          <w:szCs w:val="24"/>
          <w:lang w:val="ro-RO"/>
        </w:rPr>
        <w:t>ei</w:t>
      </w:r>
      <w:r w:rsidRPr="001C6DCE">
        <w:rPr>
          <w:rFonts w:asciiTheme="majorHAnsi" w:hAnsiTheme="majorHAnsi" w:cstheme="majorHAnsi"/>
          <w:sz w:val="24"/>
          <w:szCs w:val="24"/>
          <w:lang w:val="ro-RO"/>
        </w:rPr>
        <w:t>, nici M</w:t>
      </w:r>
      <w:r w:rsidR="00935EC2" w:rsidRPr="001C6DCE">
        <w:rPr>
          <w:rFonts w:asciiTheme="majorHAnsi" w:hAnsiTheme="majorHAnsi" w:cstheme="majorHAnsi"/>
          <w:sz w:val="24"/>
          <w:szCs w:val="24"/>
          <w:lang w:val="ro-RO"/>
        </w:rPr>
        <w:t xml:space="preserve">inisterul </w:t>
      </w:r>
      <w:r w:rsidRPr="001C6DCE">
        <w:rPr>
          <w:rFonts w:asciiTheme="majorHAnsi" w:hAnsiTheme="majorHAnsi" w:cstheme="majorHAnsi"/>
          <w:sz w:val="24"/>
          <w:szCs w:val="24"/>
          <w:lang w:val="ro-RO"/>
        </w:rPr>
        <w:t>A</w:t>
      </w:r>
      <w:r w:rsidR="00935EC2" w:rsidRPr="001C6DCE">
        <w:rPr>
          <w:rFonts w:asciiTheme="majorHAnsi" w:hAnsiTheme="majorHAnsi" w:cstheme="majorHAnsi"/>
          <w:sz w:val="24"/>
          <w:szCs w:val="24"/>
          <w:lang w:val="ro-RO"/>
        </w:rPr>
        <w:t xml:space="preserve">griculturii și </w:t>
      </w:r>
      <w:r w:rsidRPr="001C6DCE">
        <w:rPr>
          <w:rFonts w:asciiTheme="majorHAnsi" w:hAnsiTheme="majorHAnsi" w:cstheme="majorHAnsi"/>
          <w:sz w:val="24"/>
          <w:szCs w:val="24"/>
          <w:lang w:val="ro-RO"/>
        </w:rPr>
        <w:t>I</w:t>
      </w:r>
      <w:r w:rsidR="00935EC2" w:rsidRPr="001C6DCE">
        <w:rPr>
          <w:rFonts w:asciiTheme="majorHAnsi" w:hAnsiTheme="majorHAnsi" w:cstheme="majorHAnsi"/>
          <w:sz w:val="24"/>
          <w:szCs w:val="24"/>
          <w:lang w:val="ro-RO"/>
        </w:rPr>
        <w:t xml:space="preserve">ndustriei </w:t>
      </w:r>
      <w:r w:rsidRPr="001C6DCE">
        <w:rPr>
          <w:rFonts w:asciiTheme="majorHAnsi" w:hAnsiTheme="majorHAnsi" w:cstheme="majorHAnsi"/>
          <w:sz w:val="24"/>
          <w:szCs w:val="24"/>
          <w:lang w:val="ro-RO"/>
        </w:rPr>
        <w:t>A</w:t>
      </w:r>
      <w:r w:rsidR="00935EC2" w:rsidRPr="001C6DCE">
        <w:rPr>
          <w:rFonts w:asciiTheme="majorHAnsi" w:hAnsiTheme="majorHAnsi" w:cstheme="majorHAnsi"/>
          <w:sz w:val="24"/>
          <w:szCs w:val="24"/>
          <w:lang w:val="ro-RO"/>
        </w:rPr>
        <w:t>limentare</w:t>
      </w:r>
      <w:r w:rsidR="00466AF4" w:rsidRPr="001C6DCE">
        <w:rPr>
          <w:rFonts w:asciiTheme="majorHAnsi" w:hAnsiTheme="majorHAnsi" w:cstheme="majorHAnsi"/>
          <w:sz w:val="24"/>
          <w:szCs w:val="24"/>
          <w:lang w:val="ro-RO"/>
        </w:rPr>
        <w:t xml:space="preserve"> (MAIA)</w:t>
      </w:r>
      <w:r w:rsidRPr="001C6DCE">
        <w:rPr>
          <w:rFonts w:asciiTheme="majorHAnsi" w:hAnsiTheme="majorHAnsi" w:cstheme="majorHAnsi"/>
          <w:sz w:val="24"/>
          <w:szCs w:val="24"/>
          <w:lang w:val="ro-RO"/>
        </w:rPr>
        <w:t xml:space="preserve"> și nici MEC nu s-a</w:t>
      </w:r>
      <w:r w:rsidR="00FB3E01" w:rsidRPr="001C6DCE">
        <w:rPr>
          <w:rFonts w:asciiTheme="majorHAnsi" w:hAnsiTheme="majorHAnsi" w:cstheme="majorHAnsi"/>
          <w:sz w:val="24"/>
          <w:szCs w:val="24"/>
          <w:lang w:val="ro-RO"/>
        </w:rPr>
        <w:t>u</w:t>
      </w:r>
      <w:r w:rsidRPr="001C6DCE">
        <w:rPr>
          <w:rFonts w:asciiTheme="majorHAnsi" w:hAnsiTheme="majorHAnsi" w:cstheme="majorHAnsi"/>
          <w:sz w:val="24"/>
          <w:szCs w:val="24"/>
          <w:lang w:val="ro-RO"/>
        </w:rPr>
        <w:t xml:space="preserve"> asigurat că valoarea patrimoniului public </w:t>
      </w:r>
      <w:r w:rsidR="001A1EA2" w:rsidRPr="001C6DCE">
        <w:rPr>
          <w:rFonts w:asciiTheme="majorHAnsi" w:hAnsiTheme="majorHAnsi" w:cstheme="majorHAnsi"/>
          <w:sz w:val="24"/>
          <w:szCs w:val="24"/>
          <w:lang w:val="ro-RO"/>
        </w:rPr>
        <w:t xml:space="preserve">din domeniul public </w:t>
      </w:r>
      <w:r w:rsidRPr="001C6DCE">
        <w:rPr>
          <w:rFonts w:asciiTheme="majorHAnsi" w:hAnsiTheme="majorHAnsi" w:cstheme="majorHAnsi"/>
          <w:sz w:val="24"/>
          <w:szCs w:val="24"/>
          <w:lang w:val="ro-RO"/>
        </w:rPr>
        <w:t>a</w:t>
      </w:r>
      <w:r w:rsidR="00FB3E01" w:rsidRPr="001C6DCE">
        <w:rPr>
          <w:rFonts w:asciiTheme="majorHAnsi" w:hAnsiTheme="majorHAnsi" w:cstheme="majorHAnsi"/>
          <w:sz w:val="24"/>
          <w:szCs w:val="24"/>
          <w:lang w:val="ro-RO"/>
        </w:rPr>
        <w:t>l</w:t>
      </w:r>
      <w:r w:rsidRPr="001C6DCE">
        <w:rPr>
          <w:rFonts w:asciiTheme="majorHAnsi" w:hAnsiTheme="majorHAnsi" w:cstheme="majorHAnsi"/>
          <w:sz w:val="24"/>
          <w:szCs w:val="24"/>
          <w:lang w:val="ro-RO"/>
        </w:rPr>
        <w:t xml:space="preserve"> instituției absorbite și transmise în gestiune economică la altă instituție reprezintă o valoare credibilă, deoarece</w:t>
      </w:r>
      <w:r w:rsidR="00B15615"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w:t>
      </w:r>
      <w:r w:rsidRPr="001C6DCE">
        <w:rPr>
          <w:rFonts w:asciiTheme="majorHAnsi" w:hAnsiTheme="majorHAnsi" w:cstheme="majorHAnsi"/>
          <w:sz w:val="24"/>
          <w:szCs w:val="24"/>
          <w:shd w:val="clear" w:color="auto" w:fill="FFFFFF"/>
          <w:lang w:val="ro-RO"/>
        </w:rPr>
        <w:t>în urma verificării dosarului cu actele de transmitere a UASM</w:t>
      </w:r>
      <w:r w:rsidRPr="001C6DCE">
        <w:rPr>
          <w:rStyle w:val="a5"/>
          <w:rFonts w:asciiTheme="majorHAnsi" w:hAnsiTheme="majorHAnsi" w:cstheme="majorHAnsi"/>
          <w:sz w:val="24"/>
          <w:szCs w:val="24"/>
          <w:lang w:val="ro-RO"/>
        </w:rPr>
        <w:footnoteReference w:id="26"/>
      </w:r>
      <w:r w:rsidRPr="001C6DCE">
        <w:rPr>
          <w:rFonts w:asciiTheme="majorHAnsi" w:hAnsiTheme="majorHAnsi" w:cstheme="majorHAnsi"/>
          <w:sz w:val="24"/>
          <w:szCs w:val="24"/>
          <w:lang w:val="ro-RO"/>
        </w:rPr>
        <w:t xml:space="preserve"> </w:t>
      </w:r>
      <w:r w:rsidRPr="001C6DCE">
        <w:rPr>
          <w:rFonts w:asciiTheme="majorHAnsi" w:hAnsiTheme="majorHAnsi" w:cstheme="majorHAnsi"/>
          <w:sz w:val="24"/>
          <w:szCs w:val="24"/>
          <w:shd w:val="clear" w:color="auto" w:fill="FFFFFF"/>
          <w:lang w:val="ro-RO"/>
        </w:rPr>
        <w:t xml:space="preserve">la UTM, auditul a </w:t>
      </w:r>
      <w:r w:rsidRPr="001C6DCE">
        <w:rPr>
          <w:rFonts w:asciiTheme="majorHAnsi" w:hAnsiTheme="majorHAnsi" w:cstheme="majorHAnsi"/>
          <w:sz w:val="24"/>
          <w:szCs w:val="24"/>
          <w:lang w:val="ro-RO"/>
        </w:rPr>
        <w:t>constat</w:t>
      </w:r>
      <w:r w:rsidR="00B15615" w:rsidRPr="001C6DCE">
        <w:rPr>
          <w:rFonts w:asciiTheme="majorHAnsi" w:hAnsiTheme="majorHAnsi" w:cstheme="majorHAnsi"/>
          <w:sz w:val="24"/>
          <w:szCs w:val="24"/>
          <w:lang w:val="ro-RO"/>
        </w:rPr>
        <w:t>at</w:t>
      </w:r>
      <w:r w:rsidRPr="001C6DCE">
        <w:rPr>
          <w:rFonts w:asciiTheme="majorHAnsi" w:hAnsiTheme="majorHAnsi" w:cstheme="majorHAnsi"/>
          <w:sz w:val="24"/>
          <w:szCs w:val="24"/>
          <w:lang w:val="ro-RO"/>
        </w:rPr>
        <w:t xml:space="preserve"> că UASM a transmis un bun </w:t>
      </w:r>
      <w:r w:rsidRPr="001C6DCE">
        <w:rPr>
          <w:rFonts w:asciiTheme="majorHAnsi" w:hAnsiTheme="majorHAnsi" w:cstheme="majorHAnsi"/>
          <w:sz w:val="24"/>
          <w:szCs w:val="24"/>
          <w:shd w:val="clear" w:color="auto" w:fill="FFFFFF"/>
          <w:lang w:val="ro-RO"/>
        </w:rPr>
        <w:t>imobil</w:t>
      </w:r>
      <w:r w:rsidRPr="001C6DCE">
        <w:rPr>
          <w:rStyle w:val="a5"/>
          <w:rFonts w:asciiTheme="majorHAnsi" w:hAnsiTheme="majorHAnsi" w:cstheme="majorHAnsi"/>
          <w:sz w:val="24"/>
          <w:szCs w:val="24"/>
          <w:shd w:val="clear" w:color="auto" w:fill="FFFFFF"/>
          <w:lang w:val="ro-RO"/>
        </w:rPr>
        <w:footnoteReference w:id="27"/>
      </w:r>
      <w:r w:rsidR="00B15615" w:rsidRPr="001C6DCE">
        <w:rPr>
          <w:rFonts w:asciiTheme="majorHAnsi" w:hAnsiTheme="majorHAnsi" w:cstheme="majorHAnsi"/>
          <w:sz w:val="24"/>
          <w:szCs w:val="24"/>
          <w:shd w:val="clear" w:color="auto" w:fill="FFFFFF"/>
          <w:lang w:val="ro-RO"/>
        </w:rPr>
        <w:t>,</w:t>
      </w:r>
      <w:r w:rsidRPr="001C6DCE">
        <w:rPr>
          <w:rFonts w:asciiTheme="majorHAnsi" w:hAnsiTheme="majorHAnsi" w:cstheme="majorHAnsi"/>
          <w:sz w:val="24"/>
          <w:szCs w:val="24"/>
          <w:shd w:val="clear" w:color="auto" w:fill="FFFFFF"/>
          <w:lang w:val="ro-RO"/>
        </w:rPr>
        <w:t xml:space="preserve"> cu </w:t>
      </w:r>
      <w:r w:rsidRPr="001C6DCE">
        <w:rPr>
          <w:rFonts w:asciiTheme="majorHAnsi" w:hAnsiTheme="majorHAnsi" w:cstheme="majorHAnsi"/>
          <w:sz w:val="24"/>
          <w:szCs w:val="24"/>
          <w:lang w:val="ro-RO"/>
        </w:rPr>
        <w:t>valoarea de 6</w:t>
      </w:r>
      <w:r w:rsidR="001A1EA2"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22 mi</w:t>
      </w:r>
      <w:r w:rsidR="001A1EA2" w:rsidRPr="001C6DCE">
        <w:rPr>
          <w:rFonts w:asciiTheme="majorHAnsi" w:hAnsiTheme="majorHAnsi" w:cstheme="majorHAnsi"/>
          <w:sz w:val="24"/>
          <w:szCs w:val="24"/>
          <w:lang w:val="ro-RO"/>
        </w:rPr>
        <w:t>l.</w:t>
      </w:r>
      <w:r w:rsidRPr="001C6DCE">
        <w:rPr>
          <w:rFonts w:asciiTheme="majorHAnsi" w:hAnsiTheme="majorHAnsi" w:cstheme="majorHAnsi"/>
          <w:sz w:val="24"/>
          <w:szCs w:val="24"/>
          <w:lang w:val="ro-RO"/>
        </w:rPr>
        <w:t>lei</w:t>
      </w:r>
      <w:r w:rsidR="00B15615"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în gestiune </w:t>
      </w:r>
      <w:r w:rsidRPr="001C6DCE">
        <w:rPr>
          <w:rFonts w:asciiTheme="majorHAnsi" w:hAnsiTheme="majorHAnsi" w:cstheme="majorHAnsi"/>
          <w:sz w:val="24"/>
          <w:szCs w:val="24"/>
          <w:shd w:val="clear" w:color="auto" w:fill="FFFFFF"/>
          <w:lang w:val="ro-RO"/>
        </w:rPr>
        <w:t>A</w:t>
      </w:r>
      <w:r w:rsidR="001A1EA2" w:rsidRPr="001C6DCE">
        <w:rPr>
          <w:rFonts w:asciiTheme="majorHAnsi" w:hAnsiTheme="majorHAnsi" w:cstheme="majorHAnsi"/>
          <w:sz w:val="24"/>
          <w:szCs w:val="24"/>
          <w:shd w:val="clear" w:color="auto" w:fill="FFFFFF"/>
          <w:lang w:val="ro-RO"/>
        </w:rPr>
        <w:t xml:space="preserve">genției de </w:t>
      </w:r>
      <w:r w:rsidRPr="001C6DCE">
        <w:rPr>
          <w:rFonts w:asciiTheme="majorHAnsi" w:hAnsiTheme="majorHAnsi" w:cstheme="majorHAnsi"/>
          <w:sz w:val="24"/>
          <w:szCs w:val="24"/>
          <w:shd w:val="clear" w:color="auto" w:fill="FFFFFF"/>
          <w:lang w:val="ro-RO"/>
        </w:rPr>
        <w:t>I</w:t>
      </w:r>
      <w:r w:rsidR="001A1EA2" w:rsidRPr="001C6DCE">
        <w:rPr>
          <w:rFonts w:asciiTheme="majorHAnsi" w:hAnsiTheme="majorHAnsi" w:cstheme="majorHAnsi"/>
          <w:sz w:val="24"/>
          <w:szCs w:val="24"/>
          <w:shd w:val="clear" w:color="auto" w:fill="FFFFFF"/>
          <w:lang w:val="ro-RO"/>
        </w:rPr>
        <w:t xml:space="preserve">ntervenție și </w:t>
      </w:r>
      <w:r w:rsidRPr="001C6DCE">
        <w:rPr>
          <w:rFonts w:asciiTheme="majorHAnsi" w:hAnsiTheme="majorHAnsi" w:cstheme="majorHAnsi"/>
          <w:sz w:val="24"/>
          <w:szCs w:val="24"/>
          <w:shd w:val="clear" w:color="auto" w:fill="FFFFFF"/>
          <w:lang w:val="ro-RO"/>
        </w:rPr>
        <w:t>P</w:t>
      </w:r>
      <w:r w:rsidR="001A1EA2" w:rsidRPr="001C6DCE">
        <w:rPr>
          <w:rFonts w:asciiTheme="majorHAnsi" w:hAnsiTheme="majorHAnsi" w:cstheme="majorHAnsi"/>
          <w:sz w:val="24"/>
          <w:szCs w:val="24"/>
          <w:shd w:val="clear" w:color="auto" w:fill="FFFFFF"/>
          <w:lang w:val="ro-RO"/>
        </w:rPr>
        <w:t xml:space="preserve">lăți pentru </w:t>
      </w:r>
      <w:r w:rsidRPr="001C6DCE">
        <w:rPr>
          <w:rFonts w:asciiTheme="majorHAnsi" w:hAnsiTheme="majorHAnsi" w:cstheme="majorHAnsi"/>
          <w:sz w:val="24"/>
          <w:szCs w:val="24"/>
          <w:shd w:val="clear" w:color="auto" w:fill="FFFFFF"/>
          <w:lang w:val="ro-RO"/>
        </w:rPr>
        <w:t>A</w:t>
      </w:r>
      <w:r w:rsidR="001A1EA2" w:rsidRPr="001C6DCE">
        <w:rPr>
          <w:rFonts w:asciiTheme="majorHAnsi" w:hAnsiTheme="majorHAnsi" w:cstheme="majorHAnsi"/>
          <w:sz w:val="24"/>
          <w:szCs w:val="24"/>
          <w:shd w:val="clear" w:color="auto" w:fill="FFFFFF"/>
          <w:lang w:val="ro-RO"/>
        </w:rPr>
        <w:t>gricultură</w:t>
      </w:r>
      <w:r w:rsidRPr="001C6DCE">
        <w:rPr>
          <w:rStyle w:val="a5"/>
          <w:rFonts w:asciiTheme="majorHAnsi" w:hAnsiTheme="majorHAnsi" w:cstheme="majorHAnsi"/>
          <w:sz w:val="24"/>
          <w:szCs w:val="24"/>
          <w:lang w:val="ro-RO"/>
        </w:rPr>
        <w:footnoteReference w:id="28"/>
      </w:r>
      <w:r w:rsidRPr="001C6DCE">
        <w:rPr>
          <w:rFonts w:asciiTheme="majorHAnsi" w:hAnsiTheme="majorHAnsi" w:cstheme="majorHAnsi"/>
          <w:sz w:val="24"/>
          <w:szCs w:val="24"/>
          <w:shd w:val="clear" w:color="auto" w:fill="FFFFFF"/>
          <w:lang w:val="ro-RO"/>
        </w:rPr>
        <w:t>, însă</w:t>
      </w:r>
      <w:r w:rsidR="00721AC1">
        <w:rPr>
          <w:rFonts w:asciiTheme="majorHAnsi" w:hAnsiTheme="majorHAnsi" w:cstheme="majorHAnsi"/>
          <w:sz w:val="24"/>
          <w:szCs w:val="24"/>
          <w:shd w:val="clear" w:color="auto" w:fill="FFFFFF"/>
          <w:lang w:val="ro-RO"/>
        </w:rPr>
        <w:t xml:space="preserve"> </w:t>
      </w:r>
      <w:r w:rsidRPr="001C6DCE">
        <w:rPr>
          <w:rFonts w:asciiTheme="majorHAnsi" w:hAnsiTheme="majorHAnsi" w:cstheme="majorHAnsi"/>
          <w:sz w:val="24"/>
          <w:szCs w:val="24"/>
          <w:shd w:val="clear" w:color="auto" w:fill="FFFFFF"/>
          <w:lang w:val="ro-RO"/>
        </w:rPr>
        <w:t>valoarea datoriilor aferente patrimoniului primit în</w:t>
      </w:r>
      <w:r w:rsidR="00721AC1">
        <w:rPr>
          <w:rFonts w:asciiTheme="majorHAnsi" w:hAnsiTheme="majorHAnsi" w:cstheme="majorHAnsi"/>
          <w:sz w:val="24"/>
          <w:szCs w:val="24"/>
          <w:shd w:val="clear" w:color="auto" w:fill="FFFFFF"/>
          <w:lang w:val="ro-RO"/>
        </w:rPr>
        <w:t xml:space="preserve"> </w:t>
      </w:r>
      <w:r w:rsidRPr="001C6DCE">
        <w:rPr>
          <w:rFonts w:asciiTheme="majorHAnsi" w:hAnsiTheme="majorHAnsi" w:cstheme="majorHAnsi"/>
          <w:sz w:val="24"/>
          <w:szCs w:val="24"/>
          <w:shd w:val="clear" w:color="auto" w:fill="FFFFFF"/>
          <w:lang w:val="ro-RO"/>
        </w:rPr>
        <w:t>gestiune economică nu a fost diminuată. Deci</w:t>
      </w:r>
      <w:r w:rsidR="001A1EA2" w:rsidRPr="001C6DCE">
        <w:rPr>
          <w:rFonts w:asciiTheme="majorHAnsi" w:hAnsiTheme="majorHAnsi" w:cstheme="majorHAnsi"/>
          <w:sz w:val="24"/>
          <w:szCs w:val="24"/>
          <w:shd w:val="clear" w:color="auto" w:fill="FFFFFF"/>
          <w:lang w:val="ro-RO"/>
        </w:rPr>
        <w:t>,</w:t>
      </w:r>
      <w:r w:rsidRPr="001C6DCE">
        <w:rPr>
          <w:rFonts w:asciiTheme="majorHAnsi" w:hAnsiTheme="majorHAnsi" w:cstheme="majorHAnsi"/>
          <w:sz w:val="24"/>
          <w:szCs w:val="24"/>
          <w:shd w:val="clear" w:color="auto" w:fill="FFFFFF"/>
          <w:lang w:val="ro-RO"/>
        </w:rPr>
        <w:t xml:space="preserve"> valoarea investițiilor în părți legate și nelegate la MEC și a datorilor privind bunurile primite în gestiune economică la UTM este majorată cu suma de </w:t>
      </w:r>
      <w:r w:rsidR="001A1EA2" w:rsidRPr="001C6DCE">
        <w:rPr>
          <w:rFonts w:asciiTheme="majorHAnsi" w:hAnsiTheme="majorHAnsi" w:cstheme="majorHAnsi"/>
          <w:sz w:val="24"/>
          <w:szCs w:val="24"/>
          <w:lang w:val="ro-RO"/>
        </w:rPr>
        <w:t>6,22 mil.lei</w:t>
      </w:r>
      <w:r w:rsidRPr="001C6DCE">
        <w:rPr>
          <w:rFonts w:asciiTheme="majorHAnsi" w:hAnsiTheme="majorHAnsi" w:cstheme="majorHAnsi"/>
          <w:sz w:val="24"/>
          <w:szCs w:val="24"/>
          <w:shd w:val="clear" w:color="auto" w:fill="FFFFFF"/>
          <w:lang w:val="ro-RO"/>
        </w:rPr>
        <w:t xml:space="preserve">. Este </w:t>
      </w:r>
      <w:r w:rsidR="00B15615" w:rsidRPr="001C6DCE">
        <w:rPr>
          <w:rFonts w:asciiTheme="majorHAnsi" w:hAnsiTheme="majorHAnsi" w:cstheme="majorHAnsi"/>
          <w:sz w:val="24"/>
          <w:szCs w:val="24"/>
          <w:shd w:val="clear" w:color="auto" w:fill="FFFFFF"/>
          <w:lang w:val="ro-RO"/>
        </w:rPr>
        <w:t xml:space="preserve">necesar </w:t>
      </w:r>
      <w:r w:rsidRPr="001C6DCE">
        <w:rPr>
          <w:rFonts w:asciiTheme="majorHAnsi" w:hAnsiTheme="majorHAnsi" w:cstheme="majorHAnsi"/>
          <w:sz w:val="24"/>
          <w:szCs w:val="24"/>
          <w:shd w:val="clear" w:color="auto" w:fill="FFFFFF"/>
          <w:lang w:val="ro-RO"/>
        </w:rPr>
        <w:t>de menționat că acest bun este înregistrat în evidența contabilă a Ministerului Dezvoltării Economice și Digitalizării</w:t>
      </w:r>
      <w:r w:rsidR="000223CD" w:rsidRPr="001C6DCE">
        <w:rPr>
          <w:rFonts w:asciiTheme="majorHAnsi" w:hAnsiTheme="majorHAnsi" w:cstheme="majorHAnsi"/>
          <w:sz w:val="24"/>
          <w:szCs w:val="24"/>
          <w:shd w:val="clear" w:color="auto" w:fill="FFFFFF"/>
          <w:lang w:val="ro-RO"/>
        </w:rPr>
        <w:t>,</w:t>
      </w:r>
      <w:r w:rsidRPr="001C6DCE">
        <w:rPr>
          <w:rFonts w:asciiTheme="majorHAnsi" w:hAnsiTheme="majorHAnsi" w:cstheme="majorHAnsi"/>
          <w:sz w:val="24"/>
          <w:szCs w:val="24"/>
          <w:shd w:val="clear" w:color="auto" w:fill="FFFFFF"/>
          <w:lang w:val="ro-RO"/>
        </w:rPr>
        <w:t xml:space="preserve"> la contul 415</w:t>
      </w:r>
      <w:r w:rsidR="001A1EA2" w:rsidRPr="001C6DCE">
        <w:rPr>
          <w:rFonts w:asciiTheme="majorHAnsi" w:hAnsiTheme="majorHAnsi" w:cstheme="majorHAnsi"/>
          <w:sz w:val="24"/>
          <w:szCs w:val="24"/>
          <w:shd w:val="clear" w:color="auto" w:fill="FFFFFF"/>
          <w:lang w:val="ro-RO"/>
        </w:rPr>
        <w:t xml:space="preserve"> „Acțiuni și alte forme de participare în capital în interiorul țării”</w:t>
      </w:r>
      <w:r w:rsidRPr="001C6DCE">
        <w:rPr>
          <w:rFonts w:asciiTheme="majorHAnsi" w:hAnsiTheme="majorHAnsi" w:cstheme="majorHAnsi"/>
          <w:sz w:val="24"/>
          <w:szCs w:val="24"/>
          <w:shd w:val="clear" w:color="auto" w:fill="FFFFFF"/>
          <w:lang w:val="ro-RO"/>
        </w:rPr>
        <w:t>, fiind în gestiune economică la I</w:t>
      </w:r>
      <w:r w:rsidR="000223CD" w:rsidRPr="001C6DCE">
        <w:rPr>
          <w:rFonts w:asciiTheme="majorHAnsi" w:hAnsiTheme="majorHAnsi" w:cstheme="majorHAnsi"/>
          <w:sz w:val="24"/>
          <w:szCs w:val="24"/>
          <w:shd w:val="clear" w:color="auto" w:fill="FFFFFF"/>
          <w:lang w:val="ro-RO"/>
        </w:rPr>
        <w:t xml:space="preserve">nstituția </w:t>
      </w:r>
      <w:r w:rsidRPr="001C6DCE">
        <w:rPr>
          <w:rFonts w:asciiTheme="majorHAnsi" w:hAnsiTheme="majorHAnsi" w:cstheme="majorHAnsi"/>
          <w:sz w:val="24"/>
          <w:szCs w:val="24"/>
          <w:shd w:val="clear" w:color="auto" w:fill="FFFFFF"/>
          <w:lang w:val="ro-RO"/>
        </w:rPr>
        <w:t>P</w:t>
      </w:r>
      <w:r w:rsidR="000223CD" w:rsidRPr="001C6DCE">
        <w:rPr>
          <w:rFonts w:asciiTheme="majorHAnsi" w:hAnsiTheme="majorHAnsi" w:cstheme="majorHAnsi"/>
          <w:sz w:val="24"/>
          <w:szCs w:val="24"/>
          <w:shd w:val="clear" w:color="auto" w:fill="FFFFFF"/>
          <w:lang w:val="ro-RO"/>
        </w:rPr>
        <w:t>ublică</w:t>
      </w:r>
      <w:r w:rsidRPr="001C6DCE">
        <w:rPr>
          <w:rFonts w:asciiTheme="majorHAnsi" w:hAnsiTheme="majorHAnsi" w:cstheme="majorHAnsi"/>
          <w:sz w:val="24"/>
          <w:szCs w:val="24"/>
          <w:shd w:val="clear" w:color="auto" w:fill="FFFFFF"/>
          <w:lang w:val="ro-RO"/>
        </w:rPr>
        <w:t xml:space="preserve"> Organizația pentru Dezvoltarea </w:t>
      </w:r>
      <w:r w:rsidR="00086623" w:rsidRPr="001C6DCE">
        <w:rPr>
          <w:rFonts w:asciiTheme="majorHAnsi" w:hAnsiTheme="majorHAnsi" w:cstheme="majorHAnsi"/>
          <w:sz w:val="24"/>
          <w:szCs w:val="24"/>
          <w:shd w:val="clear" w:color="auto" w:fill="FFFFFF"/>
          <w:lang w:val="ro-RO"/>
        </w:rPr>
        <w:t>Antreprenoria</w:t>
      </w:r>
      <w:r w:rsidR="00C95171" w:rsidRPr="001C6DCE">
        <w:rPr>
          <w:rFonts w:asciiTheme="majorHAnsi" w:hAnsiTheme="majorHAnsi" w:cstheme="majorHAnsi"/>
          <w:sz w:val="24"/>
          <w:szCs w:val="24"/>
          <w:shd w:val="clear" w:color="auto" w:fill="FFFFFF"/>
          <w:lang w:val="ro-RO"/>
        </w:rPr>
        <w:t>t</w:t>
      </w:r>
      <w:r w:rsidR="00086623" w:rsidRPr="001C6DCE">
        <w:rPr>
          <w:rFonts w:asciiTheme="majorHAnsi" w:hAnsiTheme="majorHAnsi" w:cstheme="majorHAnsi"/>
          <w:sz w:val="24"/>
          <w:szCs w:val="24"/>
          <w:shd w:val="clear" w:color="auto" w:fill="FFFFFF"/>
          <w:lang w:val="ro-RO"/>
        </w:rPr>
        <w:t>ului</w:t>
      </w:r>
      <w:r w:rsidRPr="001C6DCE">
        <w:rPr>
          <w:rFonts w:asciiTheme="majorHAnsi" w:hAnsiTheme="majorHAnsi" w:cstheme="majorHAnsi"/>
          <w:sz w:val="24"/>
          <w:szCs w:val="24"/>
          <w:shd w:val="clear" w:color="auto" w:fill="FFFFFF"/>
          <w:lang w:val="ro-RO"/>
        </w:rPr>
        <w:t>.</w:t>
      </w:r>
    </w:p>
    <w:p w14:paraId="1AC50638" w14:textId="44FD6566" w:rsidR="00404882" w:rsidRPr="001C6DCE" w:rsidRDefault="00404882" w:rsidP="008C4E63">
      <w:pPr>
        <w:spacing w:after="0" w:line="276" w:lineRule="auto"/>
        <w:ind w:right="-41"/>
        <w:jc w:val="both"/>
        <w:rPr>
          <w:rFonts w:asciiTheme="majorHAnsi" w:hAnsiTheme="majorHAnsi" w:cstheme="majorHAnsi"/>
          <w:sz w:val="24"/>
          <w:szCs w:val="24"/>
          <w:shd w:val="clear" w:color="auto" w:fill="FFFFFF"/>
          <w:lang w:val="ro-RO"/>
        </w:rPr>
      </w:pPr>
      <w:r w:rsidRPr="001C6DCE">
        <w:rPr>
          <w:rFonts w:asciiTheme="majorHAnsi" w:hAnsiTheme="majorHAnsi" w:cstheme="majorHAnsi"/>
          <w:sz w:val="24"/>
          <w:szCs w:val="24"/>
          <w:shd w:val="clear" w:color="auto" w:fill="FFFFFF"/>
          <w:lang w:val="ro-RO"/>
        </w:rPr>
        <w:t>M</w:t>
      </w:r>
      <w:r w:rsidR="000A3C30" w:rsidRPr="001C6DCE">
        <w:rPr>
          <w:rFonts w:asciiTheme="majorHAnsi" w:hAnsiTheme="majorHAnsi" w:cstheme="majorHAnsi"/>
          <w:sz w:val="24"/>
          <w:szCs w:val="24"/>
          <w:shd w:val="clear" w:color="auto" w:fill="FFFFFF"/>
          <w:lang w:val="ro-RO"/>
        </w:rPr>
        <w:t xml:space="preserve">inisterul </w:t>
      </w:r>
      <w:r w:rsidRPr="001C6DCE">
        <w:rPr>
          <w:rFonts w:asciiTheme="majorHAnsi" w:hAnsiTheme="majorHAnsi" w:cstheme="majorHAnsi"/>
          <w:sz w:val="24"/>
          <w:szCs w:val="24"/>
          <w:shd w:val="clear" w:color="auto" w:fill="FFFFFF"/>
          <w:lang w:val="ro-RO"/>
        </w:rPr>
        <w:t>A</w:t>
      </w:r>
      <w:r w:rsidR="000A3C30" w:rsidRPr="001C6DCE">
        <w:rPr>
          <w:rFonts w:asciiTheme="majorHAnsi" w:hAnsiTheme="majorHAnsi" w:cstheme="majorHAnsi"/>
          <w:sz w:val="24"/>
          <w:szCs w:val="24"/>
          <w:shd w:val="clear" w:color="auto" w:fill="FFFFFF"/>
          <w:lang w:val="ro-RO"/>
        </w:rPr>
        <w:t xml:space="preserve">griculturii, </w:t>
      </w:r>
      <w:r w:rsidRPr="001C6DCE">
        <w:rPr>
          <w:rFonts w:asciiTheme="majorHAnsi" w:hAnsiTheme="majorHAnsi" w:cstheme="majorHAnsi"/>
          <w:sz w:val="24"/>
          <w:szCs w:val="24"/>
          <w:shd w:val="clear" w:color="auto" w:fill="FFFFFF"/>
          <w:lang w:val="ro-RO"/>
        </w:rPr>
        <w:t>D</w:t>
      </w:r>
      <w:r w:rsidR="000A3C30" w:rsidRPr="001C6DCE">
        <w:rPr>
          <w:rFonts w:asciiTheme="majorHAnsi" w:hAnsiTheme="majorHAnsi" w:cstheme="majorHAnsi"/>
          <w:sz w:val="24"/>
          <w:szCs w:val="24"/>
          <w:shd w:val="clear" w:color="auto" w:fill="FFFFFF"/>
          <w:lang w:val="ro-RO"/>
        </w:rPr>
        <w:t xml:space="preserve">ezvoltării </w:t>
      </w:r>
      <w:r w:rsidRPr="001C6DCE">
        <w:rPr>
          <w:rFonts w:asciiTheme="majorHAnsi" w:hAnsiTheme="majorHAnsi" w:cstheme="majorHAnsi"/>
          <w:sz w:val="24"/>
          <w:szCs w:val="24"/>
          <w:shd w:val="clear" w:color="auto" w:fill="FFFFFF"/>
          <w:lang w:val="ro-RO"/>
        </w:rPr>
        <w:t>R</w:t>
      </w:r>
      <w:r w:rsidR="000A3C30" w:rsidRPr="001C6DCE">
        <w:rPr>
          <w:rFonts w:asciiTheme="majorHAnsi" w:hAnsiTheme="majorHAnsi" w:cstheme="majorHAnsi"/>
          <w:sz w:val="24"/>
          <w:szCs w:val="24"/>
          <w:shd w:val="clear" w:color="auto" w:fill="FFFFFF"/>
          <w:lang w:val="ro-RO"/>
        </w:rPr>
        <w:t xml:space="preserve">egionale și </w:t>
      </w:r>
      <w:r w:rsidRPr="001C6DCE">
        <w:rPr>
          <w:rFonts w:asciiTheme="majorHAnsi" w:hAnsiTheme="majorHAnsi" w:cstheme="majorHAnsi"/>
          <w:sz w:val="24"/>
          <w:szCs w:val="24"/>
          <w:shd w:val="clear" w:color="auto" w:fill="FFFFFF"/>
          <w:lang w:val="ro-RO"/>
        </w:rPr>
        <w:t>M</w:t>
      </w:r>
      <w:r w:rsidR="000A3C30" w:rsidRPr="001C6DCE">
        <w:rPr>
          <w:rFonts w:asciiTheme="majorHAnsi" w:hAnsiTheme="majorHAnsi" w:cstheme="majorHAnsi"/>
          <w:sz w:val="24"/>
          <w:szCs w:val="24"/>
          <w:shd w:val="clear" w:color="auto" w:fill="FFFFFF"/>
          <w:lang w:val="ro-RO"/>
        </w:rPr>
        <w:t>ediului</w:t>
      </w:r>
      <w:r w:rsidR="001F0BA4" w:rsidRPr="001C6DCE">
        <w:rPr>
          <w:rFonts w:asciiTheme="majorHAnsi" w:hAnsiTheme="majorHAnsi" w:cstheme="majorHAnsi"/>
          <w:sz w:val="24"/>
          <w:szCs w:val="24"/>
          <w:shd w:val="clear" w:color="auto" w:fill="FFFFFF"/>
          <w:lang w:val="ro-RO"/>
        </w:rPr>
        <w:t xml:space="preserve"> (MADRM),</w:t>
      </w:r>
      <w:r w:rsidRPr="001C6DCE">
        <w:rPr>
          <w:rFonts w:asciiTheme="majorHAnsi" w:hAnsiTheme="majorHAnsi" w:cstheme="majorHAnsi"/>
          <w:sz w:val="24"/>
          <w:szCs w:val="24"/>
          <w:shd w:val="clear" w:color="auto" w:fill="FFFFFF"/>
          <w:lang w:val="ro-RO"/>
        </w:rPr>
        <w:t xml:space="preserve"> n</w:t>
      </w:r>
      <w:r w:rsidR="001F0BA4" w:rsidRPr="001C6DCE">
        <w:rPr>
          <w:rFonts w:asciiTheme="majorHAnsi" w:hAnsiTheme="majorHAnsi" w:cstheme="majorHAnsi"/>
          <w:sz w:val="24"/>
          <w:szCs w:val="24"/>
          <w:shd w:val="clear" w:color="auto" w:fill="FFFFFF"/>
          <w:lang w:val="ro-RO"/>
        </w:rPr>
        <w:t>e</w:t>
      </w:r>
      <w:r w:rsidRPr="001C6DCE">
        <w:rPr>
          <w:rFonts w:asciiTheme="majorHAnsi" w:hAnsiTheme="majorHAnsi" w:cstheme="majorHAnsi"/>
          <w:sz w:val="24"/>
          <w:szCs w:val="24"/>
          <w:shd w:val="clear" w:color="auto" w:fill="FFFFFF"/>
          <w:lang w:val="ro-RO"/>
        </w:rPr>
        <w:t>respect</w:t>
      </w:r>
      <w:r w:rsidR="001F0BA4" w:rsidRPr="001C6DCE">
        <w:rPr>
          <w:rFonts w:asciiTheme="majorHAnsi" w:hAnsiTheme="majorHAnsi" w:cstheme="majorHAnsi"/>
          <w:sz w:val="24"/>
          <w:szCs w:val="24"/>
          <w:shd w:val="clear" w:color="auto" w:fill="FFFFFF"/>
          <w:lang w:val="ro-RO"/>
        </w:rPr>
        <w:t>ând</w:t>
      </w:r>
      <w:r w:rsidRPr="001C6DCE">
        <w:rPr>
          <w:rFonts w:asciiTheme="majorHAnsi" w:hAnsiTheme="majorHAnsi" w:cstheme="majorHAnsi"/>
          <w:sz w:val="24"/>
          <w:szCs w:val="24"/>
          <w:shd w:val="clear" w:color="auto" w:fill="FFFFFF"/>
          <w:lang w:val="ro-RO"/>
        </w:rPr>
        <w:t xml:space="preserve"> preveder</w:t>
      </w:r>
      <w:r w:rsidR="001F0BA4" w:rsidRPr="001C6DCE">
        <w:rPr>
          <w:rFonts w:asciiTheme="majorHAnsi" w:hAnsiTheme="majorHAnsi" w:cstheme="majorHAnsi"/>
          <w:sz w:val="24"/>
          <w:szCs w:val="24"/>
          <w:shd w:val="clear" w:color="auto" w:fill="FFFFFF"/>
          <w:lang w:val="ro-RO"/>
        </w:rPr>
        <w:t>il</w:t>
      </w:r>
      <w:r w:rsidRPr="001C6DCE">
        <w:rPr>
          <w:rFonts w:asciiTheme="majorHAnsi" w:hAnsiTheme="majorHAnsi" w:cstheme="majorHAnsi"/>
          <w:sz w:val="24"/>
          <w:szCs w:val="24"/>
          <w:shd w:val="clear" w:color="auto" w:fill="FFFFFF"/>
          <w:lang w:val="ro-RO"/>
        </w:rPr>
        <w:t>e pct. 3.4.21</w:t>
      </w:r>
      <w:r w:rsidRPr="001C6DCE">
        <w:rPr>
          <w:rFonts w:asciiTheme="majorHAnsi" w:hAnsiTheme="majorHAnsi" w:cstheme="majorHAnsi"/>
          <w:sz w:val="24"/>
          <w:szCs w:val="24"/>
          <w:shd w:val="clear" w:color="auto" w:fill="FFFFFF"/>
          <w:vertAlign w:val="superscript"/>
          <w:lang w:val="ro-RO"/>
        </w:rPr>
        <w:t>1</w:t>
      </w:r>
      <w:r w:rsidRPr="001C6DCE">
        <w:rPr>
          <w:rFonts w:asciiTheme="majorHAnsi" w:hAnsiTheme="majorHAnsi" w:cstheme="majorHAnsi"/>
          <w:sz w:val="24"/>
          <w:szCs w:val="24"/>
          <w:shd w:val="clear" w:color="auto" w:fill="FFFFFF"/>
          <w:lang w:val="ro-RO"/>
        </w:rPr>
        <w:t xml:space="preserve"> din Ordinul </w:t>
      </w:r>
      <w:r w:rsidR="001F0BA4" w:rsidRPr="001C6DCE">
        <w:rPr>
          <w:rFonts w:asciiTheme="majorHAnsi" w:hAnsiTheme="majorHAnsi" w:cstheme="majorHAnsi"/>
          <w:sz w:val="24"/>
          <w:szCs w:val="24"/>
          <w:shd w:val="clear" w:color="auto" w:fill="FFFFFF"/>
          <w:lang w:val="ro-RO"/>
        </w:rPr>
        <w:t xml:space="preserve">ministrului Finanțelor </w:t>
      </w:r>
      <w:r w:rsidRPr="001C6DCE">
        <w:rPr>
          <w:rFonts w:asciiTheme="majorHAnsi" w:hAnsiTheme="majorHAnsi" w:cstheme="majorHAnsi"/>
          <w:sz w:val="24"/>
          <w:szCs w:val="24"/>
          <w:shd w:val="clear" w:color="auto" w:fill="FFFFFF"/>
          <w:lang w:val="ro-RO"/>
        </w:rPr>
        <w:t>nr. 216/2015</w:t>
      </w:r>
      <w:r w:rsidR="001F0BA4" w:rsidRPr="001C6DCE">
        <w:rPr>
          <w:rFonts w:asciiTheme="majorHAnsi" w:hAnsiTheme="majorHAnsi" w:cstheme="majorHAnsi"/>
          <w:sz w:val="24"/>
          <w:szCs w:val="24"/>
          <w:shd w:val="clear" w:color="auto" w:fill="FFFFFF"/>
          <w:lang w:val="ro-RO"/>
        </w:rPr>
        <w:t>,</w:t>
      </w:r>
      <w:r w:rsidRPr="001C6DCE">
        <w:rPr>
          <w:rFonts w:asciiTheme="majorHAnsi" w:hAnsiTheme="majorHAnsi" w:cstheme="majorHAnsi"/>
          <w:sz w:val="24"/>
          <w:szCs w:val="24"/>
          <w:shd w:val="clear" w:color="auto" w:fill="FFFFFF"/>
          <w:lang w:val="ro-RO"/>
        </w:rPr>
        <w:t xml:space="preserve"> nu a emis decizia de reducere a mărimii investiției</w:t>
      </w:r>
      <w:r w:rsidR="001F0BA4" w:rsidRPr="001C6DCE">
        <w:rPr>
          <w:rFonts w:asciiTheme="majorHAnsi" w:hAnsiTheme="majorHAnsi" w:cstheme="majorHAnsi"/>
          <w:sz w:val="24"/>
          <w:szCs w:val="24"/>
          <w:shd w:val="clear" w:color="auto" w:fill="FFFFFF"/>
          <w:lang w:val="ro-RO"/>
        </w:rPr>
        <w:t>.</w:t>
      </w:r>
      <w:r w:rsidRPr="001C6DCE">
        <w:rPr>
          <w:rFonts w:asciiTheme="majorHAnsi" w:hAnsiTheme="majorHAnsi" w:cstheme="majorHAnsi"/>
          <w:sz w:val="24"/>
          <w:szCs w:val="24"/>
          <w:shd w:val="clear" w:color="auto" w:fill="FFFFFF"/>
          <w:lang w:val="ro-RO"/>
        </w:rPr>
        <w:t xml:space="preserve"> </w:t>
      </w:r>
      <w:r w:rsidR="001F0BA4" w:rsidRPr="001C6DCE">
        <w:rPr>
          <w:rFonts w:asciiTheme="majorHAnsi" w:hAnsiTheme="majorHAnsi" w:cstheme="majorHAnsi"/>
          <w:sz w:val="24"/>
          <w:szCs w:val="24"/>
          <w:shd w:val="clear" w:color="auto" w:fill="FFFFFF"/>
          <w:lang w:val="ro-RO"/>
        </w:rPr>
        <w:t>P</w:t>
      </w:r>
      <w:r w:rsidRPr="001C6DCE">
        <w:rPr>
          <w:rFonts w:asciiTheme="majorHAnsi" w:hAnsiTheme="majorHAnsi" w:cstheme="majorHAnsi"/>
          <w:sz w:val="24"/>
          <w:szCs w:val="24"/>
          <w:shd w:val="clear" w:color="auto" w:fill="FFFFFF"/>
          <w:lang w:val="ro-RO"/>
        </w:rPr>
        <w:t>rin urmare</w:t>
      </w:r>
      <w:r w:rsidR="001F0BA4" w:rsidRPr="001C6DCE">
        <w:rPr>
          <w:rFonts w:asciiTheme="majorHAnsi" w:hAnsiTheme="majorHAnsi" w:cstheme="majorHAnsi"/>
          <w:sz w:val="24"/>
          <w:szCs w:val="24"/>
          <w:shd w:val="clear" w:color="auto" w:fill="FFFFFF"/>
          <w:lang w:val="ro-RO"/>
        </w:rPr>
        <w:t>,</w:t>
      </w:r>
      <w:r w:rsidRPr="001C6DCE">
        <w:rPr>
          <w:rFonts w:asciiTheme="majorHAnsi" w:hAnsiTheme="majorHAnsi" w:cstheme="majorHAnsi"/>
          <w:sz w:val="24"/>
          <w:szCs w:val="24"/>
          <w:shd w:val="clear" w:color="auto" w:fill="FFFFFF"/>
          <w:lang w:val="ro-RO"/>
        </w:rPr>
        <w:t xml:space="preserve"> UASM nu</w:t>
      </w:r>
      <w:r w:rsidR="00721AC1">
        <w:rPr>
          <w:rFonts w:asciiTheme="majorHAnsi" w:hAnsiTheme="majorHAnsi" w:cstheme="majorHAnsi"/>
          <w:sz w:val="24"/>
          <w:szCs w:val="24"/>
          <w:shd w:val="clear" w:color="auto" w:fill="FFFFFF"/>
          <w:lang w:val="ro-RO"/>
        </w:rPr>
        <w:t xml:space="preserve"> </w:t>
      </w:r>
      <w:r w:rsidRPr="001C6DCE">
        <w:rPr>
          <w:rFonts w:asciiTheme="majorHAnsi" w:hAnsiTheme="majorHAnsi" w:cstheme="majorHAnsi"/>
          <w:sz w:val="24"/>
          <w:szCs w:val="24"/>
          <w:shd w:val="clear" w:color="auto" w:fill="FFFFFF"/>
          <w:lang w:val="ro-RO"/>
        </w:rPr>
        <w:t xml:space="preserve">a avut temei </w:t>
      </w:r>
      <w:r w:rsidR="001F0BA4" w:rsidRPr="001C6DCE">
        <w:rPr>
          <w:rFonts w:asciiTheme="majorHAnsi" w:hAnsiTheme="majorHAnsi" w:cstheme="majorHAnsi"/>
          <w:sz w:val="24"/>
          <w:szCs w:val="24"/>
          <w:shd w:val="clear" w:color="auto" w:fill="FFFFFF"/>
          <w:lang w:val="ro-RO"/>
        </w:rPr>
        <w:t>pentru</w:t>
      </w:r>
      <w:r w:rsidRPr="001C6DCE">
        <w:rPr>
          <w:rFonts w:asciiTheme="majorHAnsi" w:hAnsiTheme="majorHAnsi" w:cstheme="majorHAnsi"/>
          <w:sz w:val="24"/>
          <w:szCs w:val="24"/>
          <w:shd w:val="clear" w:color="auto" w:fill="FFFFFF"/>
          <w:lang w:val="ro-RO"/>
        </w:rPr>
        <w:t xml:space="preserve"> micșorarea valorii investițiilor</w:t>
      </w:r>
      <w:r w:rsidR="00B51590" w:rsidRPr="001C6DCE">
        <w:rPr>
          <w:rFonts w:asciiTheme="majorHAnsi" w:hAnsiTheme="majorHAnsi" w:cstheme="majorHAnsi"/>
          <w:sz w:val="24"/>
          <w:szCs w:val="24"/>
          <w:shd w:val="clear" w:color="auto" w:fill="FFFFFF"/>
          <w:lang w:val="ro-RO"/>
        </w:rPr>
        <w:t>, trecându-le la cheltuieli</w:t>
      </w:r>
      <w:r w:rsidR="001F0BA4" w:rsidRPr="001C6DCE">
        <w:rPr>
          <w:rFonts w:asciiTheme="majorHAnsi" w:hAnsiTheme="majorHAnsi" w:cstheme="majorHAnsi"/>
          <w:sz w:val="24"/>
          <w:szCs w:val="24"/>
          <w:shd w:val="clear" w:color="auto" w:fill="FFFFFF"/>
          <w:lang w:val="ro-RO"/>
        </w:rPr>
        <w:t>, fapt ce</w:t>
      </w:r>
      <w:r w:rsidRPr="001C6DCE">
        <w:rPr>
          <w:rFonts w:asciiTheme="majorHAnsi" w:hAnsiTheme="majorHAnsi" w:cstheme="majorHAnsi"/>
          <w:sz w:val="24"/>
          <w:szCs w:val="24"/>
          <w:shd w:val="clear" w:color="auto" w:fill="FFFFFF"/>
          <w:lang w:val="ro-RO"/>
        </w:rPr>
        <w:t xml:space="preserve"> denotă că APC nu dispun de o evidență analitică a valorii patrimoniului transmis în gestiune economică și</w:t>
      </w:r>
      <w:r w:rsidR="001F0BA4" w:rsidRPr="001C6DCE">
        <w:rPr>
          <w:rFonts w:asciiTheme="majorHAnsi" w:hAnsiTheme="majorHAnsi" w:cstheme="majorHAnsi"/>
          <w:sz w:val="24"/>
          <w:szCs w:val="24"/>
          <w:shd w:val="clear" w:color="auto" w:fill="FFFFFF"/>
          <w:lang w:val="ro-RO"/>
        </w:rPr>
        <w:t>,</w:t>
      </w:r>
      <w:r w:rsidRPr="001C6DCE">
        <w:rPr>
          <w:rFonts w:asciiTheme="majorHAnsi" w:hAnsiTheme="majorHAnsi" w:cstheme="majorHAnsi"/>
          <w:sz w:val="24"/>
          <w:szCs w:val="24"/>
          <w:shd w:val="clear" w:color="auto" w:fill="FFFFFF"/>
          <w:lang w:val="ro-RO"/>
        </w:rPr>
        <w:t xml:space="preserve"> respectiv</w:t>
      </w:r>
      <w:r w:rsidR="001F0BA4" w:rsidRPr="001C6DCE">
        <w:rPr>
          <w:rFonts w:asciiTheme="majorHAnsi" w:hAnsiTheme="majorHAnsi" w:cstheme="majorHAnsi"/>
          <w:sz w:val="24"/>
          <w:szCs w:val="24"/>
          <w:shd w:val="clear" w:color="auto" w:fill="FFFFFF"/>
          <w:lang w:val="ro-RO"/>
        </w:rPr>
        <w:t>,</w:t>
      </w:r>
      <w:r w:rsidRPr="001C6DCE">
        <w:rPr>
          <w:rFonts w:asciiTheme="majorHAnsi" w:hAnsiTheme="majorHAnsi" w:cstheme="majorHAnsi"/>
          <w:sz w:val="24"/>
          <w:szCs w:val="24"/>
          <w:shd w:val="clear" w:color="auto" w:fill="FFFFFF"/>
          <w:lang w:val="ro-RO"/>
        </w:rPr>
        <w:t xml:space="preserve"> nu se pot asigura că valoarea investițiilor este veridică.</w:t>
      </w:r>
      <w:r w:rsidR="00721AC1">
        <w:rPr>
          <w:rFonts w:asciiTheme="majorHAnsi" w:hAnsiTheme="majorHAnsi" w:cstheme="majorHAnsi"/>
          <w:sz w:val="24"/>
          <w:szCs w:val="24"/>
          <w:shd w:val="clear" w:color="auto" w:fill="FFFFFF"/>
          <w:lang w:val="ro-RO"/>
        </w:rPr>
        <w:t xml:space="preserve"> </w:t>
      </w:r>
    </w:p>
    <w:p w14:paraId="38273CB9" w14:textId="04960C8A" w:rsidR="00404882" w:rsidRPr="001C6DCE" w:rsidRDefault="00404882" w:rsidP="008C4E63">
      <w:pPr>
        <w:pStyle w:val="a8"/>
        <w:numPr>
          <w:ilvl w:val="0"/>
          <w:numId w:val="17"/>
        </w:numPr>
        <w:tabs>
          <w:tab w:val="left" w:pos="142"/>
        </w:tabs>
        <w:spacing w:line="276" w:lineRule="auto"/>
        <w:ind w:left="0" w:right="-41" w:firstLine="0"/>
        <w:rPr>
          <w:rFonts w:asciiTheme="majorHAnsi" w:hAnsiTheme="majorHAnsi" w:cstheme="majorHAnsi"/>
          <w:bCs/>
          <w:sz w:val="24"/>
          <w:szCs w:val="24"/>
          <w:shd w:val="clear" w:color="auto" w:fill="FFFFFF"/>
          <w:lang w:val="ro-RO"/>
        </w:rPr>
      </w:pPr>
      <w:r w:rsidRPr="001C6DCE">
        <w:rPr>
          <w:rFonts w:asciiTheme="majorHAnsi" w:hAnsiTheme="majorHAnsi" w:cstheme="majorHAnsi"/>
          <w:sz w:val="24"/>
          <w:szCs w:val="24"/>
          <w:shd w:val="clear" w:color="auto" w:fill="FFFFFF"/>
          <w:lang w:val="ro-RO"/>
        </w:rPr>
        <w:t>La fuziunea, absorbția instituțiilor de învățământ superior</w:t>
      </w:r>
      <w:r w:rsidR="007C3DEC" w:rsidRPr="001C6DCE">
        <w:rPr>
          <w:rFonts w:asciiTheme="majorHAnsi" w:hAnsiTheme="majorHAnsi" w:cstheme="majorHAnsi"/>
          <w:sz w:val="24"/>
          <w:szCs w:val="24"/>
          <w:shd w:val="clear" w:color="auto" w:fill="FFFFFF"/>
          <w:lang w:val="ro-RO"/>
        </w:rPr>
        <w:t>,</w:t>
      </w:r>
      <w:r w:rsidRPr="001C6DCE">
        <w:rPr>
          <w:rFonts w:asciiTheme="majorHAnsi" w:hAnsiTheme="majorHAnsi" w:cstheme="majorHAnsi"/>
          <w:sz w:val="24"/>
          <w:szCs w:val="24"/>
          <w:shd w:val="clear" w:color="auto" w:fill="FFFFFF"/>
          <w:lang w:val="ro-RO"/>
        </w:rPr>
        <w:t xml:space="preserve"> APC</w:t>
      </w:r>
      <w:r w:rsidRPr="001C6DCE">
        <w:rPr>
          <w:rStyle w:val="a5"/>
          <w:rFonts w:asciiTheme="majorHAnsi" w:hAnsiTheme="majorHAnsi" w:cstheme="majorHAnsi"/>
          <w:sz w:val="24"/>
          <w:szCs w:val="24"/>
          <w:shd w:val="clear" w:color="auto" w:fill="FFFFFF"/>
          <w:lang w:val="ro-RO"/>
        </w:rPr>
        <w:footnoteReference w:id="29"/>
      </w:r>
      <w:r w:rsidRPr="001C6DCE">
        <w:rPr>
          <w:rFonts w:asciiTheme="majorHAnsi" w:hAnsiTheme="majorHAnsi" w:cstheme="majorHAnsi"/>
          <w:sz w:val="24"/>
          <w:szCs w:val="24"/>
          <w:shd w:val="clear" w:color="auto" w:fill="FFFFFF"/>
          <w:lang w:val="ro-RO"/>
        </w:rPr>
        <w:t xml:space="preserve"> nu a</w:t>
      </w:r>
      <w:r w:rsidR="007C3DEC" w:rsidRPr="001C6DCE">
        <w:rPr>
          <w:rFonts w:asciiTheme="majorHAnsi" w:hAnsiTheme="majorHAnsi" w:cstheme="majorHAnsi"/>
          <w:sz w:val="24"/>
          <w:szCs w:val="24"/>
          <w:shd w:val="clear" w:color="auto" w:fill="FFFFFF"/>
          <w:lang w:val="ro-RO"/>
        </w:rPr>
        <w:t>u</w:t>
      </w:r>
      <w:r w:rsidRPr="001C6DCE">
        <w:rPr>
          <w:rFonts w:asciiTheme="majorHAnsi" w:hAnsiTheme="majorHAnsi" w:cstheme="majorHAnsi"/>
          <w:sz w:val="24"/>
          <w:szCs w:val="24"/>
          <w:shd w:val="clear" w:color="auto" w:fill="FFFFFF"/>
          <w:lang w:val="ro-RO"/>
        </w:rPr>
        <w:t xml:space="preserve"> ținut cont de soldul mijloacelor bănești aflate în conturile curente (inclusiv depozite) și </w:t>
      </w:r>
      <w:r w:rsidR="007C3DEC" w:rsidRPr="001C6DCE">
        <w:rPr>
          <w:rFonts w:asciiTheme="majorHAnsi" w:hAnsiTheme="majorHAnsi" w:cstheme="majorHAnsi"/>
          <w:sz w:val="24"/>
          <w:szCs w:val="24"/>
          <w:shd w:val="clear" w:color="auto" w:fill="FFFFFF"/>
          <w:lang w:val="ro-RO"/>
        </w:rPr>
        <w:t xml:space="preserve">de </w:t>
      </w:r>
      <w:r w:rsidRPr="001C6DCE">
        <w:rPr>
          <w:rFonts w:asciiTheme="majorHAnsi" w:hAnsiTheme="majorHAnsi" w:cstheme="majorHAnsi"/>
          <w:sz w:val="24"/>
          <w:szCs w:val="24"/>
          <w:shd w:val="clear" w:color="auto" w:fill="FFFFFF"/>
          <w:lang w:val="ro-RO"/>
        </w:rPr>
        <w:t>datoriile existente. Astfel, în urma generalizării informațiilor aferente instituțiilor absorbite</w:t>
      </w:r>
      <w:r w:rsidR="007C3DEC" w:rsidRPr="001C6DCE">
        <w:rPr>
          <w:rFonts w:asciiTheme="majorHAnsi" w:hAnsiTheme="majorHAnsi" w:cstheme="majorHAnsi"/>
          <w:sz w:val="24"/>
          <w:szCs w:val="24"/>
          <w:shd w:val="clear" w:color="auto" w:fill="FFFFFF"/>
          <w:lang w:val="ro-RO"/>
        </w:rPr>
        <w:t>,</w:t>
      </w:r>
      <w:r w:rsidRPr="001C6DCE">
        <w:rPr>
          <w:rFonts w:asciiTheme="majorHAnsi" w:hAnsiTheme="majorHAnsi" w:cstheme="majorHAnsi"/>
          <w:sz w:val="24"/>
          <w:szCs w:val="24"/>
          <w:shd w:val="clear" w:color="auto" w:fill="FFFFFF"/>
          <w:lang w:val="ro-RO"/>
        </w:rPr>
        <w:t xml:space="preserve"> auditul a constatat că soldul de mijloace bănești a depășit valoarea datoriilor existente la data absorbției </w:t>
      </w:r>
      <w:r w:rsidR="001F6B2D" w:rsidRPr="001C6DCE">
        <w:rPr>
          <w:rFonts w:asciiTheme="majorHAnsi" w:hAnsiTheme="majorHAnsi" w:cstheme="majorHAnsi"/>
          <w:sz w:val="24"/>
          <w:szCs w:val="24"/>
          <w:shd w:val="clear" w:color="auto" w:fill="FFFFFF"/>
          <w:lang w:val="ro-RO"/>
        </w:rPr>
        <w:t>(</w:t>
      </w:r>
      <w:r w:rsidRPr="001C6DCE">
        <w:rPr>
          <w:rFonts w:asciiTheme="majorHAnsi" w:hAnsiTheme="majorHAnsi" w:cstheme="majorHAnsi"/>
          <w:sz w:val="24"/>
          <w:szCs w:val="24"/>
          <w:shd w:val="clear" w:color="auto" w:fill="FFFFFF"/>
          <w:lang w:val="ro-RO"/>
        </w:rPr>
        <w:t>31.08.2022</w:t>
      </w:r>
      <w:r w:rsidR="001F6B2D" w:rsidRPr="001C6DCE">
        <w:rPr>
          <w:rFonts w:asciiTheme="majorHAnsi" w:hAnsiTheme="majorHAnsi" w:cstheme="majorHAnsi"/>
          <w:sz w:val="24"/>
          <w:szCs w:val="24"/>
          <w:shd w:val="clear" w:color="auto" w:fill="FFFFFF"/>
          <w:lang w:val="ro-RO"/>
        </w:rPr>
        <w:t>)</w:t>
      </w:r>
      <w:r w:rsidRPr="001C6DCE">
        <w:rPr>
          <w:rFonts w:asciiTheme="majorHAnsi" w:hAnsiTheme="majorHAnsi" w:cstheme="majorHAnsi"/>
          <w:sz w:val="24"/>
          <w:szCs w:val="24"/>
          <w:shd w:val="clear" w:color="auto" w:fill="FFFFFF"/>
          <w:lang w:val="ro-RO"/>
        </w:rPr>
        <w:t xml:space="preserve"> cu 17</w:t>
      </w:r>
      <w:r w:rsidR="000A3C30" w:rsidRPr="001C6DCE">
        <w:rPr>
          <w:rFonts w:asciiTheme="majorHAnsi" w:hAnsiTheme="majorHAnsi" w:cstheme="majorHAnsi"/>
          <w:sz w:val="24"/>
          <w:szCs w:val="24"/>
          <w:shd w:val="clear" w:color="auto" w:fill="FFFFFF"/>
          <w:lang w:val="ro-RO"/>
        </w:rPr>
        <w:t>,</w:t>
      </w:r>
      <w:r w:rsidRPr="001C6DCE">
        <w:rPr>
          <w:rFonts w:asciiTheme="majorHAnsi" w:hAnsiTheme="majorHAnsi" w:cstheme="majorHAnsi"/>
          <w:sz w:val="24"/>
          <w:szCs w:val="24"/>
          <w:shd w:val="clear" w:color="auto" w:fill="FFFFFF"/>
          <w:lang w:val="ro-RO"/>
        </w:rPr>
        <w:t>3</w:t>
      </w:r>
      <w:r w:rsidR="000A3C30" w:rsidRPr="001C6DCE">
        <w:rPr>
          <w:rFonts w:asciiTheme="majorHAnsi" w:hAnsiTheme="majorHAnsi" w:cstheme="majorHAnsi"/>
          <w:sz w:val="24"/>
          <w:szCs w:val="24"/>
          <w:shd w:val="clear" w:color="auto" w:fill="FFFFFF"/>
          <w:lang w:val="ro-RO"/>
        </w:rPr>
        <w:t>8</w:t>
      </w:r>
      <w:r w:rsidRPr="001C6DCE">
        <w:rPr>
          <w:rFonts w:asciiTheme="majorHAnsi" w:hAnsiTheme="majorHAnsi" w:cstheme="majorHAnsi"/>
          <w:sz w:val="24"/>
          <w:szCs w:val="24"/>
          <w:shd w:val="clear" w:color="auto" w:fill="FFFFFF"/>
          <w:lang w:val="ro-RO"/>
        </w:rPr>
        <w:t xml:space="preserve"> mi</w:t>
      </w:r>
      <w:r w:rsidR="000A3C30" w:rsidRPr="001C6DCE">
        <w:rPr>
          <w:rFonts w:asciiTheme="majorHAnsi" w:hAnsiTheme="majorHAnsi" w:cstheme="majorHAnsi"/>
          <w:sz w:val="24"/>
          <w:szCs w:val="24"/>
          <w:shd w:val="clear" w:color="auto" w:fill="FFFFFF"/>
          <w:lang w:val="ro-RO"/>
        </w:rPr>
        <w:t>l.</w:t>
      </w:r>
      <w:r w:rsidRPr="001C6DCE">
        <w:rPr>
          <w:rFonts w:asciiTheme="majorHAnsi" w:hAnsiTheme="majorHAnsi" w:cstheme="majorHAnsi"/>
          <w:sz w:val="24"/>
          <w:szCs w:val="24"/>
          <w:shd w:val="clear" w:color="auto" w:fill="FFFFFF"/>
          <w:lang w:val="ro-RO"/>
        </w:rPr>
        <w:t>lei.</w:t>
      </w:r>
    </w:p>
    <w:p w14:paraId="46664D8F" w14:textId="133E0CBA" w:rsidR="00B5365A" w:rsidRPr="001C6DCE" w:rsidRDefault="005C3865" w:rsidP="008C4E63">
      <w:pPr>
        <w:spacing w:after="0" w:line="276" w:lineRule="auto"/>
        <w:jc w:val="both"/>
        <w:rPr>
          <w:rFonts w:asciiTheme="majorHAnsi" w:hAnsiTheme="majorHAnsi" w:cstheme="majorHAnsi"/>
          <w:sz w:val="24"/>
          <w:szCs w:val="24"/>
          <w:lang w:val="ro-RO"/>
        </w:rPr>
      </w:pPr>
      <w:r w:rsidRPr="001C6DCE">
        <w:rPr>
          <w:rFonts w:asciiTheme="majorHAnsi" w:hAnsiTheme="majorHAnsi" w:cstheme="majorHAnsi"/>
          <w:b/>
          <w:bCs/>
          <w:sz w:val="24"/>
          <w:szCs w:val="24"/>
          <w:lang w:val="ro-RO"/>
        </w:rPr>
        <w:t>6.5.</w:t>
      </w:r>
      <w:r w:rsidR="00614CB7" w:rsidRPr="001C6DCE">
        <w:rPr>
          <w:rFonts w:asciiTheme="majorHAnsi" w:hAnsiTheme="majorHAnsi" w:cstheme="majorHAnsi"/>
          <w:b/>
          <w:bCs/>
          <w:sz w:val="24"/>
          <w:szCs w:val="24"/>
          <w:lang w:val="ro-RO"/>
        </w:rPr>
        <w:t xml:space="preserve"> </w:t>
      </w:r>
      <w:r w:rsidR="00B5365A" w:rsidRPr="001C6DCE">
        <w:rPr>
          <w:rFonts w:asciiTheme="majorHAnsi" w:hAnsiTheme="majorHAnsi" w:cstheme="majorHAnsi"/>
          <w:sz w:val="24"/>
          <w:szCs w:val="24"/>
          <w:shd w:val="clear" w:color="auto" w:fill="FFFFFF"/>
          <w:lang w:val="ro-RO"/>
        </w:rPr>
        <w:t>Conform pct.7 alin.(5) din H</w:t>
      </w:r>
      <w:r w:rsidR="007C3DEC" w:rsidRPr="001C6DCE">
        <w:rPr>
          <w:rFonts w:asciiTheme="majorHAnsi" w:hAnsiTheme="majorHAnsi" w:cstheme="majorHAnsi"/>
          <w:sz w:val="24"/>
          <w:szCs w:val="24"/>
          <w:shd w:val="clear" w:color="auto" w:fill="FFFFFF"/>
          <w:lang w:val="ro-RO"/>
        </w:rPr>
        <w:t xml:space="preserve">otărârea </w:t>
      </w:r>
      <w:r w:rsidR="00B5365A" w:rsidRPr="001C6DCE">
        <w:rPr>
          <w:rFonts w:asciiTheme="majorHAnsi" w:hAnsiTheme="majorHAnsi" w:cstheme="majorHAnsi"/>
          <w:sz w:val="24"/>
          <w:szCs w:val="24"/>
          <w:shd w:val="clear" w:color="auto" w:fill="FFFFFF"/>
          <w:lang w:val="ro-RO"/>
        </w:rPr>
        <w:t>G</w:t>
      </w:r>
      <w:r w:rsidR="007C3DEC" w:rsidRPr="001C6DCE">
        <w:rPr>
          <w:rFonts w:asciiTheme="majorHAnsi" w:hAnsiTheme="majorHAnsi" w:cstheme="majorHAnsi"/>
          <w:sz w:val="24"/>
          <w:szCs w:val="24"/>
          <w:shd w:val="clear" w:color="auto" w:fill="FFFFFF"/>
          <w:lang w:val="ro-RO"/>
        </w:rPr>
        <w:t>uvernului</w:t>
      </w:r>
      <w:r w:rsidR="00B5365A" w:rsidRPr="001C6DCE">
        <w:rPr>
          <w:rFonts w:asciiTheme="majorHAnsi" w:hAnsiTheme="majorHAnsi" w:cstheme="majorHAnsi"/>
          <w:sz w:val="24"/>
          <w:szCs w:val="24"/>
          <w:shd w:val="clear" w:color="auto" w:fill="FFFFFF"/>
          <w:lang w:val="ro-RO"/>
        </w:rPr>
        <w:t xml:space="preserve"> nr.146 din 25.08.2021</w:t>
      </w:r>
      <w:r w:rsidR="00CC4FF1" w:rsidRPr="001C6DCE">
        <w:rPr>
          <w:rStyle w:val="a5"/>
          <w:rFonts w:asciiTheme="majorHAnsi" w:hAnsiTheme="majorHAnsi" w:cstheme="majorHAnsi"/>
          <w:sz w:val="24"/>
          <w:szCs w:val="24"/>
          <w:shd w:val="clear" w:color="auto" w:fill="FFFFFF"/>
          <w:lang w:val="ro-RO"/>
        </w:rPr>
        <w:footnoteReference w:id="30"/>
      </w:r>
      <w:r w:rsidR="00B5365A" w:rsidRPr="001C6DCE">
        <w:rPr>
          <w:rFonts w:asciiTheme="majorHAnsi" w:hAnsiTheme="majorHAnsi" w:cstheme="majorHAnsi"/>
          <w:sz w:val="24"/>
          <w:szCs w:val="24"/>
          <w:shd w:val="clear" w:color="auto" w:fill="FFFFFF"/>
          <w:lang w:val="ro-RO"/>
        </w:rPr>
        <w:t xml:space="preserve">, ministerul are obligația să monitorizeze calitatea politicilor publice și a actelor normative în domeniile de activitate specifice acestuia. </w:t>
      </w:r>
      <w:r w:rsidR="007C7FA2" w:rsidRPr="001C6DCE">
        <w:rPr>
          <w:rFonts w:asciiTheme="majorHAnsi" w:hAnsiTheme="majorHAnsi" w:cstheme="majorHAnsi"/>
          <w:sz w:val="24"/>
          <w:szCs w:val="24"/>
          <w:lang w:val="ro-RO"/>
        </w:rPr>
        <w:t>Astfel</w:t>
      </w:r>
      <w:r w:rsidR="00B5365A" w:rsidRPr="001C6DCE">
        <w:rPr>
          <w:rFonts w:asciiTheme="majorHAnsi" w:hAnsiTheme="majorHAnsi" w:cstheme="majorHAnsi"/>
          <w:sz w:val="24"/>
          <w:szCs w:val="24"/>
          <w:lang w:val="ro-RO"/>
        </w:rPr>
        <w:t>,</w:t>
      </w:r>
    </w:p>
    <w:p w14:paraId="76C8388C" w14:textId="477CABDA" w:rsidR="00B5365A" w:rsidRPr="001C6DCE" w:rsidRDefault="00B5365A" w:rsidP="008C4E63">
      <w:pPr>
        <w:pStyle w:val="a8"/>
        <w:numPr>
          <w:ilvl w:val="0"/>
          <w:numId w:val="11"/>
        </w:numPr>
        <w:tabs>
          <w:tab w:val="left" w:pos="142"/>
          <w:tab w:val="left" w:pos="284"/>
        </w:tabs>
        <w:spacing w:line="276" w:lineRule="auto"/>
        <w:ind w:left="0" w:firstLine="0"/>
        <w:rPr>
          <w:rFonts w:asciiTheme="majorHAnsi" w:hAnsiTheme="majorHAnsi" w:cstheme="majorHAnsi"/>
          <w:sz w:val="24"/>
          <w:szCs w:val="24"/>
          <w:lang w:val="ro-RO"/>
        </w:rPr>
      </w:pPr>
      <w:r w:rsidRPr="001C6DCE">
        <w:rPr>
          <w:rFonts w:asciiTheme="majorHAnsi" w:hAnsiTheme="majorHAnsi" w:cstheme="majorHAnsi"/>
          <w:sz w:val="24"/>
          <w:szCs w:val="24"/>
          <w:lang w:val="ro-RO"/>
        </w:rPr>
        <w:t>MEC nu se asigură că datele reflectate în actele de primire</w:t>
      </w:r>
      <w:r w:rsidR="00962763"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predare a serviciilor educaționale sunt veridice.</w:t>
      </w:r>
      <w:r w:rsidR="00CE59BC" w:rsidRPr="001C6DCE">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Potrivit pct. 4.1.6</w:t>
      </w:r>
      <w:r w:rsidR="00962763"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din contract</w:t>
      </w:r>
      <w:r w:rsidR="00962763"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prestatorul se obligă </w:t>
      </w:r>
      <w:r w:rsidR="007C7FA2" w:rsidRPr="001C6DCE">
        <w:rPr>
          <w:rFonts w:asciiTheme="majorHAnsi" w:hAnsiTheme="majorHAnsi" w:cstheme="majorHAnsi"/>
          <w:sz w:val="24"/>
          <w:szCs w:val="24"/>
          <w:lang w:val="ro-RO"/>
        </w:rPr>
        <w:t xml:space="preserve">să </w:t>
      </w:r>
      <w:r w:rsidRPr="001C6DCE">
        <w:rPr>
          <w:rFonts w:asciiTheme="majorHAnsi" w:hAnsiTheme="majorHAnsi" w:cstheme="majorHAnsi"/>
          <w:sz w:val="24"/>
          <w:szCs w:val="24"/>
          <w:lang w:val="ro-RO"/>
        </w:rPr>
        <w:t>asigure veridicitatea datelor incluse în dările de seamă, însă</w:t>
      </w:r>
      <w:r w:rsidR="00962763"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în urma analizelor efectuate de audit</w:t>
      </w:r>
      <w:r w:rsidR="00962763"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s-a constatat că în unele acte de prestare a serviciilor au fost indicate date eronate aferente numărului real de elevi care se utilizează la repartizarea alocațiilor bugetare în funcție de costul mediu stabilit. </w:t>
      </w:r>
    </w:p>
    <w:p w14:paraId="72D652C7" w14:textId="14D9A1DD" w:rsidR="00DC0032" w:rsidRPr="001C6DCE" w:rsidRDefault="005614F2" w:rsidP="008C4E63">
      <w:pPr>
        <w:pStyle w:val="a8"/>
        <w:numPr>
          <w:ilvl w:val="0"/>
          <w:numId w:val="11"/>
        </w:numPr>
        <w:tabs>
          <w:tab w:val="left" w:pos="142"/>
          <w:tab w:val="left" w:pos="851"/>
        </w:tabs>
        <w:spacing w:line="276" w:lineRule="auto"/>
        <w:ind w:left="0" w:right="-48" w:firstLine="0"/>
        <w:rPr>
          <w:rFonts w:asciiTheme="majorHAnsi" w:hAnsiTheme="majorHAnsi" w:cstheme="majorHAnsi"/>
          <w:sz w:val="24"/>
          <w:szCs w:val="24"/>
          <w:lang w:val="ro-RO"/>
        </w:rPr>
      </w:pPr>
      <w:r w:rsidRPr="001C6DCE">
        <w:rPr>
          <w:rFonts w:asciiTheme="majorHAnsi" w:hAnsiTheme="majorHAnsi" w:cstheme="majorHAnsi"/>
          <w:sz w:val="24"/>
          <w:szCs w:val="24"/>
          <w:lang w:val="ro-RO"/>
        </w:rPr>
        <w:t>MEC nu a ajustat cadrul normativ în temeiul căruia se stabilește mărimea tarifelor la serviciile prestate contra plată</w:t>
      </w:r>
      <w:r w:rsidR="007C7FA2" w:rsidRPr="001C6DCE">
        <w:rPr>
          <w:rFonts w:asciiTheme="majorHAnsi" w:hAnsiTheme="majorHAnsi" w:cstheme="majorHAnsi"/>
          <w:sz w:val="24"/>
          <w:szCs w:val="24"/>
          <w:lang w:val="ro-RO"/>
        </w:rPr>
        <w:t xml:space="preserve"> și</w:t>
      </w:r>
      <w:r w:rsidRPr="001C6DCE">
        <w:rPr>
          <w:rFonts w:asciiTheme="majorHAnsi" w:hAnsiTheme="majorHAnsi" w:cstheme="majorHAnsi"/>
          <w:sz w:val="24"/>
          <w:szCs w:val="24"/>
          <w:lang w:val="ro-RO"/>
        </w:rPr>
        <w:t xml:space="preserve"> </w:t>
      </w:r>
      <w:r w:rsidR="00850690" w:rsidRPr="001C6DCE">
        <w:rPr>
          <w:rFonts w:asciiTheme="majorHAnsi" w:hAnsiTheme="majorHAnsi" w:cstheme="majorHAnsi"/>
          <w:sz w:val="24"/>
          <w:szCs w:val="24"/>
          <w:lang w:val="ro-RO"/>
        </w:rPr>
        <w:t xml:space="preserve">a </w:t>
      </w:r>
      <w:r w:rsidRPr="001C6DCE">
        <w:rPr>
          <w:rFonts w:asciiTheme="majorHAnsi" w:hAnsiTheme="majorHAnsi" w:cstheme="majorHAnsi"/>
          <w:sz w:val="24"/>
          <w:szCs w:val="24"/>
          <w:lang w:val="ro-RO"/>
        </w:rPr>
        <w:t>taxel</w:t>
      </w:r>
      <w:r w:rsidR="007C7FA2" w:rsidRPr="001C6DCE">
        <w:rPr>
          <w:rFonts w:asciiTheme="majorHAnsi" w:hAnsiTheme="majorHAnsi" w:cstheme="majorHAnsi"/>
          <w:sz w:val="24"/>
          <w:szCs w:val="24"/>
          <w:lang w:val="ro-RO"/>
        </w:rPr>
        <w:t>or</w:t>
      </w:r>
      <w:r w:rsidRPr="001C6DCE">
        <w:rPr>
          <w:rFonts w:asciiTheme="majorHAnsi" w:hAnsiTheme="majorHAnsi" w:cstheme="majorHAnsi"/>
          <w:sz w:val="24"/>
          <w:szCs w:val="24"/>
          <w:lang w:val="ro-RO"/>
        </w:rPr>
        <w:t xml:space="preserve"> de studii în învățământul profesional tehnic. Instituțiile de învățământ profesional tehnic au trecut</w:t>
      </w:r>
      <w:r w:rsidR="00850690"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începând cu anul 2019, la activitate în regim de autogestiune financiar-economică. Cadrul normativ care reglementează calculul taxei de studii nu a fost ajustat, fiind în vigoare prevederile H</w:t>
      </w:r>
      <w:r w:rsidR="00850690" w:rsidRPr="001C6DCE">
        <w:rPr>
          <w:rFonts w:asciiTheme="majorHAnsi" w:hAnsiTheme="majorHAnsi" w:cstheme="majorHAnsi"/>
          <w:sz w:val="24"/>
          <w:szCs w:val="24"/>
          <w:lang w:val="ro-RO"/>
        </w:rPr>
        <w:t xml:space="preserve">otărârilor </w:t>
      </w:r>
      <w:r w:rsidRPr="001C6DCE">
        <w:rPr>
          <w:rFonts w:asciiTheme="majorHAnsi" w:hAnsiTheme="majorHAnsi" w:cstheme="majorHAnsi"/>
          <w:sz w:val="24"/>
          <w:szCs w:val="24"/>
          <w:lang w:val="ro-RO"/>
        </w:rPr>
        <w:t>G</w:t>
      </w:r>
      <w:r w:rsidR="00850690" w:rsidRPr="001C6DCE">
        <w:rPr>
          <w:rFonts w:asciiTheme="majorHAnsi" w:hAnsiTheme="majorHAnsi" w:cstheme="majorHAnsi"/>
          <w:sz w:val="24"/>
          <w:szCs w:val="24"/>
          <w:lang w:val="ro-RO"/>
        </w:rPr>
        <w:t>uvernului</w:t>
      </w:r>
      <w:r w:rsidRPr="001C6DCE">
        <w:rPr>
          <w:rFonts w:asciiTheme="majorHAnsi" w:hAnsiTheme="majorHAnsi" w:cstheme="majorHAnsi"/>
          <w:sz w:val="24"/>
          <w:szCs w:val="24"/>
          <w:lang w:val="ro-RO"/>
        </w:rPr>
        <w:t xml:space="preserve"> nr.872 din 21.12.2015</w:t>
      </w:r>
      <w:r w:rsidR="007C7FA2" w:rsidRPr="001C6DCE">
        <w:rPr>
          <w:rFonts w:asciiTheme="majorHAnsi" w:hAnsiTheme="majorHAnsi" w:cstheme="majorHAnsi"/>
          <w:sz w:val="24"/>
          <w:szCs w:val="24"/>
          <w:lang w:val="ro-RO"/>
        </w:rPr>
        <w:t xml:space="preserve"> și nr.1311 din 12.12.2005</w:t>
      </w:r>
      <w:r w:rsidR="00850690"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care reglementează </w:t>
      </w:r>
      <w:r w:rsidRPr="001C6DCE">
        <w:rPr>
          <w:rFonts w:asciiTheme="majorHAnsi" w:eastAsia="Times New Roman" w:hAnsiTheme="majorHAnsi" w:cstheme="majorHAnsi"/>
          <w:bCs/>
          <w:iCs/>
          <w:sz w:val="24"/>
          <w:szCs w:val="24"/>
          <w:shd w:val="clear" w:color="auto" w:fill="FFFFFF"/>
          <w:lang w:val="ro-RO"/>
        </w:rPr>
        <w:t>veniturile instituțiilor de învățământ provenite de la admitere și studiile cu taxă</w:t>
      </w:r>
      <w:r w:rsidRPr="001C6DCE">
        <w:rPr>
          <w:rFonts w:asciiTheme="majorHAnsi" w:hAnsiTheme="majorHAnsi" w:cstheme="majorHAnsi"/>
          <w:sz w:val="24"/>
          <w:szCs w:val="24"/>
          <w:lang w:val="ro-RO"/>
        </w:rPr>
        <w:t>, pe meserii/profesii, specialități, pentru elevi în instituțiile de învățământ profesional tehnic din subordinea ministerului.</w:t>
      </w:r>
    </w:p>
    <w:p w14:paraId="0DC8BEBF" w14:textId="3D882C61" w:rsidR="005614F2" w:rsidRPr="001C6DCE" w:rsidRDefault="005614F2" w:rsidP="008C4E63">
      <w:pPr>
        <w:pStyle w:val="a8"/>
        <w:numPr>
          <w:ilvl w:val="0"/>
          <w:numId w:val="11"/>
        </w:numPr>
        <w:tabs>
          <w:tab w:val="left" w:pos="142"/>
          <w:tab w:val="left" w:pos="851"/>
        </w:tabs>
        <w:spacing w:line="276" w:lineRule="auto"/>
        <w:ind w:left="0" w:right="-48" w:firstLine="0"/>
        <w:rPr>
          <w:rFonts w:asciiTheme="majorHAnsi" w:eastAsia="Times New Roman" w:hAnsiTheme="majorHAnsi" w:cstheme="majorHAnsi"/>
          <w:sz w:val="24"/>
          <w:szCs w:val="24"/>
          <w:lang w:val="ro-RO"/>
        </w:rPr>
      </w:pPr>
      <w:r w:rsidRPr="001C6DCE">
        <w:rPr>
          <w:rFonts w:asciiTheme="majorHAnsi" w:hAnsiTheme="majorHAnsi" w:cstheme="majorHAnsi"/>
          <w:sz w:val="24"/>
          <w:szCs w:val="24"/>
          <w:lang w:val="ro-RO"/>
        </w:rPr>
        <w:t>Conform art. 145 alin. (3) din Codul educației</w:t>
      </w:r>
      <w:r w:rsidRPr="001C6DCE">
        <w:rPr>
          <w:rStyle w:val="a5"/>
          <w:rFonts w:asciiTheme="majorHAnsi" w:hAnsiTheme="majorHAnsi" w:cstheme="majorHAnsi"/>
          <w:sz w:val="24"/>
          <w:szCs w:val="24"/>
          <w:lang w:val="ro-RO"/>
        </w:rPr>
        <w:footnoteReference w:id="31"/>
      </w:r>
      <w:r w:rsidRPr="001C6DCE">
        <w:rPr>
          <w:rFonts w:asciiTheme="majorHAnsi" w:hAnsiTheme="majorHAnsi" w:cstheme="majorHAnsi"/>
          <w:sz w:val="24"/>
          <w:szCs w:val="24"/>
          <w:lang w:val="ro-RO"/>
        </w:rPr>
        <w:t xml:space="preserve">, </w:t>
      </w:r>
      <w:r w:rsidRPr="001C6DCE">
        <w:rPr>
          <w:rFonts w:asciiTheme="majorHAnsi" w:hAnsiTheme="majorHAnsi" w:cstheme="majorHAnsi"/>
          <w:sz w:val="24"/>
          <w:szCs w:val="24"/>
          <w:shd w:val="clear" w:color="auto" w:fill="FFFFFF"/>
          <w:lang w:val="ro-RO"/>
        </w:rPr>
        <w:t>costul-standard per elev/student constituie baza pentru calcularea taxelor de studii</w:t>
      </w:r>
      <w:r w:rsidR="00DC0032" w:rsidRPr="001C6DCE">
        <w:rPr>
          <w:rFonts w:asciiTheme="majorHAnsi" w:hAnsiTheme="majorHAnsi" w:cstheme="majorHAnsi"/>
          <w:sz w:val="24"/>
          <w:szCs w:val="24"/>
          <w:shd w:val="clear" w:color="auto" w:fill="FFFFFF"/>
          <w:lang w:val="ro-RO"/>
        </w:rPr>
        <w:t>.</w:t>
      </w:r>
      <w:r w:rsidRPr="001C6DCE">
        <w:rPr>
          <w:rFonts w:asciiTheme="majorHAnsi" w:hAnsiTheme="majorHAnsi" w:cstheme="majorHAnsi"/>
          <w:sz w:val="24"/>
          <w:szCs w:val="24"/>
          <w:shd w:val="clear" w:color="auto" w:fill="FFFFFF"/>
          <w:lang w:val="ro-RO"/>
        </w:rPr>
        <w:t xml:space="preserve"> </w:t>
      </w:r>
      <w:r w:rsidR="00DC0032" w:rsidRPr="001C6DCE">
        <w:rPr>
          <w:rFonts w:asciiTheme="majorHAnsi" w:hAnsiTheme="majorHAnsi" w:cstheme="majorHAnsi"/>
          <w:sz w:val="24"/>
          <w:szCs w:val="24"/>
          <w:shd w:val="clear" w:color="auto" w:fill="FFFFFF"/>
          <w:lang w:val="ro-RO"/>
        </w:rPr>
        <w:t>A</w:t>
      </w:r>
      <w:r w:rsidRPr="001C6DCE">
        <w:rPr>
          <w:rFonts w:asciiTheme="majorHAnsi" w:hAnsiTheme="majorHAnsi" w:cstheme="majorHAnsi"/>
          <w:sz w:val="24"/>
          <w:szCs w:val="24"/>
          <w:shd w:val="clear" w:color="auto" w:fill="FFFFFF"/>
          <w:lang w:val="ro-RO"/>
        </w:rPr>
        <w:t>stfel</w:t>
      </w:r>
      <w:r w:rsidR="00DC0032" w:rsidRPr="001C6DCE">
        <w:rPr>
          <w:rFonts w:asciiTheme="majorHAnsi" w:hAnsiTheme="majorHAnsi" w:cstheme="majorHAnsi"/>
          <w:sz w:val="24"/>
          <w:szCs w:val="24"/>
          <w:shd w:val="clear" w:color="auto" w:fill="FFFFFF"/>
          <w:lang w:val="ro-RO"/>
        </w:rPr>
        <w:t>,</w:t>
      </w:r>
      <w:r w:rsidRPr="001C6DCE">
        <w:rPr>
          <w:rFonts w:asciiTheme="majorHAnsi" w:hAnsiTheme="majorHAnsi" w:cstheme="majorHAnsi"/>
          <w:sz w:val="24"/>
          <w:szCs w:val="24"/>
          <w:shd w:val="clear" w:color="auto" w:fill="FFFFFF"/>
          <w:lang w:val="ro-RO"/>
        </w:rPr>
        <w:t xml:space="preserve"> cu toate că ministerul are calculat și aprobat un cost mediu per elev/student,</w:t>
      </w:r>
      <w:r w:rsidR="00721AC1">
        <w:rPr>
          <w:rFonts w:asciiTheme="majorHAnsi" w:hAnsiTheme="majorHAnsi" w:cstheme="majorHAnsi"/>
          <w:sz w:val="24"/>
          <w:szCs w:val="24"/>
          <w:shd w:val="clear" w:color="auto" w:fill="FFFFFF"/>
          <w:lang w:val="ro-RO"/>
        </w:rPr>
        <w:t xml:space="preserve"> </w:t>
      </w:r>
      <w:r w:rsidRPr="001C6DCE">
        <w:rPr>
          <w:rFonts w:asciiTheme="majorHAnsi" w:hAnsiTheme="majorHAnsi" w:cstheme="majorHAnsi"/>
          <w:sz w:val="24"/>
          <w:szCs w:val="24"/>
          <w:shd w:val="clear" w:color="auto" w:fill="FFFFFF"/>
          <w:lang w:val="ro-RO"/>
        </w:rPr>
        <w:t>taxa pentru serviciile contra plată nu</w:t>
      </w:r>
      <w:r w:rsidR="00850690" w:rsidRPr="001C6DCE">
        <w:rPr>
          <w:rFonts w:asciiTheme="majorHAnsi" w:hAnsiTheme="majorHAnsi" w:cstheme="majorHAnsi"/>
          <w:sz w:val="24"/>
          <w:szCs w:val="24"/>
          <w:shd w:val="clear" w:color="auto" w:fill="FFFFFF"/>
          <w:lang w:val="ro-RO"/>
        </w:rPr>
        <w:t xml:space="preserve"> </w:t>
      </w:r>
      <w:r w:rsidRPr="001C6DCE">
        <w:rPr>
          <w:rFonts w:asciiTheme="majorHAnsi" w:hAnsiTheme="majorHAnsi" w:cstheme="majorHAnsi"/>
          <w:sz w:val="24"/>
          <w:szCs w:val="24"/>
          <w:shd w:val="clear" w:color="auto" w:fill="FFFFFF"/>
          <w:lang w:val="ro-RO"/>
        </w:rPr>
        <w:t>corespunde cu costul per elev finanțat de buget</w:t>
      </w:r>
      <w:r w:rsidRPr="001C6DCE">
        <w:rPr>
          <w:rFonts w:asciiTheme="majorHAnsi" w:hAnsiTheme="majorHAnsi" w:cstheme="majorHAnsi"/>
          <w:sz w:val="24"/>
          <w:szCs w:val="24"/>
          <w:lang w:val="ro-RO"/>
        </w:rPr>
        <w:t>.</w:t>
      </w:r>
      <w:r w:rsidR="00DC0032" w:rsidRPr="001C6DCE">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Taxa pentru serviciile contra plată stabilit</w:t>
      </w:r>
      <w:r w:rsidR="00850690" w:rsidRPr="001C6DCE">
        <w:rPr>
          <w:rFonts w:asciiTheme="majorHAnsi" w:hAnsiTheme="majorHAnsi" w:cstheme="majorHAnsi"/>
          <w:sz w:val="24"/>
          <w:szCs w:val="24"/>
          <w:lang w:val="ro-RO"/>
        </w:rPr>
        <w:t>ă</w:t>
      </w:r>
      <w:r w:rsidRPr="001C6DCE">
        <w:rPr>
          <w:rFonts w:asciiTheme="majorHAnsi" w:hAnsiTheme="majorHAnsi" w:cstheme="majorHAnsi"/>
          <w:sz w:val="24"/>
          <w:szCs w:val="24"/>
          <w:lang w:val="ro-RO"/>
        </w:rPr>
        <w:t xml:space="preserve"> per elev în învățământul tehnic postsecundar </w:t>
      </w:r>
      <w:r w:rsidR="00850690" w:rsidRPr="001C6DCE">
        <w:rPr>
          <w:rFonts w:asciiTheme="majorHAnsi" w:hAnsiTheme="majorHAnsi" w:cstheme="majorHAnsi"/>
          <w:sz w:val="24"/>
          <w:szCs w:val="24"/>
          <w:lang w:val="ro-RO"/>
        </w:rPr>
        <w:t>constituie,</w:t>
      </w:r>
      <w:r w:rsidRPr="001C6DCE">
        <w:rPr>
          <w:rFonts w:asciiTheme="majorHAnsi" w:hAnsiTheme="majorHAnsi" w:cstheme="majorHAnsi"/>
          <w:sz w:val="24"/>
          <w:szCs w:val="24"/>
          <w:lang w:val="ro-RO"/>
        </w:rPr>
        <w:t xml:space="preserve"> în medi</w:t>
      </w:r>
      <w:r w:rsidR="00850690" w:rsidRPr="001C6DCE">
        <w:rPr>
          <w:rFonts w:asciiTheme="majorHAnsi" w:hAnsiTheme="majorHAnsi" w:cstheme="majorHAnsi"/>
          <w:sz w:val="24"/>
          <w:szCs w:val="24"/>
          <w:lang w:val="ro-RO"/>
        </w:rPr>
        <w:t>e,</w:t>
      </w:r>
      <w:r w:rsidRPr="001C6DCE">
        <w:rPr>
          <w:rFonts w:asciiTheme="majorHAnsi" w:hAnsiTheme="majorHAnsi" w:cstheme="majorHAnsi"/>
          <w:sz w:val="24"/>
          <w:szCs w:val="24"/>
          <w:lang w:val="ro-RO"/>
        </w:rPr>
        <w:t xml:space="preserve"> de </w:t>
      </w:r>
      <w:r w:rsidR="00850690" w:rsidRPr="001C6DCE">
        <w:rPr>
          <w:rFonts w:asciiTheme="majorHAnsi" w:hAnsiTheme="majorHAnsi" w:cstheme="majorHAnsi"/>
          <w:sz w:val="24"/>
          <w:szCs w:val="24"/>
          <w:lang w:val="ro-RO"/>
        </w:rPr>
        <w:t xml:space="preserve">la </w:t>
      </w:r>
      <w:r w:rsidRPr="001C6DCE">
        <w:rPr>
          <w:rFonts w:asciiTheme="majorHAnsi" w:hAnsiTheme="majorHAnsi" w:cstheme="majorHAnsi"/>
          <w:sz w:val="24"/>
          <w:szCs w:val="24"/>
          <w:lang w:val="ro-RO"/>
        </w:rPr>
        <w:t>3,6 mii lei până la 8,5 mii lei. Totodată, conform datelor din Forma-2ag</w:t>
      </w:r>
      <w:r w:rsidR="00850690"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cheltuielile pentru instruirea unui elev </w:t>
      </w:r>
      <w:r w:rsidR="00C028C1" w:rsidRPr="001C6DCE">
        <w:rPr>
          <w:rFonts w:asciiTheme="majorHAnsi" w:hAnsiTheme="majorHAnsi" w:cstheme="majorHAnsi"/>
          <w:sz w:val="24"/>
          <w:szCs w:val="24"/>
          <w:lang w:val="ro-RO"/>
        </w:rPr>
        <w:t>în</w:t>
      </w:r>
      <w:r w:rsidR="00850690" w:rsidRPr="001C6DCE">
        <w:rPr>
          <w:rFonts w:asciiTheme="majorHAnsi" w:hAnsiTheme="majorHAnsi" w:cstheme="majorHAnsi"/>
          <w:sz w:val="24"/>
          <w:szCs w:val="24"/>
          <w:lang w:val="ro-RO"/>
        </w:rPr>
        <w:t xml:space="preserve"> bază de</w:t>
      </w:r>
      <w:r w:rsidRPr="001C6DCE">
        <w:rPr>
          <w:rFonts w:asciiTheme="majorHAnsi" w:hAnsiTheme="majorHAnsi" w:cstheme="majorHAnsi"/>
          <w:sz w:val="24"/>
          <w:szCs w:val="24"/>
          <w:lang w:val="ro-RO"/>
        </w:rPr>
        <w:t xml:space="preserve"> contract variază de la 2,2 mii lei</w:t>
      </w:r>
      <w:r w:rsidRPr="001C6DCE">
        <w:rPr>
          <w:rStyle w:val="a5"/>
          <w:rFonts w:asciiTheme="majorHAnsi" w:hAnsiTheme="majorHAnsi" w:cstheme="majorHAnsi"/>
          <w:sz w:val="24"/>
          <w:szCs w:val="24"/>
          <w:lang w:val="ro-RO"/>
        </w:rPr>
        <w:footnoteReference w:id="32"/>
      </w:r>
      <w:r w:rsidRPr="001C6DCE">
        <w:rPr>
          <w:rFonts w:asciiTheme="majorHAnsi" w:hAnsiTheme="majorHAnsi" w:cstheme="majorHAnsi"/>
          <w:sz w:val="24"/>
          <w:szCs w:val="24"/>
          <w:lang w:val="ro-RO"/>
        </w:rPr>
        <w:t xml:space="preserve"> până la 21,2 mii lei</w:t>
      </w:r>
      <w:r w:rsidRPr="001C6DCE">
        <w:rPr>
          <w:rStyle w:val="a5"/>
          <w:rFonts w:asciiTheme="majorHAnsi" w:hAnsiTheme="majorHAnsi" w:cstheme="majorHAnsi"/>
          <w:sz w:val="24"/>
          <w:szCs w:val="24"/>
          <w:lang w:val="ro-RO"/>
        </w:rPr>
        <w:footnoteReference w:id="33"/>
      </w:r>
      <w:r w:rsidRPr="001C6DCE">
        <w:rPr>
          <w:rFonts w:asciiTheme="majorHAnsi" w:hAnsiTheme="majorHAnsi" w:cstheme="majorHAnsi"/>
          <w:sz w:val="24"/>
          <w:szCs w:val="24"/>
          <w:lang w:val="ro-RO"/>
        </w:rPr>
        <w:t>,</w:t>
      </w:r>
      <w:r w:rsidR="00721AC1">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 xml:space="preserve">pe când costul per elev finanțat de buget este de 27,29 mii lei. </w:t>
      </w:r>
    </w:p>
    <w:p w14:paraId="448576B9" w14:textId="5D793FC9" w:rsidR="00B5365A" w:rsidRPr="001C6DCE" w:rsidRDefault="005614F2" w:rsidP="008C4E63">
      <w:pPr>
        <w:pStyle w:val="a8"/>
        <w:tabs>
          <w:tab w:val="left" w:pos="284"/>
        </w:tabs>
        <w:spacing w:line="276" w:lineRule="auto"/>
        <w:ind w:left="0"/>
        <w:rPr>
          <w:rFonts w:asciiTheme="majorHAnsi" w:hAnsiTheme="majorHAnsi" w:cstheme="majorHAnsi"/>
          <w:sz w:val="24"/>
          <w:szCs w:val="24"/>
          <w:lang w:val="ro-RO"/>
        </w:rPr>
      </w:pPr>
      <w:r w:rsidRPr="001C6DCE">
        <w:rPr>
          <w:rFonts w:asciiTheme="majorHAnsi" w:hAnsiTheme="majorHAnsi" w:cstheme="majorHAnsi"/>
          <w:sz w:val="24"/>
          <w:szCs w:val="24"/>
          <w:lang w:val="ro-RO"/>
        </w:rPr>
        <w:t>De remarcat că H</w:t>
      </w:r>
      <w:r w:rsidR="00850690" w:rsidRPr="001C6DCE">
        <w:rPr>
          <w:rFonts w:asciiTheme="majorHAnsi" w:hAnsiTheme="majorHAnsi" w:cstheme="majorHAnsi"/>
          <w:sz w:val="24"/>
          <w:szCs w:val="24"/>
          <w:lang w:val="ro-RO"/>
        </w:rPr>
        <w:t xml:space="preserve">otărârea </w:t>
      </w:r>
      <w:r w:rsidRPr="001C6DCE">
        <w:rPr>
          <w:rFonts w:asciiTheme="majorHAnsi" w:hAnsiTheme="majorHAnsi" w:cstheme="majorHAnsi"/>
          <w:sz w:val="24"/>
          <w:szCs w:val="24"/>
          <w:lang w:val="ro-RO"/>
        </w:rPr>
        <w:t>G</w:t>
      </w:r>
      <w:r w:rsidR="00850690" w:rsidRPr="001C6DCE">
        <w:rPr>
          <w:rFonts w:asciiTheme="majorHAnsi" w:hAnsiTheme="majorHAnsi" w:cstheme="majorHAnsi"/>
          <w:sz w:val="24"/>
          <w:szCs w:val="24"/>
          <w:lang w:val="ro-RO"/>
        </w:rPr>
        <w:t>uvernului</w:t>
      </w:r>
      <w:r w:rsidRPr="001C6DCE">
        <w:rPr>
          <w:rFonts w:asciiTheme="majorHAnsi" w:hAnsiTheme="majorHAnsi" w:cstheme="majorHAnsi"/>
          <w:sz w:val="24"/>
          <w:szCs w:val="24"/>
          <w:lang w:val="ro-RO"/>
        </w:rPr>
        <w:t xml:space="preserve"> nr.465 din 16.07.2022</w:t>
      </w:r>
      <w:r w:rsidRPr="001C6DCE">
        <w:rPr>
          <w:rStyle w:val="a5"/>
          <w:rFonts w:asciiTheme="majorHAnsi" w:hAnsiTheme="majorHAnsi" w:cstheme="majorHAnsi"/>
          <w:sz w:val="24"/>
          <w:szCs w:val="24"/>
          <w:lang w:val="ro-RO"/>
        </w:rPr>
        <w:footnoteReference w:id="34"/>
      </w:r>
      <w:r w:rsidRPr="001C6DCE">
        <w:rPr>
          <w:rFonts w:asciiTheme="majorHAnsi" w:hAnsiTheme="majorHAnsi" w:cstheme="majorHAnsi"/>
          <w:sz w:val="24"/>
          <w:szCs w:val="24"/>
          <w:lang w:val="ro-RO"/>
        </w:rPr>
        <w:t xml:space="preserve"> prevede că alocațiil</w:t>
      </w:r>
      <w:r w:rsidR="00C028C1" w:rsidRPr="001C6DCE">
        <w:rPr>
          <w:rFonts w:asciiTheme="majorHAnsi" w:hAnsiTheme="majorHAnsi" w:cstheme="majorHAnsi"/>
          <w:sz w:val="24"/>
          <w:szCs w:val="24"/>
          <w:lang w:val="ro-RO"/>
        </w:rPr>
        <w:t>e</w:t>
      </w:r>
      <w:r w:rsidRPr="001C6DCE">
        <w:rPr>
          <w:rFonts w:asciiTheme="majorHAnsi" w:hAnsiTheme="majorHAnsi" w:cstheme="majorHAnsi"/>
          <w:sz w:val="24"/>
          <w:szCs w:val="24"/>
          <w:lang w:val="ro-RO"/>
        </w:rPr>
        <w:t xml:space="preserve"> din bugetul de stat </w:t>
      </w:r>
      <w:r w:rsidR="00C028C1" w:rsidRPr="001C6DCE">
        <w:rPr>
          <w:rFonts w:asciiTheme="majorHAnsi" w:hAnsiTheme="majorHAnsi" w:cstheme="majorHAnsi"/>
          <w:sz w:val="24"/>
          <w:szCs w:val="24"/>
          <w:lang w:val="ro-RO"/>
        </w:rPr>
        <w:t>se utilizează</w:t>
      </w:r>
      <w:r w:rsidRPr="001C6DCE">
        <w:rPr>
          <w:rFonts w:asciiTheme="majorHAnsi" w:hAnsiTheme="majorHAnsi" w:cstheme="majorHAnsi"/>
          <w:sz w:val="24"/>
          <w:szCs w:val="24"/>
          <w:lang w:val="ro-RO"/>
        </w:rPr>
        <w:t xml:space="preserve"> doar pentru pregătirea cadrelor de specialitate cu finanțare bugetară (comanda de stat), fiind interzisă redirecționarea acestora pentru pregătirea cadrelor care își fac studiile </w:t>
      </w:r>
      <w:r w:rsidR="00C028C1" w:rsidRPr="001C6DCE">
        <w:rPr>
          <w:rFonts w:asciiTheme="majorHAnsi" w:hAnsiTheme="majorHAnsi" w:cstheme="majorHAnsi"/>
          <w:sz w:val="24"/>
          <w:szCs w:val="24"/>
          <w:lang w:val="ro-RO"/>
        </w:rPr>
        <w:t>în</w:t>
      </w:r>
      <w:r w:rsidR="00721AC1">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bază de contract. Se constată neconsecvența cadrului normativ în acest domeniu, și anume, ministerul</w:t>
      </w:r>
      <w:r w:rsidR="00C028C1" w:rsidRPr="001C6DCE">
        <w:rPr>
          <w:rFonts w:asciiTheme="majorHAnsi" w:hAnsiTheme="majorHAnsi" w:cstheme="majorHAnsi"/>
          <w:sz w:val="24"/>
          <w:szCs w:val="24"/>
          <w:lang w:val="ro-RO"/>
        </w:rPr>
        <w:t>,</w:t>
      </w:r>
      <w:r w:rsidRPr="001C6DCE">
        <w:rPr>
          <w:rFonts w:asciiTheme="majorHAnsi" w:hAnsiTheme="majorHAnsi" w:cstheme="majorHAnsi"/>
          <w:sz w:val="24"/>
          <w:szCs w:val="24"/>
          <w:lang w:val="ro-RO"/>
        </w:rPr>
        <w:t xml:space="preserve"> odată cu trecerea instituțiilor</w:t>
      </w:r>
      <w:r w:rsidRPr="001C6DCE">
        <w:rPr>
          <w:rFonts w:asciiTheme="majorHAnsi" w:hAnsiTheme="majorHAnsi" w:cstheme="majorHAnsi"/>
          <w:i/>
          <w:sz w:val="24"/>
          <w:szCs w:val="24"/>
          <w:lang w:val="ro-RO"/>
        </w:rPr>
        <w:t xml:space="preserve"> de la învățământul profesional tehnic postsecundar și nonterțiar la regimul de autogestiune financiară</w:t>
      </w:r>
      <w:r w:rsidRPr="001C6DCE">
        <w:rPr>
          <w:rFonts w:asciiTheme="majorHAnsi" w:hAnsiTheme="majorHAnsi" w:cstheme="majorHAnsi"/>
          <w:sz w:val="24"/>
          <w:szCs w:val="24"/>
          <w:lang w:val="ro-RO"/>
        </w:rPr>
        <w:t xml:space="preserve"> în anul 2019, nu a ajustat cadrul normativ de determinare a costului de instruire per</w:t>
      </w:r>
      <w:r w:rsidR="00C028C1" w:rsidRPr="001C6DCE">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 xml:space="preserve">elev aferent comenzii de stat și </w:t>
      </w:r>
      <w:r w:rsidR="00C028C1" w:rsidRPr="001C6DCE">
        <w:rPr>
          <w:rFonts w:asciiTheme="majorHAnsi" w:hAnsiTheme="majorHAnsi" w:cstheme="majorHAnsi"/>
          <w:sz w:val="24"/>
          <w:szCs w:val="24"/>
          <w:lang w:val="ro-RO"/>
        </w:rPr>
        <w:t xml:space="preserve">a </w:t>
      </w:r>
      <w:r w:rsidRPr="001C6DCE">
        <w:rPr>
          <w:rFonts w:asciiTheme="majorHAnsi" w:hAnsiTheme="majorHAnsi" w:cstheme="majorHAnsi"/>
          <w:sz w:val="24"/>
          <w:szCs w:val="24"/>
          <w:lang w:val="ro-RO"/>
        </w:rPr>
        <w:t>costului de instruire per</w:t>
      </w:r>
      <w:r w:rsidR="00721AC1">
        <w:rPr>
          <w:rFonts w:asciiTheme="majorHAnsi" w:hAnsiTheme="majorHAnsi" w:cstheme="majorHAnsi"/>
          <w:sz w:val="24"/>
          <w:szCs w:val="24"/>
          <w:lang w:val="ro-RO"/>
        </w:rPr>
        <w:t xml:space="preserve"> </w:t>
      </w:r>
      <w:r w:rsidRPr="001C6DCE">
        <w:rPr>
          <w:rFonts w:asciiTheme="majorHAnsi" w:hAnsiTheme="majorHAnsi" w:cstheme="majorHAnsi"/>
          <w:sz w:val="24"/>
          <w:szCs w:val="24"/>
          <w:lang w:val="ro-RO"/>
        </w:rPr>
        <w:t>elev în bază de contract</w:t>
      </w:r>
      <w:r w:rsidR="00DC0032" w:rsidRPr="001C6DCE">
        <w:rPr>
          <w:rFonts w:asciiTheme="majorHAnsi" w:hAnsiTheme="majorHAnsi" w:cstheme="majorHAnsi"/>
          <w:sz w:val="24"/>
          <w:szCs w:val="24"/>
          <w:lang w:val="ro-RO"/>
        </w:rPr>
        <w:t>.</w:t>
      </w:r>
    </w:p>
    <w:p w14:paraId="16FADFE5" w14:textId="4454ECD3" w:rsidR="005C3865" w:rsidRPr="001C6DCE" w:rsidRDefault="00B5365A" w:rsidP="008C4E63">
      <w:pPr>
        <w:tabs>
          <w:tab w:val="left" w:pos="284"/>
        </w:tabs>
        <w:spacing w:after="0" w:line="276" w:lineRule="auto"/>
        <w:jc w:val="both"/>
        <w:rPr>
          <w:rFonts w:asciiTheme="majorHAnsi" w:hAnsiTheme="majorHAnsi" w:cstheme="majorHAnsi"/>
          <w:sz w:val="24"/>
          <w:szCs w:val="24"/>
          <w:lang w:val="ro-RO"/>
        </w:rPr>
      </w:pPr>
      <w:r w:rsidRPr="001C6DCE">
        <w:rPr>
          <w:rFonts w:asciiTheme="majorHAnsi" w:hAnsiTheme="majorHAnsi" w:cstheme="majorHAnsi"/>
          <w:szCs w:val="28"/>
          <w:lang w:val="ro-RO"/>
        </w:rPr>
        <w:t>•</w:t>
      </w:r>
      <w:r w:rsidRPr="001C6DCE">
        <w:rPr>
          <w:rFonts w:asciiTheme="majorHAnsi" w:hAnsiTheme="majorHAnsi" w:cstheme="majorHAnsi"/>
          <w:sz w:val="24"/>
          <w:szCs w:val="24"/>
          <w:lang w:val="ro-RO"/>
        </w:rPr>
        <w:t xml:space="preserve"> </w:t>
      </w:r>
      <w:r w:rsidR="005C3865" w:rsidRPr="001C6DCE">
        <w:rPr>
          <w:rFonts w:asciiTheme="majorHAnsi" w:eastAsia="Times New Roman" w:hAnsiTheme="majorHAnsi" w:cstheme="majorHAnsi"/>
          <w:sz w:val="24"/>
          <w:szCs w:val="24"/>
          <w:lang w:val="ro-RO"/>
        </w:rPr>
        <w:t xml:space="preserve">MEC a </w:t>
      </w:r>
      <w:r w:rsidR="005C3865" w:rsidRPr="001C6DCE">
        <w:rPr>
          <w:rFonts w:asciiTheme="majorHAnsi" w:hAnsiTheme="majorHAnsi" w:cstheme="majorHAnsi"/>
          <w:sz w:val="24"/>
          <w:szCs w:val="24"/>
          <w:lang w:val="ro-RO"/>
        </w:rPr>
        <w:t xml:space="preserve">acordat alocații bugetare </w:t>
      </w:r>
      <w:r w:rsidR="007D3E54" w:rsidRPr="001C6DCE">
        <w:rPr>
          <w:rFonts w:asciiTheme="majorHAnsi" w:hAnsiTheme="majorHAnsi" w:cstheme="majorHAnsi"/>
          <w:sz w:val="24"/>
          <w:szCs w:val="24"/>
          <w:lang w:val="ro-RO"/>
        </w:rPr>
        <w:t xml:space="preserve">în sumă de </w:t>
      </w:r>
      <w:r w:rsidR="007D3E54" w:rsidRPr="001C6DCE">
        <w:rPr>
          <w:rFonts w:asciiTheme="majorHAnsi" w:eastAsia="Times New Roman" w:hAnsiTheme="majorHAnsi" w:cstheme="majorHAnsi"/>
          <w:bCs/>
          <w:sz w:val="24"/>
          <w:szCs w:val="24"/>
          <w:lang w:val="ro-RO"/>
        </w:rPr>
        <w:t>80,01 mil.lei</w:t>
      </w:r>
      <w:r w:rsidR="007D3E54" w:rsidRPr="001C6DCE">
        <w:rPr>
          <w:rFonts w:asciiTheme="majorHAnsi" w:eastAsia="Times New Roman" w:hAnsiTheme="majorHAnsi" w:cstheme="majorHAnsi"/>
          <w:bCs/>
          <w:sz w:val="24"/>
          <w:szCs w:val="24"/>
          <w:vertAlign w:val="superscript"/>
          <w:lang w:val="ro-RO"/>
        </w:rPr>
        <w:footnoteReference w:id="35"/>
      </w:r>
      <w:r w:rsidR="00C028C1" w:rsidRPr="001C6DCE">
        <w:rPr>
          <w:rFonts w:asciiTheme="majorHAnsi" w:eastAsia="Times New Roman" w:hAnsiTheme="majorHAnsi" w:cstheme="majorHAnsi"/>
          <w:bCs/>
          <w:sz w:val="24"/>
          <w:szCs w:val="24"/>
          <w:lang w:val="ro-RO"/>
        </w:rPr>
        <w:t>,</w:t>
      </w:r>
      <w:r w:rsidR="007D3E54" w:rsidRPr="001C6DCE">
        <w:rPr>
          <w:rFonts w:asciiTheme="majorHAnsi" w:eastAsia="Times New Roman" w:hAnsiTheme="majorHAnsi" w:cstheme="majorHAnsi"/>
          <w:bCs/>
          <w:sz w:val="24"/>
          <w:szCs w:val="24"/>
          <w:lang w:val="ro-RO"/>
        </w:rPr>
        <w:t xml:space="preserve"> în afara formulei de finanțare,</w:t>
      </w:r>
      <w:r w:rsidR="007D3E54" w:rsidRPr="001C6DCE">
        <w:rPr>
          <w:rFonts w:asciiTheme="majorHAnsi" w:hAnsiTheme="majorHAnsi" w:cstheme="majorHAnsi"/>
          <w:sz w:val="24"/>
          <w:szCs w:val="24"/>
          <w:lang w:val="ro-RO"/>
        </w:rPr>
        <w:t xml:space="preserve"> </w:t>
      </w:r>
      <w:r w:rsidR="005C3865" w:rsidRPr="001C6DCE">
        <w:rPr>
          <w:rFonts w:asciiTheme="majorHAnsi" w:hAnsiTheme="majorHAnsi" w:cstheme="majorHAnsi"/>
          <w:sz w:val="24"/>
          <w:szCs w:val="24"/>
          <w:lang w:val="ro-RO"/>
        </w:rPr>
        <w:t>instituțiilor de învățământ profesional tehnic</w:t>
      </w:r>
      <w:r w:rsidR="00466AF4" w:rsidRPr="001C6DCE">
        <w:rPr>
          <w:rFonts w:asciiTheme="majorHAnsi" w:hAnsiTheme="majorHAnsi" w:cstheme="majorHAnsi"/>
          <w:sz w:val="24"/>
          <w:szCs w:val="24"/>
          <w:lang w:val="ro-RO"/>
        </w:rPr>
        <w:t>,</w:t>
      </w:r>
      <w:r w:rsidR="007F1936" w:rsidRPr="001C6DCE">
        <w:rPr>
          <w:rFonts w:asciiTheme="majorHAnsi" w:hAnsiTheme="majorHAnsi" w:cstheme="majorHAnsi"/>
          <w:sz w:val="24"/>
          <w:szCs w:val="24"/>
          <w:lang w:val="ro-RO"/>
        </w:rPr>
        <w:t xml:space="preserve"> potrivit </w:t>
      </w:r>
      <w:r w:rsidR="007D3E54" w:rsidRPr="001C6DCE">
        <w:rPr>
          <w:rFonts w:asciiTheme="majorHAnsi" w:hAnsiTheme="majorHAnsi" w:cstheme="majorHAnsi"/>
          <w:sz w:val="24"/>
          <w:szCs w:val="24"/>
          <w:lang w:val="ro-RO"/>
        </w:rPr>
        <w:t xml:space="preserve">rectificărilor la Legea bugetului </w:t>
      </w:r>
      <w:r w:rsidR="00C028C1" w:rsidRPr="001C6DCE">
        <w:rPr>
          <w:rFonts w:asciiTheme="majorHAnsi" w:hAnsiTheme="majorHAnsi" w:cstheme="majorHAnsi"/>
          <w:sz w:val="24"/>
          <w:szCs w:val="24"/>
          <w:lang w:val="ro-RO"/>
        </w:rPr>
        <w:t xml:space="preserve">de stat </w:t>
      </w:r>
      <w:r w:rsidR="007D3E54" w:rsidRPr="001C6DCE">
        <w:rPr>
          <w:rFonts w:asciiTheme="majorHAnsi" w:hAnsiTheme="majorHAnsi" w:cstheme="majorHAnsi"/>
          <w:sz w:val="24"/>
          <w:szCs w:val="24"/>
          <w:lang w:val="ro-RO"/>
        </w:rPr>
        <w:t>pentru anul 2022</w:t>
      </w:r>
      <w:r w:rsidR="005C3865" w:rsidRPr="001C6DCE">
        <w:rPr>
          <w:rFonts w:asciiTheme="majorHAnsi" w:eastAsia="Times New Roman" w:hAnsiTheme="majorHAnsi" w:cstheme="majorHAnsi"/>
          <w:bCs/>
          <w:sz w:val="24"/>
          <w:szCs w:val="24"/>
          <w:lang w:val="ro-RO"/>
        </w:rPr>
        <w:t>.</w:t>
      </w:r>
      <w:r w:rsidR="005C3865" w:rsidRPr="001C6DCE">
        <w:rPr>
          <w:rFonts w:asciiTheme="majorHAnsi" w:hAnsiTheme="majorHAnsi" w:cstheme="majorHAnsi"/>
          <w:sz w:val="24"/>
          <w:szCs w:val="24"/>
          <w:lang w:val="ro-RO"/>
        </w:rPr>
        <w:t xml:space="preserve"> De asemenea, MEC nu a întreprins măsuri </w:t>
      </w:r>
      <w:r w:rsidR="00174F56" w:rsidRPr="001C6DCE">
        <w:rPr>
          <w:rFonts w:asciiTheme="majorHAnsi" w:hAnsiTheme="majorHAnsi" w:cstheme="majorHAnsi"/>
          <w:sz w:val="24"/>
          <w:szCs w:val="24"/>
          <w:lang w:val="ro-RO"/>
        </w:rPr>
        <w:t>de</w:t>
      </w:r>
      <w:r w:rsidR="005C3865" w:rsidRPr="001C6DCE">
        <w:rPr>
          <w:rFonts w:asciiTheme="majorHAnsi" w:hAnsiTheme="majorHAnsi" w:cstheme="majorHAnsi"/>
          <w:sz w:val="24"/>
          <w:szCs w:val="24"/>
          <w:lang w:val="ro-RO"/>
        </w:rPr>
        <w:t xml:space="preserve"> diminuare</w:t>
      </w:r>
      <w:r w:rsidR="00174F56" w:rsidRPr="001C6DCE">
        <w:rPr>
          <w:rFonts w:asciiTheme="majorHAnsi" w:hAnsiTheme="majorHAnsi" w:cstheme="majorHAnsi"/>
          <w:sz w:val="24"/>
          <w:szCs w:val="24"/>
          <w:lang w:val="ro-RO"/>
        </w:rPr>
        <w:t xml:space="preserve"> </w:t>
      </w:r>
      <w:r w:rsidR="005C3865" w:rsidRPr="001C6DCE">
        <w:rPr>
          <w:rFonts w:asciiTheme="majorHAnsi" w:hAnsiTheme="majorHAnsi" w:cstheme="majorHAnsi"/>
          <w:sz w:val="24"/>
          <w:szCs w:val="24"/>
          <w:lang w:val="ro-RO"/>
        </w:rPr>
        <w:t xml:space="preserve">a alocațiilor bugetare pentru 23 </w:t>
      </w:r>
      <w:r w:rsidR="00466AF4" w:rsidRPr="001C6DCE">
        <w:rPr>
          <w:rFonts w:asciiTheme="majorHAnsi" w:hAnsiTheme="majorHAnsi" w:cstheme="majorHAnsi"/>
          <w:sz w:val="24"/>
          <w:szCs w:val="24"/>
          <w:lang w:val="ro-RO"/>
        </w:rPr>
        <w:t xml:space="preserve">de </w:t>
      </w:r>
      <w:r w:rsidR="005C3865" w:rsidRPr="001C6DCE">
        <w:rPr>
          <w:rFonts w:asciiTheme="majorHAnsi" w:hAnsiTheme="majorHAnsi" w:cstheme="majorHAnsi"/>
          <w:sz w:val="24"/>
          <w:szCs w:val="24"/>
          <w:lang w:val="ro-RO"/>
        </w:rPr>
        <w:t>instituții</w:t>
      </w:r>
      <w:r w:rsidR="005C3865" w:rsidRPr="001C6DCE">
        <w:rPr>
          <w:rStyle w:val="a5"/>
          <w:rFonts w:asciiTheme="majorHAnsi" w:hAnsiTheme="majorHAnsi" w:cstheme="majorHAnsi"/>
          <w:sz w:val="24"/>
          <w:szCs w:val="24"/>
          <w:lang w:val="ro-RO"/>
        </w:rPr>
        <w:footnoteReference w:id="36"/>
      </w:r>
      <w:r w:rsidR="005C3865" w:rsidRPr="001C6DCE">
        <w:rPr>
          <w:rFonts w:asciiTheme="majorHAnsi" w:hAnsiTheme="majorHAnsi" w:cstheme="majorHAnsi"/>
          <w:sz w:val="24"/>
          <w:szCs w:val="24"/>
          <w:lang w:val="ro-RO"/>
        </w:rPr>
        <w:t xml:space="preserve"> de învățământ profesional tehnic</w:t>
      </w:r>
      <w:r w:rsidR="00466AF4" w:rsidRPr="001C6DCE">
        <w:rPr>
          <w:rFonts w:asciiTheme="majorHAnsi" w:hAnsiTheme="majorHAnsi" w:cstheme="majorHAnsi"/>
          <w:sz w:val="24"/>
          <w:szCs w:val="24"/>
          <w:lang w:val="ro-RO"/>
        </w:rPr>
        <w:t>,</w:t>
      </w:r>
      <w:r w:rsidR="005C3865" w:rsidRPr="001C6DCE">
        <w:rPr>
          <w:rFonts w:asciiTheme="majorHAnsi" w:hAnsiTheme="majorHAnsi" w:cstheme="majorHAnsi"/>
          <w:sz w:val="24"/>
          <w:szCs w:val="24"/>
          <w:lang w:val="ro-RO"/>
        </w:rPr>
        <w:t xml:space="preserve"> la care contingentul de elevi</w:t>
      </w:r>
      <w:r w:rsidR="00721AC1">
        <w:rPr>
          <w:rFonts w:asciiTheme="majorHAnsi" w:hAnsiTheme="majorHAnsi" w:cstheme="majorHAnsi"/>
          <w:sz w:val="24"/>
          <w:szCs w:val="24"/>
          <w:lang w:val="ro-RO"/>
        </w:rPr>
        <w:t xml:space="preserve"> </w:t>
      </w:r>
      <w:r w:rsidR="005C3865" w:rsidRPr="001C6DCE">
        <w:rPr>
          <w:rFonts w:asciiTheme="majorHAnsi" w:hAnsiTheme="majorHAnsi" w:cstheme="majorHAnsi"/>
          <w:sz w:val="24"/>
          <w:szCs w:val="24"/>
          <w:lang w:val="ro-RO"/>
        </w:rPr>
        <w:t xml:space="preserve">s-a micșorat cu 1023 </w:t>
      </w:r>
      <w:r w:rsidR="00466AF4" w:rsidRPr="001C6DCE">
        <w:rPr>
          <w:rFonts w:asciiTheme="majorHAnsi" w:hAnsiTheme="majorHAnsi" w:cstheme="majorHAnsi"/>
          <w:sz w:val="24"/>
          <w:szCs w:val="24"/>
          <w:lang w:val="ro-RO"/>
        </w:rPr>
        <w:t xml:space="preserve">de </w:t>
      </w:r>
      <w:r w:rsidR="005C3865" w:rsidRPr="001C6DCE">
        <w:rPr>
          <w:rFonts w:asciiTheme="majorHAnsi" w:hAnsiTheme="majorHAnsi" w:cstheme="majorHAnsi"/>
          <w:sz w:val="24"/>
          <w:szCs w:val="24"/>
          <w:lang w:val="ro-RO"/>
        </w:rPr>
        <w:t>elevi</w:t>
      </w:r>
      <w:r w:rsidR="005C3865" w:rsidRPr="001C6DCE">
        <w:rPr>
          <w:rStyle w:val="a5"/>
          <w:rFonts w:asciiTheme="majorHAnsi" w:hAnsiTheme="majorHAnsi" w:cstheme="majorHAnsi"/>
          <w:sz w:val="24"/>
          <w:szCs w:val="24"/>
          <w:lang w:val="ro-RO"/>
        </w:rPr>
        <w:footnoteReference w:id="37"/>
      </w:r>
      <w:r w:rsidR="005C3865" w:rsidRPr="001C6DCE">
        <w:rPr>
          <w:rFonts w:asciiTheme="majorHAnsi" w:hAnsiTheme="majorHAnsi" w:cstheme="majorHAnsi"/>
          <w:sz w:val="24"/>
          <w:szCs w:val="24"/>
          <w:lang w:val="ro-RO"/>
        </w:rPr>
        <w:t xml:space="preserve"> la situația din 01.10.2022</w:t>
      </w:r>
      <w:r w:rsidR="00466AF4" w:rsidRPr="001C6DCE">
        <w:rPr>
          <w:rFonts w:asciiTheme="majorHAnsi" w:hAnsiTheme="majorHAnsi" w:cstheme="majorHAnsi"/>
          <w:sz w:val="24"/>
          <w:szCs w:val="24"/>
          <w:lang w:val="ro-RO"/>
        </w:rPr>
        <w:t>,</w:t>
      </w:r>
      <w:r w:rsidR="005C3865" w:rsidRPr="001C6DCE">
        <w:rPr>
          <w:rFonts w:asciiTheme="majorHAnsi" w:hAnsiTheme="majorHAnsi" w:cstheme="majorHAnsi"/>
          <w:sz w:val="24"/>
          <w:szCs w:val="24"/>
          <w:lang w:val="ro-RO"/>
        </w:rPr>
        <w:t xml:space="preserve"> față de perioada luată în calcul la determinarea volumului alocațiilor bugetare (01.10.2021).</w:t>
      </w:r>
    </w:p>
    <w:p w14:paraId="35EA62D5" w14:textId="090E3CAA" w:rsidR="005C3865" w:rsidRPr="001C6DCE" w:rsidRDefault="005C3865" w:rsidP="008C4E63">
      <w:pPr>
        <w:pStyle w:val="a8"/>
        <w:numPr>
          <w:ilvl w:val="0"/>
          <w:numId w:val="21"/>
        </w:numPr>
        <w:tabs>
          <w:tab w:val="left" w:pos="142"/>
          <w:tab w:val="left" w:pos="454"/>
        </w:tabs>
        <w:spacing w:line="276" w:lineRule="auto"/>
        <w:ind w:left="0" w:right="-45" w:firstLine="0"/>
        <w:rPr>
          <w:rFonts w:asciiTheme="majorHAnsi" w:eastAsia="Times New Roman" w:hAnsiTheme="majorHAnsi" w:cstheme="majorHAnsi"/>
          <w:bCs/>
          <w:sz w:val="24"/>
          <w:szCs w:val="24"/>
          <w:lang w:val="ro-MD"/>
        </w:rPr>
      </w:pPr>
      <w:r w:rsidRPr="001C6DCE">
        <w:rPr>
          <w:rFonts w:asciiTheme="majorHAnsi" w:eastAsia="Times New Roman" w:hAnsiTheme="majorHAnsi" w:cstheme="majorHAnsi"/>
          <w:bCs/>
          <w:sz w:val="24"/>
          <w:szCs w:val="24"/>
          <w:lang w:val="ro-RO"/>
        </w:rPr>
        <w:t>MEC nu</w:t>
      </w:r>
      <w:r w:rsidR="00466AF4" w:rsidRPr="001C6DCE">
        <w:rPr>
          <w:rFonts w:asciiTheme="majorHAnsi" w:eastAsia="Times New Roman" w:hAnsiTheme="majorHAnsi" w:cstheme="majorHAnsi"/>
          <w:bCs/>
          <w:sz w:val="24"/>
          <w:szCs w:val="24"/>
          <w:lang w:val="ro-RO"/>
        </w:rPr>
        <w:t>-</w:t>
      </w:r>
      <w:r w:rsidRPr="001C6DCE">
        <w:rPr>
          <w:rFonts w:asciiTheme="majorHAnsi" w:eastAsia="Times New Roman" w:hAnsiTheme="majorHAnsi" w:cstheme="majorHAnsi"/>
          <w:bCs/>
          <w:sz w:val="24"/>
          <w:szCs w:val="24"/>
          <w:lang w:val="ro-RO"/>
        </w:rPr>
        <w:t>și onorează drepturile sale de fondator</w:t>
      </w:r>
      <w:r w:rsidR="008F6D5F" w:rsidRPr="001C6DCE">
        <w:rPr>
          <w:rFonts w:asciiTheme="majorHAnsi" w:eastAsia="Times New Roman" w:hAnsiTheme="majorHAnsi" w:cstheme="majorHAnsi"/>
          <w:bCs/>
          <w:sz w:val="24"/>
          <w:szCs w:val="24"/>
          <w:lang w:val="ro-RO"/>
        </w:rPr>
        <w:t>,</w:t>
      </w:r>
      <w:r w:rsidRPr="001C6DCE">
        <w:rPr>
          <w:rFonts w:asciiTheme="majorHAnsi" w:eastAsia="Times New Roman" w:hAnsiTheme="majorHAnsi" w:cstheme="majorHAnsi"/>
          <w:bCs/>
          <w:sz w:val="24"/>
          <w:szCs w:val="24"/>
          <w:lang w:val="ro-RO"/>
        </w:rPr>
        <w:t xml:space="preserve"> specificate în pct. 4.4.1</w:t>
      </w:r>
      <w:r w:rsidR="008F6D5F" w:rsidRPr="001C6DCE">
        <w:rPr>
          <w:rFonts w:asciiTheme="majorHAnsi" w:eastAsia="Times New Roman" w:hAnsiTheme="majorHAnsi" w:cstheme="majorHAnsi"/>
          <w:bCs/>
          <w:sz w:val="24"/>
          <w:szCs w:val="24"/>
          <w:lang w:val="ro-RO"/>
        </w:rPr>
        <w:t>.</w:t>
      </w:r>
      <w:r w:rsidRPr="001C6DCE">
        <w:rPr>
          <w:rFonts w:asciiTheme="majorHAnsi" w:eastAsia="Times New Roman" w:hAnsiTheme="majorHAnsi" w:cstheme="majorHAnsi"/>
          <w:bCs/>
          <w:sz w:val="24"/>
          <w:szCs w:val="24"/>
          <w:lang w:val="ro-RO"/>
        </w:rPr>
        <w:t xml:space="preserve"> din contractele de prestare a serviciilor</w:t>
      </w:r>
      <w:r w:rsidR="008F6D5F" w:rsidRPr="001C6DCE">
        <w:rPr>
          <w:rFonts w:asciiTheme="majorHAnsi" w:eastAsia="Times New Roman" w:hAnsiTheme="majorHAnsi" w:cstheme="majorHAnsi"/>
          <w:bCs/>
          <w:sz w:val="24"/>
          <w:szCs w:val="24"/>
          <w:lang w:val="ro-RO"/>
        </w:rPr>
        <w:t>,</w:t>
      </w:r>
      <w:r w:rsidRPr="001C6DCE">
        <w:rPr>
          <w:rFonts w:asciiTheme="majorHAnsi" w:hAnsiTheme="majorHAnsi" w:cstheme="majorHAnsi"/>
          <w:sz w:val="24"/>
          <w:szCs w:val="24"/>
          <w:lang w:val="ro-RO"/>
        </w:rPr>
        <w:t xml:space="preserve"> </w:t>
      </w:r>
      <w:r w:rsidRPr="001C6DCE">
        <w:rPr>
          <w:rFonts w:asciiTheme="majorHAnsi" w:eastAsia="Times New Roman" w:hAnsiTheme="majorHAnsi" w:cstheme="majorHAnsi"/>
          <w:sz w:val="24"/>
          <w:szCs w:val="24"/>
          <w:lang w:val="ro-RO" w:eastAsia="ru-RU"/>
        </w:rPr>
        <w:t xml:space="preserve">încheiate cu </w:t>
      </w:r>
      <w:r w:rsidRPr="001C6DCE">
        <w:rPr>
          <w:rFonts w:asciiTheme="majorHAnsi" w:hAnsiTheme="majorHAnsi" w:cstheme="majorHAnsi"/>
          <w:sz w:val="24"/>
          <w:szCs w:val="24"/>
          <w:lang w:val="ro-RO"/>
        </w:rPr>
        <w:t>instituțiile de învățământ profesional tehnic și superior,</w:t>
      </w:r>
      <w:r w:rsidRPr="001C6DCE">
        <w:rPr>
          <w:rFonts w:asciiTheme="majorHAnsi" w:eastAsia="Times New Roman" w:hAnsiTheme="majorHAnsi" w:cstheme="majorHAnsi"/>
          <w:bCs/>
          <w:sz w:val="24"/>
          <w:szCs w:val="24"/>
          <w:lang w:val="ro-RO"/>
        </w:rPr>
        <w:t xml:space="preserve"> c</w:t>
      </w:r>
      <w:r w:rsidR="008F6D5F" w:rsidRPr="001C6DCE">
        <w:rPr>
          <w:rFonts w:asciiTheme="majorHAnsi" w:eastAsia="Times New Roman" w:hAnsiTheme="majorHAnsi" w:cstheme="majorHAnsi"/>
          <w:bCs/>
          <w:sz w:val="24"/>
          <w:szCs w:val="24"/>
          <w:lang w:val="ro-RO"/>
        </w:rPr>
        <w:t>ar</w:t>
      </w:r>
      <w:r w:rsidRPr="001C6DCE">
        <w:rPr>
          <w:rFonts w:asciiTheme="majorHAnsi" w:eastAsia="Times New Roman" w:hAnsiTheme="majorHAnsi" w:cstheme="majorHAnsi"/>
          <w:bCs/>
          <w:sz w:val="24"/>
          <w:szCs w:val="24"/>
          <w:lang w:val="ro-RO"/>
        </w:rPr>
        <w:t>e prevede verificarea volumului, calității și costului serviciilor, precum și gestionarea mijloacelor financiare în corespundere cu clauzele contractuale.</w:t>
      </w:r>
      <w:r w:rsidR="00CD5988" w:rsidRPr="001C6DCE">
        <w:rPr>
          <w:rFonts w:asciiTheme="majorHAnsi" w:eastAsia="Times New Roman" w:hAnsiTheme="majorHAnsi" w:cstheme="majorHAnsi"/>
          <w:bCs/>
          <w:sz w:val="24"/>
          <w:szCs w:val="24"/>
          <w:lang w:val="ro-RO"/>
        </w:rPr>
        <w:t xml:space="preserve"> </w:t>
      </w:r>
      <w:r w:rsidRPr="001C6DCE">
        <w:rPr>
          <w:rFonts w:asciiTheme="majorHAnsi" w:eastAsia="Times New Roman" w:hAnsiTheme="majorHAnsi" w:cstheme="majorHAnsi"/>
          <w:bCs/>
          <w:sz w:val="24"/>
          <w:szCs w:val="24"/>
          <w:lang w:val="ro-RO"/>
        </w:rPr>
        <w:t>Astfel, analizând informațiile privind soldurile de numerar conform situațiilor financiare</w:t>
      </w:r>
      <w:r w:rsidR="008F6D5F" w:rsidRPr="001C6DCE">
        <w:rPr>
          <w:rFonts w:asciiTheme="majorHAnsi" w:eastAsia="Times New Roman" w:hAnsiTheme="majorHAnsi" w:cstheme="majorHAnsi"/>
          <w:bCs/>
          <w:sz w:val="24"/>
          <w:szCs w:val="24"/>
          <w:lang w:val="ro-RO"/>
        </w:rPr>
        <w:t>,</w:t>
      </w:r>
      <w:r w:rsidRPr="001C6DCE">
        <w:rPr>
          <w:rFonts w:asciiTheme="majorHAnsi" w:eastAsia="Times New Roman" w:hAnsiTheme="majorHAnsi" w:cstheme="majorHAnsi"/>
          <w:bCs/>
          <w:sz w:val="24"/>
          <w:szCs w:val="24"/>
          <w:lang w:val="ro-RO"/>
        </w:rPr>
        <w:t xml:space="preserve"> auditul a </w:t>
      </w:r>
      <w:r w:rsidR="008F6D5F" w:rsidRPr="001C6DCE">
        <w:rPr>
          <w:rFonts w:asciiTheme="majorHAnsi" w:eastAsia="Times New Roman" w:hAnsiTheme="majorHAnsi" w:cstheme="majorHAnsi"/>
          <w:bCs/>
          <w:sz w:val="24"/>
          <w:szCs w:val="24"/>
          <w:lang w:val="ro-RO"/>
        </w:rPr>
        <w:t>relevat</w:t>
      </w:r>
      <w:r w:rsidRPr="001C6DCE">
        <w:rPr>
          <w:rFonts w:asciiTheme="majorHAnsi" w:eastAsia="Times New Roman" w:hAnsiTheme="majorHAnsi" w:cstheme="majorHAnsi"/>
          <w:bCs/>
          <w:sz w:val="24"/>
          <w:szCs w:val="24"/>
          <w:lang w:val="ro-RO"/>
        </w:rPr>
        <w:t xml:space="preserve"> c</w:t>
      </w:r>
      <w:r w:rsidR="00CD5988" w:rsidRPr="001C6DCE">
        <w:rPr>
          <w:rFonts w:asciiTheme="majorHAnsi" w:eastAsia="Times New Roman" w:hAnsiTheme="majorHAnsi" w:cstheme="majorHAnsi"/>
          <w:bCs/>
          <w:sz w:val="24"/>
          <w:szCs w:val="24"/>
          <w:lang w:val="ro-RO"/>
        </w:rPr>
        <w:t>ă</w:t>
      </w:r>
      <w:r w:rsidRPr="001C6DCE">
        <w:rPr>
          <w:rFonts w:asciiTheme="majorHAnsi" w:eastAsia="Times New Roman" w:hAnsiTheme="majorHAnsi" w:cstheme="majorHAnsi"/>
          <w:bCs/>
          <w:sz w:val="24"/>
          <w:szCs w:val="24"/>
          <w:lang w:val="ro-RO"/>
        </w:rPr>
        <w:t xml:space="preserve"> instituțiile de învățământ au înregistrat numerar în conturi în sumă de 383</w:t>
      </w:r>
      <w:r w:rsidR="00CD5988" w:rsidRPr="001C6DCE">
        <w:rPr>
          <w:rFonts w:asciiTheme="majorHAnsi" w:eastAsia="Times New Roman" w:hAnsiTheme="majorHAnsi" w:cstheme="majorHAnsi"/>
          <w:bCs/>
          <w:sz w:val="24"/>
          <w:szCs w:val="24"/>
          <w:lang w:val="ro-RO"/>
        </w:rPr>
        <w:t>,</w:t>
      </w:r>
      <w:r w:rsidRPr="001C6DCE">
        <w:rPr>
          <w:rFonts w:asciiTheme="majorHAnsi" w:eastAsia="Times New Roman" w:hAnsiTheme="majorHAnsi" w:cstheme="majorHAnsi"/>
          <w:bCs/>
          <w:sz w:val="24"/>
          <w:szCs w:val="24"/>
          <w:lang w:val="ro-RO"/>
        </w:rPr>
        <w:t>15 mi</w:t>
      </w:r>
      <w:r w:rsidR="00CD5988" w:rsidRPr="001C6DCE">
        <w:rPr>
          <w:rFonts w:asciiTheme="majorHAnsi" w:eastAsia="Times New Roman" w:hAnsiTheme="majorHAnsi" w:cstheme="majorHAnsi"/>
          <w:bCs/>
          <w:sz w:val="24"/>
          <w:szCs w:val="24"/>
          <w:lang w:val="ro-RO"/>
        </w:rPr>
        <w:t>l.</w:t>
      </w:r>
      <w:r w:rsidRPr="001C6DCE">
        <w:rPr>
          <w:rFonts w:asciiTheme="majorHAnsi" w:eastAsia="Times New Roman" w:hAnsiTheme="majorHAnsi" w:cstheme="majorHAnsi"/>
          <w:bCs/>
          <w:sz w:val="24"/>
          <w:szCs w:val="24"/>
          <w:lang w:val="ro-RO"/>
        </w:rPr>
        <w:t>lei</w:t>
      </w:r>
      <w:r w:rsidRPr="001C6DCE">
        <w:rPr>
          <w:rStyle w:val="a5"/>
          <w:rFonts w:asciiTheme="majorHAnsi" w:eastAsia="Times New Roman" w:hAnsiTheme="majorHAnsi" w:cstheme="majorHAnsi"/>
          <w:bCs/>
          <w:sz w:val="24"/>
          <w:szCs w:val="24"/>
          <w:lang w:val="ro-RO"/>
        </w:rPr>
        <w:footnoteReference w:id="38"/>
      </w:r>
      <w:r w:rsidRPr="001C6DCE">
        <w:rPr>
          <w:rFonts w:asciiTheme="majorHAnsi" w:eastAsia="Times New Roman" w:hAnsiTheme="majorHAnsi" w:cstheme="majorHAnsi"/>
          <w:bCs/>
          <w:sz w:val="24"/>
          <w:szCs w:val="24"/>
          <w:lang w:val="ro-RO"/>
        </w:rPr>
        <w:t>, din care 229</w:t>
      </w:r>
      <w:r w:rsidR="00CD5988" w:rsidRPr="001C6DCE">
        <w:rPr>
          <w:rFonts w:asciiTheme="majorHAnsi" w:eastAsia="Times New Roman" w:hAnsiTheme="majorHAnsi" w:cstheme="majorHAnsi"/>
          <w:bCs/>
          <w:sz w:val="24"/>
          <w:szCs w:val="24"/>
          <w:lang w:val="ro-RO"/>
        </w:rPr>
        <w:t>,</w:t>
      </w:r>
      <w:r w:rsidRPr="001C6DCE">
        <w:rPr>
          <w:rFonts w:asciiTheme="majorHAnsi" w:eastAsia="Times New Roman" w:hAnsiTheme="majorHAnsi" w:cstheme="majorHAnsi"/>
          <w:bCs/>
          <w:sz w:val="24"/>
          <w:szCs w:val="24"/>
          <w:lang w:val="ro-RO"/>
        </w:rPr>
        <w:t>17 mi</w:t>
      </w:r>
      <w:r w:rsidR="00CD5988" w:rsidRPr="001C6DCE">
        <w:rPr>
          <w:rFonts w:asciiTheme="majorHAnsi" w:eastAsia="Times New Roman" w:hAnsiTheme="majorHAnsi" w:cstheme="majorHAnsi"/>
          <w:bCs/>
          <w:sz w:val="24"/>
          <w:szCs w:val="24"/>
          <w:lang w:val="ro-RO"/>
        </w:rPr>
        <w:t>l.</w:t>
      </w:r>
      <w:r w:rsidRPr="001C6DCE">
        <w:rPr>
          <w:rFonts w:asciiTheme="majorHAnsi" w:eastAsia="Times New Roman" w:hAnsiTheme="majorHAnsi" w:cstheme="majorHAnsi"/>
          <w:bCs/>
          <w:sz w:val="24"/>
          <w:szCs w:val="24"/>
          <w:lang w:val="ro-RO"/>
        </w:rPr>
        <w:t>lei</w:t>
      </w:r>
      <w:r w:rsidRPr="001C6DCE">
        <w:rPr>
          <w:rStyle w:val="a5"/>
          <w:rFonts w:asciiTheme="majorHAnsi" w:eastAsia="Times New Roman" w:hAnsiTheme="majorHAnsi" w:cstheme="majorHAnsi"/>
          <w:bCs/>
          <w:sz w:val="24"/>
          <w:szCs w:val="24"/>
          <w:lang w:val="ro-RO"/>
        </w:rPr>
        <w:footnoteReference w:id="39"/>
      </w:r>
      <w:r w:rsidRPr="001C6DCE">
        <w:rPr>
          <w:rFonts w:asciiTheme="majorHAnsi" w:eastAsia="Times New Roman" w:hAnsiTheme="majorHAnsi" w:cstheme="majorHAnsi"/>
          <w:bCs/>
          <w:sz w:val="24"/>
          <w:szCs w:val="24"/>
          <w:lang w:val="ro-RO"/>
        </w:rPr>
        <w:t xml:space="preserve"> </w:t>
      </w:r>
      <w:r w:rsidR="008F6D5F" w:rsidRPr="001C6DCE">
        <w:rPr>
          <w:rFonts w:asciiTheme="majorHAnsi" w:eastAsia="Times New Roman" w:hAnsiTheme="majorHAnsi" w:cstheme="majorHAnsi"/>
          <w:bCs/>
          <w:sz w:val="24"/>
          <w:szCs w:val="24"/>
          <w:lang w:val="ro-RO"/>
        </w:rPr>
        <w:t xml:space="preserve">- </w:t>
      </w:r>
      <w:r w:rsidRPr="001C6DCE">
        <w:rPr>
          <w:rFonts w:asciiTheme="majorHAnsi" w:eastAsia="Times New Roman" w:hAnsiTheme="majorHAnsi" w:cstheme="majorHAnsi"/>
          <w:bCs/>
          <w:sz w:val="24"/>
          <w:szCs w:val="24"/>
          <w:lang w:val="ro-RO"/>
        </w:rPr>
        <w:t>în conturile deschise la trezorerie.</w:t>
      </w:r>
      <w:r w:rsidR="00721AC1">
        <w:rPr>
          <w:rFonts w:asciiTheme="majorHAnsi" w:eastAsia="Times New Roman" w:hAnsiTheme="majorHAnsi" w:cstheme="majorHAnsi"/>
          <w:bCs/>
          <w:sz w:val="24"/>
          <w:szCs w:val="24"/>
          <w:lang w:val="ro-RO"/>
        </w:rPr>
        <w:t xml:space="preserve"> </w:t>
      </w:r>
      <w:r w:rsidRPr="001C6DCE">
        <w:rPr>
          <w:rFonts w:asciiTheme="majorHAnsi" w:eastAsia="Times New Roman" w:hAnsiTheme="majorHAnsi" w:cstheme="majorHAnsi"/>
          <w:bCs/>
          <w:sz w:val="24"/>
          <w:szCs w:val="24"/>
          <w:lang w:val="ro-RO"/>
        </w:rPr>
        <w:t>De menționat că</w:t>
      </w:r>
      <w:r w:rsidR="008F6D5F" w:rsidRPr="001C6DCE">
        <w:rPr>
          <w:rFonts w:asciiTheme="majorHAnsi" w:eastAsia="Times New Roman" w:hAnsiTheme="majorHAnsi" w:cstheme="majorHAnsi"/>
          <w:bCs/>
          <w:sz w:val="24"/>
          <w:szCs w:val="24"/>
          <w:lang w:val="ro-RO"/>
        </w:rPr>
        <w:t>,</w:t>
      </w:r>
      <w:r w:rsidRPr="001C6DCE">
        <w:rPr>
          <w:rFonts w:asciiTheme="majorHAnsi" w:eastAsia="Times New Roman" w:hAnsiTheme="majorHAnsi" w:cstheme="majorHAnsi"/>
          <w:bCs/>
          <w:sz w:val="24"/>
          <w:szCs w:val="24"/>
          <w:lang w:val="ro-RO"/>
        </w:rPr>
        <w:t xml:space="preserve"> în urma verificărilor efectuate</w:t>
      </w:r>
      <w:r w:rsidR="008F6D5F" w:rsidRPr="001C6DCE">
        <w:rPr>
          <w:rFonts w:asciiTheme="majorHAnsi" w:eastAsia="Times New Roman" w:hAnsiTheme="majorHAnsi" w:cstheme="majorHAnsi"/>
          <w:bCs/>
          <w:sz w:val="24"/>
          <w:szCs w:val="24"/>
          <w:lang w:val="ro-RO"/>
        </w:rPr>
        <w:t>,</w:t>
      </w:r>
      <w:r w:rsidRPr="001C6DCE">
        <w:rPr>
          <w:rFonts w:asciiTheme="majorHAnsi" w:eastAsia="Times New Roman" w:hAnsiTheme="majorHAnsi" w:cstheme="majorHAnsi"/>
          <w:bCs/>
          <w:sz w:val="24"/>
          <w:szCs w:val="24"/>
          <w:lang w:val="ro-RO"/>
        </w:rPr>
        <w:t xml:space="preserve"> s-a constatat că la 6 instituții de învățământ profesional tehnic soldul de numerar reflectat în situațiile financiare la 31.12.2022 este mai mic </w:t>
      </w:r>
      <w:r w:rsidRPr="001C6DCE">
        <w:rPr>
          <w:rFonts w:asciiTheme="majorHAnsi" w:eastAsia="Times New Roman" w:hAnsiTheme="majorHAnsi" w:cstheme="majorHAnsi"/>
          <w:bCs/>
          <w:sz w:val="24"/>
          <w:szCs w:val="24"/>
          <w:lang w:val="ro-MD"/>
        </w:rPr>
        <w:t>cu 2</w:t>
      </w:r>
      <w:r w:rsidR="00CD5988" w:rsidRPr="001C6DCE">
        <w:rPr>
          <w:rFonts w:asciiTheme="majorHAnsi" w:eastAsia="Times New Roman" w:hAnsiTheme="majorHAnsi" w:cstheme="majorHAnsi"/>
          <w:bCs/>
          <w:sz w:val="24"/>
          <w:szCs w:val="24"/>
          <w:lang w:val="ro-MD"/>
        </w:rPr>
        <w:t>,</w:t>
      </w:r>
      <w:r w:rsidRPr="001C6DCE">
        <w:rPr>
          <w:rFonts w:asciiTheme="majorHAnsi" w:eastAsia="Times New Roman" w:hAnsiTheme="majorHAnsi" w:cstheme="majorHAnsi"/>
          <w:bCs/>
          <w:sz w:val="24"/>
          <w:szCs w:val="24"/>
          <w:lang w:val="ro-MD"/>
        </w:rPr>
        <w:t>58 mi</w:t>
      </w:r>
      <w:r w:rsidR="00CD5988" w:rsidRPr="001C6DCE">
        <w:rPr>
          <w:rFonts w:asciiTheme="majorHAnsi" w:eastAsia="Times New Roman" w:hAnsiTheme="majorHAnsi" w:cstheme="majorHAnsi"/>
          <w:bCs/>
          <w:sz w:val="24"/>
          <w:szCs w:val="24"/>
          <w:lang w:val="ro-MD"/>
        </w:rPr>
        <w:t>l.</w:t>
      </w:r>
      <w:r w:rsidRPr="001C6DCE">
        <w:rPr>
          <w:rFonts w:asciiTheme="majorHAnsi" w:eastAsia="Times New Roman" w:hAnsiTheme="majorHAnsi" w:cstheme="majorHAnsi"/>
          <w:bCs/>
          <w:sz w:val="24"/>
          <w:szCs w:val="24"/>
          <w:lang w:val="ro-MD"/>
        </w:rPr>
        <w:t>lei</w:t>
      </w:r>
      <w:r w:rsidR="005621C6" w:rsidRPr="001C6DCE">
        <w:rPr>
          <w:rFonts w:asciiTheme="majorHAnsi" w:eastAsia="Times New Roman" w:hAnsiTheme="majorHAnsi" w:cstheme="majorHAnsi"/>
          <w:bCs/>
          <w:sz w:val="24"/>
          <w:szCs w:val="24"/>
          <w:lang w:val="ro-RO"/>
        </w:rPr>
        <w:t xml:space="preserve"> decât soldul raportat de Ministerul Finanțelor la aceeași dată</w:t>
      </w:r>
      <w:r w:rsidRPr="001C6DCE">
        <w:rPr>
          <w:rFonts w:asciiTheme="majorHAnsi" w:eastAsia="Times New Roman" w:hAnsiTheme="majorHAnsi" w:cstheme="majorHAnsi"/>
          <w:bCs/>
          <w:sz w:val="24"/>
          <w:szCs w:val="24"/>
          <w:lang w:val="ro-MD"/>
        </w:rPr>
        <w:t xml:space="preserve">, datorită faptului că suma finanțărilor primite din cadrul proiectelor nu a fost reflectată în situația financiară. Prin urmare, </w:t>
      </w:r>
      <w:r w:rsidR="008F6D5F" w:rsidRPr="001C6DCE">
        <w:rPr>
          <w:rFonts w:asciiTheme="majorHAnsi" w:hAnsiTheme="majorHAnsi" w:cstheme="majorHAnsi"/>
          <w:sz w:val="24"/>
          <w:szCs w:val="24"/>
          <w:lang w:val="ro-MD"/>
        </w:rPr>
        <w:t>i</w:t>
      </w:r>
      <w:r w:rsidRPr="001C6DCE">
        <w:rPr>
          <w:rFonts w:asciiTheme="majorHAnsi" w:hAnsiTheme="majorHAnsi" w:cstheme="majorHAnsi"/>
          <w:sz w:val="24"/>
          <w:szCs w:val="24"/>
          <w:lang w:val="ro-MD"/>
        </w:rPr>
        <w:t xml:space="preserve">nformațiile prezentate în situațiile financiare ale instituțiilor publice la autogestiune nu corespund </w:t>
      </w:r>
      <w:r w:rsidRPr="001C6DCE">
        <w:rPr>
          <w:rFonts w:asciiTheme="majorHAnsi" w:hAnsiTheme="majorHAnsi" w:cstheme="majorHAnsi"/>
          <w:sz w:val="24"/>
          <w:szCs w:val="24"/>
          <w:shd w:val="clear" w:color="auto" w:fill="FFFFFF"/>
          <w:lang w:val="ro-MD"/>
        </w:rPr>
        <w:t>caracteristicilor calitative fundamentale și celor amplificatoare</w:t>
      </w:r>
      <w:r w:rsidRPr="001C6DCE">
        <w:rPr>
          <w:rStyle w:val="a5"/>
          <w:rFonts w:asciiTheme="majorHAnsi" w:hAnsiTheme="majorHAnsi" w:cstheme="majorHAnsi"/>
          <w:sz w:val="24"/>
          <w:szCs w:val="24"/>
          <w:shd w:val="clear" w:color="auto" w:fill="FFFFFF"/>
          <w:lang w:val="ro-MD"/>
        </w:rPr>
        <w:footnoteReference w:id="40"/>
      </w:r>
      <w:r w:rsidRPr="001C6DCE">
        <w:rPr>
          <w:rFonts w:asciiTheme="majorHAnsi" w:hAnsiTheme="majorHAnsi" w:cstheme="majorHAnsi"/>
          <w:sz w:val="24"/>
          <w:szCs w:val="24"/>
          <w:shd w:val="clear" w:color="auto" w:fill="FFFFFF"/>
          <w:lang w:val="ro-MD"/>
        </w:rPr>
        <w:t>.</w:t>
      </w:r>
    </w:p>
    <w:p w14:paraId="3C6438AF" w14:textId="0239E95A" w:rsidR="005C3865" w:rsidRPr="001C6DCE" w:rsidRDefault="005C3865" w:rsidP="008C4E63">
      <w:pPr>
        <w:pStyle w:val="a8"/>
        <w:tabs>
          <w:tab w:val="left" w:pos="456"/>
        </w:tabs>
        <w:spacing w:line="276" w:lineRule="auto"/>
        <w:ind w:left="0" w:right="-45"/>
        <w:rPr>
          <w:rFonts w:asciiTheme="majorHAnsi" w:eastAsia="Times New Roman" w:hAnsiTheme="majorHAnsi" w:cstheme="majorHAnsi"/>
          <w:bCs/>
          <w:sz w:val="24"/>
          <w:szCs w:val="24"/>
          <w:lang w:val="ro-MD"/>
        </w:rPr>
      </w:pPr>
      <w:r w:rsidRPr="001C6DCE">
        <w:rPr>
          <w:rFonts w:asciiTheme="majorHAnsi" w:eastAsia="Times New Roman" w:hAnsiTheme="majorHAnsi" w:cstheme="majorHAnsi"/>
          <w:bCs/>
          <w:sz w:val="24"/>
          <w:szCs w:val="24"/>
          <w:lang w:val="ro-MD"/>
        </w:rPr>
        <w:t>De asemenea</w:t>
      </w:r>
      <w:r w:rsidR="00610E14" w:rsidRPr="001C6DCE">
        <w:rPr>
          <w:rFonts w:asciiTheme="majorHAnsi" w:eastAsia="Times New Roman" w:hAnsiTheme="majorHAnsi" w:cstheme="majorHAnsi"/>
          <w:bCs/>
          <w:sz w:val="24"/>
          <w:szCs w:val="24"/>
          <w:lang w:val="ro-MD"/>
        </w:rPr>
        <w:t>,</w:t>
      </w:r>
      <w:r w:rsidRPr="001C6DCE">
        <w:rPr>
          <w:rFonts w:asciiTheme="majorHAnsi" w:eastAsia="Times New Roman" w:hAnsiTheme="majorHAnsi" w:cstheme="majorHAnsi"/>
          <w:bCs/>
          <w:sz w:val="24"/>
          <w:szCs w:val="24"/>
          <w:lang w:val="ro-MD"/>
        </w:rPr>
        <w:t xml:space="preserve"> auditul denotă că instituțiile de învățământ superior dețin și conturi de depozit</w:t>
      </w:r>
      <w:r w:rsidR="005621C6" w:rsidRPr="001C6DCE">
        <w:rPr>
          <w:rFonts w:asciiTheme="majorHAnsi" w:eastAsia="Times New Roman" w:hAnsiTheme="majorHAnsi" w:cstheme="majorHAnsi"/>
          <w:bCs/>
          <w:sz w:val="24"/>
          <w:szCs w:val="24"/>
          <w:lang w:val="ro-MD"/>
        </w:rPr>
        <w:t>,</w:t>
      </w:r>
      <w:r w:rsidRPr="001C6DCE">
        <w:rPr>
          <w:rFonts w:asciiTheme="majorHAnsi" w:eastAsia="Times New Roman" w:hAnsiTheme="majorHAnsi" w:cstheme="majorHAnsi"/>
          <w:bCs/>
          <w:sz w:val="24"/>
          <w:szCs w:val="24"/>
          <w:lang w:val="ro-MD"/>
        </w:rPr>
        <w:t xml:space="preserve"> la care au plasat numerar în </w:t>
      </w:r>
      <w:r w:rsidR="005621C6" w:rsidRPr="001C6DCE">
        <w:rPr>
          <w:rFonts w:asciiTheme="majorHAnsi" w:eastAsia="Times New Roman" w:hAnsiTheme="majorHAnsi" w:cstheme="majorHAnsi"/>
          <w:bCs/>
          <w:sz w:val="24"/>
          <w:szCs w:val="24"/>
          <w:lang w:val="ro-MD"/>
        </w:rPr>
        <w:t>sumă</w:t>
      </w:r>
      <w:r w:rsidRPr="001C6DCE">
        <w:rPr>
          <w:rFonts w:asciiTheme="majorHAnsi" w:eastAsia="Times New Roman" w:hAnsiTheme="majorHAnsi" w:cstheme="majorHAnsi"/>
          <w:bCs/>
          <w:sz w:val="24"/>
          <w:szCs w:val="24"/>
          <w:lang w:val="ro-MD"/>
        </w:rPr>
        <w:t xml:space="preserve"> de 68</w:t>
      </w:r>
      <w:r w:rsidR="00B147ED" w:rsidRPr="001C6DCE">
        <w:rPr>
          <w:rFonts w:asciiTheme="majorHAnsi" w:eastAsia="Times New Roman" w:hAnsiTheme="majorHAnsi" w:cstheme="majorHAnsi"/>
          <w:bCs/>
          <w:sz w:val="24"/>
          <w:szCs w:val="24"/>
          <w:lang w:val="ro-MD"/>
        </w:rPr>
        <w:t>,</w:t>
      </w:r>
      <w:r w:rsidRPr="001C6DCE">
        <w:rPr>
          <w:rFonts w:asciiTheme="majorHAnsi" w:eastAsia="Times New Roman" w:hAnsiTheme="majorHAnsi" w:cstheme="majorHAnsi"/>
          <w:bCs/>
          <w:sz w:val="24"/>
          <w:szCs w:val="24"/>
          <w:lang w:val="ro-MD"/>
        </w:rPr>
        <w:t>3</w:t>
      </w:r>
      <w:r w:rsidR="00B147ED" w:rsidRPr="001C6DCE">
        <w:rPr>
          <w:rFonts w:asciiTheme="majorHAnsi" w:eastAsia="Times New Roman" w:hAnsiTheme="majorHAnsi" w:cstheme="majorHAnsi"/>
          <w:bCs/>
          <w:sz w:val="24"/>
          <w:szCs w:val="24"/>
          <w:lang w:val="ro-MD"/>
        </w:rPr>
        <w:t>5</w:t>
      </w:r>
      <w:r w:rsidRPr="001C6DCE">
        <w:rPr>
          <w:rFonts w:asciiTheme="majorHAnsi" w:eastAsia="Times New Roman" w:hAnsiTheme="majorHAnsi" w:cstheme="majorHAnsi"/>
          <w:bCs/>
          <w:sz w:val="24"/>
          <w:szCs w:val="24"/>
          <w:lang w:val="ro-MD"/>
        </w:rPr>
        <w:t xml:space="preserve"> mi</w:t>
      </w:r>
      <w:r w:rsidR="00B147ED" w:rsidRPr="001C6DCE">
        <w:rPr>
          <w:rFonts w:asciiTheme="majorHAnsi" w:eastAsia="Times New Roman" w:hAnsiTheme="majorHAnsi" w:cstheme="majorHAnsi"/>
          <w:bCs/>
          <w:sz w:val="24"/>
          <w:szCs w:val="24"/>
          <w:lang w:val="ro-MD"/>
        </w:rPr>
        <w:t>l.</w:t>
      </w:r>
      <w:r w:rsidRPr="001C6DCE">
        <w:rPr>
          <w:rFonts w:asciiTheme="majorHAnsi" w:eastAsia="Times New Roman" w:hAnsiTheme="majorHAnsi" w:cstheme="majorHAnsi"/>
          <w:bCs/>
          <w:sz w:val="24"/>
          <w:szCs w:val="24"/>
          <w:lang w:val="ro-MD"/>
        </w:rPr>
        <w:t>lei</w:t>
      </w:r>
      <w:r w:rsidRPr="001C6DCE">
        <w:rPr>
          <w:rStyle w:val="a5"/>
          <w:rFonts w:asciiTheme="majorHAnsi" w:eastAsia="Times New Roman" w:hAnsiTheme="majorHAnsi" w:cstheme="majorHAnsi"/>
          <w:bCs/>
          <w:sz w:val="24"/>
          <w:szCs w:val="24"/>
          <w:lang w:val="ro-MD"/>
        </w:rPr>
        <w:footnoteReference w:id="41"/>
      </w:r>
      <w:r w:rsidRPr="001C6DCE">
        <w:rPr>
          <w:rFonts w:asciiTheme="majorHAnsi" w:eastAsia="Times New Roman" w:hAnsiTheme="majorHAnsi" w:cstheme="majorHAnsi"/>
          <w:bCs/>
          <w:sz w:val="24"/>
          <w:szCs w:val="24"/>
          <w:lang w:val="ro-MD"/>
        </w:rPr>
        <w:t>. Prin urmare</w:t>
      </w:r>
      <w:r w:rsidR="00B147ED" w:rsidRPr="001C6DCE">
        <w:rPr>
          <w:rFonts w:asciiTheme="majorHAnsi" w:eastAsia="Times New Roman" w:hAnsiTheme="majorHAnsi" w:cstheme="majorHAnsi"/>
          <w:bCs/>
          <w:sz w:val="24"/>
          <w:szCs w:val="24"/>
          <w:lang w:val="ro-MD"/>
        </w:rPr>
        <w:t>,</w:t>
      </w:r>
      <w:r w:rsidRPr="001C6DCE">
        <w:rPr>
          <w:rFonts w:asciiTheme="majorHAnsi" w:eastAsia="Times New Roman" w:hAnsiTheme="majorHAnsi" w:cstheme="majorHAnsi"/>
          <w:bCs/>
          <w:sz w:val="24"/>
          <w:szCs w:val="24"/>
          <w:lang w:val="ro-MD"/>
        </w:rPr>
        <w:t xml:space="preserve"> mijloacele bugetare se utilizează</w:t>
      </w:r>
      <w:r w:rsidR="00721AC1">
        <w:rPr>
          <w:rFonts w:asciiTheme="majorHAnsi" w:eastAsia="Times New Roman" w:hAnsiTheme="majorHAnsi" w:cstheme="majorHAnsi"/>
          <w:bCs/>
          <w:sz w:val="24"/>
          <w:szCs w:val="24"/>
          <w:lang w:val="ro-MD"/>
        </w:rPr>
        <w:t xml:space="preserve"> </w:t>
      </w:r>
      <w:r w:rsidRPr="001C6DCE">
        <w:rPr>
          <w:rFonts w:asciiTheme="majorHAnsi" w:eastAsia="Times New Roman" w:hAnsiTheme="majorHAnsi" w:cstheme="majorHAnsi"/>
          <w:bCs/>
          <w:sz w:val="24"/>
          <w:szCs w:val="24"/>
          <w:lang w:val="ro-MD"/>
        </w:rPr>
        <w:t xml:space="preserve">pentru acoperirea cheltuielilor aferente studiilor, inclusiv a celor efectuate </w:t>
      </w:r>
      <w:r w:rsidR="005621C6" w:rsidRPr="001C6DCE">
        <w:rPr>
          <w:rFonts w:asciiTheme="majorHAnsi" w:eastAsia="Times New Roman" w:hAnsiTheme="majorHAnsi" w:cstheme="majorHAnsi"/>
          <w:bCs/>
          <w:sz w:val="24"/>
          <w:szCs w:val="24"/>
          <w:lang w:val="ro-MD"/>
        </w:rPr>
        <w:t>în</w:t>
      </w:r>
      <w:r w:rsidRPr="001C6DCE">
        <w:rPr>
          <w:rFonts w:asciiTheme="majorHAnsi" w:eastAsia="Times New Roman" w:hAnsiTheme="majorHAnsi" w:cstheme="majorHAnsi"/>
          <w:bCs/>
          <w:sz w:val="24"/>
          <w:szCs w:val="24"/>
          <w:lang w:val="ro-MD"/>
        </w:rPr>
        <w:t xml:space="preserve"> bază de taxe.</w:t>
      </w:r>
    </w:p>
    <w:p w14:paraId="7969CB4B" w14:textId="549C33BE" w:rsidR="005C3865" w:rsidRPr="001C6DCE" w:rsidRDefault="005C3865" w:rsidP="008C4E63">
      <w:pPr>
        <w:pStyle w:val="a8"/>
        <w:numPr>
          <w:ilvl w:val="0"/>
          <w:numId w:val="22"/>
        </w:numPr>
        <w:tabs>
          <w:tab w:val="left" w:pos="142"/>
        </w:tabs>
        <w:spacing w:line="276" w:lineRule="auto"/>
        <w:ind w:left="0" w:right="-45" w:firstLine="0"/>
        <w:rPr>
          <w:rFonts w:asciiTheme="majorHAnsi" w:eastAsia="Times New Roman" w:hAnsiTheme="majorHAnsi" w:cstheme="majorHAnsi"/>
          <w:bCs/>
          <w:sz w:val="24"/>
          <w:szCs w:val="24"/>
          <w:lang w:val="ro-MD"/>
        </w:rPr>
      </w:pPr>
      <w:r w:rsidRPr="001C6DCE">
        <w:rPr>
          <w:rFonts w:asciiTheme="majorHAnsi" w:eastAsia="Calibri" w:hAnsiTheme="majorHAnsi" w:cstheme="majorHAnsi"/>
          <w:sz w:val="24"/>
          <w:szCs w:val="24"/>
          <w:lang w:val="ro-MD"/>
        </w:rPr>
        <w:t>MEC nu dispune de o metodologie de calculare a cheltuielilor destinate pentru alimentarea copiilor instruiți în instituțiile de învățământ profesional tehnic în funcție de modul de alimentare (prin servicii achiziționate,</w:t>
      </w:r>
      <w:r w:rsidR="005621C6" w:rsidRPr="001C6DCE">
        <w:rPr>
          <w:rFonts w:asciiTheme="majorHAnsi" w:eastAsia="Calibri" w:hAnsiTheme="majorHAnsi" w:cstheme="majorHAnsi"/>
          <w:sz w:val="24"/>
          <w:szCs w:val="24"/>
          <w:lang w:val="ro-MD"/>
        </w:rPr>
        <w:t xml:space="preserve"> </w:t>
      </w:r>
      <w:r w:rsidRPr="001C6DCE">
        <w:rPr>
          <w:rFonts w:asciiTheme="majorHAnsi" w:eastAsia="Calibri" w:hAnsiTheme="majorHAnsi" w:cstheme="majorHAnsi"/>
          <w:sz w:val="24"/>
          <w:szCs w:val="24"/>
          <w:lang w:val="ro-MD"/>
        </w:rPr>
        <w:t>prestate de 10 instituții c</w:t>
      </w:r>
      <w:r w:rsidR="005621C6" w:rsidRPr="001C6DCE">
        <w:rPr>
          <w:rFonts w:asciiTheme="majorHAnsi" w:eastAsia="Calibri" w:hAnsiTheme="majorHAnsi" w:cstheme="majorHAnsi"/>
          <w:sz w:val="24"/>
          <w:szCs w:val="24"/>
          <w:lang w:val="ro-MD"/>
        </w:rPr>
        <w:t>ar</w:t>
      </w:r>
      <w:r w:rsidRPr="001C6DCE">
        <w:rPr>
          <w:rFonts w:asciiTheme="majorHAnsi" w:eastAsia="Calibri" w:hAnsiTheme="majorHAnsi" w:cstheme="majorHAnsi"/>
          <w:sz w:val="24"/>
          <w:szCs w:val="24"/>
          <w:lang w:val="ro-MD"/>
        </w:rPr>
        <w:t>e nu dispun de cantine proprii</w:t>
      </w:r>
      <w:r w:rsidR="005621C6" w:rsidRPr="001C6DCE">
        <w:rPr>
          <w:rFonts w:asciiTheme="majorHAnsi" w:eastAsia="Calibri" w:hAnsiTheme="majorHAnsi" w:cstheme="majorHAnsi"/>
          <w:sz w:val="24"/>
          <w:szCs w:val="24"/>
          <w:lang w:val="ro-MD"/>
        </w:rPr>
        <w:t>,</w:t>
      </w:r>
      <w:r w:rsidRPr="001C6DCE">
        <w:rPr>
          <w:rFonts w:asciiTheme="majorHAnsi" w:eastAsia="Calibri" w:hAnsiTheme="majorHAnsi" w:cstheme="majorHAnsi"/>
          <w:sz w:val="24"/>
          <w:szCs w:val="24"/>
          <w:lang w:val="ro-MD"/>
        </w:rPr>
        <w:t xml:space="preserve"> sau prin intermediul cantinelor proprii </w:t>
      </w:r>
      <w:r w:rsidR="005621C6" w:rsidRPr="001C6DCE">
        <w:rPr>
          <w:rFonts w:asciiTheme="majorHAnsi" w:eastAsia="Calibri" w:hAnsiTheme="majorHAnsi" w:cstheme="majorHAnsi"/>
          <w:sz w:val="24"/>
          <w:szCs w:val="24"/>
          <w:lang w:val="ro-MD"/>
        </w:rPr>
        <w:t xml:space="preserve">- </w:t>
      </w:r>
      <w:r w:rsidRPr="001C6DCE">
        <w:rPr>
          <w:rFonts w:asciiTheme="majorHAnsi" w:eastAsia="Calibri" w:hAnsiTheme="majorHAnsi" w:cstheme="majorHAnsi"/>
          <w:sz w:val="24"/>
          <w:szCs w:val="24"/>
          <w:lang w:val="ro-MD"/>
        </w:rPr>
        <w:t xml:space="preserve">37 </w:t>
      </w:r>
      <w:r w:rsidR="005621C6" w:rsidRPr="001C6DCE">
        <w:rPr>
          <w:rFonts w:asciiTheme="majorHAnsi" w:eastAsia="Calibri" w:hAnsiTheme="majorHAnsi" w:cstheme="majorHAnsi"/>
          <w:sz w:val="24"/>
          <w:szCs w:val="24"/>
          <w:lang w:val="ro-MD"/>
        </w:rPr>
        <w:t xml:space="preserve">de </w:t>
      </w:r>
      <w:r w:rsidRPr="001C6DCE">
        <w:rPr>
          <w:rFonts w:asciiTheme="majorHAnsi" w:eastAsia="Calibri" w:hAnsiTheme="majorHAnsi" w:cstheme="majorHAnsi"/>
          <w:sz w:val="24"/>
          <w:szCs w:val="24"/>
          <w:lang w:val="ro-MD"/>
        </w:rPr>
        <w:t>instituții). Cheltuielile pentru alimentarea elevului sunt majorate</w:t>
      </w:r>
      <w:r w:rsidR="00B72473" w:rsidRPr="001C6DCE">
        <w:rPr>
          <w:rFonts w:asciiTheme="majorHAnsi" w:eastAsia="Calibri" w:hAnsiTheme="majorHAnsi" w:cstheme="majorHAnsi"/>
          <w:sz w:val="24"/>
          <w:szCs w:val="24"/>
          <w:lang w:val="ro-MD"/>
        </w:rPr>
        <w:t>,</w:t>
      </w:r>
      <w:r w:rsidRPr="001C6DCE">
        <w:rPr>
          <w:rFonts w:asciiTheme="majorHAnsi" w:eastAsia="Calibri" w:hAnsiTheme="majorHAnsi" w:cstheme="majorHAnsi"/>
          <w:sz w:val="24"/>
          <w:szCs w:val="24"/>
          <w:lang w:val="ro-MD"/>
        </w:rPr>
        <w:t xml:space="preserve"> </w:t>
      </w:r>
      <w:r w:rsidR="00B72473" w:rsidRPr="001C6DCE">
        <w:rPr>
          <w:rFonts w:asciiTheme="majorHAnsi" w:eastAsia="Calibri" w:hAnsiTheme="majorHAnsi" w:cstheme="majorHAnsi"/>
          <w:sz w:val="24"/>
          <w:szCs w:val="24"/>
          <w:lang w:val="ro-MD"/>
        </w:rPr>
        <w:t>comparativ cu</w:t>
      </w:r>
      <w:r w:rsidRPr="001C6DCE">
        <w:rPr>
          <w:rFonts w:asciiTheme="majorHAnsi" w:eastAsia="Calibri" w:hAnsiTheme="majorHAnsi" w:cstheme="majorHAnsi"/>
          <w:sz w:val="24"/>
          <w:szCs w:val="24"/>
          <w:lang w:val="ro-MD"/>
        </w:rPr>
        <w:t xml:space="preserve"> norma prevăzută de H</w:t>
      </w:r>
      <w:r w:rsidR="005621C6" w:rsidRPr="001C6DCE">
        <w:rPr>
          <w:rFonts w:asciiTheme="majorHAnsi" w:eastAsia="Calibri" w:hAnsiTheme="majorHAnsi" w:cstheme="majorHAnsi"/>
          <w:sz w:val="24"/>
          <w:szCs w:val="24"/>
          <w:lang w:val="ro-MD"/>
        </w:rPr>
        <w:t xml:space="preserve">otărârea </w:t>
      </w:r>
      <w:r w:rsidRPr="001C6DCE">
        <w:rPr>
          <w:rFonts w:asciiTheme="majorHAnsi" w:eastAsia="Calibri" w:hAnsiTheme="majorHAnsi" w:cstheme="majorHAnsi"/>
          <w:sz w:val="24"/>
          <w:szCs w:val="24"/>
          <w:lang w:val="ro-MD"/>
        </w:rPr>
        <w:t>G</w:t>
      </w:r>
      <w:r w:rsidR="005621C6" w:rsidRPr="001C6DCE">
        <w:rPr>
          <w:rFonts w:asciiTheme="majorHAnsi" w:eastAsia="Calibri" w:hAnsiTheme="majorHAnsi" w:cstheme="majorHAnsi"/>
          <w:sz w:val="24"/>
          <w:szCs w:val="24"/>
          <w:lang w:val="ro-MD"/>
        </w:rPr>
        <w:t>uvernului</w:t>
      </w:r>
      <w:r w:rsidR="00B11213" w:rsidRPr="001C6DCE">
        <w:rPr>
          <w:rFonts w:asciiTheme="majorHAnsi" w:eastAsia="Calibri" w:hAnsiTheme="majorHAnsi" w:cstheme="majorHAnsi"/>
          <w:sz w:val="24"/>
          <w:szCs w:val="24"/>
          <w:lang w:val="ro-MD"/>
        </w:rPr>
        <w:t xml:space="preserve"> nr.</w:t>
      </w:r>
      <w:r w:rsidRPr="001C6DCE">
        <w:rPr>
          <w:rFonts w:asciiTheme="majorHAnsi" w:eastAsia="Calibri" w:hAnsiTheme="majorHAnsi" w:cstheme="majorHAnsi"/>
          <w:sz w:val="24"/>
          <w:szCs w:val="24"/>
          <w:lang w:val="ro-MD"/>
        </w:rPr>
        <w:t>266/2006</w:t>
      </w:r>
      <w:r w:rsidR="00B72473" w:rsidRPr="001C6DCE">
        <w:rPr>
          <w:rFonts w:asciiTheme="majorHAnsi" w:eastAsia="Calibri" w:hAnsiTheme="majorHAnsi" w:cstheme="majorHAnsi"/>
          <w:sz w:val="24"/>
          <w:szCs w:val="24"/>
          <w:lang w:val="ro-MD"/>
        </w:rPr>
        <w:t>,</w:t>
      </w:r>
      <w:r w:rsidRPr="001C6DCE">
        <w:rPr>
          <w:rFonts w:asciiTheme="majorHAnsi" w:eastAsia="Calibri" w:hAnsiTheme="majorHAnsi" w:cstheme="majorHAnsi"/>
          <w:sz w:val="24"/>
          <w:szCs w:val="24"/>
          <w:lang w:val="ro-MD"/>
        </w:rPr>
        <w:t xml:space="preserve"> cu cheltuielile de</w:t>
      </w:r>
      <w:r w:rsidRPr="001C6DCE">
        <w:rPr>
          <w:rFonts w:asciiTheme="majorHAnsi" w:hAnsiTheme="majorHAnsi" w:cstheme="majorHAnsi"/>
          <w:sz w:val="24"/>
          <w:szCs w:val="24"/>
          <w:lang w:val="ro-MD"/>
        </w:rPr>
        <w:t xml:space="preserve"> întreținere a cantinei,</w:t>
      </w:r>
      <w:r w:rsidR="00721AC1">
        <w:rPr>
          <w:rFonts w:asciiTheme="majorHAnsi" w:hAnsiTheme="majorHAnsi" w:cstheme="majorHAnsi"/>
          <w:sz w:val="24"/>
          <w:szCs w:val="24"/>
          <w:lang w:val="ro-MD"/>
        </w:rPr>
        <w:t xml:space="preserve"> </w:t>
      </w:r>
      <w:r w:rsidRPr="001C6DCE">
        <w:rPr>
          <w:rFonts w:asciiTheme="majorHAnsi" w:hAnsiTheme="majorHAnsi" w:cstheme="majorHAnsi"/>
          <w:sz w:val="24"/>
          <w:szCs w:val="24"/>
          <w:lang w:val="ro-MD"/>
        </w:rPr>
        <w:t>neprevăzute de cadrul normativ. Cheltuielile de întreținere a cantinelor constituie 43,67 % din totalul cheltuielilor efective pentru alimentarea elevilor în anul 2022.</w:t>
      </w:r>
      <w:r w:rsidRPr="001C6DCE">
        <w:rPr>
          <w:rFonts w:asciiTheme="majorHAnsi" w:eastAsia="Calibri" w:hAnsiTheme="majorHAnsi" w:cstheme="majorHAnsi"/>
          <w:sz w:val="24"/>
          <w:szCs w:val="24"/>
          <w:lang w:val="ro-MD"/>
        </w:rPr>
        <w:t xml:space="preserve"> </w:t>
      </w:r>
      <w:r w:rsidR="005621C6" w:rsidRPr="001C6DCE">
        <w:rPr>
          <w:rFonts w:asciiTheme="majorHAnsi" w:eastAsia="Calibri" w:hAnsiTheme="majorHAnsi" w:cstheme="majorHAnsi"/>
          <w:sz w:val="24"/>
          <w:szCs w:val="24"/>
          <w:lang w:val="ro-MD"/>
        </w:rPr>
        <w:t>Ca</w:t>
      </w:r>
      <w:r w:rsidR="00721AC1">
        <w:rPr>
          <w:rFonts w:asciiTheme="majorHAnsi" w:eastAsia="Calibri" w:hAnsiTheme="majorHAnsi" w:cstheme="majorHAnsi"/>
          <w:sz w:val="24"/>
          <w:szCs w:val="24"/>
          <w:lang w:val="ro-MD"/>
        </w:rPr>
        <w:t xml:space="preserve"> </w:t>
      </w:r>
      <w:r w:rsidRPr="001C6DCE">
        <w:rPr>
          <w:rFonts w:asciiTheme="majorHAnsi" w:eastAsia="Calibri" w:hAnsiTheme="majorHAnsi" w:cstheme="majorHAnsi"/>
          <w:sz w:val="24"/>
          <w:szCs w:val="24"/>
          <w:lang w:val="ro-MD"/>
        </w:rPr>
        <w:t xml:space="preserve">rezultat, </w:t>
      </w:r>
      <w:r w:rsidRPr="001C6DCE">
        <w:rPr>
          <w:rFonts w:asciiTheme="majorHAnsi" w:hAnsiTheme="majorHAnsi" w:cstheme="majorHAnsi"/>
          <w:iCs/>
          <w:sz w:val="24"/>
          <w:szCs w:val="24"/>
          <w:lang w:val="ro-MD"/>
        </w:rPr>
        <w:t>cheltuielile pentru alimentarea elevului diferă, și anume</w:t>
      </w:r>
      <w:r w:rsidR="005621C6" w:rsidRPr="001C6DCE">
        <w:rPr>
          <w:rFonts w:asciiTheme="majorHAnsi" w:hAnsiTheme="majorHAnsi" w:cstheme="majorHAnsi"/>
          <w:iCs/>
          <w:sz w:val="24"/>
          <w:szCs w:val="24"/>
          <w:lang w:val="ro-MD"/>
        </w:rPr>
        <w:t>:</w:t>
      </w:r>
      <w:r w:rsidR="00721AC1">
        <w:rPr>
          <w:rFonts w:asciiTheme="majorHAnsi" w:hAnsiTheme="majorHAnsi" w:cstheme="majorHAnsi"/>
          <w:iCs/>
          <w:sz w:val="24"/>
          <w:szCs w:val="24"/>
          <w:lang w:val="ro-MD"/>
        </w:rPr>
        <w:t xml:space="preserve"> </w:t>
      </w:r>
      <w:r w:rsidRPr="001C6DCE">
        <w:rPr>
          <w:rFonts w:asciiTheme="majorHAnsi" w:hAnsiTheme="majorHAnsi" w:cstheme="majorHAnsi"/>
          <w:iCs/>
          <w:sz w:val="24"/>
          <w:szCs w:val="24"/>
          <w:lang w:val="ro-MD"/>
        </w:rPr>
        <w:t>pentru instituțiile care achiziționează serviciile de alimentare a elevilor este respectat</w:t>
      </w:r>
      <w:r w:rsidR="00B72473" w:rsidRPr="001C6DCE">
        <w:rPr>
          <w:rFonts w:asciiTheme="majorHAnsi" w:hAnsiTheme="majorHAnsi" w:cstheme="majorHAnsi"/>
          <w:iCs/>
          <w:sz w:val="24"/>
          <w:szCs w:val="24"/>
          <w:lang w:val="ro-MD"/>
        </w:rPr>
        <w:t>ă</w:t>
      </w:r>
      <w:r w:rsidRPr="001C6DCE">
        <w:rPr>
          <w:rFonts w:asciiTheme="majorHAnsi" w:hAnsiTheme="majorHAnsi" w:cstheme="majorHAnsi"/>
          <w:iCs/>
          <w:sz w:val="24"/>
          <w:szCs w:val="24"/>
          <w:lang w:val="ro-MD"/>
        </w:rPr>
        <w:t xml:space="preserve"> norma</w:t>
      </w:r>
      <w:r w:rsidR="00721AC1">
        <w:rPr>
          <w:rFonts w:asciiTheme="majorHAnsi" w:hAnsiTheme="majorHAnsi" w:cstheme="majorHAnsi"/>
          <w:iCs/>
          <w:sz w:val="24"/>
          <w:szCs w:val="24"/>
          <w:lang w:val="ro-MD"/>
        </w:rPr>
        <w:t xml:space="preserve"> </w:t>
      </w:r>
      <w:r w:rsidRPr="001C6DCE">
        <w:rPr>
          <w:rFonts w:asciiTheme="majorHAnsi" w:hAnsiTheme="majorHAnsi" w:cstheme="majorHAnsi"/>
          <w:iCs/>
          <w:sz w:val="24"/>
          <w:szCs w:val="24"/>
          <w:lang w:val="ro-MD"/>
        </w:rPr>
        <w:t xml:space="preserve">bănească de </w:t>
      </w:r>
      <w:r w:rsidRPr="001C6DCE">
        <w:rPr>
          <w:rFonts w:asciiTheme="majorHAnsi" w:hAnsiTheme="majorHAnsi" w:cstheme="majorHAnsi"/>
          <w:sz w:val="24"/>
          <w:szCs w:val="24"/>
          <w:lang w:val="ro-MD"/>
        </w:rPr>
        <w:t xml:space="preserve">12 lei/zi, iar de la 08.07.2022- </w:t>
      </w:r>
      <w:r w:rsidR="005621C6" w:rsidRPr="001C6DCE">
        <w:rPr>
          <w:rFonts w:asciiTheme="majorHAnsi" w:hAnsiTheme="majorHAnsi" w:cstheme="majorHAnsi"/>
          <w:sz w:val="24"/>
          <w:szCs w:val="24"/>
          <w:lang w:val="ro-MD"/>
        </w:rPr>
        <w:t xml:space="preserve">de </w:t>
      </w:r>
      <w:r w:rsidRPr="001C6DCE">
        <w:rPr>
          <w:rFonts w:asciiTheme="majorHAnsi" w:hAnsiTheme="majorHAnsi" w:cstheme="majorHAnsi"/>
          <w:sz w:val="24"/>
          <w:szCs w:val="24"/>
          <w:lang w:val="ro-MD"/>
        </w:rPr>
        <w:t>14,4 lei/zi pentru un elev</w:t>
      </w:r>
      <w:r w:rsidR="005621C6" w:rsidRPr="001C6DCE">
        <w:rPr>
          <w:rFonts w:asciiTheme="majorHAnsi" w:hAnsiTheme="majorHAnsi" w:cstheme="majorHAnsi"/>
          <w:sz w:val="24"/>
          <w:szCs w:val="24"/>
          <w:lang w:val="ro-MD"/>
        </w:rPr>
        <w:t>,</w:t>
      </w:r>
      <w:r w:rsidRPr="001C6DCE">
        <w:rPr>
          <w:rFonts w:asciiTheme="majorHAnsi" w:hAnsiTheme="majorHAnsi" w:cstheme="majorHAnsi"/>
          <w:iCs/>
          <w:sz w:val="24"/>
          <w:szCs w:val="24"/>
          <w:lang w:val="ro-MD"/>
        </w:rPr>
        <w:t xml:space="preserve"> prevăzută de </w:t>
      </w:r>
      <w:r w:rsidRPr="001C6DCE">
        <w:rPr>
          <w:rFonts w:asciiTheme="majorHAnsi" w:eastAsia="Calibri" w:hAnsiTheme="majorHAnsi" w:cstheme="majorHAnsi"/>
          <w:sz w:val="24"/>
          <w:szCs w:val="24"/>
          <w:lang w:val="ro-MD"/>
        </w:rPr>
        <w:t>H</w:t>
      </w:r>
      <w:r w:rsidR="005621C6" w:rsidRPr="001C6DCE">
        <w:rPr>
          <w:rFonts w:asciiTheme="majorHAnsi" w:eastAsia="Calibri" w:hAnsiTheme="majorHAnsi" w:cstheme="majorHAnsi"/>
          <w:sz w:val="24"/>
          <w:szCs w:val="24"/>
          <w:lang w:val="ro-MD"/>
        </w:rPr>
        <w:t xml:space="preserve">otărârea </w:t>
      </w:r>
      <w:r w:rsidRPr="001C6DCE">
        <w:rPr>
          <w:rFonts w:asciiTheme="majorHAnsi" w:eastAsia="Calibri" w:hAnsiTheme="majorHAnsi" w:cstheme="majorHAnsi"/>
          <w:sz w:val="24"/>
          <w:szCs w:val="24"/>
          <w:lang w:val="ro-MD"/>
        </w:rPr>
        <w:t>G</w:t>
      </w:r>
      <w:r w:rsidR="005621C6" w:rsidRPr="001C6DCE">
        <w:rPr>
          <w:rFonts w:asciiTheme="majorHAnsi" w:eastAsia="Calibri" w:hAnsiTheme="majorHAnsi" w:cstheme="majorHAnsi"/>
          <w:sz w:val="24"/>
          <w:szCs w:val="24"/>
          <w:lang w:val="ro-MD"/>
        </w:rPr>
        <w:t>uvernului</w:t>
      </w:r>
      <w:r w:rsidRPr="001C6DCE">
        <w:rPr>
          <w:rFonts w:asciiTheme="majorHAnsi" w:eastAsia="Calibri" w:hAnsiTheme="majorHAnsi" w:cstheme="majorHAnsi"/>
          <w:sz w:val="24"/>
          <w:szCs w:val="24"/>
          <w:lang w:val="ro-MD"/>
        </w:rPr>
        <w:t xml:space="preserve"> nr.266 din 14.03.2006, iar pentru instituțiile care dispun de cantine proprii</w:t>
      </w:r>
      <w:r w:rsidR="00721AC1">
        <w:rPr>
          <w:rFonts w:asciiTheme="majorHAnsi" w:eastAsia="Calibri" w:hAnsiTheme="majorHAnsi" w:cstheme="majorHAnsi"/>
          <w:sz w:val="24"/>
          <w:szCs w:val="24"/>
          <w:lang w:val="ro-MD"/>
        </w:rPr>
        <w:t xml:space="preserve"> </w:t>
      </w:r>
      <w:r w:rsidRPr="001C6DCE">
        <w:rPr>
          <w:rFonts w:asciiTheme="majorHAnsi" w:eastAsia="Calibri" w:hAnsiTheme="majorHAnsi" w:cstheme="majorHAnsi"/>
          <w:sz w:val="24"/>
          <w:szCs w:val="24"/>
          <w:lang w:val="ro-MD"/>
        </w:rPr>
        <w:t xml:space="preserve">serviciile de alimentare a elevului constituie </w:t>
      </w:r>
      <w:r w:rsidRPr="001C6DCE">
        <w:rPr>
          <w:rFonts w:asciiTheme="majorHAnsi" w:hAnsiTheme="majorHAnsi" w:cstheme="majorHAnsi"/>
          <w:iCs/>
          <w:sz w:val="24"/>
          <w:szCs w:val="24"/>
          <w:lang w:val="ro-MD"/>
        </w:rPr>
        <w:t>24,56 lei/zi per elev</w:t>
      </w:r>
      <w:r w:rsidRPr="001C6DCE">
        <w:rPr>
          <w:rFonts w:asciiTheme="majorHAnsi" w:eastAsia="Calibri" w:hAnsiTheme="majorHAnsi" w:cstheme="majorHAnsi"/>
          <w:sz w:val="24"/>
          <w:szCs w:val="24"/>
          <w:lang w:val="ro-MD"/>
        </w:rPr>
        <w:t>.</w:t>
      </w:r>
    </w:p>
    <w:p w14:paraId="138DA319" w14:textId="0BDC77AB" w:rsidR="00CA2F39" w:rsidRDefault="005C3865" w:rsidP="00CA2F39">
      <w:pPr>
        <w:pStyle w:val="a8"/>
        <w:numPr>
          <w:ilvl w:val="0"/>
          <w:numId w:val="22"/>
        </w:numPr>
        <w:tabs>
          <w:tab w:val="left" w:pos="284"/>
          <w:tab w:val="left" w:pos="454"/>
        </w:tabs>
        <w:spacing w:line="276" w:lineRule="auto"/>
        <w:ind w:left="0" w:right="-45" w:firstLine="0"/>
        <w:rPr>
          <w:rFonts w:asciiTheme="majorHAnsi" w:hAnsiTheme="majorHAnsi" w:cstheme="majorHAnsi"/>
          <w:sz w:val="24"/>
          <w:szCs w:val="24"/>
          <w:lang w:val="ro-MD"/>
        </w:rPr>
      </w:pPr>
      <w:r w:rsidRPr="001C6DCE">
        <w:rPr>
          <w:rFonts w:asciiTheme="majorHAnsi" w:hAnsiTheme="majorHAnsi" w:cstheme="majorHAnsi"/>
          <w:bCs/>
          <w:sz w:val="24"/>
          <w:szCs w:val="24"/>
          <w:lang w:val="ro-MD"/>
        </w:rPr>
        <w:t>Metodologia de finanțare bugetară a instituțiilor publice de învățământ superior</w:t>
      </w:r>
      <w:r w:rsidR="005621C6" w:rsidRPr="001C6DCE">
        <w:rPr>
          <w:rFonts w:asciiTheme="majorHAnsi" w:hAnsiTheme="majorHAnsi" w:cstheme="majorHAnsi"/>
          <w:bCs/>
          <w:sz w:val="24"/>
          <w:szCs w:val="24"/>
          <w:lang w:val="ro-MD"/>
        </w:rPr>
        <w:t>,</w:t>
      </w:r>
      <w:r w:rsidRPr="001C6DCE">
        <w:rPr>
          <w:rFonts w:asciiTheme="majorHAnsi" w:hAnsiTheme="majorHAnsi" w:cstheme="majorHAnsi"/>
          <w:bCs/>
          <w:sz w:val="24"/>
          <w:szCs w:val="24"/>
          <w:lang w:val="ro-MD"/>
        </w:rPr>
        <w:t xml:space="preserve"> </w:t>
      </w:r>
      <w:r w:rsidRPr="001C6DCE">
        <w:rPr>
          <w:rFonts w:asciiTheme="majorHAnsi" w:hAnsiTheme="majorHAnsi" w:cstheme="majorHAnsi"/>
          <w:sz w:val="24"/>
          <w:szCs w:val="24"/>
          <w:lang w:val="ro-MD"/>
        </w:rPr>
        <w:t>aprobată prin H</w:t>
      </w:r>
      <w:r w:rsidR="005621C6" w:rsidRPr="001C6DCE">
        <w:rPr>
          <w:rFonts w:asciiTheme="majorHAnsi" w:hAnsiTheme="majorHAnsi" w:cstheme="majorHAnsi"/>
          <w:sz w:val="24"/>
          <w:szCs w:val="24"/>
          <w:lang w:val="ro-MD"/>
        </w:rPr>
        <w:t xml:space="preserve">otărârea </w:t>
      </w:r>
      <w:r w:rsidRPr="001C6DCE">
        <w:rPr>
          <w:rFonts w:asciiTheme="majorHAnsi" w:hAnsiTheme="majorHAnsi" w:cstheme="majorHAnsi"/>
          <w:sz w:val="24"/>
          <w:szCs w:val="24"/>
          <w:lang w:val="ro-MD"/>
        </w:rPr>
        <w:t>G</w:t>
      </w:r>
      <w:r w:rsidR="005621C6" w:rsidRPr="001C6DCE">
        <w:rPr>
          <w:rFonts w:asciiTheme="majorHAnsi" w:hAnsiTheme="majorHAnsi" w:cstheme="majorHAnsi"/>
          <w:sz w:val="24"/>
          <w:szCs w:val="24"/>
          <w:lang w:val="ro-MD"/>
        </w:rPr>
        <w:t>uvernului</w:t>
      </w:r>
      <w:r w:rsidRPr="001C6DCE">
        <w:rPr>
          <w:rFonts w:asciiTheme="majorHAnsi" w:hAnsiTheme="majorHAnsi" w:cstheme="majorHAnsi"/>
          <w:sz w:val="24"/>
          <w:szCs w:val="24"/>
          <w:lang w:val="ro-MD"/>
        </w:rPr>
        <w:t xml:space="preserve"> nr.343 din 10.06.2020</w:t>
      </w:r>
      <w:r w:rsidR="0014342D" w:rsidRPr="001C6DCE">
        <w:rPr>
          <w:rStyle w:val="a5"/>
          <w:rFonts w:asciiTheme="majorHAnsi" w:hAnsiTheme="majorHAnsi" w:cstheme="majorHAnsi"/>
          <w:sz w:val="24"/>
          <w:szCs w:val="24"/>
          <w:lang w:val="ro-MD"/>
        </w:rPr>
        <w:footnoteReference w:id="42"/>
      </w:r>
      <w:r w:rsidR="005621C6"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necesită</w:t>
      </w:r>
      <w:r w:rsidR="005621C6" w:rsidRPr="001C6DCE">
        <w:rPr>
          <w:rFonts w:asciiTheme="majorHAnsi" w:hAnsiTheme="majorHAnsi" w:cstheme="majorHAnsi"/>
          <w:sz w:val="24"/>
          <w:szCs w:val="24"/>
          <w:lang w:val="ro-MD"/>
        </w:rPr>
        <w:t xml:space="preserve"> </w:t>
      </w:r>
      <w:r w:rsidRPr="001C6DCE">
        <w:rPr>
          <w:rFonts w:asciiTheme="majorHAnsi" w:hAnsiTheme="majorHAnsi" w:cstheme="majorHAnsi"/>
          <w:sz w:val="24"/>
          <w:szCs w:val="24"/>
          <w:lang w:val="ro-MD"/>
        </w:rPr>
        <w:t>ajusta</w:t>
      </w:r>
      <w:r w:rsidR="005621C6" w:rsidRPr="001C6DCE">
        <w:rPr>
          <w:rFonts w:asciiTheme="majorHAnsi" w:hAnsiTheme="majorHAnsi" w:cstheme="majorHAnsi"/>
          <w:sz w:val="24"/>
          <w:szCs w:val="24"/>
          <w:lang w:val="ro-MD"/>
        </w:rPr>
        <w:t>re</w:t>
      </w:r>
      <w:r w:rsidR="00D153AB" w:rsidRPr="001C6DCE">
        <w:rPr>
          <w:rFonts w:asciiTheme="majorHAnsi" w:hAnsiTheme="majorHAnsi" w:cstheme="majorHAnsi"/>
          <w:sz w:val="24"/>
          <w:szCs w:val="24"/>
          <w:lang w:val="ro-MD"/>
        </w:rPr>
        <w:t>, urmând a fi</w:t>
      </w:r>
      <w:r w:rsidRPr="001C6DCE">
        <w:rPr>
          <w:rFonts w:asciiTheme="majorHAnsi" w:hAnsiTheme="majorHAnsi" w:cstheme="majorHAnsi"/>
          <w:sz w:val="24"/>
          <w:szCs w:val="24"/>
          <w:lang w:val="ro-MD"/>
        </w:rPr>
        <w:t xml:space="preserve"> stabili</w:t>
      </w:r>
      <w:r w:rsidR="001D1FE9" w:rsidRPr="001C6DCE">
        <w:rPr>
          <w:rFonts w:asciiTheme="majorHAnsi" w:hAnsiTheme="majorHAnsi" w:cstheme="majorHAnsi"/>
          <w:sz w:val="24"/>
          <w:szCs w:val="24"/>
          <w:lang w:val="ro-MD"/>
        </w:rPr>
        <w:t>t</w:t>
      </w:r>
      <w:r w:rsidRPr="001C6DCE">
        <w:rPr>
          <w:rFonts w:asciiTheme="majorHAnsi" w:hAnsiTheme="majorHAnsi" w:cstheme="majorHAnsi"/>
          <w:sz w:val="24"/>
          <w:szCs w:val="24"/>
          <w:lang w:val="ro-MD"/>
        </w:rPr>
        <w:t xml:space="preserve"> </w:t>
      </w:r>
      <w:r w:rsidR="00D153AB" w:rsidRPr="001C6DCE">
        <w:rPr>
          <w:rFonts w:asciiTheme="majorHAnsi" w:hAnsiTheme="majorHAnsi" w:cstheme="majorHAnsi"/>
          <w:sz w:val="24"/>
          <w:szCs w:val="24"/>
          <w:lang w:val="ro-MD"/>
        </w:rPr>
        <w:t xml:space="preserve">și </w:t>
      </w:r>
      <w:r w:rsidRPr="001C6DCE">
        <w:rPr>
          <w:rFonts w:asciiTheme="majorHAnsi" w:hAnsiTheme="majorHAnsi" w:cstheme="majorHAnsi"/>
          <w:sz w:val="24"/>
          <w:szCs w:val="24"/>
          <w:lang w:val="ro-MD"/>
        </w:rPr>
        <w:t>mecanismul de raportare a alocațiilor bugetare după tipul finanțării (finanțare-standard</w:t>
      </w:r>
      <w:r w:rsidR="007C635D" w:rsidRPr="001C6DCE">
        <w:rPr>
          <w:rFonts w:asciiTheme="majorHAnsi" w:hAnsiTheme="majorHAnsi" w:cstheme="majorHAnsi"/>
          <w:sz w:val="24"/>
          <w:szCs w:val="24"/>
          <w:lang w:val="ro-MD"/>
        </w:rPr>
        <w:t xml:space="preserve"> și </w:t>
      </w:r>
      <w:r w:rsidRPr="001C6DCE">
        <w:rPr>
          <w:rFonts w:asciiTheme="majorHAnsi" w:hAnsiTheme="majorHAnsi" w:cstheme="majorHAnsi"/>
          <w:sz w:val="24"/>
          <w:szCs w:val="24"/>
          <w:lang w:val="ro-MD"/>
        </w:rPr>
        <w:t>compensatorie).</w:t>
      </w:r>
      <w:r w:rsidR="00197E85" w:rsidRPr="001C6DCE">
        <w:rPr>
          <w:rFonts w:asciiTheme="majorHAnsi" w:hAnsiTheme="majorHAnsi" w:cstheme="majorHAnsi"/>
          <w:sz w:val="24"/>
          <w:szCs w:val="24"/>
          <w:lang w:val="ro-MD"/>
        </w:rPr>
        <w:t xml:space="preserve"> </w:t>
      </w:r>
      <w:r w:rsidR="00CA2F39" w:rsidRPr="00976D4B">
        <w:rPr>
          <w:rFonts w:asciiTheme="majorHAnsi" w:hAnsiTheme="majorHAnsi" w:cstheme="majorHAnsi"/>
          <w:sz w:val="24"/>
          <w:szCs w:val="24"/>
          <w:lang w:val="ro-MD"/>
        </w:rPr>
        <w:t xml:space="preserve">Conform </w:t>
      </w:r>
      <w:r w:rsidR="00CA2F39">
        <w:rPr>
          <w:rFonts w:asciiTheme="majorHAnsi" w:hAnsiTheme="majorHAnsi" w:cstheme="majorHAnsi"/>
          <w:sz w:val="24"/>
          <w:szCs w:val="24"/>
          <w:lang w:val="ro-MD"/>
        </w:rPr>
        <w:t xml:space="preserve">prevederilor pct. 5 din </w:t>
      </w:r>
      <w:r w:rsidR="00CA2F39" w:rsidRPr="00976D4B">
        <w:rPr>
          <w:rFonts w:asciiTheme="majorHAnsi" w:hAnsiTheme="majorHAnsi" w:cstheme="majorHAnsi"/>
          <w:sz w:val="24"/>
          <w:szCs w:val="24"/>
          <w:lang w:val="ro-MD"/>
        </w:rPr>
        <w:t>metodologi</w:t>
      </w:r>
      <w:r w:rsidR="00CA2F39">
        <w:rPr>
          <w:rFonts w:asciiTheme="majorHAnsi" w:hAnsiTheme="majorHAnsi" w:cstheme="majorHAnsi"/>
          <w:sz w:val="24"/>
          <w:szCs w:val="24"/>
          <w:lang w:val="ro-MD"/>
        </w:rPr>
        <w:t>a</w:t>
      </w:r>
      <w:r w:rsidR="00CA2F39" w:rsidRPr="00976D4B">
        <w:rPr>
          <w:rFonts w:asciiTheme="majorHAnsi" w:hAnsiTheme="majorHAnsi" w:cstheme="majorHAnsi"/>
          <w:sz w:val="24"/>
          <w:szCs w:val="24"/>
          <w:lang w:val="ro-MD"/>
        </w:rPr>
        <w:t xml:space="preserve"> de finanțare bugetară a instituțiilor publice de învățământ superior alocațiile bugetare pentru finanțarea-standard, atribuită fiecărei instituții publice de învățământ superior</w:t>
      </w:r>
      <w:r w:rsidR="00CA2F39">
        <w:rPr>
          <w:rFonts w:asciiTheme="majorHAnsi" w:hAnsiTheme="majorHAnsi" w:cstheme="majorHAnsi"/>
          <w:sz w:val="24"/>
          <w:szCs w:val="24"/>
          <w:lang w:val="ro-MD"/>
        </w:rPr>
        <w:t xml:space="preserve">, </w:t>
      </w:r>
      <w:r w:rsidR="00CA2F39" w:rsidRPr="00976D4B">
        <w:rPr>
          <w:rFonts w:asciiTheme="majorHAnsi" w:hAnsiTheme="majorHAnsi" w:cstheme="majorHAnsi"/>
          <w:sz w:val="24"/>
          <w:szCs w:val="24"/>
          <w:lang w:val="ro-MD"/>
        </w:rPr>
        <w:t xml:space="preserve">pentru studenții înmatriculați în conformitate cu comanda de stat pentru studii superioare de licență și master, se transferă instituției în baza numărului de studenți echivalenți ai acesteia care se determină conform numărului fizic de studenți finanțați din bugetul de stat raportat la 1 octombrie a anului bugetar precedent înmulțit cu coeficienții de ajustare corespunzători. Această abordare poate fi acceptată doar pentru determinarea volumul alocațiilor de la bugetul de stat care se  calculează şi se comunică instituției la elaborarea proiectului de buget anual, nu și pentru alocațiile transferate, deoarece volumul acestora trebuie revizuit la repartizare în conformitate cu numărul real de studenți în instituție.  </w:t>
      </w:r>
      <w:r w:rsidR="00CA2F39">
        <w:rPr>
          <w:rFonts w:asciiTheme="majorHAnsi" w:hAnsiTheme="majorHAnsi" w:cstheme="majorHAnsi"/>
          <w:sz w:val="24"/>
          <w:szCs w:val="24"/>
          <w:lang w:val="ro-MD"/>
        </w:rPr>
        <w:t>De menționat că acest aspect n</w:t>
      </w:r>
      <w:r w:rsidR="00CA2F39" w:rsidRPr="00976D4B">
        <w:rPr>
          <w:rFonts w:asciiTheme="majorHAnsi" w:hAnsiTheme="majorHAnsi" w:cstheme="majorHAnsi"/>
          <w:sz w:val="24"/>
          <w:szCs w:val="24"/>
          <w:lang w:val="ro-MD"/>
        </w:rPr>
        <w:t>u este specificat și drept urmare în baza calculelor efectuate de auditor s-a constatat că finanțarea-standard pentru instituțiile de învățământ superior subordonate MEC pentru anul 2022 în funcție de numărul de studenți echivalenți stabilit în baza numărului real lunar de studenți instruiți a constituit 362,45 mil.lei, sau cu circa 8,05 mil.lei mai puțin decât finanțarea-standard aprobată prin Ordinul MEC nr.02 din 05.01.2022 (370,50 mil.lei). Prin urmare, se alocă mai multe resurse bugetare decât necesarul determinat în baza numărului real de studenți instruiți.</w:t>
      </w:r>
    </w:p>
    <w:p w14:paraId="3BB6AFA1" w14:textId="77777777" w:rsidR="00CA2F39" w:rsidRPr="00131AA5" w:rsidRDefault="00CA2F39" w:rsidP="00CA2F39">
      <w:pPr>
        <w:pStyle w:val="a8"/>
        <w:tabs>
          <w:tab w:val="left" w:pos="284"/>
          <w:tab w:val="left" w:pos="454"/>
        </w:tabs>
        <w:spacing w:line="276" w:lineRule="auto"/>
        <w:ind w:left="0" w:right="-45"/>
        <w:rPr>
          <w:rFonts w:asciiTheme="majorHAnsi" w:hAnsiTheme="majorHAnsi" w:cstheme="majorHAnsi"/>
          <w:sz w:val="24"/>
          <w:szCs w:val="24"/>
          <w:lang w:val="ro-RO"/>
        </w:rPr>
      </w:pPr>
      <w:r w:rsidRPr="00131AA5">
        <w:rPr>
          <w:rFonts w:asciiTheme="majorHAnsi" w:hAnsiTheme="majorHAnsi" w:cstheme="majorHAnsi"/>
          <w:sz w:val="24"/>
          <w:szCs w:val="24"/>
          <w:lang w:val="ro-RO"/>
        </w:rPr>
        <w:t>Totodată auditul constată că în anul 2022 au beneficiat de studii finanțate de la buget 21097 studenți, iar costul standard per student constituia 13.058,06 lei, iar în anul 2023 numărul studenților a constituit - 20311 studenți, iar costul standard per student -16.560,46 mii lei. Prin urmare, se păstrează tendința de micșorare a numărului de studenți (786 studenți) și majorare a costului standard per student (3.502,4 lei/per student).</w:t>
      </w:r>
    </w:p>
    <w:p w14:paraId="58ABA040" w14:textId="78241566" w:rsidR="005C3865" w:rsidRPr="001C6DCE" w:rsidRDefault="005C3865" w:rsidP="00CA2F39">
      <w:pPr>
        <w:pStyle w:val="a8"/>
        <w:numPr>
          <w:ilvl w:val="0"/>
          <w:numId w:val="22"/>
        </w:numPr>
        <w:tabs>
          <w:tab w:val="left" w:pos="284"/>
          <w:tab w:val="left" w:pos="454"/>
        </w:tabs>
        <w:spacing w:line="276" w:lineRule="auto"/>
        <w:ind w:left="0" w:right="-45" w:firstLine="0"/>
        <w:rPr>
          <w:rFonts w:asciiTheme="majorHAnsi" w:hAnsiTheme="majorHAnsi" w:cstheme="majorHAnsi"/>
          <w:i/>
          <w:sz w:val="24"/>
          <w:szCs w:val="24"/>
          <w:lang w:val="ro-MD"/>
        </w:rPr>
      </w:pPr>
      <w:r w:rsidRPr="001C6DCE">
        <w:rPr>
          <w:rFonts w:asciiTheme="majorHAnsi" w:hAnsiTheme="majorHAnsi" w:cstheme="majorHAnsi"/>
          <w:sz w:val="24"/>
          <w:szCs w:val="24"/>
          <w:lang w:val="ro-MD"/>
        </w:rPr>
        <w:t>De asemenea</w:t>
      </w:r>
      <w:r w:rsidR="003B0C75"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pentru anul 2022 MEC a alocat mijloace financiare</w:t>
      </w:r>
      <w:r w:rsidR="00174F56"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în afara formulei de finanțare</w:t>
      </w:r>
      <w:r w:rsidR="00174F56"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în sumă de 55</w:t>
      </w:r>
      <w:r w:rsidR="003B0C75"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1</w:t>
      </w:r>
      <w:r w:rsidR="003B0C75" w:rsidRPr="001C6DCE">
        <w:rPr>
          <w:rFonts w:asciiTheme="majorHAnsi" w:hAnsiTheme="majorHAnsi" w:cstheme="majorHAnsi"/>
          <w:sz w:val="24"/>
          <w:szCs w:val="24"/>
          <w:lang w:val="ro-MD"/>
        </w:rPr>
        <w:t>5</w:t>
      </w:r>
      <w:r w:rsidRPr="001C6DCE">
        <w:rPr>
          <w:rFonts w:asciiTheme="majorHAnsi" w:hAnsiTheme="majorHAnsi" w:cstheme="majorHAnsi"/>
          <w:sz w:val="24"/>
          <w:szCs w:val="24"/>
          <w:lang w:val="ro-MD"/>
        </w:rPr>
        <w:t xml:space="preserve"> mi</w:t>
      </w:r>
      <w:r w:rsidR="003B0C75" w:rsidRPr="001C6DCE">
        <w:rPr>
          <w:rFonts w:asciiTheme="majorHAnsi" w:hAnsiTheme="majorHAnsi" w:cstheme="majorHAnsi"/>
          <w:sz w:val="24"/>
          <w:szCs w:val="24"/>
          <w:lang w:val="ro-MD"/>
        </w:rPr>
        <w:t>l.</w:t>
      </w:r>
      <w:r w:rsidRPr="001C6DCE">
        <w:rPr>
          <w:rFonts w:asciiTheme="majorHAnsi" w:hAnsiTheme="majorHAnsi" w:cstheme="majorHAnsi"/>
          <w:sz w:val="24"/>
          <w:szCs w:val="24"/>
          <w:lang w:val="ro-MD"/>
        </w:rPr>
        <w:t xml:space="preserve">lei. </w:t>
      </w:r>
    </w:p>
    <w:p w14:paraId="042AFD47" w14:textId="7F68B6F8" w:rsidR="005C3865" w:rsidRPr="001C6DCE" w:rsidRDefault="005C3865" w:rsidP="008C4E63">
      <w:pPr>
        <w:pStyle w:val="a8"/>
        <w:numPr>
          <w:ilvl w:val="0"/>
          <w:numId w:val="21"/>
        </w:numPr>
        <w:tabs>
          <w:tab w:val="left" w:pos="142"/>
        </w:tabs>
        <w:spacing w:line="276" w:lineRule="auto"/>
        <w:ind w:left="0" w:right="-45" w:firstLine="0"/>
        <w:rPr>
          <w:rFonts w:asciiTheme="majorHAnsi" w:hAnsiTheme="majorHAnsi" w:cstheme="majorHAnsi"/>
          <w:sz w:val="24"/>
          <w:szCs w:val="24"/>
          <w:lang w:val="ro-MD"/>
        </w:rPr>
      </w:pPr>
      <w:r w:rsidRPr="001C6DCE">
        <w:rPr>
          <w:rFonts w:asciiTheme="majorHAnsi" w:hAnsiTheme="majorHAnsi" w:cstheme="majorHAnsi"/>
          <w:sz w:val="24"/>
          <w:szCs w:val="24"/>
          <w:lang w:val="ro-MD"/>
        </w:rPr>
        <w:t xml:space="preserve">Ministerul a aplicat </w:t>
      </w:r>
      <w:r w:rsidR="0074487F" w:rsidRPr="001C6DCE">
        <w:rPr>
          <w:rFonts w:asciiTheme="majorHAnsi" w:hAnsiTheme="majorHAnsi" w:cstheme="majorHAnsi"/>
          <w:sz w:val="24"/>
          <w:szCs w:val="24"/>
          <w:lang w:val="ro-MD"/>
        </w:rPr>
        <w:t xml:space="preserve">cu abateri </w:t>
      </w:r>
      <w:r w:rsidRPr="001C6DCE">
        <w:rPr>
          <w:rFonts w:asciiTheme="majorHAnsi" w:hAnsiTheme="majorHAnsi" w:cstheme="majorHAnsi"/>
          <w:sz w:val="24"/>
          <w:szCs w:val="24"/>
          <w:lang w:val="ro-MD"/>
        </w:rPr>
        <w:t>cerințele metodologiei de finanțare,</w:t>
      </w:r>
      <w:r w:rsidR="0074487F" w:rsidRPr="001C6DCE">
        <w:rPr>
          <w:rFonts w:asciiTheme="majorHAnsi" w:hAnsiTheme="majorHAnsi" w:cstheme="majorHAnsi"/>
          <w:sz w:val="24"/>
          <w:szCs w:val="24"/>
          <w:lang w:val="ro-MD"/>
        </w:rPr>
        <w:t xml:space="preserve"> </w:t>
      </w:r>
      <w:r w:rsidRPr="001C6DCE">
        <w:rPr>
          <w:rFonts w:asciiTheme="majorHAnsi" w:hAnsiTheme="majorHAnsi" w:cstheme="majorHAnsi"/>
          <w:sz w:val="24"/>
          <w:szCs w:val="24"/>
          <w:lang w:val="ro-MD"/>
        </w:rPr>
        <w:t>determin</w:t>
      </w:r>
      <w:r w:rsidR="0074487F" w:rsidRPr="001C6DCE">
        <w:rPr>
          <w:rFonts w:asciiTheme="majorHAnsi" w:hAnsiTheme="majorHAnsi" w:cstheme="majorHAnsi"/>
          <w:sz w:val="24"/>
          <w:szCs w:val="24"/>
          <w:lang w:val="ro-MD"/>
        </w:rPr>
        <w:t>ând</w:t>
      </w:r>
      <w:r w:rsidRPr="001C6DCE">
        <w:rPr>
          <w:rFonts w:asciiTheme="majorHAnsi" w:hAnsiTheme="majorHAnsi" w:cstheme="majorHAnsi"/>
          <w:sz w:val="24"/>
          <w:szCs w:val="24"/>
          <w:lang w:val="ro-MD"/>
        </w:rPr>
        <w:t xml:space="preserve"> mărimea alocațiilor pentru finanțarea-standard a instituțiilor publice de învățământ superior pentru anul 2022 și costul per student fără ca </w:t>
      </w:r>
      <w:r w:rsidR="0074487F" w:rsidRPr="001C6DCE">
        <w:rPr>
          <w:rFonts w:asciiTheme="majorHAnsi" w:hAnsiTheme="majorHAnsi" w:cstheme="majorHAnsi"/>
          <w:sz w:val="24"/>
          <w:szCs w:val="24"/>
          <w:lang w:val="ro-MD"/>
        </w:rPr>
        <w:t>studenții</w:t>
      </w:r>
      <w:r w:rsidRPr="001C6DCE">
        <w:rPr>
          <w:rFonts w:asciiTheme="majorHAnsi" w:hAnsiTheme="majorHAnsi" w:cstheme="majorHAnsi"/>
          <w:sz w:val="24"/>
          <w:szCs w:val="24"/>
          <w:lang w:val="ro-MD"/>
        </w:rPr>
        <w:t xml:space="preserve"> să fie divizați pe ciclurile de studii superioare de licență și de master. </w:t>
      </w:r>
    </w:p>
    <w:p w14:paraId="00433256" w14:textId="7856DC2A" w:rsidR="005C3865" w:rsidRPr="001C6DCE" w:rsidRDefault="005C3865" w:rsidP="008C4E63">
      <w:pPr>
        <w:pStyle w:val="a8"/>
        <w:tabs>
          <w:tab w:val="left" w:pos="454"/>
        </w:tabs>
        <w:spacing w:line="276" w:lineRule="auto"/>
        <w:ind w:left="0" w:right="-45"/>
        <w:rPr>
          <w:rFonts w:asciiTheme="majorHAnsi" w:hAnsiTheme="majorHAnsi" w:cstheme="majorHAnsi"/>
          <w:sz w:val="24"/>
          <w:szCs w:val="24"/>
          <w:lang w:val="ro-MD"/>
        </w:rPr>
      </w:pPr>
      <w:r w:rsidRPr="001C6DCE">
        <w:rPr>
          <w:rFonts w:asciiTheme="majorHAnsi" w:hAnsiTheme="majorHAnsi" w:cstheme="majorHAnsi"/>
          <w:sz w:val="24"/>
          <w:szCs w:val="24"/>
          <w:lang w:val="ro-MD"/>
        </w:rPr>
        <w:t>Totodată</w:t>
      </w:r>
      <w:r w:rsidR="00186485"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la încheierea contractelor privind achiziția serviciilor educaționale</w:t>
      </w:r>
      <w:r w:rsidR="0074487F"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numărul studenților echivalenți a fost repartiza</w:t>
      </w:r>
      <w:r w:rsidR="0074487F" w:rsidRPr="001C6DCE">
        <w:rPr>
          <w:rFonts w:asciiTheme="majorHAnsi" w:hAnsiTheme="majorHAnsi" w:cstheme="majorHAnsi"/>
          <w:sz w:val="24"/>
          <w:szCs w:val="24"/>
          <w:lang w:val="ro-MD"/>
        </w:rPr>
        <w:t>t</w:t>
      </w:r>
      <w:r w:rsidRPr="001C6DCE">
        <w:rPr>
          <w:rFonts w:asciiTheme="majorHAnsi" w:hAnsiTheme="majorHAnsi" w:cstheme="majorHAnsi"/>
          <w:sz w:val="24"/>
          <w:szCs w:val="24"/>
          <w:lang w:val="ro-MD"/>
        </w:rPr>
        <w:t xml:space="preserve"> pe cicluri de studii, iar alocațiile </w:t>
      </w:r>
      <w:r w:rsidR="0074487F" w:rsidRPr="001C6DCE">
        <w:rPr>
          <w:rFonts w:asciiTheme="majorHAnsi" w:hAnsiTheme="majorHAnsi" w:cstheme="majorHAnsi"/>
          <w:sz w:val="24"/>
          <w:szCs w:val="24"/>
          <w:lang w:val="ro-MD"/>
        </w:rPr>
        <w:t>s-</w:t>
      </w:r>
      <w:r w:rsidRPr="001C6DCE">
        <w:rPr>
          <w:rFonts w:asciiTheme="majorHAnsi" w:hAnsiTheme="majorHAnsi" w:cstheme="majorHAnsi"/>
          <w:sz w:val="24"/>
          <w:szCs w:val="24"/>
          <w:lang w:val="ro-MD"/>
        </w:rPr>
        <w:t xml:space="preserve">au repartizat pe tipuri de finanțare. </w:t>
      </w:r>
    </w:p>
    <w:p w14:paraId="3756F5DE" w14:textId="7F48C9C0" w:rsidR="005C3865" w:rsidRPr="001C6DCE" w:rsidRDefault="005C3865" w:rsidP="008C4E63">
      <w:pPr>
        <w:pStyle w:val="a8"/>
        <w:tabs>
          <w:tab w:val="left" w:pos="454"/>
        </w:tabs>
        <w:spacing w:line="276" w:lineRule="auto"/>
        <w:ind w:left="0" w:right="-45"/>
        <w:rPr>
          <w:rFonts w:asciiTheme="majorHAnsi" w:hAnsiTheme="majorHAnsi" w:cstheme="majorHAnsi"/>
          <w:sz w:val="24"/>
          <w:szCs w:val="24"/>
          <w:lang w:val="ro-MD"/>
        </w:rPr>
      </w:pPr>
      <w:r w:rsidRPr="001C6DCE">
        <w:rPr>
          <w:rFonts w:asciiTheme="majorHAnsi" w:hAnsiTheme="majorHAnsi" w:cstheme="majorHAnsi"/>
          <w:sz w:val="24"/>
          <w:szCs w:val="24"/>
          <w:lang w:val="ro-MD"/>
        </w:rPr>
        <w:t xml:space="preserve">Cu toate că MEC a întreprins măsuri </w:t>
      </w:r>
      <w:r w:rsidR="0074487F" w:rsidRPr="001C6DCE">
        <w:rPr>
          <w:rFonts w:asciiTheme="majorHAnsi" w:hAnsiTheme="majorHAnsi" w:cstheme="majorHAnsi"/>
          <w:sz w:val="24"/>
          <w:szCs w:val="24"/>
          <w:lang w:val="ro-MD"/>
        </w:rPr>
        <w:t>pentru</w:t>
      </w:r>
      <w:r w:rsidRPr="001C6DCE">
        <w:rPr>
          <w:rFonts w:asciiTheme="majorHAnsi" w:hAnsiTheme="majorHAnsi" w:cstheme="majorHAnsi"/>
          <w:sz w:val="24"/>
          <w:szCs w:val="24"/>
          <w:lang w:val="ro-MD"/>
        </w:rPr>
        <w:t xml:space="preserve"> reflect</w:t>
      </w:r>
      <w:r w:rsidR="0074487F" w:rsidRPr="001C6DCE">
        <w:rPr>
          <w:rFonts w:asciiTheme="majorHAnsi" w:hAnsiTheme="majorHAnsi" w:cstheme="majorHAnsi"/>
          <w:sz w:val="24"/>
          <w:szCs w:val="24"/>
          <w:lang w:val="ro-MD"/>
        </w:rPr>
        <w:t>area</w:t>
      </w:r>
      <w:r w:rsidRPr="001C6DCE">
        <w:rPr>
          <w:rFonts w:asciiTheme="majorHAnsi" w:hAnsiTheme="majorHAnsi" w:cstheme="majorHAnsi"/>
          <w:sz w:val="24"/>
          <w:szCs w:val="24"/>
          <w:lang w:val="ro-MD"/>
        </w:rPr>
        <w:t xml:space="preserve"> informațiilor privind indicarea numărului de studenți, </w:t>
      </w:r>
      <w:r w:rsidR="0074487F" w:rsidRPr="001C6DCE">
        <w:rPr>
          <w:rFonts w:asciiTheme="majorHAnsi" w:hAnsiTheme="majorHAnsi" w:cstheme="majorHAnsi"/>
          <w:sz w:val="24"/>
          <w:szCs w:val="24"/>
          <w:lang w:val="ro-MD"/>
        </w:rPr>
        <w:t xml:space="preserve">a </w:t>
      </w:r>
      <w:r w:rsidRPr="001C6DCE">
        <w:rPr>
          <w:rFonts w:asciiTheme="majorHAnsi" w:hAnsiTheme="majorHAnsi" w:cstheme="majorHAnsi"/>
          <w:sz w:val="24"/>
          <w:szCs w:val="24"/>
          <w:lang w:val="ro-MD"/>
        </w:rPr>
        <w:t>costul</w:t>
      </w:r>
      <w:r w:rsidR="0074487F" w:rsidRPr="001C6DCE">
        <w:rPr>
          <w:rFonts w:asciiTheme="majorHAnsi" w:hAnsiTheme="majorHAnsi" w:cstheme="majorHAnsi"/>
          <w:sz w:val="24"/>
          <w:szCs w:val="24"/>
          <w:lang w:val="ro-MD"/>
        </w:rPr>
        <w:t>ui-</w:t>
      </w:r>
      <w:r w:rsidRPr="001C6DCE">
        <w:rPr>
          <w:rFonts w:asciiTheme="majorHAnsi" w:hAnsiTheme="majorHAnsi" w:cstheme="majorHAnsi"/>
          <w:sz w:val="24"/>
          <w:szCs w:val="24"/>
          <w:lang w:val="ro-MD"/>
        </w:rPr>
        <w:t>standard per student etc. în actele de primire-predare a serviciilor educaționale, nu este clar cât constituie lunar finanțarea</w:t>
      </w:r>
      <w:r w:rsidR="003B0C75"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standard și finanțarea compensatorie. Serviciile educaționale prestate de instituțiile de învățământ superior către MEC</w:t>
      </w:r>
      <w:r w:rsidR="001E6F85"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aferente finanțării compensatorii (20%)</w:t>
      </w:r>
      <w:r w:rsidR="0074487F"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în sumă de 101</w:t>
      </w:r>
      <w:r w:rsidR="00186485"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90 mi</w:t>
      </w:r>
      <w:r w:rsidR="00186485" w:rsidRPr="001C6DCE">
        <w:rPr>
          <w:rFonts w:asciiTheme="majorHAnsi" w:hAnsiTheme="majorHAnsi" w:cstheme="majorHAnsi"/>
          <w:sz w:val="24"/>
          <w:szCs w:val="24"/>
          <w:lang w:val="ro-MD"/>
        </w:rPr>
        <w:t>l.</w:t>
      </w:r>
      <w:r w:rsidRPr="001C6DCE">
        <w:rPr>
          <w:rFonts w:asciiTheme="majorHAnsi" w:hAnsiTheme="majorHAnsi" w:cstheme="majorHAnsi"/>
          <w:sz w:val="24"/>
          <w:szCs w:val="24"/>
          <w:lang w:val="ro-MD"/>
        </w:rPr>
        <w:t>lei</w:t>
      </w:r>
      <w:r w:rsidR="0074487F"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au fost raportate împreună cu finanțarea</w:t>
      </w:r>
      <w:r w:rsidR="0074487F" w:rsidRPr="001C6DCE">
        <w:rPr>
          <w:rFonts w:asciiTheme="majorHAnsi" w:hAnsiTheme="majorHAnsi" w:cstheme="majorHAnsi"/>
          <w:sz w:val="24"/>
          <w:szCs w:val="24"/>
          <w:lang w:val="ro-MD"/>
        </w:rPr>
        <w:t>-</w:t>
      </w:r>
      <w:r w:rsidRPr="001C6DCE">
        <w:rPr>
          <w:rFonts w:asciiTheme="majorHAnsi" w:hAnsiTheme="majorHAnsi" w:cstheme="majorHAnsi"/>
          <w:i/>
          <w:sz w:val="24"/>
          <w:szCs w:val="24"/>
          <w:lang w:val="ro-MD"/>
        </w:rPr>
        <w:t>standard (75%)</w:t>
      </w:r>
      <w:r w:rsidRPr="001C6DCE">
        <w:rPr>
          <w:rFonts w:asciiTheme="majorHAnsi" w:hAnsiTheme="majorHAnsi" w:cstheme="majorHAnsi"/>
          <w:sz w:val="24"/>
          <w:szCs w:val="24"/>
          <w:lang w:val="ro-MD"/>
        </w:rPr>
        <w:t>, neținându-se cont de prevederile contract</w:t>
      </w:r>
      <w:r w:rsidR="0074487F" w:rsidRPr="001C6DCE">
        <w:rPr>
          <w:rFonts w:asciiTheme="majorHAnsi" w:hAnsiTheme="majorHAnsi" w:cstheme="majorHAnsi"/>
          <w:sz w:val="24"/>
          <w:szCs w:val="24"/>
          <w:lang w:val="ro-MD"/>
        </w:rPr>
        <w:t>elor</w:t>
      </w:r>
      <w:r w:rsidRPr="001C6DCE">
        <w:rPr>
          <w:rFonts w:asciiTheme="majorHAnsi" w:hAnsiTheme="majorHAnsi" w:cstheme="majorHAnsi"/>
          <w:sz w:val="24"/>
          <w:szCs w:val="24"/>
          <w:lang w:val="ro-MD"/>
        </w:rPr>
        <w:t xml:space="preserve"> încheiate.</w:t>
      </w:r>
    </w:p>
    <w:p w14:paraId="789F6875" w14:textId="689685BB" w:rsidR="005C3865" w:rsidRPr="001C6DCE" w:rsidRDefault="005C3865" w:rsidP="008C4E63">
      <w:pPr>
        <w:spacing w:after="0" w:line="276" w:lineRule="auto"/>
        <w:ind w:right="-45"/>
        <w:jc w:val="both"/>
        <w:rPr>
          <w:rFonts w:asciiTheme="majorHAnsi" w:eastAsia="Calibri" w:hAnsiTheme="majorHAnsi" w:cstheme="majorHAnsi"/>
          <w:sz w:val="24"/>
          <w:szCs w:val="24"/>
          <w:lang w:val="ro-MD"/>
        </w:rPr>
      </w:pPr>
      <w:r w:rsidRPr="001C6DCE">
        <w:rPr>
          <w:rFonts w:asciiTheme="majorHAnsi" w:eastAsia="Calibri" w:hAnsiTheme="majorHAnsi" w:cstheme="majorHAnsi"/>
          <w:sz w:val="24"/>
          <w:szCs w:val="24"/>
          <w:lang w:val="ro-MD"/>
        </w:rPr>
        <w:t>În contextul în care instituțiile urmau să întreprindă măsuri de restituire a cheltuielilor suportate pentru instruirea elevilor exmatriculați de la studii, auditul a efectuat verificarea selectivă la unele din</w:t>
      </w:r>
      <w:r w:rsidR="001E6F85" w:rsidRPr="001C6DCE">
        <w:rPr>
          <w:rFonts w:asciiTheme="majorHAnsi" w:eastAsia="Calibri" w:hAnsiTheme="majorHAnsi" w:cstheme="majorHAnsi"/>
          <w:sz w:val="24"/>
          <w:szCs w:val="24"/>
          <w:lang w:val="ro-MD"/>
        </w:rPr>
        <w:t>tre</w:t>
      </w:r>
      <w:r w:rsidRPr="001C6DCE">
        <w:rPr>
          <w:rFonts w:asciiTheme="majorHAnsi" w:eastAsia="Calibri" w:hAnsiTheme="majorHAnsi" w:cstheme="majorHAnsi"/>
          <w:sz w:val="24"/>
          <w:szCs w:val="24"/>
          <w:lang w:val="ro-MD"/>
        </w:rPr>
        <w:t xml:space="preserve"> acestea. Astfel, s-a constatat că 6 instituții au întreprins unele acțiuni de restituire</w:t>
      </w:r>
      <w:r w:rsidR="001E6F85" w:rsidRPr="001C6DCE">
        <w:rPr>
          <w:rFonts w:asciiTheme="majorHAnsi" w:eastAsia="Calibri" w:hAnsiTheme="majorHAnsi" w:cstheme="majorHAnsi"/>
          <w:sz w:val="24"/>
          <w:szCs w:val="24"/>
          <w:lang w:val="ro-MD"/>
        </w:rPr>
        <w:t>,</w:t>
      </w:r>
      <w:r w:rsidRPr="001C6DCE">
        <w:rPr>
          <w:rFonts w:asciiTheme="majorHAnsi" w:eastAsia="Calibri" w:hAnsiTheme="majorHAnsi" w:cstheme="majorHAnsi"/>
          <w:sz w:val="24"/>
          <w:szCs w:val="24"/>
          <w:lang w:val="ro-MD"/>
        </w:rPr>
        <w:t xml:space="preserve"> încas</w:t>
      </w:r>
      <w:r w:rsidR="001E6F85" w:rsidRPr="001C6DCE">
        <w:rPr>
          <w:rFonts w:asciiTheme="majorHAnsi" w:eastAsia="Calibri" w:hAnsiTheme="majorHAnsi" w:cstheme="majorHAnsi"/>
          <w:sz w:val="24"/>
          <w:szCs w:val="24"/>
          <w:lang w:val="ro-MD"/>
        </w:rPr>
        <w:t>ând</w:t>
      </w:r>
      <w:r w:rsidR="00721AC1">
        <w:rPr>
          <w:rFonts w:asciiTheme="majorHAnsi" w:eastAsia="Calibri" w:hAnsiTheme="majorHAnsi" w:cstheme="majorHAnsi"/>
          <w:sz w:val="24"/>
          <w:szCs w:val="24"/>
          <w:lang w:val="ro-MD"/>
        </w:rPr>
        <w:t xml:space="preserve"> </w:t>
      </w:r>
      <w:r w:rsidRPr="001C6DCE">
        <w:rPr>
          <w:rFonts w:asciiTheme="majorHAnsi" w:eastAsia="Calibri" w:hAnsiTheme="majorHAnsi" w:cstheme="majorHAnsi"/>
          <w:sz w:val="24"/>
          <w:szCs w:val="24"/>
          <w:lang w:val="ro-MD"/>
        </w:rPr>
        <w:t>în a</w:t>
      </w:r>
      <w:r w:rsidR="00186485" w:rsidRPr="001C6DCE">
        <w:rPr>
          <w:rFonts w:asciiTheme="majorHAnsi" w:eastAsia="Calibri" w:hAnsiTheme="majorHAnsi" w:cstheme="majorHAnsi"/>
          <w:sz w:val="24"/>
          <w:szCs w:val="24"/>
          <w:lang w:val="ro-MD"/>
        </w:rPr>
        <w:t xml:space="preserve">nul </w:t>
      </w:r>
      <w:r w:rsidRPr="001C6DCE">
        <w:rPr>
          <w:rFonts w:asciiTheme="majorHAnsi" w:eastAsia="Calibri" w:hAnsiTheme="majorHAnsi" w:cstheme="majorHAnsi"/>
          <w:sz w:val="24"/>
          <w:szCs w:val="24"/>
          <w:lang w:val="ro-MD"/>
        </w:rPr>
        <w:t xml:space="preserve">2022 mijloace financiare în sumă totală de </w:t>
      </w:r>
      <w:r w:rsidR="00186485" w:rsidRPr="001C6DCE">
        <w:rPr>
          <w:rFonts w:asciiTheme="majorHAnsi" w:eastAsia="Calibri" w:hAnsiTheme="majorHAnsi" w:cstheme="majorHAnsi"/>
          <w:sz w:val="24"/>
          <w:szCs w:val="24"/>
          <w:lang w:val="ro-MD"/>
        </w:rPr>
        <w:t>0,</w:t>
      </w:r>
      <w:r w:rsidRPr="001C6DCE">
        <w:rPr>
          <w:rFonts w:asciiTheme="majorHAnsi" w:eastAsia="Calibri" w:hAnsiTheme="majorHAnsi" w:cstheme="majorHAnsi"/>
          <w:sz w:val="24"/>
          <w:szCs w:val="24"/>
          <w:lang w:val="ro-MD"/>
        </w:rPr>
        <w:t>30 mi</w:t>
      </w:r>
      <w:r w:rsidR="00186485" w:rsidRPr="001C6DCE">
        <w:rPr>
          <w:rFonts w:asciiTheme="majorHAnsi" w:eastAsia="Calibri" w:hAnsiTheme="majorHAnsi" w:cstheme="majorHAnsi"/>
          <w:sz w:val="24"/>
          <w:szCs w:val="24"/>
          <w:lang w:val="ro-MD"/>
        </w:rPr>
        <w:t>l.</w:t>
      </w:r>
      <w:r w:rsidRPr="001C6DCE">
        <w:rPr>
          <w:rFonts w:asciiTheme="majorHAnsi" w:eastAsia="Calibri" w:hAnsiTheme="majorHAnsi" w:cstheme="majorHAnsi"/>
          <w:sz w:val="24"/>
          <w:szCs w:val="24"/>
          <w:lang w:val="ro-MD"/>
        </w:rPr>
        <w:t>lei</w:t>
      </w:r>
      <w:r w:rsidRPr="001C6DCE">
        <w:rPr>
          <w:rStyle w:val="a5"/>
          <w:rFonts w:asciiTheme="majorHAnsi" w:eastAsia="Calibri" w:hAnsiTheme="majorHAnsi" w:cstheme="majorHAnsi"/>
          <w:sz w:val="24"/>
          <w:szCs w:val="24"/>
          <w:lang w:val="ro-MD"/>
        </w:rPr>
        <w:footnoteReference w:id="43"/>
      </w:r>
      <w:r w:rsidRPr="001C6DCE">
        <w:rPr>
          <w:rFonts w:asciiTheme="majorHAnsi" w:eastAsia="Calibri" w:hAnsiTheme="majorHAnsi" w:cstheme="majorHAnsi"/>
          <w:sz w:val="24"/>
          <w:szCs w:val="24"/>
          <w:lang w:val="ro-MD"/>
        </w:rPr>
        <w:t xml:space="preserve">. </w:t>
      </w:r>
    </w:p>
    <w:p w14:paraId="4C3B323D" w14:textId="60A6855A" w:rsidR="005C3865" w:rsidRPr="001C6DCE" w:rsidRDefault="005C3865" w:rsidP="008C4E63">
      <w:pPr>
        <w:spacing w:after="0" w:line="276" w:lineRule="auto"/>
        <w:ind w:right="-45"/>
        <w:jc w:val="both"/>
        <w:rPr>
          <w:rFonts w:asciiTheme="majorHAnsi" w:hAnsiTheme="majorHAnsi" w:cstheme="majorHAnsi"/>
          <w:sz w:val="24"/>
          <w:szCs w:val="24"/>
          <w:lang w:val="ro-MD"/>
        </w:rPr>
      </w:pPr>
      <w:r w:rsidRPr="001C6DCE">
        <w:rPr>
          <w:rFonts w:asciiTheme="majorHAnsi" w:eastAsia="Calibri" w:hAnsiTheme="majorHAnsi" w:cstheme="majorHAnsi"/>
          <w:sz w:val="24"/>
          <w:szCs w:val="24"/>
          <w:lang w:val="ro-MD"/>
        </w:rPr>
        <w:t xml:space="preserve">Totodată, instituțiile de învățământ superior nu au aprobat proceduri interne clare prin care să asigure realizarea mecanismului de restituire la bugetul de stat a cheltuielilor suportate pentru instruirea studenților care au refuzat plasarea obligatorie în câmpul muncii și </w:t>
      </w:r>
      <w:r w:rsidR="001E6F85" w:rsidRPr="001C6DCE">
        <w:rPr>
          <w:rFonts w:asciiTheme="majorHAnsi" w:eastAsia="Calibri" w:hAnsiTheme="majorHAnsi" w:cstheme="majorHAnsi"/>
          <w:sz w:val="24"/>
          <w:szCs w:val="24"/>
          <w:lang w:val="ro-MD"/>
        </w:rPr>
        <w:t xml:space="preserve">a </w:t>
      </w:r>
      <w:r w:rsidRPr="001C6DCE">
        <w:rPr>
          <w:rFonts w:asciiTheme="majorHAnsi" w:eastAsia="Calibri" w:hAnsiTheme="majorHAnsi" w:cstheme="majorHAnsi"/>
          <w:sz w:val="24"/>
          <w:szCs w:val="24"/>
          <w:lang w:val="ro-MD"/>
        </w:rPr>
        <w:t xml:space="preserve">celor exmatriculați de la studii. </w:t>
      </w:r>
    </w:p>
    <w:p w14:paraId="63A2636D" w14:textId="7195490C" w:rsidR="005C3865" w:rsidRPr="001C6DCE" w:rsidRDefault="005C3865" w:rsidP="008C4E63">
      <w:pPr>
        <w:spacing w:after="0" w:line="276" w:lineRule="auto"/>
        <w:ind w:right="-45"/>
        <w:jc w:val="both"/>
        <w:rPr>
          <w:rFonts w:asciiTheme="majorHAnsi" w:eastAsia="Calibri" w:hAnsiTheme="majorHAnsi" w:cstheme="majorHAnsi"/>
          <w:sz w:val="24"/>
          <w:szCs w:val="24"/>
          <w:lang w:val="ro-MD"/>
        </w:rPr>
      </w:pPr>
      <w:r w:rsidRPr="001C6DCE">
        <w:rPr>
          <w:rFonts w:asciiTheme="majorHAnsi" w:hAnsiTheme="majorHAnsi" w:cstheme="majorHAnsi"/>
          <w:bCs/>
          <w:iCs/>
          <w:sz w:val="24"/>
          <w:szCs w:val="24"/>
          <w:lang w:val="ro-MD"/>
        </w:rPr>
        <w:t>Statul suportă cheltuieli considerabile pentru instruirea</w:t>
      </w:r>
      <w:r w:rsidR="00721AC1">
        <w:rPr>
          <w:rFonts w:asciiTheme="majorHAnsi" w:hAnsiTheme="majorHAnsi" w:cstheme="majorHAnsi"/>
          <w:bCs/>
          <w:iCs/>
          <w:sz w:val="24"/>
          <w:szCs w:val="24"/>
          <w:lang w:val="ro-MD"/>
        </w:rPr>
        <w:t xml:space="preserve"> </w:t>
      </w:r>
      <w:r w:rsidR="002763B9" w:rsidRPr="001C6DCE">
        <w:rPr>
          <w:rFonts w:asciiTheme="majorHAnsi" w:hAnsiTheme="majorHAnsi" w:cstheme="majorHAnsi"/>
          <w:bCs/>
          <w:iCs/>
          <w:sz w:val="24"/>
          <w:szCs w:val="24"/>
          <w:lang w:val="ro-MD"/>
        </w:rPr>
        <w:t>elevilor/</w:t>
      </w:r>
      <w:r w:rsidRPr="001C6DCE">
        <w:rPr>
          <w:rFonts w:asciiTheme="majorHAnsi" w:hAnsiTheme="majorHAnsi" w:cstheme="majorHAnsi"/>
          <w:bCs/>
          <w:iCs/>
          <w:sz w:val="24"/>
          <w:szCs w:val="24"/>
          <w:lang w:val="ro-MD"/>
        </w:rPr>
        <w:t xml:space="preserve">studenților exmatriculați, ceea ce duce la suportarea unor cheltuieli ineficiente din buget. </w:t>
      </w:r>
      <w:r w:rsidRPr="001C6DCE">
        <w:rPr>
          <w:rFonts w:asciiTheme="majorHAnsi" w:eastAsia="Calibri" w:hAnsiTheme="majorHAnsi" w:cstheme="majorHAnsi"/>
          <w:sz w:val="24"/>
          <w:szCs w:val="24"/>
          <w:lang w:val="ro-MD"/>
        </w:rPr>
        <w:t xml:space="preserve">De menționat că, </w:t>
      </w:r>
      <w:r w:rsidR="001E6F85" w:rsidRPr="001C6DCE">
        <w:rPr>
          <w:rFonts w:asciiTheme="majorHAnsi" w:eastAsia="Calibri" w:hAnsiTheme="majorHAnsi" w:cstheme="majorHAnsi"/>
          <w:sz w:val="24"/>
          <w:szCs w:val="24"/>
          <w:lang w:val="ro-MD"/>
        </w:rPr>
        <w:t>potrivit</w:t>
      </w:r>
      <w:r w:rsidRPr="001C6DCE">
        <w:rPr>
          <w:rFonts w:asciiTheme="majorHAnsi" w:eastAsia="Calibri" w:hAnsiTheme="majorHAnsi" w:cstheme="majorHAnsi"/>
          <w:sz w:val="24"/>
          <w:szCs w:val="24"/>
          <w:lang w:val="ro-MD"/>
        </w:rPr>
        <w:t xml:space="preserve"> datelor prezentate de instituțiile de învățământ</w:t>
      </w:r>
      <w:r w:rsidR="001E6F85" w:rsidRPr="001C6DCE">
        <w:rPr>
          <w:rFonts w:asciiTheme="majorHAnsi" w:eastAsia="Calibri" w:hAnsiTheme="majorHAnsi" w:cstheme="majorHAnsi"/>
          <w:sz w:val="24"/>
          <w:szCs w:val="24"/>
          <w:lang w:val="ro-MD"/>
        </w:rPr>
        <w:t>,</w:t>
      </w:r>
      <w:r w:rsidRPr="001C6DCE">
        <w:rPr>
          <w:rFonts w:asciiTheme="majorHAnsi" w:eastAsia="Calibri" w:hAnsiTheme="majorHAnsi" w:cstheme="majorHAnsi"/>
          <w:sz w:val="24"/>
          <w:szCs w:val="24"/>
          <w:lang w:val="ro-MD"/>
        </w:rPr>
        <w:t xml:space="preserve"> în anul 2022 au fost exmatriculați 5160</w:t>
      </w:r>
      <w:r w:rsidRPr="001C6DCE">
        <w:rPr>
          <w:rStyle w:val="a5"/>
          <w:rFonts w:asciiTheme="majorHAnsi" w:eastAsia="Calibri" w:hAnsiTheme="majorHAnsi" w:cstheme="majorHAnsi"/>
          <w:sz w:val="24"/>
          <w:szCs w:val="24"/>
          <w:lang w:val="ro-MD"/>
        </w:rPr>
        <w:footnoteReference w:id="44"/>
      </w:r>
      <w:r w:rsidR="002763B9" w:rsidRPr="001C6DCE">
        <w:rPr>
          <w:rFonts w:asciiTheme="majorHAnsi" w:eastAsia="Calibri" w:hAnsiTheme="majorHAnsi" w:cstheme="majorHAnsi"/>
          <w:sz w:val="24"/>
          <w:szCs w:val="24"/>
          <w:lang w:val="ro-MD"/>
        </w:rPr>
        <w:t xml:space="preserve"> </w:t>
      </w:r>
      <w:r w:rsidR="001E6F85" w:rsidRPr="001C6DCE">
        <w:rPr>
          <w:rFonts w:asciiTheme="majorHAnsi" w:eastAsia="Calibri" w:hAnsiTheme="majorHAnsi" w:cstheme="majorHAnsi"/>
          <w:sz w:val="24"/>
          <w:szCs w:val="24"/>
          <w:lang w:val="ro-MD"/>
        </w:rPr>
        <w:t xml:space="preserve">de </w:t>
      </w:r>
      <w:r w:rsidR="002763B9" w:rsidRPr="001C6DCE">
        <w:rPr>
          <w:rFonts w:asciiTheme="majorHAnsi" w:eastAsia="Calibri" w:hAnsiTheme="majorHAnsi" w:cstheme="majorHAnsi"/>
          <w:sz w:val="24"/>
          <w:szCs w:val="24"/>
          <w:lang w:val="ro-MD"/>
        </w:rPr>
        <w:t>persoane</w:t>
      </w:r>
      <w:r w:rsidRPr="001C6DCE">
        <w:rPr>
          <w:rFonts w:asciiTheme="majorHAnsi" w:eastAsia="Calibri" w:hAnsiTheme="majorHAnsi" w:cstheme="majorHAnsi"/>
          <w:sz w:val="24"/>
          <w:szCs w:val="24"/>
          <w:lang w:val="ro-MD"/>
        </w:rPr>
        <w:t xml:space="preserve">. </w:t>
      </w:r>
      <w:r w:rsidRPr="001C6DCE">
        <w:rPr>
          <w:rFonts w:asciiTheme="majorHAnsi" w:hAnsiTheme="majorHAnsi" w:cstheme="majorHAnsi"/>
          <w:bCs/>
          <w:iCs/>
          <w:sz w:val="24"/>
          <w:szCs w:val="24"/>
          <w:lang w:val="ro-MD"/>
        </w:rPr>
        <w:t>Astfel, c</w:t>
      </w:r>
      <w:r w:rsidRPr="001C6DCE">
        <w:rPr>
          <w:rFonts w:asciiTheme="majorHAnsi" w:hAnsiTheme="majorHAnsi" w:cstheme="majorHAnsi"/>
          <w:sz w:val="24"/>
          <w:szCs w:val="24"/>
          <w:lang w:val="ro-MD"/>
        </w:rPr>
        <w:t>heltuielile suportate de stat pentru pregătirea acestora doar pentru un an de studii (fără bursă), evaluate de audit</w:t>
      </w:r>
      <w:r w:rsidR="001E6F85"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constituie cca 100</w:t>
      </w:r>
      <w:r w:rsidR="007C278F"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1</w:t>
      </w:r>
      <w:r w:rsidR="007C278F" w:rsidRPr="001C6DCE">
        <w:rPr>
          <w:rFonts w:asciiTheme="majorHAnsi" w:hAnsiTheme="majorHAnsi" w:cstheme="majorHAnsi"/>
          <w:sz w:val="24"/>
          <w:szCs w:val="24"/>
          <w:lang w:val="ro-MD"/>
        </w:rPr>
        <w:t>5</w:t>
      </w:r>
      <w:r w:rsidRPr="001C6DCE">
        <w:rPr>
          <w:rFonts w:asciiTheme="majorHAnsi" w:hAnsiTheme="majorHAnsi" w:cstheme="majorHAnsi"/>
          <w:sz w:val="24"/>
          <w:szCs w:val="24"/>
          <w:lang w:val="ro-MD"/>
        </w:rPr>
        <w:t xml:space="preserve"> mi</w:t>
      </w:r>
      <w:r w:rsidR="007C278F" w:rsidRPr="001C6DCE">
        <w:rPr>
          <w:rFonts w:asciiTheme="majorHAnsi" w:hAnsiTheme="majorHAnsi" w:cstheme="majorHAnsi"/>
          <w:sz w:val="24"/>
          <w:szCs w:val="24"/>
          <w:lang w:val="ro-MD"/>
        </w:rPr>
        <w:t>l.</w:t>
      </w:r>
      <w:r w:rsidRPr="001C6DCE">
        <w:rPr>
          <w:rFonts w:asciiTheme="majorHAnsi" w:hAnsiTheme="majorHAnsi" w:cstheme="majorHAnsi"/>
          <w:sz w:val="24"/>
          <w:szCs w:val="24"/>
          <w:lang w:val="ro-MD"/>
        </w:rPr>
        <w:t>lei</w:t>
      </w:r>
      <w:r w:rsidRPr="001C6DCE">
        <w:rPr>
          <w:rStyle w:val="a5"/>
          <w:rFonts w:asciiTheme="majorHAnsi" w:eastAsia="Calibri" w:hAnsiTheme="majorHAnsi" w:cstheme="majorHAnsi"/>
          <w:sz w:val="24"/>
          <w:szCs w:val="24"/>
          <w:lang w:val="ro-MD"/>
        </w:rPr>
        <w:footnoteReference w:id="45"/>
      </w:r>
      <w:r w:rsidRPr="001C6DCE">
        <w:rPr>
          <w:rFonts w:asciiTheme="majorHAnsi" w:hAnsiTheme="majorHAnsi" w:cstheme="majorHAnsi"/>
          <w:sz w:val="24"/>
          <w:szCs w:val="24"/>
          <w:lang w:val="ro-MD"/>
        </w:rPr>
        <w:t>.</w:t>
      </w:r>
    </w:p>
    <w:p w14:paraId="2D52EEAF" w14:textId="7BD20B0E" w:rsidR="006772FE" w:rsidRPr="001C6DCE" w:rsidRDefault="006772FE" w:rsidP="008C4E63">
      <w:pPr>
        <w:pStyle w:val="a8"/>
        <w:tabs>
          <w:tab w:val="left" w:pos="284"/>
        </w:tabs>
        <w:spacing w:line="276" w:lineRule="auto"/>
        <w:ind w:left="0"/>
        <w:rPr>
          <w:rFonts w:asciiTheme="majorHAnsi" w:hAnsiTheme="majorHAnsi" w:cstheme="majorHAnsi"/>
          <w:sz w:val="24"/>
          <w:szCs w:val="24"/>
          <w:lang w:val="ro-MD"/>
        </w:rPr>
      </w:pPr>
      <w:r w:rsidRPr="001C6DCE">
        <w:rPr>
          <w:rFonts w:asciiTheme="majorHAnsi" w:eastAsia="Calibri" w:hAnsiTheme="majorHAnsi" w:cstheme="majorHAnsi"/>
          <w:bCs/>
          <w:iCs/>
          <w:sz w:val="24"/>
          <w:szCs w:val="24"/>
          <w:lang w:val="ro-RO"/>
        </w:rPr>
        <w:t>În anul 202</w:t>
      </w:r>
      <w:r w:rsidR="009B24F4" w:rsidRPr="001C6DCE">
        <w:rPr>
          <w:rFonts w:asciiTheme="majorHAnsi" w:eastAsia="Calibri" w:hAnsiTheme="majorHAnsi" w:cstheme="majorHAnsi"/>
          <w:bCs/>
          <w:iCs/>
          <w:sz w:val="24"/>
          <w:szCs w:val="24"/>
          <w:lang w:val="ro-RO"/>
        </w:rPr>
        <w:t>2</w:t>
      </w:r>
      <w:r w:rsidR="001E6F85" w:rsidRPr="001C6DCE">
        <w:rPr>
          <w:rFonts w:asciiTheme="majorHAnsi" w:eastAsia="Calibri" w:hAnsiTheme="majorHAnsi" w:cstheme="majorHAnsi"/>
          <w:bCs/>
          <w:iCs/>
          <w:sz w:val="24"/>
          <w:szCs w:val="24"/>
          <w:lang w:val="ro-RO"/>
        </w:rPr>
        <w:t>,</w:t>
      </w:r>
      <w:r w:rsidRPr="001C6DCE">
        <w:rPr>
          <w:rFonts w:asciiTheme="majorHAnsi" w:eastAsia="Calibri" w:hAnsiTheme="majorHAnsi" w:cstheme="majorHAnsi"/>
          <w:bCs/>
          <w:iCs/>
          <w:sz w:val="24"/>
          <w:szCs w:val="24"/>
          <w:lang w:val="ro-RO"/>
        </w:rPr>
        <w:t xml:space="preserve"> </w:t>
      </w:r>
      <w:r w:rsidR="009B24F4" w:rsidRPr="001C6DCE">
        <w:rPr>
          <w:rFonts w:asciiTheme="majorHAnsi" w:eastAsia="Calibri" w:hAnsiTheme="majorHAnsi" w:cstheme="majorHAnsi"/>
          <w:bCs/>
          <w:iCs/>
          <w:sz w:val="24"/>
          <w:szCs w:val="24"/>
          <w:lang w:val="ro-RO"/>
        </w:rPr>
        <w:t>MEC</w:t>
      </w:r>
      <w:r w:rsidRPr="001C6DCE">
        <w:rPr>
          <w:rFonts w:asciiTheme="majorHAnsi" w:eastAsia="Calibri" w:hAnsiTheme="majorHAnsi" w:cstheme="majorHAnsi"/>
          <w:bCs/>
          <w:iCs/>
          <w:sz w:val="24"/>
          <w:szCs w:val="24"/>
          <w:lang w:val="ro-RO"/>
        </w:rPr>
        <w:t xml:space="preserve"> nu a întreprins măsuri </w:t>
      </w:r>
      <w:r w:rsidRPr="001C6DCE">
        <w:rPr>
          <w:rFonts w:asciiTheme="majorHAnsi" w:eastAsia="Times New Roman" w:hAnsiTheme="majorHAnsi" w:cstheme="majorHAnsi"/>
          <w:bCs/>
          <w:sz w:val="24"/>
          <w:szCs w:val="24"/>
          <w:lang w:val="ro-RO"/>
        </w:rPr>
        <w:t>pentru elaborarea</w:t>
      </w:r>
      <w:r w:rsidRPr="001C6DCE">
        <w:rPr>
          <w:rFonts w:asciiTheme="majorHAnsi" w:eastAsia="Times New Roman" w:hAnsiTheme="majorHAnsi" w:cstheme="majorHAnsi"/>
          <w:sz w:val="24"/>
          <w:szCs w:val="24"/>
          <w:lang w:val="ro-RO" w:eastAsia="ru-RU"/>
        </w:rPr>
        <w:t xml:space="preserve"> Metodologiei de restituire la bugetul de stat a </w:t>
      </w:r>
      <w:r w:rsidRPr="001C6DCE">
        <w:rPr>
          <w:rFonts w:asciiTheme="majorHAnsi" w:eastAsia="Times New Roman" w:hAnsiTheme="majorHAnsi" w:cstheme="majorHAnsi"/>
          <w:sz w:val="24"/>
          <w:szCs w:val="24"/>
          <w:lang w:val="ro-MD" w:eastAsia="ru-RU"/>
        </w:rPr>
        <w:t>cheltuielilor pentru instruire, c</w:t>
      </w:r>
      <w:r w:rsidR="001E6F85" w:rsidRPr="001C6DCE">
        <w:rPr>
          <w:rFonts w:asciiTheme="majorHAnsi" w:eastAsia="Times New Roman" w:hAnsiTheme="majorHAnsi" w:cstheme="majorHAnsi"/>
          <w:sz w:val="24"/>
          <w:szCs w:val="24"/>
          <w:lang w:val="ro-MD" w:eastAsia="ru-RU"/>
        </w:rPr>
        <w:t>ar</w:t>
      </w:r>
      <w:r w:rsidRPr="001C6DCE">
        <w:rPr>
          <w:rFonts w:asciiTheme="majorHAnsi" w:eastAsia="Times New Roman" w:hAnsiTheme="majorHAnsi" w:cstheme="majorHAnsi"/>
          <w:sz w:val="24"/>
          <w:szCs w:val="24"/>
          <w:lang w:val="ro-MD" w:eastAsia="ru-RU"/>
        </w:rPr>
        <w:t>e urma să fie aprobată în modul stabilit de Guvern</w:t>
      </w:r>
      <w:r w:rsidRPr="001C6DCE">
        <w:rPr>
          <w:rFonts w:asciiTheme="majorHAnsi" w:hAnsiTheme="majorHAnsi" w:cstheme="majorHAnsi"/>
          <w:sz w:val="24"/>
          <w:szCs w:val="24"/>
          <w:vertAlign w:val="superscript"/>
          <w:lang w:val="ro-MD" w:eastAsia="ru-RU"/>
        </w:rPr>
        <w:footnoteReference w:id="46"/>
      </w:r>
      <w:r w:rsidR="001E6F85" w:rsidRPr="001C6DCE">
        <w:rPr>
          <w:rFonts w:asciiTheme="majorHAnsi" w:eastAsia="Times New Roman" w:hAnsiTheme="majorHAnsi" w:cstheme="majorHAnsi"/>
          <w:sz w:val="24"/>
          <w:szCs w:val="24"/>
          <w:lang w:val="ro-MD" w:eastAsia="ru-RU"/>
        </w:rPr>
        <w:t>,</w:t>
      </w:r>
      <w:r w:rsidR="00721AC1">
        <w:rPr>
          <w:rFonts w:asciiTheme="majorHAnsi" w:eastAsia="Times New Roman" w:hAnsiTheme="majorHAnsi" w:cstheme="majorHAnsi"/>
          <w:sz w:val="24"/>
          <w:szCs w:val="24"/>
          <w:lang w:val="ro-MD" w:eastAsia="ru-RU"/>
        </w:rPr>
        <w:t xml:space="preserve"> </w:t>
      </w:r>
      <w:r w:rsidRPr="001C6DCE">
        <w:rPr>
          <w:rFonts w:asciiTheme="majorHAnsi" w:eastAsia="Calibri" w:hAnsiTheme="majorHAnsi" w:cstheme="majorHAnsi"/>
          <w:bCs/>
          <w:iCs/>
          <w:sz w:val="24"/>
          <w:szCs w:val="24"/>
          <w:lang w:val="ro-MD"/>
        </w:rPr>
        <w:t>pentru a asigura</w:t>
      </w:r>
      <w:r w:rsidRPr="001C6DCE">
        <w:rPr>
          <w:rFonts w:asciiTheme="majorHAnsi" w:eastAsia="Calibri" w:hAnsiTheme="majorHAnsi" w:cstheme="majorHAnsi"/>
          <w:sz w:val="24"/>
          <w:szCs w:val="24"/>
          <w:lang w:val="ro-MD"/>
        </w:rPr>
        <w:t xml:space="preserve"> restituirea la bugetul de stat a cheltuielilor suportate pentru instruirea studenților care au refuzat plasarea obligatorie în câmpul muncii și a celor exmatriculați</w:t>
      </w:r>
      <w:r w:rsidR="001E6F85" w:rsidRPr="001C6DCE">
        <w:rPr>
          <w:rFonts w:asciiTheme="majorHAnsi" w:eastAsia="Calibri" w:hAnsiTheme="majorHAnsi" w:cstheme="majorHAnsi"/>
          <w:sz w:val="24"/>
          <w:szCs w:val="24"/>
          <w:lang w:val="ro-MD"/>
        </w:rPr>
        <w:t>. A</w:t>
      </w:r>
      <w:r w:rsidRPr="001C6DCE">
        <w:rPr>
          <w:rFonts w:asciiTheme="majorHAnsi" w:eastAsia="Calibri" w:hAnsiTheme="majorHAnsi" w:cstheme="majorHAnsi"/>
          <w:sz w:val="24"/>
          <w:szCs w:val="24"/>
          <w:lang w:val="ro-MD"/>
        </w:rPr>
        <w:t>stfel</w:t>
      </w:r>
      <w:r w:rsidR="001E6F85" w:rsidRPr="001C6DCE">
        <w:rPr>
          <w:rFonts w:asciiTheme="majorHAnsi" w:eastAsia="Calibri" w:hAnsiTheme="majorHAnsi" w:cstheme="majorHAnsi"/>
          <w:sz w:val="24"/>
          <w:szCs w:val="24"/>
          <w:lang w:val="ro-MD"/>
        </w:rPr>
        <w:t>,</w:t>
      </w:r>
      <w:r w:rsidRPr="001C6DCE">
        <w:rPr>
          <w:rFonts w:asciiTheme="majorHAnsi" w:eastAsia="Calibri" w:hAnsiTheme="majorHAnsi" w:cstheme="majorHAnsi"/>
          <w:sz w:val="24"/>
          <w:szCs w:val="24"/>
          <w:lang w:val="ro-MD"/>
        </w:rPr>
        <w:t xml:space="preserve"> auditul </w:t>
      </w:r>
      <w:r w:rsidR="001E6F85" w:rsidRPr="001C6DCE">
        <w:rPr>
          <w:rFonts w:asciiTheme="majorHAnsi" w:eastAsia="Calibri" w:hAnsiTheme="majorHAnsi" w:cstheme="majorHAnsi"/>
          <w:sz w:val="24"/>
          <w:szCs w:val="24"/>
          <w:lang w:val="ro-MD"/>
        </w:rPr>
        <w:t xml:space="preserve">a </w:t>
      </w:r>
      <w:r w:rsidRPr="001C6DCE">
        <w:rPr>
          <w:rFonts w:asciiTheme="majorHAnsi" w:eastAsia="Calibri" w:hAnsiTheme="majorHAnsi" w:cstheme="majorHAnsi"/>
          <w:sz w:val="24"/>
          <w:szCs w:val="24"/>
          <w:lang w:val="ro-MD"/>
        </w:rPr>
        <w:t>constat</w:t>
      </w:r>
      <w:r w:rsidR="001E6F85" w:rsidRPr="001C6DCE">
        <w:rPr>
          <w:rFonts w:asciiTheme="majorHAnsi" w:eastAsia="Calibri" w:hAnsiTheme="majorHAnsi" w:cstheme="majorHAnsi"/>
          <w:sz w:val="24"/>
          <w:szCs w:val="24"/>
          <w:lang w:val="ro-MD"/>
        </w:rPr>
        <w:t>at</w:t>
      </w:r>
      <w:r w:rsidRPr="001C6DCE">
        <w:rPr>
          <w:rFonts w:asciiTheme="majorHAnsi" w:eastAsia="Calibri" w:hAnsiTheme="majorHAnsi" w:cstheme="majorHAnsi"/>
          <w:sz w:val="24"/>
          <w:szCs w:val="24"/>
          <w:lang w:val="ro-MD"/>
        </w:rPr>
        <w:t xml:space="preserve"> menținerea deficiențelor reflectate în rapoartele de audit precedente.</w:t>
      </w:r>
    </w:p>
    <w:p w14:paraId="3B5F0F0A" w14:textId="3709B5E5" w:rsidR="00A76A25" w:rsidRPr="00A76A25" w:rsidRDefault="00086623" w:rsidP="00A76A25">
      <w:pPr>
        <w:tabs>
          <w:tab w:val="left" w:pos="284"/>
        </w:tabs>
        <w:spacing w:after="0" w:line="276" w:lineRule="auto"/>
        <w:ind w:right="-10"/>
        <w:jc w:val="both"/>
        <w:rPr>
          <w:rFonts w:asciiTheme="majorHAnsi" w:eastAsia="Calibri" w:hAnsiTheme="majorHAnsi" w:cstheme="majorHAnsi"/>
          <w:bCs/>
          <w:sz w:val="24"/>
          <w:szCs w:val="24"/>
          <w:lang w:val="ro-MD"/>
        </w:rPr>
      </w:pPr>
      <w:r w:rsidRPr="001C6DCE">
        <w:rPr>
          <w:rFonts w:asciiTheme="majorHAnsi" w:eastAsia="Calibri" w:hAnsiTheme="majorHAnsi" w:cstheme="majorHAnsi"/>
          <w:b/>
          <w:sz w:val="24"/>
          <w:szCs w:val="24"/>
          <w:lang w:val="ro-MD"/>
        </w:rPr>
        <w:t>6.6.</w:t>
      </w:r>
      <w:r w:rsidR="00CE7EF1" w:rsidRPr="001C6DCE">
        <w:rPr>
          <w:rFonts w:asciiTheme="majorHAnsi" w:eastAsia="Calibri" w:hAnsiTheme="majorHAnsi" w:cstheme="majorHAnsi"/>
          <w:b/>
          <w:sz w:val="24"/>
          <w:szCs w:val="24"/>
          <w:lang w:val="ro-MD"/>
        </w:rPr>
        <w:t xml:space="preserve"> </w:t>
      </w:r>
      <w:r w:rsidR="00A76A25" w:rsidRPr="00A76A25">
        <w:rPr>
          <w:rFonts w:asciiTheme="majorHAnsi" w:eastAsia="Calibri" w:hAnsiTheme="majorHAnsi" w:cstheme="majorHAnsi"/>
          <w:bCs/>
          <w:sz w:val="24"/>
          <w:szCs w:val="24"/>
          <w:lang w:val="ro-MD"/>
        </w:rPr>
        <w:t xml:space="preserve">MEC dispune de bunuri care nu sunt necesare în activitatea sa, cum ar investițiile capitale în valoare de </w:t>
      </w:r>
      <w:r w:rsidR="00A76A25" w:rsidRPr="007D76D3">
        <w:rPr>
          <w:rFonts w:asciiTheme="majorHAnsi" w:eastAsia="Calibri" w:hAnsiTheme="majorHAnsi" w:cstheme="majorHAnsi"/>
          <w:b/>
          <w:sz w:val="24"/>
          <w:szCs w:val="24"/>
          <w:lang w:val="ro-MD"/>
        </w:rPr>
        <w:t>15,4 mil.lei</w:t>
      </w:r>
      <w:r w:rsidR="00A76A25" w:rsidRPr="00A76A25">
        <w:rPr>
          <w:rFonts w:asciiTheme="majorHAnsi" w:eastAsia="Calibri" w:hAnsiTheme="majorHAnsi" w:cstheme="majorHAnsi"/>
          <w:bCs/>
          <w:sz w:val="24"/>
          <w:szCs w:val="24"/>
          <w:lang w:val="ro-MD"/>
        </w:rPr>
        <w:t xml:space="preserve"> efectuate în construcția a 14 instituții</w:t>
      </w:r>
      <w:r w:rsidR="00A76A25" w:rsidRPr="00A76A25">
        <w:rPr>
          <w:rFonts w:asciiTheme="majorHAnsi" w:eastAsia="Calibri" w:hAnsiTheme="majorHAnsi" w:cstheme="majorHAnsi"/>
          <w:bCs/>
          <w:sz w:val="24"/>
          <w:szCs w:val="24"/>
          <w:vertAlign w:val="superscript"/>
          <w:lang w:val="ro-MD"/>
        </w:rPr>
        <w:footnoteReference w:id="47"/>
      </w:r>
      <w:r w:rsidR="00A76A25" w:rsidRPr="00A76A25">
        <w:rPr>
          <w:rFonts w:asciiTheme="majorHAnsi" w:eastAsia="Calibri" w:hAnsiTheme="majorHAnsi" w:cstheme="majorHAnsi"/>
          <w:bCs/>
          <w:sz w:val="24"/>
          <w:szCs w:val="24"/>
          <w:lang w:val="ro-MD"/>
        </w:rPr>
        <w:t xml:space="preserve"> de învățământ din diferite localități ale RM realizate în anii 1990, necesitatea finalizării cărora a decăzut și care urmau a fi transmise în gestiunea Autorităților Publice Locale. Menționăm că</w:t>
      </w:r>
      <w:r w:rsidR="00A76A25">
        <w:rPr>
          <w:rFonts w:asciiTheme="majorHAnsi" w:eastAsia="Calibri" w:hAnsiTheme="majorHAnsi" w:cstheme="majorHAnsi"/>
          <w:bCs/>
          <w:sz w:val="24"/>
          <w:szCs w:val="24"/>
          <w:lang w:val="ro-MD"/>
        </w:rPr>
        <w:t>,</w:t>
      </w:r>
      <w:r w:rsidR="00A76A25" w:rsidRPr="00A76A25">
        <w:rPr>
          <w:rFonts w:asciiTheme="majorHAnsi" w:eastAsia="Calibri" w:hAnsiTheme="majorHAnsi" w:cstheme="majorHAnsi"/>
          <w:bCs/>
          <w:sz w:val="24"/>
          <w:szCs w:val="24"/>
          <w:lang w:val="ro-MD"/>
        </w:rPr>
        <w:t xml:space="preserve"> în urma verificărilor efectuate în teren</w:t>
      </w:r>
      <w:r w:rsidR="00A76A25">
        <w:rPr>
          <w:rFonts w:asciiTheme="majorHAnsi" w:eastAsia="Calibri" w:hAnsiTheme="majorHAnsi" w:cstheme="majorHAnsi"/>
          <w:bCs/>
          <w:sz w:val="24"/>
          <w:szCs w:val="24"/>
          <w:lang w:val="ro-MD"/>
        </w:rPr>
        <w:t>,</w:t>
      </w:r>
      <w:r w:rsidR="00A76A25" w:rsidRPr="00A76A25">
        <w:rPr>
          <w:rFonts w:asciiTheme="majorHAnsi" w:eastAsia="Calibri" w:hAnsiTheme="majorHAnsi" w:cstheme="majorHAnsi"/>
          <w:bCs/>
          <w:sz w:val="24"/>
          <w:szCs w:val="24"/>
          <w:lang w:val="ro-MD"/>
        </w:rPr>
        <w:t xml:space="preserve"> 12 construcții nefinisate atestă un grad înalt de deteriorare/ruinare, iar în două cazuri chiar lipsa construcțiilor. </w:t>
      </w:r>
    </w:p>
    <w:p w14:paraId="483DAFBC" w14:textId="197CCC8A" w:rsidR="00A76A25" w:rsidRPr="00A76A25" w:rsidRDefault="00A76A25" w:rsidP="00A76A25">
      <w:pPr>
        <w:tabs>
          <w:tab w:val="left" w:pos="284"/>
        </w:tabs>
        <w:spacing w:after="0" w:line="276" w:lineRule="auto"/>
        <w:ind w:right="-10"/>
        <w:jc w:val="both"/>
        <w:rPr>
          <w:rFonts w:asciiTheme="majorHAnsi" w:eastAsia="Calibri" w:hAnsiTheme="majorHAnsi" w:cstheme="majorHAnsi"/>
          <w:bCs/>
          <w:sz w:val="24"/>
          <w:szCs w:val="24"/>
          <w:lang w:val="ro-MD"/>
        </w:rPr>
      </w:pPr>
      <w:r w:rsidRPr="00A76A25">
        <w:rPr>
          <w:rFonts w:asciiTheme="majorHAnsi" w:eastAsia="Calibri" w:hAnsiTheme="majorHAnsi" w:cstheme="majorHAnsi"/>
          <w:bCs/>
          <w:sz w:val="24"/>
          <w:szCs w:val="24"/>
          <w:lang w:val="ro-MD"/>
        </w:rPr>
        <w:t>Lipsa prevederilor legale și abrogarea în anul 2013 a HG nr.875/1999</w:t>
      </w:r>
      <w:r>
        <w:rPr>
          <w:rStyle w:val="a5"/>
          <w:rFonts w:asciiTheme="majorHAnsi" w:eastAsia="Calibri" w:hAnsiTheme="majorHAnsi" w:cstheme="majorHAnsi"/>
          <w:bCs/>
          <w:sz w:val="24"/>
          <w:szCs w:val="24"/>
          <w:lang w:val="ro-MD"/>
        </w:rPr>
        <w:footnoteReference w:id="48"/>
      </w:r>
      <w:r w:rsidRPr="00A76A25">
        <w:rPr>
          <w:rFonts w:asciiTheme="majorHAnsi" w:eastAsia="Calibri" w:hAnsiTheme="majorHAnsi" w:cstheme="majorHAnsi"/>
          <w:bCs/>
          <w:sz w:val="24"/>
          <w:szCs w:val="24"/>
          <w:lang w:val="ro-MD"/>
        </w:rPr>
        <w:t xml:space="preserve"> cu privire la obiectele de construcții nefinalizate a condus la impedimente în întreprinderea măsurilor de către MEC privind transmiterea obiectelor de construcții nefinalizate de la autoritatea publică centrală la autoritatea publică locală. Mai mult ca atât unele autorități locale refuză preluarea acestor bunuri la balanța sa.</w:t>
      </w:r>
    </w:p>
    <w:p w14:paraId="322EFCD8" w14:textId="657648F3" w:rsidR="006D3884" w:rsidRPr="001C6DCE" w:rsidRDefault="00086623" w:rsidP="008C4E63">
      <w:pPr>
        <w:spacing w:after="0" w:line="276" w:lineRule="auto"/>
        <w:jc w:val="both"/>
        <w:rPr>
          <w:rFonts w:asciiTheme="majorHAnsi" w:hAnsiTheme="majorHAnsi" w:cstheme="majorHAnsi"/>
        </w:rPr>
      </w:pPr>
      <w:r w:rsidRPr="001C6DCE">
        <w:rPr>
          <w:rFonts w:asciiTheme="majorHAnsi" w:hAnsiTheme="majorHAnsi" w:cstheme="majorHAnsi"/>
          <w:b/>
          <w:sz w:val="24"/>
          <w:szCs w:val="24"/>
          <w:lang w:val="ro-MD"/>
        </w:rPr>
        <w:t xml:space="preserve">6.7. </w:t>
      </w:r>
      <w:r w:rsidR="00031B47" w:rsidRPr="001C6DCE">
        <w:rPr>
          <w:rFonts w:asciiTheme="majorHAnsi" w:hAnsiTheme="majorHAnsi" w:cstheme="majorHAnsi"/>
          <w:sz w:val="24"/>
          <w:szCs w:val="24"/>
          <w:lang w:val="ro-MD"/>
        </w:rPr>
        <w:t>MEC nu a asigurat recepția finală a lucrărilor de reparații capitale executate în perioadele anterioare (2008-20</w:t>
      </w:r>
      <w:r w:rsidR="00C43F3C" w:rsidRPr="001C6DCE">
        <w:rPr>
          <w:rFonts w:asciiTheme="majorHAnsi" w:hAnsiTheme="majorHAnsi" w:cstheme="majorHAnsi"/>
          <w:sz w:val="24"/>
          <w:szCs w:val="24"/>
          <w:lang w:val="ro-MD"/>
        </w:rPr>
        <w:t>19</w:t>
      </w:r>
      <w:r w:rsidR="00031B47" w:rsidRPr="001C6DCE">
        <w:rPr>
          <w:rFonts w:asciiTheme="majorHAnsi" w:hAnsiTheme="majorHAnsi" w:cstheme="majorHAnsi"/>
          <w:sz w:val="24"/>
          <w:szCs w:val="24"/>
          <w:lang w:val="ro-MD"/>
        </w:rPr>
        <w:t>)</w:t>
      </w:r>
      <w:r w:rsidR="003C03BF" w:rsidRPr="001C6DCE">
        <w:rPr>
          <w:rFonts w:asciiTheme="majorHAnsi" w:hAnsiTheme="majorHAnsi" w:cstheme="majorHAnsi"/>
          <w:sz w:val="24"/>
          <w:szCs w:val="24"/>
          <w:lang w:val="ro-MD"/>
        </w:rPr>
        <w:t>,</w:t>
      </w:r>
      <w:r w:rsidR="00031B47" w:rsidRPr="001C6DCE">
        <w:rPr>
          <w:rFonts w:asciiTheme="majorHAnsi" w:hAnsiTheme="majorHAnsi" w:cstheme="majorHAnsi"/>
          <w:sz w:val="24"/>
          <w:szCs w:val="24"/>
          <w:lang w:val="ro-MD"/>
        </w:rPr>
        <w:t xml:space="preserve"> în sumă de</w:t>
      </w:r>
      <w:r w:rsidR="00721AC1">
        <w:rPr>
          <w:rFonts w:asciiTheme="majorHAnsi" w:hAnsiTheme="majorHAnsi" w:cstheme="majorHAnsi"/>
          <w:sz w:val="24"/>
          <w:szCs w:val="24"/>
          <w:lang w:val="ro-MD"/>
        </w:rPr>
        <w:t xml:space="preserve"> </w:t>
      </w:r>
      <w:r w:rsidRPr="001C6DCE">
        <w:rPr>
          <w:rFonts w:asciiTheme="majorHAnsi" w:hAnsiTheme="majorHAnsi" w:cstheme="majorHAnsi"/>
          <w:b/>
          <w:sz w:val="24"/>
          <w:szCs w:val="24"/>
          <w:lang w:val="ro-MD"/>
        </w:rPr>
        <w:t>327,1 mil. lei</w:t>
      </w:r>
      <w:r w:rsidR="00031B47" w:rsidRPr="001C6DCE">
        <w:rPr>
          <w:rFonts w:asciiTheme="majorHAnsi" w:hAnsiTheme="majorHAnsi" w:cstheme="majorHAnsi"/>
          <w:sz w:val="24"/>
          <w:szCs w:val="24"/>
          <w:lang w:val="ro-MD"/>
        </w:rPr>
        <w:t xml:space="preserve"> , </w:t>
      </w:r>
      <w:r w:rsidRPr="001C6DCE">
        <w:rPr>
          <w:rFonts w:asciiTheme="majorHAnsi" w:hAnsiTheme="majorHAnsi" w:cstheme="majorHAnsi"/>
          <w:sz w:val="24"/>
          <w:szCs w:val="24"/>
          <w:lang w:val="ro-MD"/>
        </w:rPr>
        <w:t>la:</w:t>
      </w:r>
      <w:r w:rsidRPr="001C6DCE">
        <w:rPr>
          <w:rFonts w:asciiTheme="majorHAnsi" w:hAnsiTheme="majorHAnsi" w:cstheme="majorHAnsi"/>
          <w:i/>
          <w:sz w:val="24"/>
          <w:szCs w:val="24"/>
          <w:lang w:val="ro-MD"/>
        </w:rPr>
        <w:t xml:space="preserve"> </w:t>
      </w:r>
      <w:r w:rsidRPr="001C6DCE">
        <w:rPr>
          <w:rFonts w:asciiTheme="majorHAnsi" w:hAnsiTheme="majorHAnsi" w:cstheme="majorHAnsi"/>
          <w:sz w:val="24"/>
          <w:szCs w:val="24"/>
          <w:lang w:val="ro-MD"/>
        </w:rPr>
        <w:t>L</w:t>
      </w:r>
      <w:r w:rsidR="003C03BF" w:rsidRPr="001C6DCE">
        <w:rPr>
          <w:rFonts w:asciiTheme="majorHAnsi" w:hAnsiTheme="majorHAnsi" w:cstheme="majorHAnsi"/>
          <w:sz w:val="24"/>
          <w:szCs w:val="24"/>
          <w:lang w:val="ro-MD"/>
        </w:rPr>
        <w:t xml:space="preserve">iceul </w:t>
      </w:r>
      <w:r w:rsidRPr="001C6DCE">
        <w:rPr>
          <w:rFonts w:asciiTheme="majorHAnsi" w:hAnsiTheme="majorHAnsi" w:cstheme="majorHAnsi"/>
          <w:sz w:val="24"/>
          <w:szCs w:val="24"/>
          <w:lang w:val="ro-MD"/>
        </w:rPr>
        <w:t>T</w:t>
      </w:r>
      <w:r w:rsidR="003C03BF" w:rsidRPr="001C6DCE">
        <w:rPr>
          <w:rFonts w:asciiTheme="majorHAnsi" w:hAnsiTheme="majorHAnsi" w:cstheme="majorHAnsi"/>
          <w:sz w:val="24"/>
          <w:szCs w:val="24"/>
          <w:lang w:val="ro-MD"/>
        </w:rPr>
        <w:t xml:space="preserve">eoretic </w:t>
      </w:r>
      <w:r w:rsidRPr="001C6DCE">
        <w:rPr>
          <w:rFonts w:asciiTheme="majorHAnsi" w:hAnsiTheme="majorHAnsi" w:cstheme="majorHAnsi"/>
          <w:sz w:val="24"/>
          <w:szCs w:val="24"/>
          <w:lang w:val="ro-MD"/>
        </w:rPr>
        <w:t>R</w:t>
      </w:r>
      <w:r w:rsidR="003C03BF" w:rsidRPr="001C6DCE">
        <w:rPr>
          <w:rFonts w:asciiTheme="majorHAnsi" w:hAnsiTheme="majorHAnsi" w:cstheme="majorHAnsi"/>
          <w:sz w:val="24"/>
          <w:szCs w:val="24"/>
          <w:lang w:val="ro-MD"/>
        </w:rPr>
        <w:t>epublican</w:t>
      </w:r>
      <w:r w:rsidRPr="001C6DCE">
        <w:rPr>
          <w:rFonts w:asciiTheme="majorHAnsi" w:hAnsiTheme="majorHAnsi" w:cstheme="majorHAnsi"/>
          <w:sz w:val="24"/>
          <w:szCs w:val="24"/>
          <w:lang w:val="ro-MD"/>
        </w:rPr>
        <w:t xml:space="preserve"> „Aristotel” (78,22 mil.lei); L</w:t>
      </w:r>
      <w:r w:rsidR="003C03BF" w:rsidRPr="001C6DCE">
        <w:rPr>
          <w:rFonts w:asciiTheme="majorHAnsi" w:hAnsiTheme="majorHAnsi" w:cstheme="majorHAnsi"/>
          <w:sz w:val="24"/>
          <w:szCs w:val="24"/>
          <w:lang w:val="ro-MD"/>
        </w:rPr>
        <w:t xml:space="preserve">iceul </w:t>
      </w:r>
      <w:r w:rsidRPr="001C6DCE">
        <w:rPr>
          <w:rFonts w:asciiTheme="majorHAnsi" w:hAnsiTheme="majorHAnsi" w:cstheme="majorHAnsi"/>
          <w:sz w:val="24"/>
          <w:szCs w:val="24"/>
          <w:lang w:val="ro-MD"/>
        </w:rPr>
        <w:t>T</w:t>
      </w:r>
      <w:r w:rsidR="003C03BF" w:rsidRPr="001C6DCE">
        <w:rPr>
          <w:rFonts w:asciiTheme="majorHAnsi" w:hAnsiTheme="majorHAnsi" w:cstheme="majorHAnsi"/>
          <w:sz w:val="24"/>
          <w:szCs w:val="24"/>
          <w:lang w:val="ro-MD"/>
        </w:rPr>
        <w:t>eoretic</w:t>
      </w:r>
      <w:r w:rsidRPr="001C6DCE">
        <w:rPr>
          <w:rFonts w:asciiTheme="majorHAnsi" w:hAnsiTheme="majorHAnsi" w:cstheme="majorHAnsi"/>
          <w:sz w:val="24"/>
          <w:szCs w:val="24"/>
          <w:lang w:val="ro-MD"/>
        </w:rPr>
        <w:t xml:space="preserve"> </w:t>
      </w:r>
      <w:r w:rsidR="003C03BF"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Evrica ”</w:t>
      </w:r>
      <w:r w:rsidR="003C03BF" w:rsidRPr="001C6DCE">
        <w:rPr>
          <w:rFonts w:asciiTheme="majorHAnsi" w:hAnsiTheme="majorHAnsi" w:cstheme="majorHAnsi"/>
          <w:sz w:val="24"/>
          <w:szCs w:val="24"/>
          <w:lang w:val="ro-MD"/>
        </w:rPr>
        <w:t>din</w:t>
      </w:r>
      <w:r w:rsidRPr="001C6DCE">
        <w:rPr>
          <w:rFonts w:asciiTheme="majorHAnsi" w:hAnsiTheme="majorHAnsi" w:cstheme="majorHAnsi"/>
          <w:sz w:val="24"/>
          <w:szCs w:val="24"/>
          <w:lang w:val="ro-MD"/>
        </w:rPr>
        <w:t xml:space="preserve"> Râbnița</w:t>
      </w:r>
      <w:r w:rsidR="00721AC1">
        <w:rPr>
          <w:rFonts w:asciiTheme="majorHAnsi" w:hAnsiTheme="majorHAnsi" w:cstheme="majorHAnsi"/>
          <w:sz w:val="24"/>
          <w:szCs w:val="24"/>
          <w:lang w:val="ro-MD"/>
        </w:rPr>
        <w:t xml:space="preserve"> </w:t>
      </w:r>
      <w:r w:rsidRPr="001C6DCE">
        <w:rPr>
          <w:rFonts w:asciiTheme="majorHAnsi" w:hAnsiTheme="majorHAnsi" w:cstheme="majorHAnsi"/>
          <w:sz w:val="24"/>
          <w:szCs w:val="24"/>
          <w:lang w:val="ro-MD"/>
        </w:rPr>
        <w:t xml:space="preserve">(12,3 mil.lei); Centrul Republican pentru Copii si Tineret </w:t>
      </w:r>
      <w:r w:rsidR="003C03BF"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A</w:t>
      </w:r>
      <w:r w:rsidR="00756664" w:rsidRPr="001C6DCE">
        <w:rPr>
          <w:rFonts w:asciiTheme="majorHAnsi" w:hAnsiTheme="majorHAnsi" w:cstheme="majorHAnsi"/>
          <w:sz w:val="24"/>
          <w:szCs w:val="24"/>
          <w:lang w:val="ro-MD"/>
        </w:rPr>
        <w:t>rtico</w:t>
      </w:r>
      <w:r w:rsidRPr="001C6DCE">
        <w:rPr>
          <w:rFonts w:asciiTheme="majorHAnsi" w:hAnsiTheme="majorHAnsi" w:cstheme="majorHAnsi"/>
          <w:sz w:val="24"/>
          <w:szCs w:val="24"/>
          <w:lang w:val="ro-MD"/>
        </w:rPr>
        <w:t xml:space="preserve">” (91,8 mil.lei); Centrul </w:t>
      </w:r>
      <w:r w:rsidR="003C03BF" w:rsidRPr="001C6DCE">
        <w:rPr>
          <w:rFonts w:asciiTheme="majorHAnsi" w:hAnsiTheme="majorHAnsi" w:cstheme="majorHAnsi"/>
          <w:sz w:val="24"/>
          <w:szCs w:val="24"/>
          <w:lang w:val="ro-MD"/>
        </w:rPr>
        <w:t>S</w:t>
      </w:r>
      <w:r w:rsidRPr="001C6DCE">
        <w:rPr>
          <w:rFonts w:asciiTheme="majorHAnsi" w:hAnsiTheme="majorHAnsi" w:cstheme="majorHAnsi"/>
          <w:sz w:val="24"/>
          <w:szCs w:val="24"/>
          <w:lang w:val="ro-MD"/>
        </w:rPr>
        <w:t xml:space="preserve">portiv de </w:t>
      </w:r>
      <w:r w:rsidR="003C03BF" w:rsidRPr="001C6DCE">
        <w:rPr>
          <w:rFonts w:asciiTheme="majorHAnsi" w:hAnsiTheme="majorHAnsi" w:cstheme="majorHAnsi"/>
          <w:sz w:val="24"/>
          <w:szCs w:val="24"/>
          <w:lang w:val="ro-MD"/>
        </w:rPr>
        <w:t>P</w:t>
      </w:r>
      <w:r w:rsidRPr="001C6DCE">
        <w:rPr>
          <w:rFonts w:asciiTheme="majorHAnsi" w:hAnsiTheme="majorHAnsi" w:cstheme="majorHAnsi"/>
          <w:sz w:val="24"/>
          <w:szCs w:val="24"/>
          <w:lang w:val="ro-MD"/>
        </w:rPr>
        <w:t xml:space="preserve">regătire a </w:t>
      </w:r>
      <w:r w:rsidR="003C03BF" w:rsidRPr="001C6DCE">
        <w:rPr>
          <w:rFonts w:asciiTheme="majorHAnsi" w:hAnsiTheme="majorHAnsi" w:cstheme="majorHAnsi"/>
          <w:sz w:val="24"/>
          <w:szCs w:val="24"/>
          <w:lang w:val="ro-MD"/>
        </w:rPr>
        <w:t>L</w:t>
      </w:r>
      <w:r w:rsidRPr="001C6DCE">
        <w:rPr>
          <w:rFonts w:asciiTheme="majorHAnsi" w:hAnsiTheme="majorHAnsi" w:cstheme="majorHAnsi"/>
          <w:sz w:val="24"/>
          <w:szCs w:val="24"/>
          <w:lang w:val="ro-MD"/>
        </w:rPr>
        <w:t xml:space="preserve">oturilor </w:t>
      </w:r>
      <w:r w:rsidR="003C03BF" w:rsidRPr="001C6DCE">
        <w:rPr>
          <w:rFonts w:asciiTheme="majorHAnsi" w:hAnsiTheme="majorHAnsi" w:cstheme="majorHAnsi"/>
          <w:sz w:val="24"/>
          <w:szCs w:val="24"/>
          <w:lang w:val="ro-MD"/>
        </w:rPr>
        <w:t>N</w:t>
      </w:r>
      <w:r w:rsidRPr="001C6DCE">
        <w:rPr>
          <w:rFonts w:asciiTheme="majorHAnsi" w:hAnsiTheme="majorHAnsi" w:cstheme="majorHAnsi"/>
          <w:sz w:val="24"/>
          <w:szCs w:val="24"/>
          <w:lang w:val="ro-MD"/>
        </w:rPr>
        <w:t xml:space="preserve">aționale (12,63 mil.lei) și la 3 </w:t>
      </w:r>
      <w:r w:rsidR="003C03BF" w:rsidRPr="001C6DCE">
        <w:rPr>
          <w:rFonts w:asciiTheme="majorHAnsi" w:hAnsiTheme="majorHAnsi" w:cstheme="majorHAnsi"/>
          <w:sz w:val="24"/>
          <w:szCs w:val="24"/>
          <w:lang w:val="ro-MD"/>
        </w:rPr>
        <w:t>C</w:t>
      </w:r>
      <w:r w:rsidRPr="001C6DCE">
        <w:rPr>
          <w:rFonts w:asciiTheme="majorHAnsi" w:hAnsiTheme="majorHAnsi" w:cstheme="majorHAnsi"/>
          <w:sz w:val="24"/>
          <w:szCs w:val="24"/>
          <w:lang w:val="ro-MD"/>
        </w:rPr>
        <w:t xml:space="preserve">entre de </w:t>
      </w:r>
      <w:r w:rsidR="003C03BF" w:rsidRPr="001C6DCE">
        <w:rPr>
          <w:rFonts w:asciiTheme="majorHAnsi" w:hAnsiTheme="majorHAnsi" w:cstheme="majorHAnsi"/>
          <w:sz w:val="24"/>
          <w:szCs w:val="24"/>
          <w:lang w:val="ro-MD"/>
        </w:rPr>
        <w:t>E</w:t>
      </w:r>
      <w:r w:rsidRPr="001C6DCE">
        <w:rPr>
          <w:rFonts w:asciiTheme="majorHAnsi" w:hAnsiTheme="majorHAnsi" w:cstheme="majorHAnsi"/>
          <w:sz w:val="24"/>
          <w:szCs w:val="24"/>
          <w:lang w:val="ro-MD"/>
        </w:rPr>
        <w:t>xcelență</w:t>
      </w:r>
      <w:r w:rsidR="00BD6A39" w:rsidRPr="001C6DCE">
        <w:rPr>
          <w:rFonts w:asciiTheme="majorHAnsi" w:hAnsiTheme="majorHAnsi" w:cstheme="majorHAnsi"/>
          <w:sz w:val="24"/>
          <w:szCs w:val="24"/>
          <w:lang w:val="ro-MD"/>
        </w:rPr>
        <w:t xml:space="preserve"> (132,15 mil.lei)</w:t>
      </w:r>
      <w:r w:rsidRPr="001C6DCE">
        <w:rPr>
          <w:rStyle w:val="a5"/>
          <w:rFonts w:asciiTheme="majorHAnsi" w:hAnsiTheme="majorHAnsi" w:cstheme="majorHAnsi"/>
          <w:sz w:val="24"/>
          <w:szCs w:val="24"/>
          <w:lang w:val="ro-MD"/>
        </w:rPr>
        <w:footnoteReference w:id="49"/>
      </w:r>
      <w:r w:rsidRPr="001C6DCE">
        <w:rPr>
          <w:rFonts w:asciiTheme="majorHAnsi" w:hAnsiTheme="majorHAnsi" w:cstheme="majorHAnsi"/>
          <w:sz w:val="24"/>
          <w:szCs w:val="24"/>
          <w:lang w:val="ro-MD"/>
        </w:rPr>
        <w:t>.</w:t>
      </w:r>
      <w:r w:rsidRPr="001C6DCE">
        <w:rPr>
          <w:rFonts w:asciiTheme="majorHAnsi" w:hAnsiTheme="majorHAnsi" w:cstheme="majorHAnsi"/>
          <w:i/>
          <w:sz w:val="24"/>
          <w:szCs w:val="24"/>
          <w:lang w:val="ro-MD"/>
        </w:rPr>
        <w:t xml:space="preserve"> </w:t>
      </w:r>
      <w:r w:rsidR="006D3884" w:rsidRPr="001C6DCE">
        <w:rPr>
          <w:rFonts w:asciiTheme="majorHAnsi" w:hAnsiTheme="majorHAnsi" w:cstheme="majorHAnsi"/>
          <w:sz w:val="24"/>
          <w:szCs w:val="24"/>
          <w:lang w:val="ro-MD"/>
        </w:rPr>
        <w:t xml:space="preserve">De menționat că toate instituțiile auditate își desfășoară activitatea didactică în lipsa documentației aferente </w:t>
      </w:r>
      <w:r w:rsidR="006D3884" w:rsidRPr="001C6DCE">
        <w:rPr>
          <w:rFonts w:asciiTheme="majorHAnsi" w:hAnsiTheme="majorHAnsi" w:cstheme="majorHAnsi"/>
          <w:bCs/>
          <w:sz w:val="24"/>
          <w:szCs w:val="24"/>
          <w:lang w:val="ro-MD"/>
        </w:rPr>
        <w:t>recepției finale a construcțiilor și instalațiilor aferente, care</w:t>
      </w:r>
      <w:r w:rsidR="006D3884" w:rsidRPr="001C6DCE">
        <w:rPr>
          <w:rFonts w:asciiTheme="majorHAnsi" w:hAnsiTheme="majorHAnsi" w:cstheme="majorHAnsi"/>
          <w:sz w:val="24"/>
          <w:szCs w:val="24"/>
          <w:lang w:val="ro-MD"/>
        </w:rPr>
        <w:t xml:space="preserve"> constituie componenta sistemului calității în construcții. Cauza nefinalizări</w:t>
      </w:r>
      <w:r w:rsidR="00756664" w:rsidRPr="001C6DCE">
        <w:rPr>
          <w:rFonts w:asciiTheme="majorHAnsi" w:hAnsiTheme="majorHAnsi" w:cstheme="majorHAnsi"/>
          <w:sz w:val="24"/>
          <w:szCs w:val="24"/>
          <w:lang w:val="ro-MD"/>
        </w:rPr>
        <w:t>i</w:t>
      </w:r>
      <w:r w:rsidR="00721AC1">
        <w:rPr>
          <w:rFonts w:asciiTheme="majorHAnsi" w:hAnsiTheme="majorHAnsi" w:cstheme="majorHAnsi"/>
          <w:sz w:val="24"/>
          <w:szCs w:val="24"/>
          <w:lang w:val="ro-MD"/>
        </w:rPr>
        <w:t xml:space="preserve"> </w:t>
      </w:r>
      <w:r w:rsidR="006D3884" w:rsidRPr="001C6DCE">
        <w:rPr>
          <w:rFonts w:asciiTheme="majorHAnsi" w:hAnsiTheme="majorHAnsi" w:cstheme="majorHAnsi"/>
          <w:bCs/>
          <w:sz w:val="24"/>
          <w:szCs w:val="24"/>
          <w:lang w:val="ro-MD"/>
        </w:rPr>
        <w:t xml:space="preserve">procedurii de dare în exploatare </w:t>
      </w:r>
      <w:r w:rsidR="00F662FE" w:rsidRPr="001C6DCE">
        <w:rPr>
          <w:rFonts w:asciiTheme="majorHAnsi" w:hAnsiTheme="majorHAnsi" w:cstheme="majorHAnsi"/>
          <w:bCs/>
          <w:sz w:val="24"/>
          <w:szCs w:val="24"/>
          <w:lang w:val="ro-MD"/>
        </w:rPr>
        <w:t>a lucrărilor de reparații capit</w:t>
      </w:r>
      <w:r w:rsidR="006D3884" w:rsidRPr="001C6DCE">
        <w:rPr>
          <w:rFonts w:asciiTheme="majorHAnsi" w:hAnsiTheme="majorHAnsi" w:cstheme="majorHAnsi"/>
          <w:bCs/>
          <w:sz w:val="24"/>
          <w:szCs w:val="24"/>
          <w:lang w:val="ro-MD"/>
        </w:rPr>
        <w:t>a</w:t>
      </w:r>
      <w:r w:rsidR="00F662FE" w:rsidRPr="001C6DCE">
        <w:rPr>
          <w:rFonts w:asciiTheme="majorHAnsi" w:hAnsiTheme="majorHAnsi" w:cstheme="majorHAnsi"/>
          <w:bCs/>
          <w:sz w:val="24"/>
          <w:szCs w:val="24"/>
          <w:lang w:val="ro-MD"/>
        </w:rPr>
        <w:t>le</w:t>
      </w:r>
      <w:r w:rsidR="006D3884" w:rsidRPr="001C6DCE">
        <w:rPr>
          <w:rFonts w:asciiTheme="majorHAnsi" w:hAnsiTheme="majorHAnsi" w:cstheme="majorHAnsi"/>
          <w:bCs/>
          <w:sz w:val="24"/>
          <w:szCs w:val="24"/>
          <w:lang w:val="ro-MD"/>
        </w:rPr>
        <w:t xml:space="preserve"> </w:t>
      </w:r>
      <w:r w:rsidR="00F662FE" w:rsidRPr="001C6DCE">
        <w:rPr>
          <w:rFonts w:asciiTheme="majorHAnsi" w:hAnsiTheme="majorHAnsi" w:cstheme="majorHAnsi"/>
          <w:bCs/>
          <w:sz w:val="24"/>
          <w:szCs w:val="24"/>
          <w:lang w:val="ro-MD"/>
        </w:rPr>
        <w:t xml:space="preserve">este lipsa procesului-verbal de finalizare a lucrărilor și </w:t>
      </w:r>
      <w:r w:rsidR="00756664" w:rsidRPr="001C6DCE">
        <w:rPr>
          <w:rFonts w:asciiTheme="majorHAnsi" w:hAnsiTheme="majorHAnsi" w:cstheme="majorHAnsi"/>
          <w:bCs/>
          <w:sz w:val="24"/>
          <w:szCs w:val="24"/>
          <w:lang w:val="ro-MD"/>
        </w:rPr>
        <w:t xml:space="preserve">a </w:t>
      </w:r>
      <w:r w:rsidR="00F662FE" w:rsidRPr="001C6DCE">
        <w:rPr>
          <w:rFonts w:asciiTheme="majorHAnsi" w:hAnsiTheme="majorHAnsi" w:cstheme="majorHAnsi"/>
          <w:bCs/>
          <w:sz w:val="24"/>
          <w:szCs w:val="24"/>
          <w:lang w:val="ro-MD"/>
        </w:rPr>
        <w:t>avizelor organelor competente în domeniu</w:t>
      </w:r>
      <w:r w:rsidR="006D3884" w:rsidRPr="001C6DCE">
        <w:rPr>
          <w:rFonts w:asciiTheme="majorHAnsi" w:hAnsiTheme="majorHAnsi" w:cstheme="majorHAnsi"/>
          <w:bCs/>
          <w:sz w:val="24"/>
          <w:szCs w:val="24"/>
          <w:lang w:val="ro-MD"/>
        </w:rPr>
        <w:t xml:space="preserve">, ceea ce denotă riscuri majore privind calitatea lucrărilor și siguranța instalațiilor, </w:t>
      </w:r>
      <w:r w:rsidR="004C15A5" w:rsidRPr="001C6DCE">
        <w:rPr>
          <w:rFonts w:asciiTheme="majorHAnsi" w:hAnsiTheme="majorHAnsi" w:cstheme="majorHAnsi"/>
          <w:bCs/>
          <w:sz w:val="24"/>
          <w:szCs w:val="24"/>
          <w:lang w:val="ro-MD"/>
        </w:rPr>
        <w:t>care ar</w:t>
      </w:r>
      <w:r w:rsidR="006D3884" w:rsidRPr="001C6DCE">
        <w:rPr>
          <w:rFonts w:asciiTheme="majorHAnsi" w:hAnsiTheme="majorHAnsi" w:cstheme="majorHAnsi"/>
          <w:bCs/>
          <w:sz w:val="24"/>
          <w:szCs w:val="24"/>
          <w:lang w:val="ro-MD"/>
        </w:rPr>
        <w:t xml:space="preserve"> pune în pericol viața și sănătatea elevilor și cadrelor didactice.</w:t>
      </w:r>
    </w:p>
    <w:p w14:paraId="158C50AA" w14:textId="4844D7FA" w:rsidR="00086623" w:rsidRPr="001C6DCE" w:rsidRDefault="00086623" w:rsidP="008C4E63">
      <w:pPr>
        <w:tabs>
          <w:tab w:val="left" w:pos="284"/>
        </w:tabs>
        <w:spacing w:after="0" w:line="276" w:lineRule="auto"/>
        <w:jc w:val="both"/>
        <w:rPr>
          <w:rFonts w:asciiTheme="majorHAnsi" w:hAnsiTheme="majorHAnsi" w:cstheme="majorHAnsi"/>
          <w:sz w:val="24"/>
          <w:szCs w:val="24"/>
          <w:lang w:val="ro-MD"/>
        </w:rPr>
      </w:pPr>
      <w:r w:rsidRPr="001C6DCE">
        <w:rPr>
          <w:rFonts w:asciiTheme="majorHAnsi" w:hAnsiTheme="majorHAnsi" w:cstheme="majorHAnsi"/>
          <w:b/>
          <w:sz w:val="24"/>
          <w:szCs w:val="24"/>
          <w:lang w:val="ro-MD"/>
        </w:rPr>
        <w:t xml:space="preserve">6.8. </w:t>
      </w:r>
      <w:r w:rsidRPr="001C6DCE">
        <w:rPr>
          <w:rFonts w:asciiTheme="majorHAnsi" w:hAnsiTheme="majorHAnsi" w:cstheme="majorHAnsi"/>
          <w:bCs/>
          <w:sz w:val="24"/>
          <w:szCs w:val="24"/>
          <w:lang w:val="ro-MD"/>
        </w:rPr>
        <w:t xml:space="preserve">Conform prevederilor art. 60 lit. e), lit. h) și lit. l) din Codul </w:t>
      </w:r>
      <w:r w:rsidRPr="001C6DCE">
        <w:rPr>
          <w:rFonts w:asciiTheme="majorHAnsi" w:eastAsia="Times New Roman" w:hAnsiTheme="majorHAnsi" w:cstheme="majorHAnsi"/>
          <w:bCs/>
          <w:sz w:val="24"/>
          <w:szCs w:val="24"/>
          <w:lang w:val="ro-MD"/>
        </w:rPr>
        <w:t xml:space="preserve">cu privire la știință și inovare al Republicii Moldova nr. 259 din 15.07.2004, </w:t>
      </w:r>
      <w:r w:rsidRPr="001C6DCE">
        <w:rPr>
          <w:rFonts w:asciiTheme="majorHAnsi" w:hAnsiTheme="majorHAnsi" w:cstheme="majorHAnsi"/>
          <w:bCs/>
          <w:sz w:val="24"/>
          <w:szCs w:val="24"/>
          <w:lang w:val="ro-MD"/>
        </w:rPr>
        <w:t xml:space="preserve">MEC este organul central de specialitate al statului care </w:t>
      </w:r>
      <w:r w:rsidRPr="001C6DCE">
        <w:rPr>
          <w:rFonts w:asciiTheme="majorHAnsi" w:hAnsiTheme="majorHAnsi" w:cstheme="majorHAnsi"/>
          <w:sz w:val="24"/>
          <w:szCs w:val="24"/>
          <w:lang w:val="ro-MD"/>
        </w:rPr>
        <w:t xml:space="preserve">asigură elaborarea politicii naționale în domeniile cercetării și inovării, </w:t>
      </w:r>
      <w:r w:rsidR="004C15A5" w:rsidRPr="001C6DCE">
        <w:rPr>
          <w:rFonts w:asciiTheme="majorHAnsi" w:hAnsiTheme="majorHAnsi" w:cstheme="majorHAnsi"/>
          <w:sz w:val="24"/>
          <w:szCs w:val="24"/>
          <w:lang w:val="ro-MD"/>
        </w:rPr>
        <w:t>având ca</w:t>
      </w:r>
      <w:r w:rsidRPr="001C6DCE">
        <w:rPr>
          <w:rFonts w:asciiTheme="majorHAnsi" w:eastAsia="Times New Roman" w:hAnsiTheme="majorHAnsi" w:cstheme="majorHAnsi"/>
          <w:sz w:val="24"/>
          <w:szCs w:val="24"/>
          <w:lang w:val="ro-MD"/>
        </w:rPr>
        <w:t xml:space="preserve"> atribuții: </w:t>
      </w:r>
      <w:r w:rsidRPr="001C6DCE">
        <w:rPr>
          <w:rFonts w:asciiTheme="majorHAnsi" w:hAnsiTheme="majorHAnsi" w:cstheme="majorHAnsi"/>
          <w:sz w:val="24"/>
          <w:szCs w:val="24"/>
          <w:lang w:val="ro-MD"/>
        </w:rPr>
        <w:t>examinarea rapoartelor științifice elaborate în domeniile cercetării și inovării; coordonarea, monitorizarea și promovarea activităților în domeniile cercetării și inovării ale organizațiilor din subordine</w:t>
      </w:r>
      <w:r w:rsidR="00012671" w:rsidRPr="001C6DCE">
        <w:rPr>
          <w:rFonts w:asciiTheme="majorHAnsi" w:hAnsiTheme="majorHAnsi" w:cstheme="majorHAnsi"/>
          <w:sz w:val="24"/>
          <w:szCs w:val="24"/>
          <w:lang w:val="ro-MD"/>
        </w:rPr>
        <w:t>, precum</w:t>
      </w:r>
      <w:r w:rsidRPr="001C6DCE">
        <w:rPr>
          <w:rFonts w:asciiTheme="majorHAnsi" w:hAnsiTheme="majorHAnsi" w:cstheme="majorHAnsi"/>
          <w:sz w:val="24"/>
          <w:szCs w:val="24"/>
          <w:lang w:val="ro-MD"/>
        </w:rPr>
        <w:t xml:space="preserve"> și monitorizarea </w:t>
      </w:r>
      <w:r w:rsidR="004A6113" w:rsidRPr="001C6DCE">
        <w:rPr>
          <w:rFonts w:asciiTheme="majorHAnsi" w:hAnsiTheme="majorHAnsi" w:cstheme="majorHAnsi"/>
          <w:sz w:val="24"/>
          <w:szCs w:val="24"/>
          <w:lang w:val="ro-MD"/>
        </w:rPr>
        <w:t xml:space="preserve">organizațiilor </w:t>
      </w:r>
      <w:r w:rsidRPr="001C6DCE">
        <w:rPr>
          <w:rFonts w:asciiTheme="majorHAnsi" w:hAnsiTheme="majorHAnsi" w:cstheme="majorHAnsi"/>
          <w:sz w:val="24"/>
          <w:szCs w:val="24"/>
          <w:lang w:val="ro-MD"/>
        </w:rPr>
        <w:t xml:space="preserve">de drept public din domeniile cercetării și inovării aflate în subordine, </w:t>
      </w:r>
      <w:r w:rsidR="00012671" w:rsidRPr="001C6DCE">
        <w:rPr>
          <w:rFonts w:asciiTheme="majorHAnsi" w:hAnsiTheme="majorHAnsi" w:cstheme="majorHAnsi"/>
          <w:sz w:val="24"/>
          <w:szCs w:val="24"/>
          <w:lang w:val="ro-MD"/>
        </w:rPr>
        <w:t>inclusiv a</w:t>
      </w:r>
      <w:r w:rsidRPr="001C6DCE">
        <w:rPr>
          <w:rFonts w:asciiTheme="majorHAnsi" w:hAnsiTheme="majorHAnsi" w:cstheme="majorHAnsi"/>
          <w:sz w:val="24"/>
          <w:szCs w:val="24"/>
          <w:lang w:val="ro-MD"/>
        </w:rPr>
        <w:t xml:space="preserve"> activit</w:t>
      </w:r>
      <w:r w:rsidR="00012671" w:rsidRPr="001C6DCE">
        <w:rPr>
          <w:rFonts w:asciiTheme="majorHAnsi" w:hAnsiTheme="majorHAnsi" w:cstheme="majorHAnsi"/>
          <w:sz w:val="24"/>
          <w:szCs w:val="24"/>
          <w:lang w:val="ro-MD"/>
        </w:rPr>
        <w:t>ății</w:t>
      </w:r>
      <w:r w:rsidRPr="001C6DCE">
        <w:rPr>
          <w:rFonts w:asciiTheme="majorHAnsi" w:hAnsiTheme="majorHAnsi" w:cstheme="majorHAnsi"/>
          <w:sz w:val="24"/>
          <w:szCs w:val="24"/>
          <w:lang w:val="ro-MD"/>
        </w:rPr>
        <w:t xml:space="preserve"> conducătorilor acestora.</w:t>
      </w:r>
    </w:p>
    <w:p w14:paraId="56D9C194" w14:textId="5D8C0F8F" w:rsidR="00086623" w:rsidRPr="001C6DCE" w:rsidRDefault="00086623" w:rsidP="008C4E63">
      <w:pPr>
        <w:tabs>
          <w:tab w:val="left" w:pos="284"/>
        </w:tabs>
        <w:spacing w:after="0" w:line="276" w:lineRule="auto"/>
        <w:jc w:val="both"/>
        <w:rPr>
          <w:rFonts w:asciiTheme="majorHAnsi" w:hAnsiTheme="majorHAnsi" w:cstheme="majorHAnsi"/>
          <w:sz w:val="24"/>
          <w:szCs w:val="24"/>
          <w:lang w:val="ro-MD" w:eastAsia="ru-RU"/>
        </w:rPr>
      </w:pPr>
      <w:r w:rsidRPr="001C6DCE">
        <w:rPr>
          <w:rFonts w:asciiTheme="majorHAnsi" w:hAnsiTheme="majorHAnsi" w:cstheme="majorHAnsi"/>
          <w:sz w:val="24"/>
          <w:szCs w:val="24"/>
          <w:lang w:val="ro-MD"/>
        </w:rPr>
        <w:t>De menționat că MEC și Ministerul Finanțelor nu au executat recomandare</w:t>
      </w:r>
      <w:r w:rsidR="00012671" w:rsidRPr="001C6DCE">
        <w:rPr>
          <w:rFonts w:asciiTheme="majorHAnsi" w:hAnsiTheme="majorHAnsi" w:cstheme="majorHAnsi"/>
          <w:sz w:val="24"/>
          <w:szCs w:val="24"/>
          <w:lang w:val="ro-MD"/>
        </w:rPr>
        <w:t>a</w:t>
      </w:r>
      <w:r w:rsidRPr="001C6DCE">
        <w:rPr>
          <w:rFonts w:asciiTheme="majorHAnsi" w:hAnsiTheme="majorHAnsi" w:cstheme="majorHAnsi"/>
          <w:sz w:val="24"/>
          <w:szCs w:val="24"/>
          <w:lang w:val="ro-MD"/>
        </w:rPr>
        <w:t xml:space="preserve"> nr.3 din Raportul de audit aprobat prin H</w:t>
      </w:r>
      <w:r w:rsidR="00584C73" w:rsidRPr="001C6DCE">
        <w:rPr>
          <w:rFonts w:asciiTheme="majorHAnsi" w:hAnsiTheme="majorHAnsi" w:cstheme="majorHAnsi"/>
          <w:sz w:val="24"/>
          <w:szCs w:val="24"/>
          <w:lang w:val="ro-MD"/>
        </w:rPr>
        <w:t>otărârea Curții de Conturi</w:t>
      </w:r>
      <w:r w:rsidRPr="001C6DCE">
        <w:rPr>
          <w:rFonts w:asciiTheme="majorHAnsi" w:hAnsiTheme="majorHAnsi" w:cstheme="majorHAnsi"/>
          <w:sz w:val="24"/>
          <w:szCs w:val="24"/>
          <w:lang w:val="ro-MD"/>
        </w:rPr>
        <w:t xml:space="preserve"> nr.65 din 08.12.2021 și nu a</w:t>
      </w:r>
      <w:r w:rsidR="004A6113" w:rsidRPr="001C6DCE">
        <w:rPr>
          <w:rFonts w:asciiTheme="majorHAnsi" w:hAnsiTheme="majorHAnsi" w:cstheme="majorHAnsi"/>
          <w:sz w:val="24"/>
          <w:szCs w:val="24"/>
          <w:lang w:val="ro-MD"/>
        </w:rPr>
        <w:t>u</w:t>
      </w:r>
      <w:r w:rsidRPr="001C6DCE">
        <w:rPr>
          <w:rFonts w:asciiTheme="majorHAnsi" w:hAnsiTheme="majorHAnsi" w:cstheme="majorHAnsi"/>
          <w:sz w:val="24"/>
          <w:szCs w:val="24"/>
          <w:lang w:val="ro-MD"/>
        </w:rPr>
        <w:t xml:space="preserve"> elaborat, aprobat și implementat proceduri exhaustive privind modul de sancționare a instituțiilor din domeniile cercetării și inovării (ICI)</w:t>
      </w:r>
      <w:r w:rsidR="00657295" w:rsidRPr="001C6DCE">
        <w:rPr>
          <w:rFonts w:asciiTheme="majorHAnsi" w:hAnsiTheme="majorHAnsi" w:cstheme="majorHAnsi"/>
          <w:sz w:val="24"/>
          <w:szCs w:val="24"/>
          <w:lang w:val="ro-MD"/>
        </w:rPr>
        <w:t xml:space="preserve"> (în special, cele bugetare)</w:t>
      </w:r>
      <w:r w:rsidRPr="001C6DCE">
        <w:rPr>
          <w:rFonts w:asciiTheme="majorHAnsi" w:hAnsiTheme="majorHAnsi" w:cstheme="majorHAnsi"/>
          <w:sz w:val="24"/>
          <w:szCs w:val="24"/>
          <w:lang w:val="ro-MD"/>
        </w:rPr>
        <w:t xml:space="preserve"> care utilizează mijloacele bugetare pentru cheltuieli neeligibile, precum și delegarea, în acest sens, </w:t>
      </w:r>
      <w:r w:rsidR="00657295" w:rsidRPr="001C6DCE">
        <w:rPr>
          <w:rFonts w:asciiTheme="majorHAnsi" w:hAnsiTheme="majorHAnsi" w:cstheme="majorHAnsi"/>
          <w:sz w:val="24"/>
          <w:szCs w:val="24"/>
          <w:lang w:val="ro-MD"/>
        </w:rPr>
        <w:t xml:space="preserve">Agenției Naționale </w:t>
      </w:r>
      <w:r w:rsidR="007678A1" w:rsidRPr="001C6DCE">
        <w:rPr>
          <w:rFonts w:asciiTheme="majorHAnsi" w:hAnsiTheme="majorHAnsi" w:cstheme="majorHAnsi"/>
          <w:sz w:val="24"/>
          <w:szCs w:val="24"/>
          <w:lang w:val="ro-MD"/>
        </w:rPr>
        <w:t xml:space="preserve">pentru </w:t>
      </w:r>
      <w:r w:rsidRPr="001C6DCE">
        <w:rPr>
          <w:rFonts w:asciiTheme="majorHAnsi" w:hAnsiTheme="majorHAnsi" w:cstheme="majorHAnsi"/>
          <w:sz w:val="24"/>
          <w:szCs w:val="24"/>
          <w:lang w:val="ro-MD"/>
        </w:rPr>
        <w:t>C</w:t>
      </w:r>
      <w:r w:rsidR="007678A1" w:rsidRPr="001C6DCE">
        <w:rPr>
          <w:rFonts w:asciiTheme="majorHAnsi" w:hAnsiTheme="majorHAnsi" w:cstheme="majorHAnsi"/>
          <w:sz w:val="24"/>
          <w:szCs w:val="24"/>
          <w:lang w:val="ro-MD"/>
        </w:rPr>
        <w:t xml:space="preserve">ercetare și </w:t>
      </w:r>
      <w:r w:rsidRPr="001C6DCE">
        <w:rPr>
          <w:rFonts w:asciiTheme="majorHAnsi" w:hAnsiTheme="majorHAnsi" w:cstheme="majorHAnsi"/>
          <w:sz w:val="24"/>
          <w:szCs w:val="24"/>
          <w:lang w:val="ro-MD"/>
        </w:rPr>
        <w:t>D</w:t>
      </w:r>
      <w:r w:rsidR="007678A1" w:rsidRPr="001C6DCE">
        <w:rPr>
          <w:rFonts w:asciiTheme="majorHAnsi" w:hAnsiTheme="majorHAnsi" w:cstheme="majorHAnsi"/>
          <w:sz w:val="24"/>
          <w:szCs w:val="24"/>
          <w:lang w:val="ro-MD"/>
        </w:rPr>
        <w:t>ezvoltare</w:t>
      </w:r>
      <w:r w:rsidR="00007CA3" w:rsidRPr="001C6DCE">
        <w:rPr>
          <w:rFonts w:asciiTheme="majorHAnsi" w:hAnsiTheme="majorHAnsi" w:cstheme="majorHAnsi"/>
          <w:sz w:val="24"/>
          <w:szCs w:val="24"/>
          <w:lang w:val="ro-MD"/>
        </w:rPr>
        <w:t xml:space="preserve"> (ANCD)</w:t>
      </w:r>
      <w:r w:rsidRPr="001C6DCE">
        <w:rPr>
          <w:rFonts w:asciiTheme="majorHAnsi" w:hAnsiTheme="majorHAnsi" w:cstheme="majorHAnsi"/>
          <w:sz w:val="24"/>
          <w:szCs w:val="24"/>
          <w:lang w:val="ro-MD"/>
        </w:rPr>
        <w:t xml:space="preserve"> a unor atribuții exhaustiv reglementate. </w:t>
      </w:r>
      <w:r w:rsidRPr="001C6DCE">
        <w:rPr>
          <w:rFonts w:asciiTheme="majorHAnsi" w:hAnsiTheme="majorHAnsi" w:cstheme="majorHAnsi"/>
          <w:bCs/>
          <w:sz w:val="24"/>
          <w:szCs w:val="24"/>
          <w:lang w:val="ro-MD" w:eastAsia="ru-RU"/>
        </w:rPr>
        <w:t>Astfel, auditul</w:t>
      </w:r>
      <w:r w:rsidR="00584C73" w:rsidRPr="001C6DCE">
        <w:rPr>
          <w:rFonts w:asciiTheme="majorHAnsi" w:hAnsiTheme="majorHAnsi" w:cstheme="majorHAnsi"/>
          <w:bCs/>
          <w:sz w:val="24"/>
          <w:szCs w:val="24"/>
          <w:lang w:val="ro-MD" w:eastAsia="ru-RU"/>
        </w:rPr>
        <w:t xml:space="preserve"> constată</w:t>
      </w:r>
      <w:r w:rsidRPr="001C6DCE">
        <w:rPr>
          <w:rFonts w:asciiTheme="majorHAnsi" w:hAnsiTheme="majorHAnsi" w:cstheme="majorHAnsi"/>
          <w:bCs/>
          <w:sz w:val="24"/>
          <w:szCs w:val="24"/>
          <w:lang w:val="ro-MD" w:eastAsia="ru-RU"/>
        </w:rPr>
        <w:t xml:space="preserve"> că MEC nu</w:t>
      </w:r>
      <w:r w:rsidR="00721AC1">
        <w:rPr>
          <w:rFonts w:asciiTheme="majorHAnsi" w:hAnsiTheme="majorHAnsi" w:cstheme="majorHAnsi"/>
          <w:bCs/>
          <w:sz w:val="24"/>
          <w:szCs w:val="24"/>
          <w:lang w:val="ro-MD" w:eastAsia="ru-RU"/>
        </w:rPr>
        <w:t xml:space="preserve">   </w:t>
      </w:r>
      <w:r w:rsidR="00007CA3" w:rsidRPr="001C6DCE">
        <w:rPr>
          <w:rFonts w:asciiTheme="majorHAnsi" w:hAnsiTheme="majorHAnsi" w:cstheme="majorHAnsi"/>
          <w:bCs/>
          <w:sz w:val="24"/>
          <w:szCs w:val="24"/>
          <w:lang w:val="ro-MD" w:eastAsia="ru-RU"/>
        </w:rPr>
        <w:t xml:space="preserve"> </w:t>
      </w:r>
      <w:r w:rsidRPr="001C6DCE">
        <w:rPr>
          <w:rFonts w:asciiTheme="majorHAnsi" w:hAnsiTheme="majorHAnsi" w:cstheme="majorHAnsi"/>
          <w:bCs/>
          <w:sz w:val="24"/>
          <w:szCs w:val="24"/>
          <w:lang w:val="ro-MD" w:eastAsia="ru-RU"/>
        </w:rPr>
        <w:t xml:space="preserve">și-a îndeplinit atribuțiile în domeniul cercetării </w:t>
      </w:r>
      <w:r w:rsidR="007678A1" w:rsidRPr="001C6DCE">
        <w:rPr>
          <w:rFonts w:asciiTheme="majorHAnsi" w:hAnsiTheme="majorHAnsi" w:cstheme="majorHAnsi"/>
          <w:bCs/>
          <w:sz w:val="24"/>
          <w:szCs w:val="24"/>
          <w:lang w:val="ro-MD" w:eastAsia="ru-RU"/>
        </w:rPr>
        <w:t>ș</w:t>
      </w:r>
      <w:r w:rsidRPr="001C6DCE">
        <w:rPr>
          <w:rFonts w:asciiTheme="majorHAnsi" w:hAnsiTheme="majorHAnsi" w:cstheme="majorHAnsi"/>
          <w:bCs/>
          <w:sz w:val="24"/>
          <w:szCs w:val="24"/>
          <w:lang w:val="ro-MD" w:eastAsia="ru-RU"/>
        </w:rPr>
        <w:t>i inovării prin verificarea și coordonarea rapoartelor științifice prezentate de către instituțiile de cercetare</w:t>
      </w:r>
      <w:r w:rsidR="00657295" w:rsidRPr="001C6DCE">
        <w:rPr>
          <w:rFonts w:asciiTheme="majorHAnsi" w:hAnsiTheme="majorHAnsi" w:cstheme="majorHAnsi"/>
          <w:bCs/>
          <w:sz w:val="24"/>
          <w:szCs w:val="24"/>
          <w:lang w:val="ro-MD" w:eastAsia="ru-RU"/>
        </w:rPr>
        <w:t xml:space="preserve"> din subordine</w:t>
      </w:r>
      <w:r w:rsidRPr="001C6DCE">
        <w:rPr>
          <w:rFonts w:asciiTheme="majorHAnsi" w:hAnsiTheme="majorHAnsi" w:cstheme="majorHAnsi"/>
          <w:bCs/>
          <w:sz w:val="24"/>
          <w:szCs w:val="24"/>
          <w:lang w:val="ro-MD" w:eastAsia="ru-RU"/>
        </w:rPr>
        <w:t xml:space="preserve">, </w:t>
      </w:r>
      <w:r w:rsidRPr="001C6DCE">
        <w:rPr>
          <w:rFonts w:asciiTheme="majorHAnsi" w:hAnsiTheme="majorHAnsi" w:cstheme="majorHAnsi"/>
          <w:sz w:val="24"/>
          <w:szCs w:val="24"/>
          <w:lang w:val="ro-MD" w:eastAsia="ru-RU"/>
        </w:rPr>
        <w:t>fapt c</w:t>
      </w:r>
      <w:r w:rsidR="00584C73" w:rsidRPr="001C6DCE">
        <w:rPr>
          <w:rFonts w:asciiTheme="majorHAnsi" w:hAnsiTheme="majorHAnsi" w:cstheme="majorHAnsi"/>
          <w:sz w:val="24"/>
          <w:szCs w:val="24"/>
          <w:lang w:val="ro-MD" w:eastAsia="ru-RU"/>
        </w:rPr>
        <w:t>ar</w:t>
      </w:r>
      <w:r w:rsidRPr="001C6DCE">
        <w:rPr>
          <w:rFonts w:asciiTheme="majorHAnsi" w:hAnsiTheme="majorHAnsi" w:cstheme="majorHAnsi"/>
          <w:sz w:val="24"/>
          <w:szCs w:val="24"/>
          <w:lang w:val="ro-MD" w:eastAsia="ru-RU"/>
        </w:rPr>
        <w:t>e a determinat admiterea raportării neconforme a cheltuielilor aferente desfășurării proiectelor de cercetare</w:t>
      </w:r>
      <w:r w:rsidR="00007CA3" w:rsidRPr="001C6DCE">
        <w:rPr>
          <w:rFonts w:asciiTheme="majorHAnsi" w:hAnsiTheme="majorHAnsi" w:cstheme="majorHAnsi"/>
          <w:sz w:val="24"/>
          <w:szCs w:val="24"/>
          <w:lang w:val="ro-MD" w:eastAsia="ru-RU"/>
        </w:rPr>
        <w:t>, precum</w:t>
      </w:r>
      <w:r w:rsidRPr="001C6DCE">
        <w:rPr>
          <w:rFonts w:asciiTheme="majorHAnsi" w:hAnsiTheme="majorHAnsi" w:cstheme="majorHAnsi"/>
          <w:sz w:val="24"/>
          <w:szCs w:val="24"/>
          <w:lang w:val="ro-MD" w:eastAsia="ru-RU"/>
        </w:rPr>
        <w:t xml:space="preserve"> și utilizarea mijloacelor financiare pentru finanțarea unor cheltuieli neeligibile de către ICI.</w:t>
      </w:r>
    </w:p>
    <w:p w14:paraId="377A401E" w14:textId="17DD8844" w:rsidR="00086623" w:rsidRPr="001C6DCE" w:rsidRDefault="00086623" w:rsidP="008C4E63">
      <w:pPr>
        <w:tabs>
          <w:tab w:val="left" w:pos="284"/>
        </w:tabs>
        <w:spacing w:after="0" w:line="276" w:lineRule="auto"/>
        <w:ind w:right="-53"/>
        <w:jc w:val="both"/>
        <w:rPr>
          <w:rFonts w:asciiTheme="majorHAnsi" w:hAnsiTheme="majorHAnsi" w:cstheme="majorHAnsi"/>
          <w:sz w:val="24"/>
          <w:szCs w:val="24"/>
          <w:lang w:val="ro-MD"/>
        </w:rPr>
      </w:pPr>
      <w:r w:rsidRPr="001C6DCE">
        <w:rPr>
          <w:rFonts w:asciiTheme="majorHAnsi" w:eastAsia="Times New Roman" w:hAnsiTheme="majorHAnsi" w:cstheme="majorHAnsi"/>
          <w:bCs/>
          <w:sz w:val="24"/>
          <w:szCs w:val="24"/>
          <w:lang w:val="ro-MD" w:eastAsia="ru-RU"/>
        </w:rPr>
        <w:t>De asemenea, ICI nu au asigurat utilizarea conform destinației a mijloacelor bugetare pentru proiectele de cercetare finanțate din bugetul de stat. Astfel, instituțiile de cercetare</w:t>
      </w:r>
      <w:r w:rsidR="00007CA3" w:rsidRPr="001C6DCE">
        <w:rPr>
          <w:rFonts w:asciiTheme="majorHAnsi" w:eastAsia="Times New Roman" w:hAnsiTheme="majorHAnsi" w:cstheme="majorHAnsi"/>
          <w:bCs/>
          <w:sz w:val="24"/>
          <w:szCs w:val="24"/>
          <w:lang w:val="ro-MD" w:eastAsia="ru-RU"/>
        </w:rPr>
        <w:t>,</w:t>
      </w:r>
      <w:r w:rsidRPr="001C6DCE">
        <w:rPr>
          <w:rFonts w:asciiTheme="majorHAnsi" w:eastAsia="Times New Roman" w:hAnsiTheme="majorHAnsi" w:cstheme="majorHAnsi"/>
          <w:bCs/>
          <w:sz w:val="24"/>
          <w:szCs w:val="24"/>
          <w:lang w:val="ro-MD" w:eastAsia="ru-RU"/>
        </w:rPr>
        <w:t xml:space="preserve"> </w:t>
      </w:r>
      <w:r w:rsidRPr="001C6DCE">
        <w:rPr>
          <w:rFonts w:asciiTheme="majorHAnsi" w:hAnsiTheme="majorHAnsi" w:cstheme="majorHAnsi"/>
          <w:sz w:val="24"/>
          <w:szCs w:val="24"/>
          <w:lang w:val="ro-MD"/>
        </w:rPr>
        <w:t xml:space="preserve">în lipsa unei coordonări prealabile cu MEC și ANCD, au efectuat plăți pentru acoperirea unor cheltuieli de personal neeligibile pentru finanțare din bugetul de stat, pentru perioada </w:t>
      </w:r>
      <w:r w:rsidR="00007CA3" w:rsidRPr="001C6DCE">
        <w:rPr>
          <w:rFonts w:asciiTheme="majorHAnsi" w:hAnsiTheme="majorHAnsi" w:cstheme="majorHAnsi"/>
          <w:sz w:val="24"/>
          <w:szCs w:val="24"/>
          <w:lang w:val="ro-MD"/>
        </w:rPr>
        <w:t xml:space="preserve">anilor </w:t>
      </w:r>
      <w:r w:rsidRPr="001C6DCE">
        <w:rPr>
          <w:rFonts w:asciiTheme="majorHAnsi" w:hAnsiTheme="majorHAnsi" w:cstheme="majorHAnsi"/>
          <w:sz w:val="24"/>
          <w:szCs w:val="24"/>
          <w:lang w:val="ro-MD"/>
        </w:rPr>
        <w:t>2020-2022</w:t>
      </w:r>
      <w:r w:rsidR="00007CA3"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în sumă totală de </w:t>
      </w:r>
      <w:r w:rsidRPr="001C6DCE">
        <w:rPr>
          <w:rFonts w:asciiTheme="majorHAnsi" w:eastAsia="Times New Roman" w:hAnsiTheme="majorHAnsi" w:cstheme="majorHAnsi"/>
          <w:sz w:val="24"/>
          <w:szCs w:val="24"/>
          <w:lang w:val="ro-MD"/>
        </w:rPr>
        <w:t>11</w:t>
      </w:r>
      <w:r w:rsidR="00BB4051" w:rsidRPr="001C6DCE">
        <w:rPr>
          <w:rFonts w:asciiTheme="majorHAnsi" w:eastAsia="Times New Roman" w:hAnsiTheme="majorHAnsi" w:cstheme="majorHAnsi"/>
          <w:sz w:val="24"/>
          <w:szCs w:val="24"/>
          <w:lang w:val="ro-MD"/>
        </w:rPr>
        <w:t>,</w:t>
      </w:r>
      <w:r w:rsidRPr="001C6DCE">
        <w:rPr>
          <w:rFonts w:asciiTheme="majorHAnsi" w:eastAsia="Times New Roman" w:hAnsiTheme="majorHAnsi" w:cstheme="majorHAnsi"/>
          <w:sz w:val="24"/>
          <w:szCs w:val="24"/>
          <w:lang w:val="ro-MD"/>
        </w:rPr>
        <w:t>0</w:t>
      </w:r>
      <w:r w:rsidR="00BB4051" w:rsidRPr="001C6DCE">
        <w:rPr>
          <w:rFonts w:asciiTheme="majorHAnsi" w:eastAsia="Times New Roman" w:hAnsiTheme="majorHAnsi" w:cstheme="majorHAnsi"/>
          <w:sz w:val="24"/>
          <w:szCs w:val="24"/>
          <w:lang w:val="ro-MD"/>
        </w:rPr>
        <w:t>1</w:t>
      </w:r>
      <w:r w:rsidRPr="001C6DCE">
        <w:rPr>
          <w:rFonts w:asciiTheme="majorHAnsi" w:eastAsia="Times New Roman" w:hAnsiTheme="majorHAnsi" w:cstheme="majorHAnsi"/>
          <w:sz w:val="24"/>
          <w:szCs w:val="24"/>
          <w:lang w:val="ro-MD"/>
        </w:rPr>
        <w:t xml:space="preserve"> </w:t>
      </w:r>
      <w:r w:rsidRPr="001C6DCE">
        <w:rPr>
          <w:rFonts w:asciiTheme="majorHAnsi" w:hAnsiTheme="majorHAnsi" w:cstheme="majorHAnsi"/>
          <w:sz w:val="24"/>
          <w:szCs w:val="24"/>
          <w:lang w:val="ro-MD"/>
        </w:rPr>
        <w:t>mi</w:t>
      </w:r>
      <w:r w:rsidR="00BB4051" w:rsidRPr="001C6DCE">
        <w:rPr>
          <w:rFonts w:asciiTheme="majorHAnsi" w:hAnsiTheme="majorHAnsi" w:cstheme="majorHAnsi"/>
          <w:sz w:val="24"/>
          <w:szCs w:val="24"/>
          <w:lang w:val="ro-MD"/>
        </w:rPr>
        <w:t>l</w:t>
      </w:r>
      <w:r w:rsidRPr="001C6DCE">
        <w:rPr>
          <w:rFonts w:asciiTheme="majorHAnsi" w:hAnsiTheme="majorHAnsi" w:cstheme="majorHAnsi"/>
          <w:sz w:val="24"/>
          <w:szCs w:val="24"/>
          <w:lang w:val="ro-MD"/>
        </w:rPr>
        <w:t>.lei</w:t>
      </w:r>
      <w:r w:rsidR="00657295" w:rsidRPr="001C6DCE">
        <w:rPr>
          <w:rFonts w:asciiTheme="majorHAnsi" w:hAnsiTheme="majorHAnsi" w:cstheme="majorHAnsi"/>
          <w:sz w:val="24"/>
          <w:szCs w:val="24"/>
          <w:lang w:val="ro-MD"/>
        </w:rPr>
        <w:t xml:space="preserve"> (din care</w:t>
      </w:r>
      <w:r w:rsidR="00007CA3" w:rsidRPr="001C6DCE">
        <w:rPr>
          <w:rFonts w:asciiTheme="majorHAnsi" w:hAnsiTheme="majorHAnsi" w:cstheme="majorHAnsi"/>
          <w:sz w:val="24"/>
          <w:szCs w:val="24"/>
          <w:lang w:val="ro-MD"/>
        </w:rPr>
        <w:t>,</w:t>
      </w:r>
      <w:r w:rsidR="00657295" w:rsidRPr="001C6DCE">
        <w:rPr>
          <w:rFonts w:asciiTheme="majorHAnsi" w:hAnsiTheme="majorHAnsi" w:cstheme="majorHAnsi"/>
          <w:sz w:val="24"/>
          <w:szCs w:val="24"/>
          <w:lang w:val="ro-MD"/>
        </w:rPr>
        <w:t xml:space="preserve"> în anul 2022-1,36 mil.lei)</w:t>
      </w:r>
      <w:r w:rsidRPr="001C6DCE">
        <w:rPr>
          <w:rFonts w:asciiTheme="majorHAnsi" w:hAnsiTheme="majorHAnsi" w:cstheme="majorHAnsi"/>
          <w:sz w:val="24"/>
          <w:szCs w:val="24"/>
          <w:lang w:val="ro-MD"/>
        </w:rPr>
        <w:t>, inclusiv: acordarea premiilor unice (</w:t>
      </w:r>
      <w:r w:rsidR="00BB4051" w:rsidRPr="001C6DCE">
        <w:rPr>
          <w:rFonts w:asciiTheme="majorHAnsi" w:hAnsiTheme="majorHAnsi" w:cstheme="majorHAnsi"/>
          <w:sz w:val="24"/>
          <w:szCs w:val="24"/>
          <w:lang w:val="ro-MD"/>
        </w:rPr>
        <w:t>0,</w:t>
      </w:r>
      <w:r w:rsidRPr="001C6DCE">
        <w:rPr>
          <w:rFonts w:asciiTheme="majorHAnsi" w:hAnsiTheme="majorHAnsi" w:cstheme="majorHAnsi"/>
          <w:sz w:val="24"/>
          <w:szCs w:val="24"/>
          <w:lang w:val="ro-MD"/>
        </w:rPr>
        <w:t>2</w:t>
      </w:r>
      <w:r w:rsidR="00BB4051" w:rsidRPr="001C6DCE">
        <w:rPr>
          <w:rFonts w:asciiTheme="majorHAnsi" w:hAnsiTheme="majorHAnsi" w:cstheme="majorHAnsi"/>
          <w:sz w:val="24"/>
          <w:szCs w:val="24"/>
          <w:lang w:val="ro-MD"/>
        </w:rPr>
        <w:t>7</w:t>
      </w:r>
      <w:r w:rsidRPr="001C6DCE">
        <w:rPr>
          <w:rFonts w:asciiTheme="majorHAnsi" w:hAnsiTheme="majorHAnsi" w:cstheme="majorHAnsi"/>
          <w:sz w:val="24"/>
          <w:szCs w:val="24"/>
          <w:lang w:val="ro-MD"/>
        </w:rPr>
        <w:t xml:space="preserve"> mi</w:t>
      </w:r>
      <w:r w:rsidR="00BB4051" w:rsidRPr="001C6DCE">
        <w:rPr>
          <w:rFonts w:asciiTheme="majorHAnsi" w:hAnsiTheme="majorHAnsi" w:cstheme="majorHAnsi"/>
          <w:sz w:val="24"/>
          <w:szCs w:val="24"/>
          <w:lang w:val="ro-MD"/>
        </w:rPr>
        <w:t>l.</w:t>
      </w:r>
      <w:r w:rsidRPr="001C6DCE">
        <w:rPr>
          <w:rFonts w:asciiTheme="majorHAnsi" w:hAnsiTheme="majorHAnsi" w:cstheme="majorHAnsi"/>
          <w:sz w:val="24"/>
          <w:szCs w:val="24"/>
          <w:lang w:val="ro-MD"/>
        </w:rPr>
        <w:t>lei), achitarea indemnizațiilor de concediu nefolosit pentru anii precedenți (1</w:t>
      </w:r>
      <w:r w:rsidR="00BB4051" w:rsidRPr="001C6DCE">
        <w:rPr>
          <w:rFonts w:asciiTheme="majorHAnsi" w:hAnsiTheme="majorHAnsi" w:cstheme="majorHAnsi"/>
          <w:sz w:val="24"/>
          <w:szCs w:val="24"/>
          <w:lang w:val="ro-MD"/>
        </w:rPr>
        <w:t>,70</w:t>
      </w:r>
      <w:r w:rsidRPr="001C6DCE">
        <w:rPr>
          <w:rFonts w:asciiTheme="majorHAnsi" w:hAnsiTheme="majorHAnsi" w:cstheme="majorHAnsi"/>
          <w:sz w:val="24"/>
          <w:szCs w:val="24"/>
          <w:lang w:val="ro-MD"/>
        </w:rPr>
        <w:t xml:space="preserve"> mi</w:t>
      </w:r>
      <w:r w:rsidR="00BB4051" w:rsidRPr="001C6DCE">
        <w:rPr>
          <w:rFonts w:asciiTheme="majorHAnsi" w:hAnsiTheme="majorHAnsi" w:cstheme="majorHAnsi"/>
          <w:sz w:val="24"/>
          <w:szCs w:val="24"/>
          <w:lang w:val="ro-MD"/>
        </w:rPr>
        <w:t>l.</w:t>
      </w:r>
      <w:r w:rsidRPr="001C6DCE">
        <w:rPr>
          <w:rFonts w:asciiTheme="majorHAnsi" w:hAnsiTheme="majorHAnsi" w:cstheme="majorHAnsi"/>
          <w:sz w:val="24"/>
          <w:szCs w:val="24"/>
          <w:lang w:val="ro-MD"/>
        </w:rPr>
        <w:t>lei), achitarea salariului pentru luna decembrie a anului 2019 (5</w:t>
      </w:r>
      <w:r w:rsidR="00BB4051"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89 mi</w:t>
      </w:r>
      <w:r w:rsidR="00BB4051" w:rsidRPr="001C6DCE">
        <w:rPr>
          <w:rFonts w:asciiTheme="majorHAnsi" w:hAnsiTheme="majorHAnsi" w:cstheme="majorHAnsi"/>
          <w:sz w:val="24"/>
          <w:szCs w:val="24"/>
          <w:lang w:val="ro-MD"/>
        </w:rPr>
        <w:t>l.</w:t>
      </w:r>
      <w:r w:rsidRPr="001C6DCE">
        <w:rPr>
          <w:rFonts w:asciiTheme="majorHAnsi" w:hAnsiTheme="majorHAnsi" w:cstheme="majorHAnsi"/>
          <w:sz w:val="24"/>
          <w:szCs w:val="24"/>
          <w:lang w:val="ro-MD"/>
        </w:rPr>
        <w:t>lei), premii anuale (1</w:t>
      </w:r>
      <w:r w:rsidR="00BB4051"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57 </w:t>
      </w:r>
      <w:r w:rsidR="00BB4051" w:rsidRPr="001C6DCE">
        <w:rPr>
          <w:rFonts w:asciiTheme="majorHAnsi" w:hAnsiTheme="majorHAnsi" w:cstheme="majorHAnsi"/>
          <w:sz w:val="24"/>
          <w:szCs w:val="24"/>
          <w:lang w:val="ro-MD"/>
        </w:rPr>
        <w:t>mil.</w:t>
      </w:r>
      <w:r w:rsidRPr="001C6DCE">
        <w:rPr>
          <w:rFonts w:asciiTheme="majorHAnsi" w:hAnsiTheme="majorHAnsi" w:cstheme="majorHAnsi"/>
          <w:sz w:val="24"/>
          <w:szCs w:val="24"/>
          <w:lang w:val="ro-MD"/>
        </w:rPr>
        <w:t>lei), compensații (</w:t>
      </w:r>
      <w:r w:rsidR="00BB4051" w:rsidRPr="001C6DCE">
        <w:rPr>
          <w:rFonts w:asciiTheme="majorHAnsi" w:hAnsiTheme="majorHAnsi" w:cstheme="majorHAnsi"/>
          <w:sz w:val="24"/>
          <w:szCs w:val="24"/>
          <w:lang w:val="ro-MD"/>
        </w:rPr>
        <w:t>0,</w:t>
      </w:r>
      <w:r w:rsidRPr="001C6DCE">
        <w:rPr>
          <w:rFonts w:asciiTheme="majorHAnsi" w:hAnsiTheme="majorHAnsi" w:cstheme="majorHAnsi"/>
          <w:sz w:val="24"/>
          <w:szCs w:val="24"/>
          <w:lang w:val="ro-MD"/>
        </w:rPr>
        <w:t>37</w:t>
      </w:r>
      <w:r w:rsidR="00BB4051" w:rsidRPr="001C6DCE">
        <w:rPr>
          <w:rFonts w:asciiTheme="majorHAnsi" w:hAnsiTheme="majorHAnsi" w:cstheme="majorHAnsi"/>
          <w:sz w:val="24"/>
          <w:szCs w:val="24"/>
          <w:lang w:val="ro-MD"/>
        </w:rPr>
        <w:t xml:space="preserve"> </w:t>
      </w:r>
      <w:r w:rsidRPr="001C6DCE">
        <w:rPr>
          <w:rFonts w:asciiTheme="majorHAnsi" w:hAnsiTheme="majorHAnsi" w:cstheme="majorHAnsi"/>
          <w:sz w:val="24"/>
          <w:szCs w:val="24"/>
          <w:lang w:val="ro-MD"/>
        </w:rPr>
        <w:t>mi</w:t>
      </w:r>
      <w:r w:rsidR="00BB4051" w:rsidRPr="001C6DCE">
        <w:rPr>
          <w:rFonts w:asciiTheme="majorHAnsi" w:hAnsiTheme="majorHAnsi" w:cstheme="majorHAnsi"/>
          <w:sz w:val="24"/>
          <w:szCs w:val="24"/>
          <w:lang w:val="ro-MD"/>
        </w:rPr>
        <w:t>l.</w:t>
      </w:r>
      <w:r w:rsidRPr="001C6DCE">
        <w:rPr>
          <w:rFonts w:asciiTheme="majorHAnsi" w:hAnsiTheme="majorHAnsi" w:cstheme="majorHAnsi"/>
          <w:sz w:val="24"/>
          <w:szCs w:val="24"/>
          <w:lang w:val="ro-MD"/>
        </w:rPr>
        <w:t>lei), alte cheltuieli 2020-2022 (</w:t>
      </w:r>
      <w:r w:rsidR="00DE2558" w:rsidRPr="001C6DCE">
        <w:rPr>
          <w:rFonts w:asciiTheme="majorHAnsi" w:hAnsiTheme="majorHAnsi" w:cstheme="majorHAnsi"/>
          <w:sz w:val="24"/>
          <w:szCs w:val="24"/>
          <w:lang w:val="ro-MD"/>
        </w:rPr>
        <w:t>1</w:t>
      </w:r>
      <w:r w:rsidR="00BB4051" w:rsidRPr="001C6DCE">
        <w:rPr>
          <w:rFonts w:asciiTheme="majorHAnsi" w:hAnsiTheme="majorHAnsi" w:cstheme="majorHAnsi"/>
          <w:sz w:val="24"/>
          <w:szCs w:val="24"/>
          <w:lang w:val="ro-MD"/>
        </w:rPr>
        <w:t>,</w:t>
      </w:r>
      <w:r w:rsidR="00DE2558" w:rsidRPr="001C6DCE">
        <w:rPr>
          <w:rFonts w:asciiTheme="majorHAnsi" w:hAnsiTheme="majorHAnsi" w:cstheme="majorHAnsi"/>
          <w:sz w:val="24"/>
          <w:szCs w:val="24"/>
          <w:lang w:val="ro-MD"/>
        </w:rPr>
        <w:t>21</w:t>
      </w:r>
      <w:r w:rsidRPr="001C6DCE">
        <w:rPr>
          <w:rFonts w:asciiTheme="majorHAnsi" w:hAnsiTheme="majorHAnsi" w:cstheme="majorHAnsi"/>
          <w:sz w:val="24"/>
          <w:szCs w:val="24"/>
          <w:lang w:val="ro-MD"/>
        </w:rPr>
        <w:t xml:space="preserve"> mi</w:t>
      </w:r>
      <w:r w:rsidR="00BB4051" w:rsidRPr="001C6DCE">
        <w:rPr>
          <w:rFonts w:asciiTheme="majorHAnsi" w:hAnsiTheme="majorHAnsi" w:cstheme="majorHAnsi"/>
          <w:sz w:val="24"/>
          <w:szCs w:val="24"/>
          <w:lang w:val="ro-MD"/>
        </w:rPr>
        <w:t>l.</w:t>
      </w:r>
      <w:r w:rsidRPr="001C6DCE">
        <w:rPr>
          <w:rFonts w:asciiTheme="majorHAnsi" w:hAnsiTheme="majorHAnsi" w:cstheme="majorHAnsi"/>
          <w:sz w:val="24"/>
          <w:szCs w:val="24"/>
          <w:lang w:val="ro-MD"/>
        </w:rPr>
        <w:t>lei) .</w:t>
      </w:r>
    </w:p>
    <w:p w14:paraId="495C343D" w14:textId="56A97C45" w:rsidR="00441EB1" w:rsidRPr="001C6DCE" w:rsidRDefault="00086623" w:rsidP="008C4E63">
      <w:pPr>
        <w:spacing w:after="0" w:line="276" w:lineRule="auto"/>
        <w:ind w:right="-53" w:firstLine="65"/>
        <w:jc w:val="both"/>
        <w:rPr>
          <w:rFonts w:asciiTheme="majorHAnsi" w:hAnsiTheme="majorHAnsi" w:cstheme="majorHAnsi"/>
          <w:sz w:val="24"/>
          <w:szCs w:val="24"/>
          <w:lang w:val="ro-MD"/>
        </w:rPr>
      </w:pPr>
      <w:r w:rsidRPr="001C6DCE">
        <w:rPr>
          <w:rFonts w:asciiTheme="majorHAnsi" w:hAnsiTheme="majorHAnsi" w:cstheme="majorHAnsi"/>
          <w:b/>
          <w:sz w:val="24"/>
          <w:szCs w:val="24"/>
          <w:lang w:val="ro-MD"/>
        </w:rPr>
        <w:t xml:space="preserve">6.9. </w:t>
      </w:r>
      <w:r w:rsidR="00441EB1" w:rsidRPr="001C6DCE">
        <w:rPr>
          <w:rFonts w:asciiTheme="majorHAnsi" w:hAnsiTheme="majorHAnsi" w:cstheme="majorHAnsi"/>
          <w:sz w:val="24"/>
          <w:szCs w:val="24"/>
          <w:lang w:val="ro-MD"/>
        </w:rPr>
        <w:t xml:space="preserve">MEC nu deține pârghii pentru verificarea corectitudinii utilizării mijloacelor acordate pentru anumite activități, iar direcția de ramură nu verifică minuțios rapoartele prezentate de </w:t>
      </w:r>
      <w:r w:rsidR="00791627" w:rsidRPr="001C6DCE">
        <w:rPr>
          <w:rFonts w:asciiTheme="majorHAnsi" w:hAnsiTheme="majorHAnsi" w:cstheme="majorHAnsi"/>
          <w:sz w:val="24"/>
          <w:szCs w:val="24"/>
          <w:lang w:val="ro-MD"/>
        </w:rPr>
        <w:t>asociațiile obștești (</w:t>
      </w:r>
      <w:r w:rsidR="00441EB1" w:rsidRPr="001C6DCE">
        <w:rPr>
          <w:rFonts w:asciiTheme="majorHAnsi" w:hAnsiTheme="majorHAnsi" w:cstheme="majorHAnsi"/>
          <w:sz w:val="24"/>
          <w:szCs w:val="24"/>
          <w:lang w:val="ro-MD"/>
        </w:rPr>
        <w:t>AO</w:t>
      </w:r>
      <w:r w:rsidR="00791627" w:rsidRPr="001C6DCE">
        <w:rPr>
          <w:rFonts w:asciiTheme="majorHAnsi" w:hAnsiTheme="majorHAnsi" w:cstheme="majorHAnsi"/>
          <w:sz w:val="24"/>
          <w:szCs w:val="24"/>
          <w:lang w:val="ro-MD"/>
        </w:rPr>
        <w:t>)</w:t>
      </w:r>
      <w:r w:rsidR="00441EB1" w:rsidRPr="001C6DCE">
        <w:rPr>
          <w:rFonts w:asciiTheme="majorHAnsi" w:hAnsiTheme="majorHAnsi" w:cstheme="majorHAnsi"/>
          <w:sz w:val="24"/>
          <w:szCs w:val="24"/>
          <w:lang w:val="ro-MD"/>
        </w:rPr>
        <w:t>.</w:t>
      </w:r>
    </w:p>
    <w:p w14:paraId="6031CF43" w14:textId="24BEF31E" w:rsidR="00C245CC" w:rsidRPr="001C6DCE" w:rsidRDefault="00EC13B2" w:rsidP="008C4E63">
      <w:pPr>
        <w:spacing w:after="0" w:line="276" w:lineRule="auto"/>
        <w:ind w:right="-53"/>
        <w:jc w:val="both"/>
        <w:rPr>
          <w:rFonts w:asciiTheme="majorHAnsi" w:hAnsiTheme="majorHAnsi" w:cstheme="majorHAnsi"/>
          <w:sz w:val="24"/>
          <w:szCs w:val="24"/>
          <w:lang w:val="ro-MD"/>
        </w:rPr>
      </w:pPr>
      <w:r w:rsidRPr="001C6DCE">
        <w:rPr>
          <w:rFonts w:asciiTheme="majorHAnsi" w:hAnsiTheme="majorHAnsi" w:cstheme="majorHAnsi"/>
          <w:sz w:val="24"/>
          <w:szCs w:val="24"/>
          <w:lang w:val="ro-MD"/>
        </w:rPr>
        <w:t xml:space="preserve">Pentru </w:t>
      </w:r>
      <w:r w:rsidR="00DE2558" w:rsidRPr="001C6DCE">
        <w:rPr>
          <w:rFonts w:asciiTheme="majorHAnsi" w:hAnsiTheme="majorHAnsi" w:cstheme="majorHAnsi"/>
          <w:sz w:val="24"/>
          <w:szCs w:val="24"/>
          <w:lang w:val="ro-MD"/>
        </w:rPr>
        <w:t>a</w:t>
      </w:r>
      <w:r w:rsidRPr="001C6DCE">
        <w:rPr>
          <w:rFonts w:asciiTheme="majorHAnsi" w:hAnsiTheme="majorHAnsi" w:cstheme="majorHAnsi"/>
          <w:sz w:val="24"/>
          <w:szCs w:val="24"/>
          <w:lang w:val="ro-MD"/>
        </w:rPr>
        <w:t>nul 2022</w:t>
      </w:r>
      <w:r w:rsidR="00791627"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cheltuielile efective privind subvențiile acordate au constituit 56,74 mil.lei</w:t>
      </w:r>
      <w:r w:rsidR="00F07440" w:rsidRPr="001C6DCE">
        <w:rPr>
          <w:rFonts w:asciiTheme="majorHAnsi" w:hAnsiTheme="majorHAnsi" w:cstheme="majorHAnsi"/>
          <w:sz w:val="24"/>
          <w:szCs w:val="24"/>
          <w:lang w:val="ro-MD"/>
        </w:rPr>
        <w:t xml:space="preserve">, inclusiv </w:t>
      </w:r>
      <w:r w:rsidRPr="001C6DCE">
        <w:rPr>
          <w:rFonts w:asciiTheme="majorHAnsi" w:hAnsiTheme="majorHAnsi" w:cstheme="majorHAnsi"/>
          <w:sz w:val="24"/>
          <w:szCs w:val="24"/>
          <w:lang w:val="ro-MD"/>
        </w:rPr>
        <w:t>pentru „</w:t>
      </w:r>
      <w:r w:rsidRPr="001C6DCE">
        <w:rPr>
          <w:rFonts w:asciiTheme="majorHAnsi" w:hAnsiTheme="majorHAnsi" w:cstheme="majorHAnsi"/>
          <w:i/>
          <w:sz w:val="24"/>
          <w:szCs w:val="24"/>
          <w:lang w:val="ro-MD"/>
        </w:rPr>
        <w:t>Activități sportive” (</w:t>
      </w:r>
      <w:r w:rsidRPr="001C6DCE">
        <w:rPr>
          <w:rFonts w:asciiTheme="majorHAnsi" w:hAnsiTheme="majorHAnsi" w:cstheme="majorHAnsi"/>
          <w:sz w:val="24"/>
          <w:szCs w:val="24"/>
          <w:lang w:val="ro-MD"/>
        </w:rPr>
        <w:t>4</w:t>
      </w:r>
      <w:r w:rsidR="00F07440" w:rsidRPr="001C6DCE">
        <w:rPr>
          <w:rFonts w:asciiTheme="majorHAnsi" w:hAnsiTheme="majorHAnsi" w:cstheme="majorHAnsi"/>
          <w:sz w:val="24"/>
          <w:szCs w:val="24"/>
          <w:lang w:val="ro-MD"/>
        </w:rPr>
        <w:t>8,79</w:t>
      </w:r>
      <w:r w:rsidRPr="001C6DCE">
        <w:rPr>
          <w:rFonts w:asciiTheme="majorHAnsi" w:hAnsiTheme="majorHAnsi" w:cstheme="majorHAnsi"/>
          <w:sz w:val="24"/>
          <w:szCs w:val="24"/>
          <w:lang w:val="ro-MD"/>
        </w:rPr>
        <w:t xml:space="preserve"> mil</w:t>
      </w:r>
      <w:r w:rsidR="00F07440" w:rsidRPr="001C6DCE">
        <w:rPr>
          <w:rFonts w:asciiTheme="majorHAnsi" w:hAnsiTheme="majorHAnsi" w:cstheme="majorHAnsi"/>
          <w:sz w:val="24"/>
          <w:szCs w:val="24"/>
          <w:lang w:val="ro-MD"/>
        </w:rPr>
        <w:t>.lei) și</w:t>
      </w:r>
      <w:r w:rsidRPr="001C6DCE">
        <w:rPr>
          <w:rFonts w:asciiTheme="majorHAnsi" w:hAnsiTheme="majorHAnsi" w:cstheme="majorHAnsi"/>
          <w:sz w:val="24"/>
          <w:szCs w:val="24"/>
          <w:lang w:val="ro-MD"/>
        </w:rPr>
        <w:t xml:space="preserve"> „</w:t>
      </w:r>
      <w:r w:rsidRPr="001C6DCE">
        <w:rPr>
          <w:rFonts w:asciiTheme="majorHAnsi" w:hAnsiTheme="majorHAnsi" w:cstheme="majorHAnsi"/>
          <w:i/>
          <w:iCs/>
          <w:sz w:val="24"/>
          <w:szCs w:val="24"/>
          <w:lang w:val="ro-MD"/>
        </w:rPr>
        <w:t>Activități pentru tineret</w:t>
      </w:r>
      <w:r w:rsidR="00F07440"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w:t>
      </w:r>
      <w:r w:rsidR="00F07440"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7</w:t>
      </w:r>
      <w:r w:rsidR="00F07440"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6</w:t>
      </w:r>
      <w:r w:rsidR="00F07440" w:rsidRPr="001C6DCE">
        <w:rPr>
          <w:rFonts w:asciiTheme="majorHAnsi" w:hAnsiTheme="majorHAnsi" w:cstheme="majorHAnsi"/>
          <w:sz w:val="24"/>
          <w:szCs w:val="24"/>
          <w:lang w:val="ro-MD"/>
        </w:rPr>
        <w:t xml:space="preserve">1 </w:t>
      </w:r>
      <w:r w:rsidRPr="001C6DCE">
        <w:rPr>
          <w:rFonts w:asciiTheme="majorHAnsi" w:hAnsiTheme="majorHAnsi" w:cstheme="majorHAnsi"/>
          <w:sz w:val="24"/>
          <w:szCs w:val="24"/>
          <w:lang w:val="ro-MD"/>
        </w:rPr>
        <w:t>mi</w:t>
      </w:r>
      <w:r w:rsidR="00F07440" w:rsidRPr="001C6DCE">
        <w:rPr>
          <w:rFonts w:asciiTheme="majorHAnsi" w:hAnsiTheme="majorHAnsi" w:cstheme="majorHAnsi"/>
          <w:sz w:val="24"/>
          <w:szCs w:val="24"/>
          <w:lang w:val="ro-MD"/>
        </w:rPr>
        <w:t>l.lei)</w:t>
      </w:r>
      <w:r w:rsidRPr="001C6DCE">
        <w:rPr>
          <w:rFonts w:asciiTheme="majorHAnsi" w:hAnsiTheme="majorHAnsi" w:cstheme="majorHAnsi"/>
          <w:sz w:val="24"/>
          <w:szCs w:val="24"/>
          <w:lang w:val="ro-MD"/>
        </w:rPr>
        <w:t>.</w:t>
      </w:r>
      <w:r w:rsidR="008D69CD" w:rsidRPr="001C6DCE">
        <w:rPr>
          <w:rFonts w:asciiTheme="majorHAnsi" w:hAnsiTheme="majorHAnsi" w:cstheme="majorHAnsi"/>
          <w:sz w:val="24"/>
          <w:szCs w:val="24"/>
          <w:lang w:val="ro-MD"/>
        </w:rPr>
        <w:t xml:space="preserve"> </w:t>
      </w:r>
      <w:r w:rsidR="00EE10EB" w:rsidRPr="001C6DCE">
        <w:rPr>
          <w:rFonts w:asciiTheme="majorHAnsi" w:hAnsiTheme="majorHAnsi" w:cstheme="majorHAnsi"/>
          <w:sz w:val="24"/>
          <w:szCs w:val="24"/>
          <w:lang w:val="ro-MD"/>
        </w:rPr>
        <w:t xml:space="preserve">La prezentarea rapoartelor financiare, </w:t>
      </w:r>
      <w:r w:rsidR="00C245CC" w:rsidRPr="001C6DCE">
        <w:rPr>
          <w:rFonts w:asciiTheme="majorHAnsi" w:hAnsiTheme="majorHAnsi" w:cstheme="majorHAnsi"/>
          <w:sz w:val="24"/>
          <w:szCs w:val="24"/>
          <w:lang w:val="ro-MD"/>
        </w:rPr>
        <w:t xml:space="preserve">MEC nu verifică pe deplin eligibilitatea cheltuielilor suportate de </w:t>
      </w:r>
      <w:r w:rsidR="00454E58" w:rsidRPr="001C6DCE">
        <w:rPr>
          <w:rFonts w:asciiTheme="majorHAnsi" w:hAnsiTheme="majorHAnsi" w:cstheme="majorHAnsi"/>
          <w:sz w:val="24"/>
          <w:szCs w:val="24"/>
          <w:lang w:val="ro-MD"/>
        </w:rPr>
        <w:t>asociațiile obștești</w:t>
      </w:r>
      <w:r w:rsidR="00C245CC" w:rsidRPr="001C6DCE">
        <w:rPr>
          <w:rFonts w:asciiTheme="majorHAnsi" w:hAnsiTheme="majorHAnsi" w:cstheme="majorHAnsi"/>
          <w:sz w:val="24"/>
          <w:szCs w:val="24"/>
          <w:lang w:val="ro-MD"/>
        </w:rPr>
        <w:t xml:space="preserve"> pentru activități sportive și granturi de tineret, </w:t>
      </w:r>
      <w:r w:rsidR="00026330" w:rsidRPr="001C6DCE">
        <w:rPr>
          <w:rFonts w:asciiTheme="majorHAnsi" w:hAnsiTheme="majorHAnsi" w:cstheme="majorHAnsi"/>
          <w:sz w:val="24"/>
          <w:szCs w:val="24"/>
          <w:shd w:val="clear" w:color="auto" w:fill="FFFFFF"/>
          <w:lang w:val="ro-MD"/>
        </w:rPr>
        <w:t>fiind atestate</w:t>
      </w:r>
      <w:r w:rsidR="00C245CC" w:rsidRPr="001C6DCE">
        <w:rPr>
          <w:rFonts w:asciiTheme="majorHAnsi" w:hAnsiTheme="majorHAnsi" w:cstheme="majorHAnsi"/>
          <w:sz w:val="24"/>
          <w:szCs w:val="24"/>
          <w:shd w:val="clear" w:color="auto" w:fill="FFFFFF"/>
          <w:lang w:val="ro-MD"/>
        </w:rPr>
        <w:t xml:space="preserve"> mai multe neconformități, cum ar fi</w:t>
      </w:r>
      <w:r w:rsidR="00C245CC" w:rsidRPr="001C6DCE">
        <w:rPr>
          <w:rFonts w:asciiTheme="majorHAnsi" w:hAnsiTheme="majorHAnsi" w:cstheme="majorHAnsi"/>
          <w:sz w:val="24"/>
          <w:szCs w:val="24"/>
          <w:lang w:val="ro-MD"/>
        </w:rPr>
        <w:t xml:space="preserve">: </w:t>
      </w:r>
      <w:r w:rsidR="00C245CC" w:rsidRPr="001C6DCE">
        <w:rPr>
          <w:rFonts w:asciiTheme="majorHAnsi" w:hAnsiTheme="majorHAnsi" w:cstheme="majorHAnsi"/>
          <w:b/>
          <w:i/>
          <w:sz w:val="24"/>
          <w:szCs w:val="24"/>
          <w:lang w:val="ro-MD"/>
        </w:rPr>
        <w:t>1)</w:t>
      </w:r>
      <w:r w:rsidR="00C245CC" w:rsidRPr="001C6DCE">
        <w:rPr>
          <w:rFonts w:asciiTheme="majorHAnsi" w:hAnsiTheme="majorHAnsi" w:cstheme="majorHAnsi"/>
          <w:sz w:val="24"/>
          <w:szCs w:val="24"/>
          <w:lang w:val="ro-MD"/>
        </w:rPr>
        <w:t xml:space="preserve"> </w:t>
      </w:r>
      <w:r w:rsidR="00086623" w:rsidRPr="001C6DCE">
        <w:rPr>
          <w:rFonts w:asciiTheme="majorHAnsi" w:hAnsiTheme="majorHAnsi" w:cstheme="majorHAnsi"/>
          <w:sz w:val="24"/>
          <w:szCs w:val="24"/>
          <w:lang w:val="ro-MD"/>
        </w:rPr>
        <w:t>cheltuielile de cazare și alimentare suportate nu sunt confirmate cu documente justificative</w:t>
      </w:r>
      <w:r w:rsidR="00026330" w:rsidRPr="001C6DCE">
        <w:rPr>
          <w:rFonts w:asciiTheme="majorHAnsi" w:hAnsiTheme="majorHAnsi" w:cstheme="majorHAnsi"/>
          <w:sz w:val="24"/>
          <w:szCs w:val="24"/>
          <w:lang w:val="ro-MD"/>
        </w:rPr>
        <w:t>,</w:t>
      </w:r>
      <w:r w:rsidR="00086623" w:rsidRPr="001C6DCE">
        <w:rPr>
          <w:rFonts w:asciiTheme="majorHAnsi" w:hAnsiTheme="majorHAnsi" w:cstheme="majorHAnsi"/>
          <w:sz w:val="24"/>
          <w:szCs w:val="24"/>
          <w:lang w:val="ro-MD"/>
        </w:rPr>
        <w:t xml:space="preserve"> care ar include numărul efectiv de participanți la eveniment, numărul de persoane cazate și lista participanților alimentați;</w:t>
      </w:r>
      <w:r w:rsidR="00C245CC" w:rsidRPr="001C6DCE">
        <w:rPr>
          <w:rFonts w:asciiTheme="majorHAnsi" w:hAnsiTheme="majorHAnsi" w:cstheme="majorHAnsi"/>
          <w:sz w:val="24"/>
          <w:szCs w:val="24"/>
          <w:lang w:val="ro-MD"/>
        </w:rPr>
        <w:t xml:space="preserve"> </w:t>
      </w:r>
      <w:r w:rsidR="00C245CC" w:rsidRPr="001C6DCE">
        <w:rPr>
          <w:rFonts w:asciiTheme="majorHAnsi" w:hAnsiTheme="majorHAnsi" w:cstheme="majorHAnsi"/>
          <w:b/>
          <w:sz w:val="24"/>
          <w:szCs w:val="24"/>
          <w:lang w:val="ro-MD"/>
        </w:rPr>
        <w:t>2)</w:t>
      </w:r>
      <w:r w:rsidR="00C245CC" w:rsidRPr="001C6DCE">
        <w:rPr>
          <w:rFonts w:asciiTheme="majorHAnsi" w:hAnsiTheme="majorHAnsi" w:cstheme="majorHAnsi"/>
          <w:sz w:val="24"/>
          <w:szCs w:val="24"/>
          <w:lang w:val="ro-MD"/>
        </w:rPr>
        <w:t xml:space="preserve"> în unele documente justificative</w:t>
      </w:r>
      <w:r w:rsidR="00026330" w:rsidRPr="001C6DCE">
        <w:rPr>
          <w:rFonts w:asciiTheme="majorHAnsi" w:hAnsiTheme="majorHAnsi" w:cstheme="majorHAnsi"/>
          <w:sz w:val="24"/>
          <w:szCs w:val="24"/>
          <w:lang w:val="ro-MD"/>
        </w:rPr>
        <w:t>,</w:t>
      </w:r>
      <w:r w:rsidR="00C245CC" w:rsidRPr="001C6DCE">
        <w:rPr>
          <w:rFonts w:asciiTheme="majorHAnsi" w:hAnsiTheme="majorHAnsi" w:cstheme="majorHAnsi"/>
          <w:sz w:val="24"/>
          <w:szCs w:val="24"/>
          <w:lang w:val="ro-MD"/>
        </w:rPr>
        <w:t xml:space="preserve"> perioada indicată nu corespunde cu perioad</w:t>
      </w:r>
      <w:r w:rsidR="00026330" w:rsidRPr="001C6DCE">
        <w:rPr>
          <w:rFonts w:asciiTheme="majorHAnsi" w:hAnsiTheme="majorHAnsi" w:cstheme="majorHAnsi"/>
          <w:sz w:val="24"/>
          <w:szCs w:val="24"/>
          <w:lang w:val="ro-MD"/>
        </w:rPr>
        <w:t>a</w:t>
      </w:r>
      <w:r w:rsidR="00C245CC" w:rsidRPr="001C6DCE">
        <w:rPr>
          <w:rFonts w:asciiTheme="majorHAnsi" w:hAnsiTheme="majorHAnsi" w:cstheme="majorHAnsi"/>
          <w:sz w:val="24"/>
          <w:szCs w:val="24"/>
          <w:lang w:val="ro-MD"/>
        </w:rPr>
        <w:t xml:space="preserve"> desfășurării acțiunilor sportive;</w:t>
      </w:r>
      <w:r w:rsidR="00C245CC" w:rsidRPr="001C6DCE">
        <w:rPr>
          <w:rFonts w:asciiTheme="majorHAnsi" w:hAnsiTheme="majorHAnsi" w:cstheme="majorHAnsi"/>
          <w:b/>
          <w:sz w:val="24"/>
          <w:szCs w:val="24"/>
          <w:lang w:val="ro-MD"/>
        </w:rPr>
        <w:t xml:space="preserve"> 3)</w:t>
      </w:r>
      <w:r w:rsidR="00C245CC" w:rsidRPr="001C6DCE">
        <w:rPr>
          <w:rFonts w:asciiTheme="majorHAnsi" w:hAnsiTheme="majorHAnsi" w:cstheme="majorHAnsi"/>
          <w:sz w:val="24"/>
          <w:szCs w:val="24"/>
          <w:lang w:val="ro-MD"/>
        </w:rPr>
        <w:t xml:space="preserve"> documentele confirmative nu conțin lista persoanelor care au beneficiat de masă și nu există </w:t>
      </w:r>
      <w:r w:rsidR="00026330" w:rsidRPr="001C6DCE">
        <w:rPr>
          <w:rFonts w:asciiTheme="majorHAnsi" w:hAnsiTheme="majorHAnsi" w:cstheme="majorHAnsi"/>
          <w:sz w:val="24"/>
          <w:szCs w:val="24"/>
          <w:lang w:val="ro-MD"/>
        </w:rPr>
        <w:t xml:space="preserve">nici </w:t>
      </w:r>
      <w:r w:rsidR="00C245CC" w:rsidRPr="001C6DCE">
        <w:rPr>
          <w:rFonts w:asciiTheme="majorHAnsi" w:hAnsiTheme="majorHAnsi" w:cstheme="majorHAnsi"/>
          <w:sz w:val="24"/>
          <w:szCs w:val="24"/>
          <w:lang w:val="ro-MD"/>
        </w:rPr>
        <w:t>meniul</w:t>
      </w:r>
      <w:r w:rsidR="00026330" w:rsidRPr="001C6DCE">
        <w:rPr>
          <w:rFonts w:asciiTheme="majorHAnsi" w:hAnsiTheme="majorHAnsi" w:cstheme="majorHAnsi"/>
          <w:sz w:val="24"/>
          <w:szCs w:val="24"/>
          <w:lang w:val="ro-MD"/>
        </w:rPr>
        <w:t>, cu prețul</w:t>
      </w:r>
      <w:r w:rsidR="00C245CC" w:rsidRPr="001C6DCE">
        <w:rPr>
          <w:rFonts w:asciiTheme="majorHAnsi" w:hAnsiTheme="majorHAnsi" w:cstheme="majorHAnsi"/>
          <w:sz w:val="24"/>
          <w:szCs w:val="24"/>
          <w:lang w:val="ro-MD"/>
        </w:rPr>
        <w:t xml:space="preserve"> pentru un mic dejun, prânz sau cină</w:t>
      </w:r>
      <w:r w:rsidR="00C245CC" w:rsidRPr="001C6DCE">
        <w:rPr>
          <w:rStyle w:val="a5"/>
          <w:rFonts w:asciiTheme="majorHAnsi" w:hAnsiTheme="majorHAnsi" w:cstheme="majorHAnsi"/>
          <w:sz w:val="24"/>
          <w:szCs w:val="24"/>
          <w:lang w:val="ro-MD"/>
        </w:rPr>
        <w:footnoteReference w:id="50"/>
      </w:r>
      <w:r w:rsidR="00C245CC" w:rsidRPr="001C6DCE">
        <w:rPr>
          <w:rFonts w:asciiTheme="majorHAnsi" w:hAnsiTheme="majorHAnsi" w:cstheme="majorHAnsi"/>
          <w:sz w:val="24"/>
          <w:szCs w:val="24"/>
          <w:lang w:val="ro-MD"/>
        </w:rPr>
        <w:t xml:space="preserve">; </w:t>
      </w:r>
      <w:r w:rsidR="00C245CC" w:rsidRPr="001C6DCE">
        <w:rPr>
          <w:rFonts w:asciiTheme="majorHAnsi" w:hAnsiTheme="majorHAnsi" w:cstheme="majorHAnsi"/>
          <w:b/>
          <w:sz w:val="24"/>
          <w:szCs w:val="24"/>
          <w:lang w:val="ro-MD"/>
        </w:rPr>
        <w:t xml:space="preserve">4) </w:t>
      </w:r>
      <w:r w:rsidR="00C245CC" w:rsidRPr="001C6DCE">
        <w:rPr>
          <w:rFonts w:asciiTheme="majorHAnsi" w:hAnsiTheme="majorHAnsi" w:cstheme="majorHAnsi"/>
          <w:sz w:val="24"/>
          <w:szCs w:val="24"/>
          <w:lang w:val="ro-MD"/>
        </w:rPr>
        <w:t>pentru unele AO au fost acceptate spre plată cheltuieli</w:t>
      </w:r>
      <w:r w:rsidR="00026330" w:rsidRPr="001C6DCE">
        <w:rPr>
          <w:rFonts w:asciiTheme="majorHAnsi" w:hAnsiTheme="majorHAnsi" w:cstheme="majorHAnsi"/>
          <w:sz w:val="24"/>
          <w:szCs w:val="24"/>
          <w:lang w:val="ro-MD"/>
        </w:rPr>
        <w:t>le</w:t>
      </w:r>
      <w:r w:rsidR="00C245CC" w:rsidRPr="001C6DCE">
        <w:rPr>
          <w:rFonts w:asciiTheme="majorHAnsi" w:hAnsiTheme="majorHAnsi" w:cstheme="majorHAnsi"/>
          <w:sz w:val="24"/>
          <w:szCs w:val="24"/>
          <w:lang w:val="ro-MD"/>
        </w:rPr>
        <w:t xml:space="preserve"> </w:t>
      </w:r>
      <w:r w:rsidR="00C245CC" w:rsidRPr="001C6DCE">
        <w:rPr>
          <w:rFonts w:asciiTheme="majorHAnsi" w:hAnsiTheme="majorHAnsi" w:cstheme="majorHAnsi"/>
          <w:i/>
          <w:sz w:val="24"/>
          <w:szCs w:val="24"/>
          <w:lang w:val="ro-MD"/>
        </w:rPr>
        <w:t>pentru transport</w:t>
      </w:r>
      <w:r w:rsidR="00026330" w:rsidRPr="001C6DCE">
        <w:rPr>
          <w:rFonts w:asciiTheme="majorHAnsi" w:hAnsiTheme="majorHAnsi" w:cstheme="majorHAnsi"/>
          <w:i/>
          <w:sz w:val="24"/>
          <w:szCs w:val="24"/>
          <w:lang w:val="ro-MD"/>
        </w:rPr>
        <w:t>,</w:t>
      </w:r>
      <w:r w:rsidR="00C245CC" w:rsidRPr="001C6DCE">
        <w:rPr>
          <w:rFonts w:asciiTheme="majorHAnsi" w:hAnsiTheme="majorHAnsi" w:cstheme="majorHAnsi"/>
          <w:sz w:val="24"/>
          <w:szCs w:val="24"/>
          <w:lang w:val="ro-MD"/>
        </w:rPr>
        <w:t xml:space="preserve"> neconfirmate documentar</w:t>
      </w:r>
      <w:r w:rsidR="00C245CC" w:rsidRPr="001C6DCE">
        <w:rPr>
          <w:rStyle w:val="a5"/>
          <w:rFonts w:asciiTheme="majorHAnsi" w:hAnsiTheme="majorHAnsi" w:cstheme="majorHAnsi"/>
          <w:sz w:val="24"/>
          <w:szCs w:val="24"/>
          <w:lang w:val="ro-MD"/>
        </w:rPr>
        <w:footnoteReference w:id="51"/>
      </w:r>
      <w:r w:rsidR="00026330" w:rsidRPr="001C6DCE">
        <w:rPr>
          <w:rFonts w:asciiTheme="majorHAnsi" w:hAnsiTheme="majorHAnsi" w:cstheme="majorHAnsi"/>
          <w:sz w:val="24"/>
          <w:szCs w:val="24"/>
          <w:lang w:val="ro-MD"/>
        </w:rPr>
        <w:t>,</w:t>
      </w:r>
      <w:r w:rsidR="00C245CC" w:rsidRPr="001C6DCE">
        <w:rPr>
          <w:rFonts w:asciiTheme="majorHAnsi" w:hAnsiTheme="majorHAnsi" w:cstheme="majorHAnsi"/>
          <w:sz w:val="24"/>
          <w:szCs w:val="24"/>
          <w:lang w:val="ro-MD"/>
        </w:rPr>
        <w:t xml:space="preserve"> în sumă de 33,50 mii lei</w:t>
      </w:r>
      <w:r w:rsidR="00C245CC" w:rsidRPr="001C6DCE">
        <w:rPr>
          <w:rStyle w:val="a5"/>
          <w:rFonts w:asciiTheme="majorHAnsi" w:hAnsiTheme="majorHAnsi" w:cstheme="majorHAnsi"/>
          <w:sz w:val="24"/>
          <w:szCs w:val="24"/>
          <w:lang w:val="ro-MD"/>
        </w:rPr>
        <w:footnoteReference w:id="52"/>
      </w:r>
      <w:r w:rsidR="008D69CD" w:rsidRPr="001C6DCE">
        <w:rPr>
          <w:rFonts w:asciiTheme="majorHAnsi" w:hAnsiTheme="majorHAnsi" w:cstheme="majorHAnsi"/>
          <w:sz w:val="24"/>
          <w:szCs w:val="24"/>
          <w:lang w:val="ro-MD"/>
        </w:rPr>
        <w:t>.</w:t>
      </w:r>
    </w:p>
    <w:p w14:paraId="31F818F7" w14:textId="35282026" w:rsidR="00C245CC" w:rsidRPr="001C6DCE" w:rsidRDefault="008D69CD" w:rsidP="008C4E63">
      <w:pPr>
        <w:spacing w:after="0" w:line="276" w:lineRule="auto"/>
        <w:ind w:right="-53"/>
        <w:jc w:val="both"/>
        <w:rPr>
          <w:rFonts w:asciiTheme="majorHAnsi" w:hAnsiTheme="majorHAnsi" w:cstheme="majorHAnsi"/>
          <w:sz w:val="24"/>
          <w:szCs w:val="24"/>
          <w:lang w:val="ro-MD"/>
        </w:rPr>
      </w:pPr>
      <w:r w:rsidRPr="001C6DCE">
        <w:rPr>
          <w:rFonts w:asciiTheme="majorHAnsi" w:hAnsiTheme="majorHAnsi" w:cstheme="majorHAnsi"/>
          <w:sz w:val="24"/>
          <w:szCs w:val="24"/>
          <w:lang w:val="ro-MD"/>
        </w:rPr>
        <w:t>De asemenea</w:t>
      </w:r>
      <w:r w:rsidR="00026330"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w:t>
      </w:r>
      <w:r w:rsidR="00C245CC" w:rsidRPr="001C6DCE">
        <w:rPr>
          <w:rFonts w:asciiTheme="majorHAnsi" w:hAnsiTheme="majorHAnsi" w:cstheme="majorHAnsi"/>
          <w:sz w:val="24"/>
          <w:szCs w:val="24"/>
          <w:lang w:val="ro-MD"/>
        </w:rPr>
        <w:t xml:space="preserve">MEC </w:t>
      </w:r>
      <w:r w:rsidRPr="001C6DCE">
        <w:rPr>
          <w:rFonts w:asciiTheme="majorHAnsi" w:hAnsiTheme="majorHAnsi" w:cstheme="majorHAnsi"/>
          <w:sz w:val="24"/>
          <w:szCs w:val="24"/>
          <w:lang w:val="ro-MD"/>
        </w:rPr>
        <w:t xml:space="preserve">a </w:t>
      </w:r>
      <w:r w:rsidR="00C245CC" w:rsidRPr="001C6DCE">
        <w:rPr>
          <w:rFonts w:asciiTheme="majorHAnsi" w:hAnsiTheme="majorHAnsi" w:cstheme="majorHAnsi"/>
          <w:sz w:val="24"/>
          <w:szCs w:val="24"/>
          <w:lang w:val="ro-MD"/>
        </w:rPr>
        <w:t>acceptat</w:t>
      </w:r>
      <w:r w:rsidRPr="001C6DCE">
        <w:rPr>
          <w:rFonts w:asciiTheme="majorHAnsi" w:hAnsiTheme="majorHAnsi" w:cstheme="majorHAnsi"/>
          <w:sz w:val="24"/>
          <w:szCs w:val="24"/>
          <w:lang w:val="ro-MD"/>
        </w:rPr>
        <w:t xml:space="preserve"> norme</w:t>
      </w:r>
      <w:r w:rsidR="00026330" w:rsidRPr="001C6DCE">
        <w:rPr>
          <w:rFonts w:asciiTheme="majorHAnsi" w:hAnsiTheme="majorHAnsi" w:cstheme="majorHAnsi"/>
          <w:sz w:val="24"/>
          <w:szCs w:val="24"/>
          <w:lang w:val="ro-MD"/>
        </w:rPr>
        <w:t>le</w:t>
      </w:r>
      <w:r w:rsidRPr="001C6DCE">
        <w:rPr>
          <w:rFonts w:asciiTheme="majorHAnsi" w:hAnsiTheme="majorHAnsi" w:cstheme="majorHAnsi"/>
          <w:sz w:val="24"/>
          <w:szCs w:val="24"/>
          <w:lang w:val="ro-MD"/>
        </w:rPr>
        <w:t xml:space="preserve"> de cazare</w:t>
      </w:r>
      <w:r w:rsidR="00026330"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c</w:t>
      </w:r>
      <w:r w:rsidR="00026330" w:rsidRPr="001C6DCE">
        <w:rPr>
          <w:rFonts w:asciiTheme="majorHAnsi" w:hAnsiTheme="majorHAnsi" w:cstheme="majorHAnsi"/>
          <w:sz w:val="24"/>
          <w:szCs w:val="24"/>
          <w:lang w:val="ro-MD"/>
        </w:rPr>
        <w:t>ar</w:t>
      </w:r>
      <w:r w:rsidRPr="001C6DCE">
        <w:rPr>
          <w:rFonts w:asciiTheme="majorHAnsi" w:hAnsiTheme="majorHAnsi" w:cstheme="majorHAnsi"/>
          <w:sz w:val="24"/>
          <w:szCs w:val="24"/>
          <w:lang w:val="ro-MD"/>
        </w:rPr>
        <w:t>e depășesc plafonul stabilit de H</w:t>
      </w:r>
      <w:r w:rsidR="00026330" w:rsidRPr="001C6DCE">
        <w:rPr>
          <w:rFonts w:asciiTheme="majorHAnsi" w:hAnsiTheme="majorHAnsi" w:cstheme="majorHAnsi"/>
          <w:sz w:val="24"/>
          <w:szCs w:val="24"/>
          <w:lang w:val="ro-MD"/>
        </w:rPr>
        <w:t xml:space="preserve">otărârea </w:t>
      </w:r>
      <w:r w:rsidRPr="001C6DCE">
        <w:rPr>
          <w:rFonts w:asciiTheme="majorHAnsi" w:hAnsiTheme="majorHAnsi" w:cstheme="majorHAnsi"/>
          <w:sz w:val="24"/>
          <w:szCs w:val="24"/>
          <w:lang w:val="ro-MD"/>
        </w:rPr>
        <w:t>G</w:t>
      </w:r>
      <w:r w:rsidR="00026330" w:rsidRPr="001C6DCE">
        <w:rPr>
          <w:rFonts w:asciiTheme="majorHAnsi" w:hAnsiTheme="majorHAnsi" w:cstheme="majorHAnsi"/>
          <w:sz w:val="24"/>
          <w:szCs w:val="24"/>
          <w:lang w:val="ro-MD"/>
        </w:rPr>
        <w:t>uvernului</w:t>
      </w:r>
      <w:r w:rsidRPr="001C6DCE">
        <w:rPr>
          <w:rFonts w:asciiTheme="majorHAnsi" w:hAnsiTheme="majorHAnsi" w:cstheme="majorHAnsi"/>
          <w:sz w:val="24"/>
          <w:szCs w:val="24"/>
          <w:lang w:val="ro-MD"/>
        </w:rPr>
        <w:t xml:space="preserve"> nr.10/2012</w:t>
      </w:r>
      <w:r w:rsidR="007C635D" w:rsidRPr="001C6DCE">
        <w:rPr>
          <w:rStyle w:val="a5"/>
          <w:rFonts w:asciiTheme="majorHAnsi" w:hAnsiTheme="majorHAnsi" w:cstheme="majorHAnsi"/>
          <w:sz w:val="24"/>
          <w:szCs w:val="24"/>
          <w:lang w:val="ro-MD"/>
        </w:rPr>
        <w:footnoteReference w:id="53"/>
      </w:r>
      <w:r w:rsidR="00026330"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la 5 federații</w:t>
      </w:r>
      <w:r w:rsidRPr="001C6DCE">
        <w:rPr>
          <w:rStyle w:val="a5"/>
          <w:rFonts w:asciiTheme="majorHAnsi" w:hAnsiTheme="majorHAnsi" w:cstheme="majorHAnsi"/>
          <w:sz w:val="24"/>
          <w:szCs w:val="24"/>
          <w:lang w:val="ro-MD"/>
        </w:rPr>
        <w:footnoteReference w:id="54"/>
      </w:r>
      <w:r w:rsidRPr="001C6DCE">
        <w:rPr>
          <w:rFonts w:asciiTheme="majorHAnsi" w:hAnsiTheme="majorHAnsi" w:cstheme="majorHAnsi"/>
          <w:sz w:val="24"/>
          <w:szCs w:val="24"/>
          <w:lang w:val="ro-MD"/>
        </w:rPr>
        <w:t xml:space="preserve"> (30 de activități sportive) în lipsa notificărilor prealabile</w:t>
      </w:r>
      <w:r w:rsidR="00EF52F1"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w:t>
      </w:r>
      <w:r w:rsidR="00C245CC" w:rsidRPr="001C6DCE">
        <w:rPr>
          <w:rFonts w:asciiTheme="majorHAnsi" w:hAnsiTheme="majorHAnsi" w:cstheme="majorHAnsi"/>
          <w:sz w:val="24"/>
          <w:szCs w:val="24"/>
          <w:lang w:val="ro-MD"/>
        </w:rPr>
        <w:t xml:space="preserve">în sumă de </w:t>
      </w:r>
      <w:r w:rsidR="00F65259" w:rsidRPr="001C6DCE">
        <w:rPr>
          <w:rFonts w:asciiTheme="majorHAnsi" w:hAnsiTheme="majorHAnsi" w:cstheme="majorHAnsi"/>
          <w:sz w:val="24"/>
          <w:szCs w:val="24"/>
          <w:lang w:val="ro-MD"/>
        </w:rPr>
        <w:t>circa 1.027,82 mii lei (</w:t>
      </w:r>
      <w:r w:rsidR="00C245CC" w:rsidRPr="001C6DCE">
        <w:rPr>
          <w:rFonts w:asciiTheme="majorHAnsi" w:hAnsiTheme="majorHAnsi" w:cstheme="majorHAnsi"/>
          <w:sz w:val="24"/>
          <w:szCs w:val="24"/>
          <w:lang w:val="ro-MD"/>
        </w:rPr>
        <w:t>51.649,0 EUR</w:t>
      </w:r>
      <w:r w:rsidR="00F65259" w:rsidRPr="001C6DCE">
        <w:rPr>
          <w:rFonts w:asciiTheme="majorHAnsi" w:hAnsiTheme="majorHAnsi" w:cstheme="majorHAnsi"/>
          <w:sz w:val="24"/>
          <w:szCs w:val="24"/>
          <w:lang w:val="ro-MD"/>
        </w:rPr>
        <w:t>)</w:t>
      </w:r>
      <w:r w:rsidR="00C245CC" w:rsidRPr="001C6DCE">
        <w:rPr>
          <w:rFonts w:asciiTheme="majorHAnsi" w:hAnsiTheme="majorHAnsi" w:cstheme="majorHAnsi"/>
          <w:sz w:val="24"/>
          <w:szCs w:val="24"/>
          <w:lang w:val="ro-MD"/>
        </w:rPr>
        <w:t>.</w:t>
      </w:r>
    </w:p>
    <w:p w14:paraId="0B88BC58" w14:textId="2EDE5F2D" w:rsidR="00086623" w:rsidRPr="001C6DCE" w:rsidRDefault="00031B47" w:rsidP="008C4E63">
      <w:pPr>
        <w:tabs>
          <w:tab w:val="left" w:pos="284"/>
          <w:tab w:val="left" w:pos="719"/>
          <w:tab w:val="left" w:pos="851"/>
        </w:tabs>
        <w:spacing w:after="0" w:line="276" w:lineRule="auto"/>
        <w:jc w:val="both"/>
        <w:rPr>
          <w:rFonts w:asciiTheme="majorHAnsi" w:hAnsiTheme="majorHAnsi" w:cstheme="majorHAnsi"/>
          <w:bCs/>
          <w:spacing w:val="-2"/>
          <w:sz w:val="24"/>
          <w:szCs w:val="24"/>
          <w:lang w:val="ro-MD"/>
        </w:rPr>
      </w:pPr>
      <w:r w:rsidRPr="001C6DCE">
        <w:rPr>
          <w:rFonts w:asciiTheme="majorHAnsi" w:hAnsiTheme="majorHAnsi" w:cstheme="majorHAnsi"/>
          <w:sz w:val="24"/>
          <w:szCs w:val="24"/>
          <w:shd w:val="clear" w:color="auto" w:fill="FFFFFF"/>
          <w:lang w:val="ro-MD"/>
        </w:rPr>
        <w:t>De menționat că cheltuielile</w:t>
      </w:r>
      <w:r w:rsidR="00086623" w:rsidRPr="001C6DCE">
        <w:rPr>
          <w:rFonts w:asciiTheme="majorHAnsi" w:hAnsiTheme="majorHAnsi" w:cstheme="majorHAnsi"/>
          <w:sz w:val="24"/>
          <w:szCs w:val="24"/>
          <w:shd w:val="clear" w:color="auto" w:fill="FFFFFF"/>
          <w:lang w:val="ro-MD"/>
        </w:rPr>
        <w:t xml:space="preserve"> </w:t>
      </w:r>
      <w:r w:rsidR="008D69CD" w:rsidRPr="001C6DCE">
        <w:rPr>
          <w:rFonts w:asciiTheme="majorHAnsi" w:hAnsiTheme="majorHAnsi" w:cstheme="majorHAnsi"/>
          <w:sz w:val="24"/>
          <w:szCs w:val="24"/>
          <w:shd w:val="clear" w:color="auto" w:fill="FFFFFF"/>
          <w:lang w:val="ro-MD"/>
        </w:rPr>
        <w:t xml:space="preserve">raportate de </w:t>
      </w:r>
      <w:r w:rsidRPr="001C6DCE">
        <w:rPr>
          <w:rFonts w:asciiTheme="majorHAnsi" w:hAnsiTheme="majorHAnsi" w:cstheme="majorHAnsi"/>
          <w:sz w:val="24"/>
          <w:szCs w:val="24"/>
          <w:shd w:val="clear" w:color="auto" w:fill="FFFFFF"/>
          <w:lang w:val="ro-MD"/>
        </w:rPr>
        <w:t xml:space="preserve">unele </w:t>
      </w:r>
      <w:r w:rsidR="008D69CD" w:rsidRPr="001C6DCE">
        <w:rPr>
          <w:rFonts w:asciiTheme="majorHAnsi" w:hAnsiTheme="majorHAnsi" w:cstheme="majorHAnsi"/>
          <w:sz w:val="24"/>
          <w:szCs w:val="24"/>
          <w:shd w:val="clear" w:color="auto" w:fill="FFFFFF"/>
          <w:lang w:val="ro-MD"/>
        </w:rPr>
        <w:t xml:space="preserve">AO </w:t>
      </w:r>
      <w:r w:rsidR="00086623" w:rsidRPr="001C6DCE">
        <w:rPr>
          <w:rFonts w:asciiTheme="majorHAnsi" w:hAnsiTheme="majorHAnsi" w:cstheme="majorHAnsi"/>
          <w:sz w:val="24"/>
          <w:szCs w:val="24"/>
          <w:shd w:val="clear" w:color="auto" w:fill="FFFFFF"/>
          <w:lang w:val="ro-MD"/>
        </w:rPr>
        <w:t>în Declarația privind impozitul pe venit pentru organizați</w:t>
      </w:r>
      <w:r w:rsidRPr="001C6DCE">
        <w:rPr>
          <w:rFonts w:asciiTheme="majorHAnsi" w:hAnsiTheme="majorHAnsi" w:cstheme="majorHAnsi"/>
          <w:sz w:val="24"/>
          <w:szCs w:val="24"/>
          <w:shd w:val="clear" w:color="auto" w:fill="FFFFFF"/>
          <w:lang w:val="ro-MD"/>
        </w:rPr>
        <w:t>ile necomerciale (Forma ONG 17)</w:t>
      </w:r>
      <w:r w:rsidR="00EF52F1" w:rsidRPr="001C6DCE">
        <w:rPr>
          <w:rFonts w:asciiTheme="majorHAnsi" w:hAnsiTheme="majorHAnsi" w:cstheme="majorHAnsi"/>
          <w:sz w:val="24"/>
          <w:szCs w:val="24"/>
          <w:shd w:val="clear" w:color="auto" w:fill="FFFFFF"/>
          <w:lang w:val="ro-MD"/>
        </w:rPr>
        <w:t>, precum</w:t>
      </w:r>
      <w:r w:rsidR="00721AC1">
        <w:rPr>
          <w:rFonts w:asciiTheme="majorHAnsi" w:hAnsiTheme="majorHAnsi" w:cstheme="majorHAnsi"/>
          <w:sz w:val="24"/>
          <w:szCs w:val="24"/>
          <w:shd w:val="clear" w:color="auto" w:fill="FFFFFF"/>
          <w:lang w:val="ro-MD"/>
        </w:rPr>
        <w:t xml:space="preserve"> </w:t>
      </w:r>
      <w:r w:rsidR="00086623" w:rsidRPr="001C6DCE">
        <w:rPr>
          <w:rFonts w:asciiTheme="majorHAnsi" w:hAnsiTheme="majorHAnsi" w:cstheme="majorHAnsi"/>
          <w:sz w:val="24"/>
          <w:szCs w:val="24"/>
          <w:shd w:val="clear" w:color="auto" w:fill="FFFFFF"/>
          <w:lang w:val="ro-MD"/>
        </w:rPr>
        <w:t xml:space="preserve">și cele raportate la MEC </w:t>
      </w:r>
      <w:r w:rsidRPr="001C6DCE">
        <w:rPr>
          <w:rFonts w:asciiTheme="majorHAnsi" w:hAnsiTheme="majorHAnsi" w:cstheme="majorHAnsi"/>
          <w:sz w:val="24"/>
          <w:szCs w:val="24"/>
          <w:shd w:val="clear" w:color="auto" w:fill="FFFFFF"/>
          <w:lang w:val="ro-MD"/>
        </w:rPr>
        <w:t>sunt mai mici. Astfel, î</w:t>
      </w:r>
      <w:r w:rsidR="00086623" w:rsidRPr="001C6DCE">
        <w:rPr>
          <w:rFonts w:asciiTheme="majorHAnsi" w:hAnsiTheme="majorHAnsi" w:cstheme="majorHAnsi"/>
          <w:sz w:val="24"/>
          <w:szCs w:val="24"/>
          <w:shd w:val="clear" w:color="auto" w:fill="FFFFFF"/>
          <w:lang w:val="ro-MD"/>
        </w:rPr>
        <w:t>n anul 2022</w:t>
      </w:r>
      <w:r w:rsidR="00EF52F1" w:rsidRPr="001C6DCE">
        <w:rPr>
          <w:rFonts w:asciiTheme="majorHAnsi" w:hAnsiTheme="majorHAnsi" w:cstheme="majorHAnsi"/>
          <w:sz w:val="24"/>
          <w:szCs w:val="24"/>
          <w:shd w:val="clear" w:color="auto" w:fill="FFFFFF"/>
          <w:lang w:val="ro-MD"/>
        </w:rPr>
        <w:t>,</w:t>
      </w:r>
      <w:r w:rsidR="00086623" w:rsidRPr="001C6DCE">
        <w:rPr>
          <w:rFonts w:asciiTheme="majorHAnsi" w:hAnsiTheme="majorHAnsi" w:cstheme="majorHAnsi"/>
          <w:sz w:val="24"/>
          <w:szCs w:val="24"/>
          <w:shd w:val="clear" w:color="auto" w:fill="FFFFFF"/>
          <w:lang w:val="ro-MD"/>
        </w:rPr>
        <w:t xml:space="preserve"> de către </w:t>
      </w:r>
      <w:r w:rsidR="00086623" w:rsidRPr="001C6DCE">
        <w:rPr>
          <w:rFonts w:asciiTheme="majorHAnsi" w:hAnsiTheme="majorHAnsi" w:cstheme="majorHAnsi"/>
          <w:bCs/>
          <w:spacing w:val="-2"/>
          <w:sz w:val="24"/>
          <w:szCs w:val="24"/>
          <w:lang w:val="ro-MD"/>
        </w:rPr>
        <w:t>4 asociații</w:t>
      </w:r>
      <w:r w:rsidR="00086623" w:rsidRPr="001C6DCE">
        <w:rPr>
          <w:rStyle w:val="a5"/>
          <w:rFonts w:asciiTheme="majorHAnsi" w:hAnsiTheme="majorHAnsi" w:cstheme="majorHAnsi"/>
          <w:bCs/>
          <w:spacing w:val="-2"/>
          <w:sz w:val="24"/>
          <w:szCs w:val="24"/>
          <w:lang w:val="ro-MD"/>
        </w:rPr>
        <w:footnoteReference w:id="55"/>
      </w:r>
      <w:r w:rsidR="00086623" w:rsidRPr="001C6DCE">
        <w:rPr>
          <w:rFonts w:asciiTheme="majorHAnsi" w:hAnsiTheme="majorHAnsi" w:cstheme="majorHAnsi"/>
          <w:bCs/>
          <w:spacing w:val="-2"/>
          <w:sz w:val="24"/>
          <w:szCs w:val="24"/>
          <w:lang w:val="ro-MD"/>
        </w:rPr>
        <w:t xml:space="preserve"> au fost raportate la cheltuieli în </w:t>
      </w:r>
      <w:r w:rsidR="00EF52F1" w:rsidRPr="001C6DCE">
        <w:rPr>
          <w:rFonts w:asciiTheme="majorHAnsi" w:hAnsiTheme="majorHAnsi" w:cstheme="majorHAnsi"/>
          <w:bCs/>
          <w:spacing w:val="-2"/>
          <w:sz w:val="24"/>
          <w:szCs w:val="24"/>
          <w:lang w:val="ro-MD"/>
        </w:rPr>
        <w:t>F</w:t>
      </w:r>
      <w:r w:rsidR="00086623" w:rsidRPr="001C6DCE">
        <w:rPr>
          <w:rFonts w:asciiTheme="majorHAnsi" w:hAnsiTheme="majorHAnsi" w:cstheme="majorHAnsi"/>
          <w:bCs/>
          <w:spacing w:val="-2"/>
          <w:sz w:val="24"/>
          <w:szCs w:val="24"/>
          <w:lang w:val="ro-MD"/>
        </w:rPr>
        <w:t>orma ONG 17 – 328,62</w:t>
      </w:r>
      <w:r w:rsidR="00721AC1">
        <w:rPr>
          <w:rFonts w:asciiTheme="majorHAnsi" w:hAnsiTheme="majorHAnsi" w:cstheme="majorHAnsi"/>
          <w:bCs/>
          <w:spacing w:val="-2"/>
          <w:sz w:val="24"/>
          <w:szCs w:val="24"/>
          <w:lang w:val="ro-MD"/>
        </w:rPr>
        <w:t xml:space="preserve"> </w:t>
      </w:r>
      <w:r w:rsidR="00086623" w:rsidRPr="001C6DCE">
        <w:rPr>
          <w:rFonts w:asciiTheme="majorHAnsi" w:hAnsiTheme="majorHAnsi" w:cstheme="majorHAnsi"/>
          <w:bCs/>
          <w:spacing w:val="-2"/>
          <w:sz w:val="24"/>
          <w:szCs w:val="24"/>
          <w:lang w:val="ro-MD"/>
        </w:rPr>
        <w:t>mii lei, iar la MEC</w:t>
      </w:r>
      <w:r w:rsidR="00721AC1">
        <w:rPr>
          <w:rFonts w:asciiTheme="majorHAnsi" w:hAnsiTheme="majorHAnsi" w:cstheme="majorHAnsi"/>
          <w:bCs/>
          <w:spacing w:val="-2"/>
          <w:sz w:val="24"/>
          <w:szCs w:val="24"/>
          <w:lang w:val="ro-MD"/>
        </w:rPr>
        <w:t xml:space="preserve"> </w:t>
      </w:r>
      <w:r w:rsidR="00086623" w:rsidRPr="001C6DCE">
        <w:rPr>
          <w:rFonts w:asciiTheme="majorHAnsi" w:hAnsiTheme="majorHAnsi" w:cstheme="majorHAnsi"/>
          <w:bCs/>
          <w:spacing w:val="-2"/>
          <w:sz w:val="24"/>
          <w:szCs w:val="24"/>
          <w:lang w:val="ro-MD"/>
        </w:rPr>
        <w:t>–</w:t>
      </w:r>
      <w:r w:rsidR="00721AC1">
        <w:rPr>
          <w:rFonts w:asciiTheme="majorHAnsi" w:hAnsiTheme="majorHAnsi" w:cstheme="majorHAnsi"/>
          <w:bCs/>
          <w:spacing w:val="-2"/>
          <w:sz w:val="24"/>
          <w:szCs w:val="24"/>
          <w:lang w:val="ro-MD"/>
        </w:rPr>
        <w:t xml:space="preserve"> </w:t>
      </w:r>
      <w:r w:rsidR="00086623" w:rsidRPr="001C6DCE">
        <w:rPr>
          <w:rFonts w:asciiTheme="majorHAnsi" w:hAnsiTheme="majorHAnsi" w:cstheme="majorHAnsi"/>
          <w:bCs/>
          <w:spacing w:val="-2"/>
          <w:sz w:val="24"/>
          <w:szCs w:val="24"/>
          <w:lang w:val="ro-MD"/>
        </w:rPr>
        <w:t xml:space="preserve">627,28 mii lei, </w:t>
      </w:r>
      <w:r w:rsidR="00EF52F1" w:rsidRPr="001C6DCE">
        <w:rPr>
          <w:rFonts w:asciiTheme="majorHAnsi" w:hAnsiTheme="majorHAnsi" w:cstheme="majorHAnsi"/>
          <w:bCs/>
          <w:spacing w:val="-2"/>
          <w:sz w:val="24"/>
          <w:szCs w:val="24"/>
          <w:lang w:val="ro-MD"/>
        </w:rPr>
        <w:t>sau</w:t>
      </w:r>
      <w:r w:rsidR="00086623" w:rsidRPr="001C6DCE">
        <w:rPr>
          <w:rFonts w:asciiTheme="majorHAnsi" w:hAnsiTheme="majorHAnsi" w:cstheme="majorHAnsi"/>
          <w:bCs/>
          <w:spacing w:val="-2"/>
          <w:sz w:val="24"/>
          <w:szCs w:val="24"/>
          <w:lang w:val="ro-MD"/>
        </w:rPr>
        <w:t xml:space="preserve"> cu 298,66 mii lei mai mult. </w:t>
      </w:r>
      <w:r w:rsidR="006D2A15" w:rsidRPr="001C6DCE">
        <w:rPr>
          <w:rFonts w:asciiTheme="majorHAnsi" w:hAnsiTheme="majorHAnsi" w:cstheme="majorHAnsi"/>
          <w:bCs/>
          <w:spacing w:val="-2"/>
          <w:sz w:val="24"/>
          <w:szCs w:val="24"/>
          <w:lang w:val="ro-MD"/>
        </w:rPr>
        <w:t>O s</w:t>
      </w:r>
      <w:r w:rsidR="00086623" w:rsidRPr="001C6DCE">
        <w:rPr>
          <w:rFonts w:asciiTheme="majorHAnsi" w:hAnsiTheme="majorHAnsi" w:cstheme="majorHAnsi"/>
          <w:bCs/>
          <w:spacing w:val="-2"/>
          <w:sz w:val="24"/>
          <w:szCs w:val="24"/>
          <w:lang w:val="ro-MD"/>
        </w:rPr>
        <w:t>ituați</w:t>
      </w:r>
      <w:r w:rsidR="00F65259" w:rsidRPr="001C6DCE">
        <w:rPr>
          <w:rFonts w:asciiTheme="majorHAnsi" w:hAnsiTheme="majorHAnsi" w:cstheme="majorHAnsi"/>
          <w:bCs/>
          <w:spacing w:val="-2"/>
          <w:sz w:val="24"/>
          <w:szCs w:val="24"/>
          <w:lang w:val="ro-MD"/>
        </w:rPr>
        <w:t>e</w:t>
      </w:r>
      <w:r w:rsidR="00086623" w:rsidRPr="001C6DCE">
        <w:rPr>
          <w:rFonts w:asciiTheme="majorHAnsi" w:hAnsiTheme="majorHAnsi" w:cstheme="majorHAnsi"/>
          <w:bCs/>
          <w:spacing w:val="-2"/>
          <w:sz w:val="24"/>
          <w:szCs w:val="24"/>
          <w:lang w:val="ro-MD"/>
        </w:rPr>
        <w:t xml:space="preserve"> similară se constată și </w:t>
      </w:r>
      <w:r w:rsidR="00F65259" w:rsidRPr="001C6DCE">
        <w:rPr>
          <w:rFonts w:asciiTheme="majorHAnsi" w:hAnsiTheme="majorHAnsi" w:cstheme="majorHAnsi"/>
          <w:bCs/>
          <w:spacing w:val="-2"/>
          <w:sz w:val="24"/>
          <w:szCs w:val="24"/>
          <w:lang w:val="ro-MD"/>
        </w:rPr>
        <w:t>la</w:t>
      </w:r>
      <w:r w:rsidR="00086623" w:rsidRPr="001C6DCE">
        <w:rPr>
          <w:rFonts w:asciiTheme="majorHAnsi" w:hAnsiTheme="majorHAnsi" w:cstheme="majorHAnsi"/>
          <w:bCs/>
          <w:spacing w:val="-2"/>
          <w:sz w:val="24"/>
          <w:szCs w:val="24"/>
          <w:lang w:val="ro-MD"/>
        </w:rPr>
        <w:t xml:space="preserve"> 2 federații sportive</w:t>
      </w:r>
      <w:r w:rsidR="00F65259" w:rsidRPr="001C6DCE">
        <w:rPr>
          <w:rFonts w:asciiTheme="majorHAnsi" w:hAnsiTheme="majorHAnsi" w:cstheme="majorHAnsi"/>
          <w:bCs/>
          <w:spacing w:val="-2"/>
          <w:sz w:val="24"/>
          <w:szCs w:val="24"/>
          <w:lang w:val="ro-MD"/>
        </w:rPr>
        <w:t>,</w:t>
      </w:r>
      <w:r w:rsidR="00086623" w:rsidRPr="001C6DCE">
        <w:rPr>
          <w:rFonts w:asciiTheme="majorHAnsi" w:hAnsiTheme="majorHAnsi" w:cstheme="majorHAnsi"/>
          <w:bCs/>
          <w:spacing w:val="-2"/>
          <w:sz w:val="24"/>
          <w:szCs w:val="24"/>
          <w:lang w:val="ro-MD"/>
        </w:rPr>
        <w:t xml:space="preserve"> c</w:t>
      </w:r>
      <w:r w:rsidR="006D2A15" w:rsidRPr="001C6DCE">
        <w:rPr>
          <w:rFonts w:asciiTheme="majorHAnsi" w:hAnsiTheme="majorHAnsi" w:cstheme="majorHAnsi"/>
          <w:bCs/>
          <w:spacing w:val="-2"/>
          <w:sz w:val="24"/>
          <w:szCs w:val="24"/>
          <w:lang w:val="ro-MD"/>
        </w:rPr>
        <w:t>ar</w:t>
      </w:r>
      <w:r w:rsidR="00086623" w:rsidRPr="001C6DCE">
        <w:rPr>
          <w:rFonts w:asciiTheme="majorHAnsi" w:hAnsiTheme="majorHAnsi" w:cstheme="majorHAnsi"/>
          <w:bCs/>
          <w:spacing w:val="-2"/>
          <w:sz w:val="24"/>
          <w:szCs w:val="24"/>
          <w:lang w:val="ro-MD"/>
        </w:rPr>
        <w:t xml:space="preserve">e au raportat cheltuieli în </w:t>
      </w:r>
      <w:r w:rsidR="006D2A15" w:rsidRPr="001C6DCE">
        <w:rPr>
          <w:rFonts w:asciiTheme="majorHAnsi" w:hAnsiTheme="majorHAnsi" w:cstheme="majorHAnsi"/>
          <w:bCs/>
          <w:spacing w:val="-2"/>
          <w:sz w:val="24"/>
          <w:szCs w:val="24"/>
          <w:lang w:val="ro-MD"/>
        </w:rPr>
        <w:t>sumă</w:t>
      </w:r>
      <w:r w:rsidR="00086623" w:rsidRPr="001C6DCE">
        <w:rPr>
          <w:rFonts w:asciiTheme="majorHAnsi" w:hAnsiTheme="majorHAnsi" w:cstheme="majorHAnsi"/>
          <w:bCs/>
          <w:spacing w:val="-2"/>
          <w:sz w:val="24"/>
          <w:szCs w:val="24"/>
          <w:lang w:val="ro-MD"/>
        </w:rPr>
        <w:t xml:space="preserve"> de 2</w:t>
      </w:r>
      <w:r w:rsidR="00F65259" w:rsidRPr="001C6DCE">
        <w:rPr>
          <w:rFonts w:asciiTheme="majorHAnsi" w:hAnsiTheme="majorHAnsi" w:cstheme="majorHAnsi"/>
          <w:bCs/>
          <w:spacing w:val="-2"/>
          <w:sz w:val="24"/>
          <w:szCs w:val="24"/>
          <w:lang w:val="ro-MD"/>
        </w:rPr>
        <w:t>,</w:t>
      </w:r>
      <w:r w:rsidR="00086623" w:rsidRPr="001C6DCE">
        <w:rPr>
          <w:rFonts w:asciiTheme="majorHAnsi" w:hAnsiTheme="majorHAnsi" w:cstheme="majorHAnsi"/>
          <w:bCs/>
          <w:spacing w:val="-2"/>
          <w:sz w:val="24"/>
          <w:szCs w:val="24"/>
          <w:lang w:val="ro-MD"/>
        </w:rPr>
        <w:t>7</w:t>
      </w:r>
      <w:r w:rsidR="00F65259" w:rsidRPr="001C6DCE">
        <w:rPr>
          <w:rFonts w:asciiTheme="majorHAnsi" w:hAnsiTheme="majorHAnsi" w:cstheme="majorHAnsi"/>
          <w:bCs/>
          <w:spacing w:val="-2"/>
          <w:sz w:val="24"/>
          <w:szCs w:val="24"/>
          <w:lang w:val="ro-MD"/>
        </w:rPr>
        <w:t>8</w:t>
      </w:r>
      <w:r w:rsidR="00086623" w:rsidRPr="001C6DCE">
        <w:rPr>
          <w:rFonts w:asciiTheme="majorHAnsi" w:hAnsiTheme="majorHAnsi" w:cstheme="majorHAnsi"/>
          <w:bCs/>
          <w:spacing w:val="-2"/>
          <w:sz w:val="24"/>
          <w:szCs w:val="24"/>
          <w:lang w:val="ro-MD"/>
        </w:rPr>
        <w:t xml:space="preserve"> mi</w:t>
      </w:r>
      <w:r w:rsidR="00F65259" w:rsidRPr="001C6DCE">
        <w:rPr>
          <w:rFonts w:asciiTheme="majorHAnsi" w:hAnsiTheme="majorHAnsi" w:cstheme="majorHAnsi"/>
          <w:bCs/>
          <w:spacing w:val="-2"/>
          <w:sz w:val="24"/>
          <w:szCs w:val="24"/>
          <w:lang w:val="ro-MD"/>
        </w:rPr>
        <w:t>l.</w:t>
      </w:r>
      <w:r w:rsidR="00086623" w:rsidRPr="001C6DCE">
        <w:rPr>
          <w:rFonts w:asciiTheme="majorHAnsi" w:hAnsiTheme="majorHAnsi" w:cstheme="majorHAnsi"/>
          <w:bCs/>
          <w:spacing w:val="-2"/>
          <w:sz w:val="24"/>
          <w:szCs w:val="24"/>
          <w:lang w:val="ro-MD"/>
        </w:rPr>
        <w:t>lei</w:t>
      </w:r>
      <w:r w:rsidR="00086623" w:rsidRPr="001C6DCE">
        <w:rPr>
          <w:rStyle w:val="a5"/>
          <w:rFonts w:asciiTheme="majorHAnsi" w:hAnsiTheme="majorHAnsi" w:cstheme="majorHAnsi"/>
          <w:bCs/>
          <w:spacing w:val="-2"/>
          <w:sz w:val="24"/>
          <w:szCs w:val="24"/>
          <w:lang w:val="ro-MD"/>
        </w:rPr>
        <w:footnoteReference w:id="56"/>
      </w:r>
      <w:r w:rsidR="00086623" w:rsidRPr="001C6DCE">
        <w:rPr>
          <w:rFonts w:asciiTheme="majorHAnsi" w:hAnsiTheme="majorHAnsi" w:cstheme="majorHAnsi"/>
          <w:bCs/>
          <w:spacing w:val="-2"/>
          <w:sz w:val="24"/>
          <w:szCs w:val="24"/>
          <w:lang w:val="ro-MD"/>
        </w:rPr>
        <w:t xml:space="preserve">, </w:t>
      </w:r>
      <w:r w:rsidR="006D2A15" w:rsidRPr="001C6DCE">
        <w:rPr>
          <w:rFonts w:asciiTheme="majorHAnsi" w:hAnsiTheme="majorHAnsi" w:cstheme="majorHAnsi"/>
          <w:bCs/>
          <w:spacing w:val="-2"/>
          <w:sz w:val="24"/>
          <w:szCs w:val="24"/>
          <w:lang w:val="ro-MD"/>
        </w:rPr>
        <w:t xml:space="preserve">sau </w:t>
      </w:r>
      <w:r w:rsidR="00086623" w:rsidRPr="001C6DCE">
        <w:rPr>
          <w:rFonts w:asciiTheme="majorHAnsi" w:hAnsiTheme="majorHAnsi" w:cstheme="majorHAnsi"/>
          <w:bCs/>
          <w:spacing w:val="-2"/>
          <w:sz w:val="24"/>
          <w:szCs w:val="24"/>
          <w:lang w:val="ro-MD"/>
        </w:rPr>
        <w:t>cu 10</w:t>
      </w:r>
      <w:r w:rsidR="00F65259" w:rsidRPr="001C6DCE">
        <w:rPr>
          <w:rFonts w:asciiTheme="majorHAnsi" w:hAnsiTheme="majorHAnsi" w:cstheme="majorHAnsi"/>
          <w:bCs/>
          <w:spacing w:val="-2"/>
          <w:sz w:val="24"/>
          <w:szCs w:val="24"/>
          <w:lang w:val="ro-MD"/>
        </w:rPr>
        <w:t>,</w:t>
      </w:r>
      <w:r w:rsidR="00086623" w:rsidRPr="001C6DCE">
        <w:rPr>
          <w:rFonts w:asciiTheme="majorHAnsi" w:hAnsiTheme="majorHAnsi" w:cstheme="majorHAnsi"/>
          <w:bCs/>
          <w:spacing w:val="-2"/>
          <w:sz w:val="24"/>
          <w:szCs w:val="24"/>
          <w:lang w:val="ro-MD"/>
        </w:rPr>
        <w:t>4</w:t>
      </w:r>
      <w:r w:rsidR="00F65259" w:rsidRPr="001C6DCE">
        <w:rPr>
          <w:rFonts w:asciiTheme="majorHAnsi" w:hAnsiTheme="majorHAnsi" w:cstheme="majorHAnsi"/>
          <w:bCs/>
          <w:spacing w:val="-2"/>
          <w:sz w:val="24"/>
          <w:szCs w:val="24"/>
          <w:lang w:val="ro-MD"/>
        </w:rPr>
        <w:t>6</w:t>
      </w:r>
      <w:r w:rsidR="00086623" w:rsidRPr="001C6DCE">
        <w:rPr>
          <w:rFonts w:asciiTheme="majorHAnsi" w:hAnsiTheme="majorHAnsi" w:cstheme="majorHAnsi"/>
          <w:bCs/>
          <w:spacing w:val="-2"/>
          <w:sz w:val="24"/>
          <w:szCs w:val="24"/>
          <w:lang w:val="ro-MD"/>
        </w:rPr>
        <w:t xml:space="preserve"> mi</w:t>
      </w:r>
      <w:r w:rsidR="00F65259" w:rsidRPr="001C6DCE">
        <w:rPr>
          <w:rFonts w:asciiTheme="majorHAnsi" w:hAnsiTheme="majorHAnsi" w:cstheme="majorHAnsi"/>
          <w:bCs/>
          <w:spacing w:val="-2"/>
          <w:sz w:val="24"/>
          <w:szCs w:val="24"/>
          <w:lang w:val="ro-MD"/>
        </w:rPr>
        <w:t>l.</w:t>
      </w:r>
      <w:r w:rsidR="00086623" w:rsidRPr="001C6DCE">
        <w:rPr>
          <w:rFonts w:asciiTheme="majorHAnsi" w:hAnsiTheme="majorHAnsi" w:cstheme="majorHAnsi"/>
          <w:bCs/>
          <w:spacing w:val="-2"/>
          <w:sz w:val="24"/>
          <w:szCs w:val="24"/>
          <w:lang w:val="ro-MD"/>
        </w:rPr>
        <w:t xml:space="preserve">lei mai puțin decât </w:t>
      </w:r>
      <w:r w:rsidR="006D2A15" w:rsidRPr="001C6DCE">
        <w:rPr>
          <w:rFonts w:asciiTheme="majorHAnsi" w:hAnsiTheme="majorHAnsi" w:cstheme="majorHAnsi"/>
          <w:bCs/>
          <w:spacing w:val="-2"/>
          <w:sz w:val="24"/>
          <w:szCs w:val="24"/>
          <w:lang w:val="ro-MD"/>
        </w:rPr>
        <w:t xml:space="preserve">s-au raportat </w:t>
      </w:r>
      <w:r w:rsidR="00086623" w:rsidRPr="001C6DCE">
        <w:rPr>
          <w:rFonts w:asciiTheme="majorHAnsi" w:hAnsiTheme="majorHAnsi" w:cstheme="majorHAnsi"/>
          <w:bCs/>
          <w:spacing w:val="-2"/>
          <w:sz w:val="24"/>
          <w:szCs w:val="24"/>
          <w:lang w:val="ro-MD"/>
        </w:rPr>
        <w:t>la MEC -13</w:t>
      </w:r>
      <w:r w:rsidR="00F65259" w:rsidRPr="001C6DCE">
        <w:rPr>
          <w:rFonts w:asciiTheme="majorHAnsi" w:hAnsiTheme="majorHAnsi" w:cstheme="majorHAnsi"/>
          <w:bCs/>
          <w:spacing w:val="-2"/>
          <w:sz w:val="24"/>
          <w:szCs w:val="24"/>
          <w:lang w:val="ro-MD"/>
        </w:rPr>
        <w:t>,</w:t>
      </w:r>
      <w:r w:rsidR="00086623" w:rsidRPr="001C6DCE">
        <w:rPr>
          <w:rFonts w:asciiTheme="majorHAnsi" w:hAnsiTheme="majorHAnsi" w:cstheme="majorHAnsi"/>
          <w:bCs/>
          <w:spacing w:val="-2"/>
          <w:sz w:val="24"/>
          <w:szCs w:val="24"/>
          <w:lang w:val="ro-MD"/>
        </w:rPr>
        <w:t>2</w:t>
      </w:r>
      <w:r w:rsidR="00F65259" w:rsidRPr="001C6DCE">
        <w:rPr>
          <w:rFonts w:asciiTheme="majorHAnsi" w:hAnsiTheme="majorHAnsi" w:cstheme="majorHAnsi"/>
          <w:bCs/>
          <w:spacing w:val="-2"/>
          <w:sz w:val="24"/>
          <w:szCs w:val="24"/>
          <w:lang w:val="ro-MD"/>
        </w:rPr>
        <w:t>4</w:t>
      </w:r>
      <w:r w:rsidR="00086623" w:rsidRPr="001C6DCE">
        <w:rPr>
          <w:rFonts w:asciiTheme="majorHAnsi" w:hAnsiTheme="majorHAnsi" w:cstheme="majorHAnsi"/>
          <w:bCs/>
          <w:spacing w:val="-2"/>
          <w:sz w:val="24"/>
          <w:szCs w:val="24"/>
          <w:lang w:val="ro-MD"/>
        </w:rPr>
        <w:t xml:space="preserve"> mi</w:t>
      </w:r>
      <w:r w:rsidR="00F65259" w:rsidRPr="001C6DCE">
        <w:rPr>
          <w:rFonts w:asciiTheme="majorHAnsi" w:hAnsiTheme="majorHAnsi" w:cstheme="majorHAnsi"/>
          <w:bCs/>
          <w:spacing w:val="-2"/>
          <w:sz w:val="24"/>
          <w:szCs w:val="24"/>
          <w:lang w:val="ro-MD"/>
        </w:rPr>
        <w:t>l.</w:t>
      </w:r>
      <w:r w:rsidR="00086623" w:rsidRPr="001C6DCE">
        <w:rPr>
          <w:rFonts w:asciiTheme="majorHAnsi" w:hAnsiTheme="majorHAnsi" w:cstheme="majorHAnsi"/>
          <w:bCs/>
          <w:spacing w:val="-2"/>
          <w:sz w:val="24"/>
          <w:szCs w:val="24"/>
          <w:lang w:val="ro-MD"/>
        </w:rPr>
        <w:t>lei</w:t>
      </w:r>
      <w:r w:rsidR="00086623" w:rsidRPr="001C6DCE">
        <w:rPr>
          <w:rStyle w:val="a5"/>
          <w:rFonts w:asciiTheme="majorHAnsi" w:hAnsiTheme="majorHAnsi" w:cstheme="majorHAnsi"/>
          <w:bCs/>
          <w:spacing w:val="-2"/>
          <w:sz w:val="24"/>
          <w:szCs w:val="24"/>
          <w:lang w:val="ro-MD"/>
        </w:rPr>
        <w:footnoteReference w:id="57"/>
      </w:r>
      <w:r w:rsidR="00086623" w:rsidRPr="001C6DCE">
        <w:rPr>
          <w:rFonts w:asciiTheme="majorHAnsi" w:hAnsiTheme="majorHAnsi" w:cstheme="majorHAnsi"/>
          <w:bCs/>
          <w:spacing w:val="-2"/>
          <w:sz w:val="24"/>
          <w:szCs w:val="24"/>
          <w:lang w:val="ro-MD"/>
        </w:rPr>
        <w:t>.</w:t>
      </w:r>
    </w:p>
    <w:p w14:paraId="0FC85E64" w14:textId="67C84EA5" w:rsidR="00086623" w:rsidRPr="001C6DCE" w:rsidRDefault="00086623" w:rsidP="008C4E63">
      <w:pPr>
        <w:tabs>
          <w:tab w:val="left" w:pos="284"/>
        </w:tabs>
        <w:spacing w:after="0" w:line="276" w:lineRule="auto"/>
        <w:ind w:right="-53"/>
        <w:jc w:val="both"/>
        <w:rPr>
          <w:rFonts w:asciiTheme="majorHAnsi" w:hAnsiTheme="majorHAnsi" w:cstheme="majorHAnsi"/>
          <w:sz w:val="24"/>
          <w:szCs w:val="24"/>
          <w:lang w:val="ro-MD"/>
        </w:rPr>
      </w:pPr>
      <w:r w:rsidRPr="001C6DCE">
        <w:rPr>
          <w:rFonts w:asciiTheme="majorHAnsi" w:hAnsiTheme="majorHAnsi" w:cstheme="majorHAnsi"/>
          <w:b/>
          <w:sz w:val="24"/>
          <w:szCs w:val="24"/>
          <w:lang w:val="ro-MD"/>
        </w:rPr>
        <w:t>6.10</w:t>
      </w:r>
      <w:r w:rsidR="006D2A15" w:rsidRPr="001C6DCE">
        <w:rPr>
          <w:rFonts w:asciiTheme="majorHAnsi" w:hAnsiTheme="majorHAnsi" w:cstheme="majorHAnsi"/>
          <w:b/>
          <w:sz w:val="24"/>
          <w:szCs w:val="24"/>
          <w:lang w:val="ro-MD"/>
        </w:rPr>
        <w:t>.</w:t>
      </w:r>
      <w:r w:rsidR="00721AC1">
        <w:rPr>
          <w:rFonts w:asciiTheme="majorHAnsi" w:hAnsiTheme="majorHAnsi" w:cstheme="majorHAnsi"/>
          <w:sz w:val="24"/>
          <w:szCs w:val="24"/>
          <w:lang w:val="ro-MD"/>
        </w:rPr>
        <w:t xml:space="preserve"> </w:t>
      </w:r>
      <w:r w:rsidRPr="001C6DCE">
        <w:rPr>
          <w:rFonts w:asciiTheme="majorHAnsi" w:hAnsiTheme="majorHAnsi" w:cstheme="majorHAnsi"/>
          <w:iCs/>
          <w:sz w:val="24"/>
          <w:szCs w:val="24"/>
          <w:lang w:val="ro-MD"/>
        </w:rPr>
        <w:t>Ministerul Educației și Cercetării</w:t>
      </w:r>
      <w:r w:rsidRPr="001C6DCE">
        <w:rPr>
          <w:rFonts w:asciiTheme="majorHAnsi" w:hAnsiTheme="majorHAnsi" w:cstheme="majorHAnsi"/>
          <w:b/>
          <w:iCs/>
          <w:sz w:val="24"/>
          <w:szCs w:val="24"/>
          <w:lang w:val="ro-MD"/>
        </w:rPr>
        <w:t xml:space="preserve"> </w:t>
      </w:r>
      <w:r w:rsidRPr="001C6DCE">
        <w:rPr>
          <w:rFonts w:asciiTheme="majorHAnsi" w:hAnsiTheme="majorHAnsi" w:cstheme="majorHAnsi"/>
          <w:iCs/>
          <w:sz w:val="24"/>
          <w:szCs w:val="24"/>
          <w:lang w:val="ro-MD"/>
        </w:rPr>
        <w:t>nu a asigurat delimitarea și înregistrarea conformă a tuturor bunurilor imobile și terenurilor gestionate de instituțiile din subordine și cele la autogestiune</w:t>
      </w:r>
      <w:r w:rsidRPr="001C6DCE">
        <w:rPr>
          <w:rFonts w:asciiTheme="majorHAnsi" w:hAnsiTheme="majorHAnsi" w:cstheme="majorHAnsi"/>
          <w:iCs/>
          <w:sz w:val="24"/>
          <w:szCs w:val="24"/>
          <w:vertAlign w:val="superscript"/>
          <w:lang w:val="ro-MD"/>
        </w:rPr>
        <w:footnoteReference w:id="58"/>
      </w:r>
      <w:r w:rsidRPr="001C6DCE">
        <w:rPr>
          <w:rFonts w:asciiTheme="majorHAnsi" w:hAnsiTheme="majorHAnsi" w:cstheme="majorHAnsi"/>
          <w:iCs/>
          <w:sz w:val="24"/>
          <w:szCs w:val="24"/>
          <w:lang w:val="ro-MD"/>
        </w:rPr>
        <w:t>, după cum prevede</w:t>
      </w:r>
      <w:r w:rsidRPr="001C6DCE">
        <w:rPr>
          <w:rFonts w:asciiTheme="majorHAnsi" w:hAnsiTheme="majorHAnsi" w:cstheme="majorHAnsi"/>
          <w:sz w:val="24"/>
          <w:szCs w:val="24"/>
          <w:lang w:val="ro-MD"/>
        </w:rPr>
        <w:t xml:space="preserve"> </w:t>
      </w:r>
      <w:r w:rsidRPr="001C6DCE">
        <w:rPr>
          <w:rFonts w:asciiTheme="majorHAnsi" w:hAnsiTheme="majorHAnsi" w:cstheme="majorHAnsi"/>
          <w:iCs/>
          <w:sz w:val="24"/>
          <w:szCs w:val="24"/>
          <w:lang w:val="ro-MD"/>
        </w:rPr>
        <w:t>cadrul normativ.</w:t>
      </w:r>
      <w:r w:rsidRPr="001C6DCE">
        <w:rPr>
          <w:rFonts w:asciiTheme="majorHAnsi" w:hAnsiTheme="majorHAnsi" w:cstheme="majorHAnsi"/>
          <w:sz w:val="24"/>
          <w:szCs w:val="24"/>
          <w:lang w:val="ro-MD"/>
        </w:rPr>
        <w:t xml:space="preserve"> Astfel, 59 </w:t>
      </w:r>
      <w:r w:rsidR="006D2A15" w:rsidRPr="001C6DCE">
        <w:rPr>
          <w:rFonts w:asciiTheme="majorHAnsi" w:hAnsiTheme="majorHAnsi" w:cstheme="majorHAnsi"/>
          <w:sz w:val="24"/>
          <w:szCs w:val="24"/>
          <w:lang w:val="ro-MD"/>
        </w:rPr>
        <w:t xml:space="preserve">de </w:t>
      </w:r>
      <w:r w:rsidRPr="001C6DCE">
        <w:rPr>
          <w:rFonts w:asciiTheme="majorHAnsi" w:hAnsiTheme="majorHAnsi" w:cstheme="majorHAnsi"/>
          <w:sz w:val="24"/>
          <w:szCs w:val="24"/>
          <w:lang w:val="ro-MD"/>
        </w:rPr>
        <w:t>terenuri cu suprafața totală de 56,58 ha și 4 clădiri cu suprafața totală de 6.898,7 m</w:t>
      </w:r>
      <w:r w:rsidRPr="001C6DCE">
        <w:rPr>
          <w:rFonts w:asciiTheme="majorHAnsi" w:hAnsiTheme="majorHAnsi" w:cstheme="majorHAnsi"/>
          <w:sz w:val="24"/>
          <w:szCs w:val="24"/>
          <w:vertAlign w:val="superscript"/>
          <w:lang w:val="ro-MD"/>
        </w:rPr>
        <w:t xml:space="preserve">2 </w:t>
      </w:r>
      <w:r w:rsidRPr="001C6DCE">
        <w:rPr>
          <w:rFonts w:asciiTheme="majorHAnsi" w:hAnsiTheme="majorHAnsi" w:cstheme="majorHAnsi"/>
          <w:sz w:val="24"/>
          <w:szCs w:val="24"/>
          <w:lang w:val="ro-MD"/>
        </w:rPr>
        <w:t xml:space="preserve">sunt înregistrate ca proprietate </w:t>
      </w:r>
      <w:r w:rsidR="006D2A15" w:rsidRPr="001C6DCE">
        <w:rPr>
          <w:rFonts w:asciiTheme="majorHAnsi" w:hAnsiTheme="majorHAnsi" w:cstheme="majorHAnsi"/>
          <w:sz w:val="24"/>
          <w:szCs w:val="24"/>
          <w:lang w:val="ro-MD"/>
        </w:rPr>
        <w:t xml:space="preserve">a </w:t>
      </w:r>
      <w:r w:rsidRPr="001C6DCE">
        <w:rPr>
          <w:rFonts w:asciiTheme="majorHAnsi" w:hAnsiTheme="majorHAnsi" w:cstheme="majorHAnsi"/>
          <w:sz w:val="24"/>
          <w:szCs w:val="24"/>
          <w:lang w:val="ro-MD"/>
        </w:rPr>
        <w:t>APL; 10 terenuri cu suprafața de 8,6 ha și 517 clădiri cu suprafața de 175.382,7 m</w:t>
      </w:r>
      <w:r w:rsidRPr="001C6DCE">
        <w:rPr>
          <w:rFonts w:asciiTheme="majorHAnsi" w:hAnsiTheme="majorHAnsi" w:cstheme="majorHAnsi"/>
          <w:sz w:val="24"/>
          <w:szCs w:val="24"/>
          <w:vertAlign w:val="superscript"/>
          <w:lang w:val="ro-MD"/>
        </w:rPr>
        <w:t>2</w:t>
      </w:r>
      <w:r w:rsidRPr="001C6DCE">
        <w:rPr>
          <w:rFonts w:asciiTheme="majorHAnsi" w:hAnsiTheme="majorHAnsi" w:cstheme="majorHAnsi"/>
          <w:sz w:val="24"/>
          <w:szCs w:val="24"/>
          <w:lang w:val="ro-MD"/>
        </w:rPr>
        <w:t xml:space="preserve"> nu au înregistrate drepturile de proprietate în Registrul bunurilor imobile;</w:t>
      </w:r>
      <w:r w:rsidR="00621598" w:rsidRPr="001C6DCE">
        <w:rPr>
          <w:rFonts w:asciiTheme="majorHAnsi" w:hAnsiTheme="majorHAnsi" w:cstheme="majorHAnsi"/>
          <w:sz w:val="24"/>
          <w:szCs w:val="24"/>
          <w:lang w:val="ro-MD"/>
        </w:rPr>
        <w:t xml:space="preserve"> asupra</w:t>
      </w:r>
      <w:r w:rsidRPr="001C6DCE">
        <w:rPr>
          <w:rFonts w:asciiTheme="majorHAnsi" w:hAnsiTheme="majorHAnsi" w:cstheme="majorHAnsi"/>
          <w:sz w:val="24"/>
          <w:szCs w:val="24"/>
          <w:lang w:val="ro-MD"/>
        </w:rPr>
        <w:t xml:space="preserve"> 78 </w:t>
      </w:r>
      <w:r w:rsidR="006D2A15" w:rsidRPr="001C6DCE">
        <w:rPr>
          <w:rFonts w:asciiTheme="majorHAnsi" w:hAnsiTheme="majorHAnsi" w:cstheme="majorHAnsi"/>
          <w:sz w:val="24"/>
          <w:szCs w:val="24"/>
          <w:lang w:val="ro-MD"/>
        </w:rPr>
        <w:t xml:space="preserve">de </w:t>
      </w:r>
      <w:r w:rsidRPr="001C6DCE">
        <w:rPr>
          <w:rFonts w:asciiTheme="majorHAnsi" w:hAnsiTheme="majorHAnsi" w:cstheme="majorHAnsi"/>
          <w:sz w:val="24"/>
          <w:szCs w:val="24"/>
          <w:lang w:val="ro-MD"/>
        </w:rPr>
        <w:t xml:space="preserve">terenuri cu suprafața totală de 238,99 ha nu </w:t>
      </w:r>
      <w:r w:rsidR="006D2A15" w:rsidRPr="001C6DCE">
        <w:rPr>
          <w:rFonts w:asciiTheme="majorHAnsi" w:hAnsiTheme="majorHAnsi" w:cstheme="majorHAnsi"/>
          <w:sz w:val="24"/>
          <w:szCs w:val="24"/>
          <w:lang w:val="ro-MD"/>
        </w:rPr>
        <w:t>sunt</w:t>
      </w:r>
      <w:r w:rsidR="00721AC1">
        <w:rPr>
          <w:rFonts w:asciiTheme="majorHAnsi" w:hAnsiTheme="majorHAnsi" w:cstheme="majorHAnsi"/>
          <w:sz w:val="24"/>
          <w:szCs w:val="24"/>
          <w:lang w:val="ro-MD"/>
        </w:rPr>
        <w:t xml:space="preserve"> </w:t>
      </w:r>
      <w:r w:rsidRPr="001C6DCE">
        <w:rPr>
          <w:rFonts w:asciiTheme="majorHAnsi" w:hAnsiTheme="majorHAnsi" w:cstheme="majorHAnsi"/>
          <w:sz w:val="24"/>
          <w:szCs w:val="24"/>
          <w:lang w:val="ro-MD"/>
        </w:rPr>
        <w:t xml:space="preserve">înregistrate drepturile de folosință; </w:t>
      </w:r>
      <w:r w:rsidR="00621598" w:rsidRPr="001C6DCE">
        <w:rPr>
          <w:rFonts w:asciiTheme="majorHAnsi" w:hAnsiTheme="majorHAnsi" w:cstheme="majorHAnsi"/>
          <w:sz w:val="24"/>
          <w:szCs w:val="24"/>
          <w:lang w:val="ro-MD"/>
        </w:rPr>
        <w:t xml:space="preserve">la </w:t>
      </w:r>
      <w:r w:rsidRPr="001C6DCE">
        <w:rPr>
          <w:rFonts w:asciiTheme="majorHAnsi" w:hAnsiTheme="majorHAnsi" w:cstheme="majorHAnsi"/>
          <w:sz w:val="24"/>
          <w:szCs w:val="24"/>
          <w:lang w:val="ro-MD"/>
        </w:rPr>
        <w:t>15 terenuri cu suprafața de 2,05</w:t>
      </w:r>
      <w:r w:rsidR="00621598" w:rsidRPr="001C6DCE">
        <w:rPr>
          <w:rFonts w:asciiTheme="majorHAnsi" w:hAnsiTheme="majorHAnsi" w:cstheme="majorHAnsi"/>
          <w:sz w:val="24"/>
          <w:szCs w:val="24"/>
          <w:lang w:val="ro-MD"/>
        </w:rPr>
        <w:t xml:space="preserve"> ha</w:t>
      </w:r>
      <w:r w:rsidRPr="001C6DCE">
        <w:rPr>
          <w:rFonts w:asciiTheme="majorHAnsi" w:hAnsiTheme="majorHAnsi" w:cstheme="majorHAnsi"/>
          <w:sz w:val="24"/>
          <w:szCs w:val="24"/>
          <w:lang w:val="ro-MD"/>
        </w:rPr>
        <w:t xml:space="preserve"> și 18 clădiri/încăperi cu suprafața de 2.663,0 m</w:t>
      </w:r>
      <w:r w:rsidRPr="001C6DCE">
        <w:rPr>
          <w:rFonts w:asciiTheme="majorHAnsi" w:hAnsiTheme="majorHAnsi" w:cstheme="majorHAnsi"/>
          <w:sz w:val="24"/>
          <w:szCs w:val="24"/>
          <w:vertAlign w:val="superscript"/>
          <w:lang w:val="ro-MD"/>
        </w:rPr>
        <w:t>2</w:t>
      </w:r>
      <w:r w:rsidRPr="001C6DCE">
        <w:rPr>
          <w:rFonts w:asciiTheme="majorHAnsi" w:hAnsiTheme="majorHAnsi" w:cstheme="majorHAnsi"/>
          <w:sz w:val="24"/>
          <w:szCs w:val="24"/>
          <w:lang w:val="ro-MD"/>
        </w:rPr>
        <w:t xml:space="preserve"> </w:t>
      </w:r>
      <w:r w:rsidR="00621598" w:rsidRPr="001C6DCE">
        <w:rPr>
          <w:rFonts w:asciiTheme="majorHAnsi" w:hAnsiTheme="majorHAnsi" w:cstheme="majorHAnsi"/>
          <w:sz w:val="24"/>
          <w:szCs w:val="24"/>
          <w:lang w:val="ro-MD"/>
        </w:rPr>
        <w:t>sunt</w:t>
      </w:r>
      <w:r w:rsidRPr="001C6DCE">
        <w:rPr>
          <w:rFonts w:asciiTheme="majorHAnsi" w:hAnsiTheme="majorHAnsi" w:cstheme="majorHAnsi"/>
          <w:sz w:val="24"/>
          <w:szCs w:val="24"/>
          <w:lang w:val="ro-MD"/>
        </w:rPr>
        <w:t xml:space="preserve"> înregistra</w:t>
      </w:r>
      <w:r w:rsidR="00621598" w:rsidRPr="001C6DCE">
        <w:rPr>
          <w:rFonts w:asciiTheme="majorHAnsi" w:hAnsiTheme="majorHAnsi" w:cstheme="majorHAnsi"/>
          <w:sz w:val="24"/>
          <w:szCs w:val="24"/>
          <w:lang w:val="ro-MD"/>
        </w:rPr>
        <w:t>ți</w:t>
      </w:r>
      <w:r w:rsidRPr="001C6DCE">
        <w:rPr>
          <w:rFonts w:asciiTheme="majorHAnsi" w:hAnsiTheme="majorHAnsi" w:cstheme="majorHAnsi"/>
          <w:sz w:val="24"/>
          <w:szCs w:val="24"/>
          <w:lang w:val="ro-MD"/>
        </w:rPr>
        <w:t xml:space="preserve"> ca proprietar</w:t>
      </w:r>
      <w:r w:rsidR="00621598" w:rsidRPr="001C6DCE">
        <w:rPr>
          <w:rFonts w:asciiTheme="majorHAnsi" w:hAnsiTheme="majorHAnsi" w:cstheme="majorHAnsi"/>
          <w:sz w:val="24"/>
          <w:szCs w:val="24"/>
          <w:lang w:val="ro-MD"/>
        </w:rPr>
        <w:t>i</w:t>
      </w:r>
      <w:r w:rsidRPr="001C6DCE">
        <w:rPr>
          <w:rFonts w:asciiTheme="majorHAnsi" w:hAnsiTheme="majorHAnsi" w:cstheme="majorHAnsi"/>
          <w:sz w:val="24"/>
          <w:szCs w:val="24"/>
          <w:lang w:val="ro-MD"/>
        </w:rPr>
        <w:t xml:space="preserve"> Ministerul Culturii, 2 instituții la autogestiune și 1 instituție din subordinea MEC</w:t>
      </w:r>
      <w:r w:rsidR="00BD275D" w:rsidRPr="001C6DCE">
        <w:rPr>
          <w:rFonts w:asciiTheme="majorHAnsi" w:hAnsiTheme="majorHAnsi" w:cstheme="majorHAnsi"/>
          <w:sz w:val="24"/>
          <w:szCs w:val="24"/>
          <w:lang w:val="ro-MD"/>
        </w:rPr>
        <w:t>, deși urma</w:t>
      </w:r>
      <w:r w:rsidR="00621598" w:rsidRPr="001C6DCE">
        <w:rPr>
          <w:rFonts w:asciiTheme="majorHAnsi" w:hAnsiTheme="majorHAnsi" w:cstheme="majorHAnsi"/>
          <w:sz w:val="24"/>
          <w:szCs w:val="24"/>
          <w:lang w:val="ro-MD"/>
        </w:rPr>
        <w:t>u</w:t>
      </w:r>
      <w:r w:rsidR="00BD275D" w:rsidRPr="001C6DCE">
        <w:rPr>
          <w:rFonts w:asciiTheme="majorHAnsi" w:hAnsiTheme="majorHAnsi" w:cstheme="majorHAnsi"/>
          <w:sz w:val="24"/>
          <w:szCs w:val="24"/>
          <w:lang w:val="ro-MD"/>
        </w:rPr>
        <w:t xml:space="preserve"> a fi indicat</w:t>
      </w:r>
      <w:r w:rsidR="00621598" w:rsidRPr="001C6DCE">
        <w:rPr>
          <w:rFonts w:asciiTheme="majorHAnsi" w:hAnsiTheme="majorHAnsi" w:cstheme="majorHAnsi"/>
          <w:sz w:val="24"/>
          <w:szCs w:val="24"/>
          <w:lang w:val="ro-MD"/>
        </w:rPr>
        <w:t>e</w:t>
      </w:r>
      <w:r w:rsidR="00BD275D" w:rsidRPr="001C6DCE">
        <w:rPr>
          <w:rFonts w:asciiTheme="majorHAnsi" w:hAnsiTheme="majorHAnsi" w:cstheme="majorHAnsi"/>
          <w:sz w:val="24"/>
          <w:szCs w:val="24"/>
          <w:lang w:val="ro-MD"/>
        </w:rPr>
        <w:t xml:space="preserve"> ca proprietate de stat</w:t>
      </w:r>
      <w:r w:rsidRPr="001C6DCE">
        <w:rPr>
          <w:rFonts w:asciiTheme="majorHAnsi" w:hAnsiTheme="majorHAnsi" w:cstheme="majorHAnsi"/>
          <w:sz w:val="24"/>
          <w:szCs w:val="24"/>
          <w:lang w:val="ro-MD"/>
        </w:rPr>
        <w:t>.</w:t>
      </w:r>
    </w:p>
    <w:p w14:paraId="24D7F5EB" w14:textId="1EC9F7BB" w:rsidR="00031B47" w:rsidRPr="001C6DCE" w:rsidRDefault="00114048" w:rsidP="008C4E63">
      <w:pPr>
        <w:shd w:val="clear" w:color="auto" w:fill="FFFFFF" w:themeFill="background1"/>
        <w:tabs>
          <w:tab w:val="left" w:pos="0"/>
          <w:tab w:val="left" w:pos="284"/>
          <w:tab w:val="left" w:pos="426"/>
        </w:tabs>
        <w:spacing w:after="0" w:line="276" w:lineRule="auto"/>
        <w:jc w:val="both"/>
        <w:rPr>
          <w:rFonts w:asciiTheme="majorHAnsi" w:hAnsiTheme="majorHAnsi" w:cstheme="majorHAnsi"/>
          <w:sz w:val="24"/>
          <w:szCs w:val="24"/>
          <w:lang w:val="ro-MD"/>
        </w:rPr>
      </w:pPr>
      <w:r w:rsidRPr="001C6DCE">
        <w:rPr>
          <w:rFonts w:asciiTheme="majorHAnsi" w:hAnsiTheme="majorHAnsi" w:cstheme="majorHAnsi"/>
          <w:b/>
          <w:sz w:val="24"/>
          <w:szCs w:val="24"/>
          <w:lang w:val="ro-MD"/>
        </w:rPr>
        <w:t>6.11.</w:t>
      </w:r>
      <w:r w:rsidRPr="001C6DCE">
        <w:rPr>
          <w:rFonts w:asciiTheme="majorHAnsi" w:hAnsiTheme="majorHAnsi" w:cstheme="majorHAnsi"/>
          <w:sz w:val="24"/>
          <w:szCs w:val="24"/>
          <w:lang w:val="ro-MD"/>
        </w:rPr>
        <w:t xml:space="preserve"> </w:t>
      </w:r>
      <w:r w:rsidR="00031B47" w:rsidRPr="001C6DCE">
        <w:rPr>
          <w:rFonts w:asciiTheme="majorHAnsi" w:hAnsiTheme="majorHAnsi" w:cstheme="majorHAnsi"/>
          <w:sz w:val="24"/>
          <w:szCs w:val="24"/>
          <w:lang w:val="ro-MD"/>
        </w:rPr>
        <w:t>În cadrul misiunii de audit financiar, inițiat</w:t>
      </w:r>
      <w:r w:rsidR="000367B2" w:rsidRPr="001C6DCE">
        <w:rPr>
          <w:rFonts w:asciiTheme="majorHAnsi" w:hAnsiTheme="majorHAnsi" w:cstheme="majorHAnsi"/>
          <w:sz w:val="24"/>
          <w:szCs w:val="24"/>
          <w:lang w:val="ro-MD"/>
        </w:rPr>
        <w:t>ă</w:t>
      </w:r>
      <w:r w:rsidR="00031B47" w:rsidRPr="001C6DCE">
        <w:rPr>
          <w:rFonts w:asciiTheme="majorHAnsi" w:hAnsiTheme="majorHAnsi" w:cstheme="majorHAnsi"/>
          <w:sz w:val="24"/>
          <w:szCs w:val="24"/>
          <w:lang w:val="ro-MD"/>
        </w:rPr>
        <w:t xml:space="preserve"> la Ministerul Educației și Cercetării, ca subiect important privit prin prisma INTOSAI – P 12 „Semnificația și beneficiile Instituției Supreme de Audit – impact asupra vieții cetățenilor”, Curtea de Conturi a examinat pretinsele încălcări sesizate la utilizarea banilor publici în cadrul IP Colegiul Național de Coregrafie</w:t>
      </w:r>
      <w:r w:rsidR="003C57FF" w:rsidRPr="001C6DCE">
        <w:rPr>
          <w:rFonts w:asciiTheme="majorHAnsi" w:hAnsiTheme="majorHAnsi" w:cstheme="majorHAnsi"/>
          <w:sz w:val="24"/>
          <w:szCs w:val="24"/>
          <w:lang w:val="ro-MD"/>
        </w:rPr>
        <w:t xml:space="preserve"> (IP CNC)</w:t>
      </w:r>
      <w:r w:rsidR="00031B47" w:rsidRPr="001C6DCE">
        <w:rPr>
          <w:rFonts w:asciiTheme="majorHAnsi" w:hAnsiTheme="majorHAnsi" w:cstheme="majorHAnsi"/>
          <w:sz w:val="24"/>
          <w:szCs w:val="24"/>
          <w:lang w:val="ro-MD"/>
        </w:rPr>
        <w:t>. Auditul atestă că</w:t>
      </w:r>
      <w:r w:rsidR="000367B2" w:rsidRPr="001C6DCE">
        <w:rPr>
          <w:rFonts w:asciiTheme="majorHAnsi" w:hAnsiTheme="majorHAnsi" w:cstheme="majorHAnsi"/>
          <w:sz w:val="24"/>
          <w:szCs w:val="24"/>
          <w:lang w:val="ro-MD"/>
        </w:rPr>
        <w:t>,</w:t>
      </w:r>
      <w:r w:rsidR="00031B47" w:rsidRPr="001C6DCE">
        <w:rPr>
          <w:rFonts w:asciiTheme="majorHAnsi" w:hAnsiTheme="majorHAnsi" w:cstheme="majorHAnsi"/>
          <w:sz w:val="24"/>
          <w:szCs w:val="24"/>
          <w:lang w:val="ro-MD"/>
        </w:rPr>
        <w:t xml:space="preserve"> pe parcursul anilor 2021-2022, de către factorii de decizie </w:t>
      </w:r>
      <w:r w:rsidR="000367B2" w:rsidRPr="001C6DCE">
        <w:rPr>
          <w:rFonts w:asciiTheme="majorHAnsi" w:hAnsiTheme="majorHAnsi" w:cstheme="majorHAnsi"/>
          <w:sz w:val="24"/>
          <w:szCs w:val="24"/>
          <w:lang w:val="ro-MD"/>
        </w:rPr>
        <w:t xml:space="preserve">ai instituției </w:t>
      </w:r>
      <w:r w:rsidR="00031B47" w:rsidRPr="001C6DCE">
        <w:rPr>
          <w:rFonts w:asciiTheme="majorHAnsi" w:hAnsiTheme="majorHAnsi" w:cstheme="majorHAnsi"/>
          <w:sz w:val="24"/>
          <w:szCs w:val="24"/>
          <w:lang w:val="ro-MD"/>
        </w:rPr>
        <w:t>au fost admise unele iregularități, ceea ce denotă control</w:t>
      </w:r>
      <w:r w:rsidR="000367B2" w:rsidRPr="001C6DCE">
        <w:rPr>
          <w:rFonts w:asciiTheme="majorHAnsi" w:hAnsiTheme="majorHAnsi" w:cstheme="majorHAnsi"/>
          <w:sz w:val="24"/>
          <w:szCs w:val="24"/>
          <w:lang w:val="ro-MD"/>
        </w:rPr>
        <w:t>ul</w:t>
      </w:r>
      <w:r w:rsidR="00031B47" w:rsidRPr="001C6DCE">
        <w:rPr>
          <w:rFonts w:asciiTheme="majorHAnsi" w:hAnsiTheme="majorHAnsi" w:cstheme="majorHAnsi"/>
          <w:sz w:val="24"/>
          <w:szCs w:val="24"/>
          <w:lang w:val="ro-MD"/>
        </w:rPr>
        <w:t xml:space="preserve"> ineficient atât din partea conducătorului IP</w:t>
      </w:r>
      <w:r w:rsidR="000367B2" w:rsidRPr="001C6DCE">
        <w:rPr>
          <w:rFonts w:asciiTheme="majorHAnsi" w:hAnsiTheme="majorHAnsi" w:cstheme="majorHAnsi"/>
          <w:sz w:val="24"/>
          <w:szCs w:val="24"/>
          <w:lang w:val="ro-MD"/>
        </w:rPr>
        <w:t>,</w:t>
      </w:r>
      <w:r w:rsidR="00031B47" w:rsidRPr="001C6DCE">
        <w:rPr>
          <w:rFonts w:asciiTheme="majorHAnsi" w:hAnsiTheme="majorHAnsi" w:cstheme="majorHAnsi"/>
          <w:sz w:val="24"/>
          <w:szCs w:val="24"/>
          <w:lang w:val="ro-MD"/>
        </w:rPr>
        <w:t xml:space="preserve"> cât și din partea fondatorului, </w:t>
      </w:r>
      <w:r w:rsidR="000367B2" w:rsidRPr="001C6DCE">
        <w:rPr>
          <w:rFonts w:asciiTheme="majorHAnsi" w:hAnsiTheme="majorHAnsi" w:cstheme="majorHAnsi"/>
          <w:sz w:val="24"/>
          <w:szCs w:val="24"/>
          <w:lang w:val="ro-MD"/>
        </w:rPr>
        <w:t>acestea</w:t>
      </w:r>
      <w:r w:rsidR="00031B47" w:rsidRPr="001C6DCE">
        <w:rPr>
          <w:rFonts w:asciiTheme="majorHAnsi" w:hAnsiTheme="majorHAnsi" w:cstheme="majorHAnsi"/>
          <w:sz w:val="24"/>
          <w:szCs w:val="24"/>
          <w:lang w:val="ro-MD"/>
        </w:rPr>
        <w:t xml:space="preserve"> </w:t>
      </w:r>
      <w:r w:rsidR="000367B2" w:rsidRPr="001C6DCE">
        <w:rPr>
          <w:rFonts w:asciiTheme="majorHAnsi" w:hAnsiTheme="majorHAnsi" w:cstheme="majorHAnsi"/>
          <w:sz w:val="24"/>
          <w:szCs w:val="24"/>
          <w:lang w:val="ro-MD"/>
        </w:rPr>
        <w:t>exprimându-se</w:t>
      </w:r>
      <w:r w:rsidR="00031B47" w:rsidRPr="001C6DCE">
        <w:rPr>
          <w:rFonts w:asciiTheme="majorHAnsi" w:hAnsiTheme="majorHAnsi" w:cstheme="majorHAnsi"/>
          <w:sz w:val="24"/>
          <w:szCs w:val="24"/>
          <w:lang w:val="ro-MD"/>
        </w:rPr>
        <w:t xml:space="preserve"> prin</w:t>
      </w:r>
      <w:r w:rsidR="000367B2" w:rsidRPr="001C6DCE">
        <w:rPr>
          <w:rFonts w:asciiTheme="majorHAnsi" w:hAnsiTheme="majorHAnsi" w:cstheme="majorHAnsi"/>
          <w:sz w:val="24"/>
          <w:szCs w:val="24"/>
          <w:lang w:val="ro-MD"/>
        </w:rPr>
        <w:t xml:space="preserve"> următoarele</w:t>
      </w:r>
      <w:r w:rsidR="00031B47" w:rsidRPr="001C6DCE">
        <w:rPr>
          <w:rFonts w:asciiTheme="majorHAnsi" w:hAnsiTheme="majorHAnsi" w:cstheme="majorHAnsi"/>
          <w:sz w:val="24"/>
          <w:szCs w:val="24"/>
          <w:lang w:val="ro-MD"/>
        </w:rPr>
        <w:t xml:space="preserve">: </w:t>
      </w:r>
      <w:r w:rsidR="00031B47" w:rsidRPr="001C6DCE">
        <w:rPr>
          <w:rFonts w:asciiTheme="majorHAnsi" w:hAnsiTheme="majorHAnsi" w:cstheme="majorHAnsi"/>
          <w:b/>
          <w:bCs/>
          <w:sz w:val="24"/>
          <w:szCs w:val="24"/>
          <w:lang w:val="ro-MD"/>
        </w:rPr>
        <w:t>1)</w:t>
      </w:r>
      <w:r w:rsidR="00031B47" w:rsidRPr="001C6DCE">
        <w:rPr>
          <w:rFonts w:asciiTheme="majorHAnsi" w:hAnsiTheme="majorHAnsi" w:cstheme="majorHAnsi"/>
          <w:sz w:val="24"/>
          <w:szCs w:val="24"/>
          <w:lang w:val="ro-MD"/>
        </w:rPr>
        <w:t xml:space="preserve"> Conducerea instituției și MEC nu a</w:t>
      </w:r>
      <w:r w:rsidR="000367B2" w:rsidRPr="001C6DCE">
        <w:rPr>
          <w:rFonts w:asciiTheme="majorHAnsi" w:hAnsiTheme="majorHAnsi" w:cstheme="majorHAnsi"/>
          <w:sz w:val="24"/>
          <w:szCs w:val="24"/>
          <w:lang w:val="ro-MD"/>
        </w:rPr>
        <w:t>u</w:t>
      </w:r>
      <w:r w:rsidR="00031B47" w:rsidRPr="001C6DCE">
        <w:rPr>
          <w:rFonts w:asciiTheme="majorHAnsi" w:hAnsiTheme="majorHAnsi" w:cstheme="majorHAnsi"/>
          <w:sz w:val="24"/>
          <w:szCs w:val="24"/>
          <w:lang w:val="ro-MD"/>
        </w:rPr>
        <w:t xml:space="preserve"> luat măsuri</w:t>
      </w:r>
      <w:r w:rsidR="000367B2" w:rsidRPr="001C6DCE">
        <w:rPr>
          <w:rFonts w:asciiTheme="majorHAnsi" w:hAnsiTheme="majorHAnsi" w:cstheme="majorHAnsi"/>
          <w:sz w:val="24"/>
          <w:szCs w:val="24"/>
          <w:lang w:val="ro-MD"/>
        </w:rPr>
        <w:t xml:space="preserve"> pentru </w:t>
      </w:r>
      <w:r w:rsidR="00031B47" w:rsidRPr="001C6DCE">
        <w:rPr>
          <w:rFonts w:asciiTheme="majorHAnsi" w:hAnsiTheme="majorHAnsi" w:cstheme="majorHAnsi"/>
          <w:sz w:val="24"/>
          <w:szCs w:val="24"/>
          <w:lang w:val="ro-MD"/>
        </w:rPr>
        <w:t>revizuir</w:t>
      </w:r>
      <w:r w:rsidR="000367B2" w:rsidRPr="001C6DCE">
        <w:rPr>
          <w:rFonts w:asciiTheme="majorHAnsi" w:hAnsiTheme="majorHAnsi" w:cstheme="majorHAnsi"/>
          <w:sz w:val="24"/>
          <w:szCs w:val="24"/>
          <w:lang w:val="ro-MD"/>
        </w:rPr>
        <w:t>ea</w:t>
      </w:r>
      <w:r w:rsidR="00031B47" w:rsidRPr="001C6DCE">
        <w:rPr>
          <w:rFonts w:asciiTheme="majorHAnsi" w:hAnsiTheme="majorHAnsi" w:cstheme="majorHAnsi"/>
          <w:sz w:val="24"/>
          <w:szCs w:val="24"/>
          <w:lang w:val="ro-MD"/>
        </w:rPr>
        <w:t xml:space="preserve"> statelor de personal și suplinir</w:t>
      </w:r>
      <w:r w:rsidR="000367B2" w:rsidRPr="001C6DCE">
        <w:rPr>
          <w:rFonts w:asciiTheme="majorHAnsi" w:hAnsiTheme="majorHAnsi" w:cstheme="majorHAnsi"/>
          <w:sz w:val="24"/>
          <w:szCs w:val="24"/>
          <w:lang w:val="ro-MD"/>
        </w:rPr>
        <w:t>ea</w:t>
      </w:r>
      <w:r w:rsidR="00031B47" w:rsidRPr="001C6DCE">
        <w:rPr>
          <w:rFonts w:asciiTheme="majorHAnsi" w:hAnsiTheme="majorHAnsi" w:cstheme="majorHAnsi"/>
          <w:sz w:val="24"/>
          <w:szCs w:val="24"/>
          <w:lang w:val="ro-MD"/>
        </w:rPr>
        <w:t xml:space="preserve"> funcțiilor c</w:t>
      </w:r>
      <w:r w:rsidR="000367B2" w:rsidRPr="001C6DCE">
        <w:rPr>
          <w:rFonts w:asciiTheme="majorHAnsi" w:hAnsiTheme="majorHAnsi" w:cstheme="majorHAnsi"/>
          <w:sz w:val="24"/>
          <w:szCs w:val="24"/>
          <w:lang w:val="ro-MD"/>
        </w:rPr>
        <w:t>ar</w:t>
      </w:r>
      <w:r w:rsidR="00031B47" w:rsidRPr="001C6DCE">
        <w:rPr>
          <w:rFonts w:asciiTheme="majorHAnsi" w:hAnsiTheme="majorHAnsi" w:cstheme="majorHAnsi"/>
          <w:sz w:val="24"/>
          <w:szCs w:val="24"/>
          <w:lang w:val="ro-MD"/>
        </w:rPr>
        <w:t xml:space="preserve">e sunt vacante </w:t>
      </w:r>
      <w:r w:rsidR="000367B2" w:rsidRPr="001C6DCE">
        <w:rPr>
          <w:rFonts w:asciiTheme="majorHAnsi" w:hAnsiTheme="majorHAnsi" w:cstheme="majorHAnsi"/>
          <w:sz w:val="24"/>
          <w:szCs w:val="24"/>
          <w:lang w:val="ro-MD"/>
        </w:rPr>
        <w:t xml:space="preserve">timp de </w:t>
      </w:r>
      <w:r w:rsidR="00031B47" w:rsidRPr="001C6DCE">
        <w:rPr>
          <w:rFonts w:asciiTheme="majorHAnsi" w:hAnsiTheme="majorHAnsi" w:cstheme="majorHAnsi"/>
          <w:sz w:val="24"/>
          <w:szCs w:val="24"/>
          <w:lang w:val="ro-MD"/>
        </w:rPr>
        <w:t>mai mulți ani, neorganizând concursuri pentru angajare</w:t>
      </w:r>
      <w:r w:rsidR="000367B2" w:rsidRPr="001C6DCE">
        <w:rPr>
          <w:rFonts w:asciiTheme="majorHAnsi" w:hAnsiTheme="majorHAnsi" w:cstheme="majorHAnsi"/>
          <w:sz w:val="24"/>
          <w:szCs w:val="24"/>
          <w:lang w:val="ro-MD"/>
        </w:rPr>
        <w:t>a</w:t>
      </w:r>
      <w:r w:rsidR="00031B47" w:rsidRPr="001C6DCE">
        <w:rPr>
          <w:rFonts w:asciiTheme="majorHAnsi" w:hAnsiTheme="majorHAnsi" w:cstheme="majorHAnsi"/>
          <w:sz w:val="24"/>
          <w:szCs w:val="24"/>
          <w:lang w:val="ro-MD"/>
        </w:rPr>
        <w:t xml:space="preserve"> personalului, an de an acestea fiind cumulate de </w:t>
      </w:r>
      <w:r w:rsidR="004C089E" w:rsidRPr="001C6DCE">
        <w:rPr>
          <w:rFonts w:asciiTheme="majorHAnsi" w:hAnsiTheme="majorHAnsi" w:cstheme="majorHAnsi"/>
          <w:sz w:val="24"/>
          <w:szCs w:val="24"/>
          <w:lang w:val="ro-MD"/>
        </w:rPr>
        <w:t xml:space="preserve">către </w:t>
      </w:r>
      <w:r w:rsidR="00031B47" w:rsidRPr="001C6DCE">
        <w:rPr>
          <w:rFonts w:asciiTheme="majorHAnsi" w:hAnsiTheme="majorHAnsi" w:cstheme="majorHAnsi"/>
          <w:sz w:val="24"/>
          <w:szCs w:val="24"/>
          <w:lang w:val="ro-MD"/>
        </w:rPr>
        <w:t>angajații instituției</w:t>
      </w:r>
      <w:r w:rsidR="000367B2" w:rsidRPr="001C6DCE">
        <w:rPr>
          <w:rFonts w:asciiTheme="majorHAnsi" w:hAnsiTheme="majorHAnsi" w:cstheme="majorHAnsi"/>
          <w:sz w:val="24"/>
          <w:szCs w:val="24"/>
          <w:lang w:val="ro-MD"/>
        </w:rPr>
        <w:t>;</w:t>
      </w:r>
      <w:r w:rsidR="00031B47" w:rsidRPr="001C6DCE">
        <w:rPr>
          <w:rFonts w:asciiTheme="majorHAnsi" w:hAnsiTheme="majorHAnsi" w:cstheme="majorHAnsi"/>
          <w:sz w:val="24"/>
          <w:szCs w:val="24"/>
          <w:lang w:val="ro-MD"/>
        </w:rPr>
        <w:t xml:space="preserve"> </w:t>
      </w:r>
      <w:r w:rsidR="00031B47" w:rsidRPr="001C6DCE">
        <w:rPr>
          <w:rFonts w:asciiTheme="majorHAnsi" w:hAnsiTheme="majorHAnsi" w:cstheme="majorHAnsi"/>
          <w:b/>
          <w:bCs/>
          <w:iCs/>
          <w:sz w:val="24"/>
          <w:szCs w:val="24"/>
          <w:lang w:val="ro-MD"/>
        </w:rPr>
        <w:t>2)</w:t>
      </w:r>
      <w:r w:rsidR="00031B47" w:rsidRPr="001C6DCE">
        <w:rPr>
          <w:rFonts w:asciiTheme="majorHAnsi" w:hAnsiTheme="majorHAnsi" w:cstheme="majorHAnsi"/>
          <w:b/>
          <w:bCs/>
          <w:i/>
          <w:iCs/>
          <w:sz w:val="24"/>
          <w:szCs w:val="24"/>
          <w:lang w:val="ro-MD"/>
        </w:rPr>
        <w:t xml:space="preserve"> </w:t>
      </w:r>
      <w:r w:rsidR="00031B47" w:rsidRPr="001C6DCE">
        <w:rPr>
          <w:rFonts w:asciiTheme="majorHAnsi" w:hAnsiTheme="majorHAnsi" w:cstheme="majorHAnsi"/>
          <w:iCs/>
          <w:sz w:val="24"/>
          <w:szCs w:val="24"/>
          <w:lang w:val="ro-MD"/>
        </w:rPr>
        <w:t>Conducerea entității nu a emis ordin și nu a acordat personalului</w:t>
      </w:r>
      <w:r w:rsidR="004C089E" w:rsidRPr="001C6DCE">
        <w:rPr>
          <w:rFonts w:asciiTheme="majorHAnsi" w:hAnsiTheme="majorHAnsi" w:cstheme="majorHAnsi"/>
          <w:iCs/>
          <w:sz w:val="24"/>
          <w:szCs w:val="24"/>
          <w:lang w:val="ro-MD"/>
        </w:rPr>
        <w:t>,</w:t>
      </w:r>
      <w:r w:rsidR="00031B47" w:rsidRPr="001C6DCE">
        <w:rPr>
          <w:rFonts w:asciiTheme="majorHAnsi" w:hAnsiTheme="majorHAnsi" w:cstheme="majorHAnsi"/>
          <w:iCs/>
          <w:sz w:val="24"/>
          <w:szCs w:val="24"/>
          <w:lang w:val="ro-MD"/>
        </w:rPr>
        <w:t xml:space="preserve"> lunar</w:t>
      </w:r>
      <w:r w:rsidR="004C089E" w:rsidRPr="001C6DCE">
        <w:rPr>
          <w:rFonts w:asciiTheme="majorHAnsi" w:hAnsiTheme="majorHAnsi" w:cstheme="majorHAnsi"/>
          <w:iCs/>
          <w:sz w:val="24"/>
          <w:szCs w:val="24"/>
          <w:lang w:val="ro-MD"/>
        </w:rPr>
        <w:t>,</w:t>
      </w:r>
      <w:r w:rsidR="00031B47" w:rsidRPr="001C6DCE">
        <w:rPr>
          <w:rFonts w:asciiTheme="majorHAnsi" w:hAnsiTheme="majorHAnsi" w:cstheme="majorHAnsi"/>
          <w:iCs/>
          <w:sz w:val="24"/>
          <w:szCs w:val="24"/>
          <w:lang w:val="ro-MD"/>
        </w:rPr>
        <w:t xml:space="preserve"> sporul pentru performantă, deși pe parcursul anului procesul de evaluare a performanțelor individuale ale personalului a fost realizat</w:t>
      </w:r>
      <w:r w:rsidR="004C089E" w:rsidRPr="001C6DCE">
        <w:rPr>
          <w:rFonts w:asciiTheme="majorHAnsi" w:hAnsiTheme="majorHAnsi" w:cstheme="majorHAnsi"/>
          <w:iCs/>
          <w:sz w:val="24"/>
          <w:szCs w:val="24"/>
          <w:lang w:val="ro-MD"/>
        </w:rPr>
        <w:t>, a</w:t>
      </w:r>
      <w:r w:rsidR="00775A3A" w:rsidRPr="001C6DCE">
        <w:rPr>
          <w:rFonts w:asciiTheme="majorHAnsi" w:hAnsiTheme="majorHAnsi" w:cstheme="majorHAnsi"/>
          <w:iCs/>
          <w:sz w:val="24"/>
          <w:szCs w:val="24"/>
          <w:lang w:val="ro-MD"/>
        </w:rPr>
        <w:t>cest</w:t>
      </w:r>
      <w:r w:rsidR="004C089E" w:rsidRPr="001C6DCE">
        <w:rPr>
          <w:rFonts w:asciiTheme="majorHAnsi" w:hAnsiTheme="majorHAnsi" w:cstheme="majorHAnsi"/>
          <w:iCs/>
          <w:sz w:val="24"/>
          <w:szCs w:val="24"/>
          <w:lang w:val="ro-MD"/>
        </w:rPr>
        <w:t xml:space="preserve"> spor</w:t>
      </w:r>
      <w:r w:rsidR="00775A3A" w:rsidRPr="001C6DCE">
        <w:rPr>
          <w:rFonts w:asciiTheme="majorHAnsi" w:hAnsiTheme="majorHAnsi" w:cstheme="majorHAnsi"/>
          <w:iCs/>
          <w:sz w:val="24"/>
          <w:szCs w:val="24"/>
          <w:lang w:val="ro-MD"/>
        </w:rPr>
        <w:t xml:space="preserve"> fiind acordat la finele anului</w:t>
      </w:r>
      <w:r w:rsidR="000367B2" w:rsidRPr="001C6DCE">
        <w:rPr>
          <w:rFonts w:asciiTheme="majorHAnsi" w:hAnsiTheme="majorHAnsi" w:cstheme="majorHAnsi"/>
          <w:iCs/>
          <w:sz w:val="24"/>
          <w:szCs w:val="24"/>
          <w:lang w:val="ro-MD"/>
        </w:rPr>
        <w:t>;</w:t>
      </w:r>
      <w:r w:rsidR="00031B47" w:rsidRPr="001C6DCE">
        <w:rPr>
          <w:rFonts w:asciiTheme="majorHAnsi" w:hAnsiTheme="majorHAnsi" w:cstheme="majorHAnsi"/>
          <w:iCs/>
          <w:sz w:val="24"/>
          <w:szCs w:val="24"/>
          <w:lang w:val="ro-MD"/>
        </w:rPr>
        <w:t xml:space="preserve"> </w:t>
      </w:r>
      <w:r w:rsidR="00031B47" w:rsidRPr="001C6DCE">
        <w:rPr>
          <w:rFonts w:asciiTheme="majorHAnsi" w:hAnsiTheme="majorHAnsi" w:cstheme="majorHAnsi"/>
          <w:b/>
          <w:bCs/>
          <w:iCs/>
          <w:sz w:val="24"/>
          <w:szCs w:val="24"/>
          <w:lang w:val="ro-MD"/>
        </w:rPr>
        <w:t>3)</w:t>
      </w:r>
      <w:r w:rsidR="00031B47" w:rsidRPr="001C6DCE">
        <w:rPr>
          <w:rFonts w:asciiTheme="majorHAnsi" w:hAnsiTheme="majorHAnsi" w:cstheme="majorHAnsi"/>
          <w:iCs/>
          <w:sz w:val="24"/>
          <w:szCs w:val="24"/>
          <w:lang w:val="ro-MD"/>
        </w:rPr>
        <w:t xml:space="preserve"> Modul de stabilire de către conducător a mărimii procentuale a sporului de performanță este unul subiectiv, în lipsa unor reglementări exhaustive cu privire la criteriile/baremul concret(e) de acordare a acestui spor, care</w:t>
      </w:r>
      <w:r w:rsidR="004C089E" w:rsidRPr="001C6DCE">
        <w:rPr>
          <w:rFonts w:asciiTheme="majorHAnsi" w:hAnsiTheme="majorHAnsi" w:cstheme="majorHAnsi"/>
          <w:iCs/>
          <w:sz w:val="24"/>
          <w:szCs w:val="24"/>
          <w:lang w:val="ro-MD"/>
        </w:rPr>
        <w:t>,</w:t>
      </w:r>
      <w:r w:rsidR="00031B47" w:rsidRPr="001C6DCE">
        <w:rPr>
          <w:rFonts w:asciiTheme="majorHAnsi" w:hAnsiTheme="majorHAnsi" w:cstheme="majorHAnsi"/>
          <w:iCs/>
          <w:sz w:val="24"/>
          <w:szCs w:val="24"/>
          <w:lang w:val="ro-MD"/>
        </w:rPr>
        <w:t xml:space="preserve"> pentru același calificativ obținut „foarte bine”</w:t>
      </w:r>
      <w:r w:rsidR="004C089E" w:rsidRPr="001C6DCE">
        <w:rPr>
          <w:rFonts w:asciiTheme="majorHAnsi" w:hAnsiTheme="majorHAnsi" w:cstheme="majorHAnsi"/>
          <w:iCs/>
          <w:sz w:val="24"/>
          <w:szCs w:val="24"/>
          <w:lang w:val="ro-MD"/>
        </w:rPr>
        <w:t>,</w:t>
      </w:r>
      <w:r w:rsidR="00031B47" w:rsidRPr="001C6DCE">
        <w:rPr>
          <w:rFonts w:asciiTheme="majorHAnsi" w:hAnsiTheme="majorHAnsi" w:cstheme="majorHAnsi"/>
          <w:iCs/>
          <w:sz w:val="24"/>
          <w:szCs w:val="24"/>
          <w:lang w:val="ro-MD"/>
        </w:rPr>
        <w:t xml:space="preserve"> </w:t>
      </w:r>
      <w:r w:rsidR="004C089E" w:rsidRPr="001C6DCE">
        <w:rPr>
          <w:rFonts w:asciiTheme="majorHAnsi" w:hAnsiTheme="majorHAnsi" w:cstheme="majorHAnsi"/>
          <w:iCs/>
          <w:sz w:val="24"/>
          <w:szCs w:val="24"/>
          <w:lang w:val="ro-MD"/>
        </w:rPr>
        <w:t>la</w:t>
      </w:r>
      <w:r w:rsidR="00031B47" w:rsidRPr="001C6DCE">
        <w:rPr>
          <w:rFonts w:asciiTheme="majorHAnsi" w:hAnsiTheme="majorHAnsi" w:cstheme="majorHAnsi"/>
          <w:iCs/>
          <w:sz w:val="24"/>
          <w:szCs w:val="24"/>
          <w:lang w:val="ro-MD"/>
        </w:rPr>
        <w:t xml:space="preserve"> unii angajați </w:t>
      </w:r>
      <w:r w:rsidR="004C089E" w:rsidRPr="001C6DCE">
        <w:rPr>
          <w:rFonts w:asciiTheme="majorHAnsi" w:hAnsiTheme="majorHAnsi" w:cstheme="majorHAnsi"/>
          <w:iCs/>
          <w:sz w:val="24"/>
          <w:szCs w:val="24"/>
          <w:lang w:val="ro-MD"/>
        </w:rPr>
        <w:t>a constituit</w:t>
      </w:r>
      <w:r w:rsidR="00721AC1">
        <w:rPr>
          <w:rFonts w:asciiTheme="majorHAnsi" w:hAnsiTheme="majorHAnsi" w:cstheme="majorHAnsi"/>
          <w:iCs/>
          <w:sz w:val="24"/>
          <w:szCs w:val="24"/>
          <w:lang w:val="ro-MD"/>
        </w:rPr>
        <w:t xml:space="preserve"> </w:t>
      </w:r>
      <w:r w:rsidR="00031B47" w:rsidRPr="001C6DCE">
        <w:rPr>
          <w:rFonts w:asciiTheme="majorHAnsi" w:hAnsiTheme="majorHAnsi" w:cstheme="majorHAnsi"/>
          <w:iCs/>
          <w:sz w:val="24"/>
          <w:szCs w:val="24"/>
          <w:lang w:val="ro-MD"/>
        </w:rPr>
        <w:t>10</w:t>
      </w:r>
      <w:r w:rsidR="005C6307" w:rsidRPr="001C6DCE">
        <w:rPr>
          <w:rFonts w:asciiTheme="majorHAnsi" w:hAnsiTheme="majorHAnsi" w:cstheme="majorHAnsi"/>
          <w:iCs/>
          <w:sz w:val="24"/>
          <w:szCs w:val="24"/>
          <w:lang w:val="ro-MD"/>
        </w:rPr>
        <w:t>% (</w:t>
      </w:r>
      <w:r w:rsidR="00031B47" w:rsidRPr="001C6DCE">
        <w:rPr>
          <w:rFonts w:asciiTheme="majorHAnsi" w:hAnsiTheme="majorHAnsi" w:cstheme="majorHAnsi"/>
          <w:iCs/>
          <w:sz w:val="24"/>
          <w:szCs w:val="24"/>
          <w:lang w:val="ro-MD"/>
        </w:rPr>
        <w:t>în cuantum mai mic decât prevederile regulamentului intern</w:t>
      </w:r>
      <w:r w:rsidR="005C6307" w:rsidRPr="001C6DCE">
        <w:rPr>
          <w:rFonts w:asciiTheme="majorHAnsi" w:hAnsiTheme="majorHAnsi" w:cstheme="majorHAnsi"/>
          <w:iCs/>
          <w:sz w:val="24"/>
          <w:szCs w:val="24"/>
          <w:lang w:val="ro-MD"/>
        </w:rPr>
        <w:t>-11%)</w:t>
      </w:r>
      <w:r w:rsidR="00031B47" w:rsidRPr="001C6DCE">
        <w:rPr>
          <w:rFonts w:asciiTheme="majorHAnsi" w:hAnsiTheme="majorHAnsi" w:cstheme="majorHAnsi"/>
          <w:iCs/>
          <w:sz w:val="24"/>
          <w:szCs w:val="24"/>
          <w:lang w:val="ro-MD"/>
        </w:rPr>
        <w:t xml:space="preserve">, iar </w:t>
      </w:r>
      <w:r w:rsidR="004C089E" w:rsidRPr="001C6DCE">
        <w:rPr>
          <w:rFonts w:asciiTheme="majorHAnsi" w:hAnsiTheme="majorHAnsi" w:cstheme="majorHAnsi"/>
          <w:iCs/>
          <w:sz w:val="24"/>
          <w:szCs w:val="24"/>
          <w:lang w:val="ro-MD"/>
        </w:rPr>
        <w:t>la</w:t>
      </w:r>
      <w:r w:rsidR="00031B47" w:rsidRPr="001C6DCE">
        <w:rPr>
          <w:rFonts w:asciiTheme="majorHAnsi" w:hAnsiTheme="majorHAnsi" w:cstheme="majorHAnsi"/>
          <w:iCs/>
          <w:sz w:val="24"/>
          <w:szCs w:val="24"/>
          <w:lang w:val="ro-MD"/>
        </w:rPr>
        <w:t xml:space="preserve"> alți angajați – 80%</w:t>
      </w:r>
      <w:r w:rsidR="000367B2" w:rsidRPr="001C6DCE">
        <w:rPr>
          <w:rFonts w:asciiTheme="majorHAnsi" w:hAnsiTheme="majorHAnsi" w:cstheme="majorHAnsi"/>
          <w:iCs/>
          <w:sz w:val="24"/>
          <w:szCs w:val="24"/>
          <w:lang w:val="ro-MD"/>
        </w:rPr>
        <w:t>;</w:t>
      </w:r>
      <w:r w:rsidR="00031B47" w:rsidRPr="001C6DCE">
        <w:rPr>
          <w:rFonts w:asciiTheme="majorHAnsi" w:hAnsiTheme="majorHAnsi" w:cstheme="majorHAnsi"/>
          <w:iCs/>
          <w:sz w:val="24"/>
          <w:szCs w:val="24"/>
          <w:lang w:val="ro-MD"/>
        </w:rPr>
        <w:t xml:space="preserve"> </w:t>
      </w:r>
      <w:r w:rsidR="00031B47" w:rsidRPr="001C6DCE">
        <w:rPr>
          <w:rFonts w:asciiTheme="majorHAnsi" w:hAnsiTheme="majorHAnsi" w:cstheme="majorHAnsi"/>
          <w:b/>
          <w:bCs/>
          <w:iCs/>
          <w:sz w:val="24"/>
          <w:szCs w:val="24"/>
          <w:lang w:val="ro-MD"/>
        </w:rPr>
        <w:t>4)</w:t>
      </w:r>
      <w:r w:rsidR="00031B47" w:rsidRPr="001C6DCE">
        <w:rPr>
          <w:rFonts w:asciiTheme="majorHAnsi" w:hAnsiTheme="majorHAnsi" w:cstheme="majorHAnsi"/>
          <w:iCs/>
          <w:sz w:val="24"/>
          <w:szCs w:val="24"/>
          <w:lang w:val="ro-MD"/>
        </w:rPr>
        <w:t xml:space="preserve"> Evaluarea performanțelor are un caracter subiectiv, formal și</w:t>
      </w:r>
      <w:r w:rsidR="004C089E" w:rsidRPr="001C6DCE">
        <w:rPr>
          <w:rFonts w:asciiTheme="majorHAnsi" w:hAnsiTheme="majorHAnsi" w:cstheme="majorHAnsi"/>
          <w:iCs/>
          <w:sz w:val="24"/>
          <w:szCs w:val="24"/>
          <w:lang w:val="ro-MD"/>
        </w:rPr>
        <w:t>,</w:t>
      </w:r>
      <w:r w:rsidR="00031B47" w:rsidRPr="001C6DCE">
        <w:rPr>
          <w:rFonts w:asciiTheme="majorHAnsi" w:hAnsiTheme="majorHAnsi" w:cstheme="majorHAnsi"/>
          <w:iCs/>
          <w:sz w:val="24"/>
          <w:szCs w:val="24"/>
          <w:lang w:val="ro-MD"/>
        </w:rPr>
        <w:t xml:space="preserve"> în unele cazuri</w:t>
      </w:r>
      <w:r w:rsidR="004C089E" w:rsidRPr="001C6DCE">
        <w:rPr>
          <w:rFonts w:asciiTheme="majorHAnsi" w:hAnsiTheme="majorHAnsi" w:cstheme="majorHAnsi"/>
          <w:iCs/>
          <w:sz w:val="24"/>
          <w:szCs w:val="24"/>
          <w:lang w:val="ro-MD"/>
        </w:rPr>
        <w:t>,</w:t>
      </w:r>
      <w:r w:rsidR="00031B47" w:rsidRPr="001C6DCE">
        <w:rPr>
          <w:rFonts w:asciiTheme="majorHAnsi" w:hAnsiTheme="majorHAnsi" w:cstheme="majorHAnsi"/>
          <w:iCs/>
          <w:sz w:val="24"/>
          <w:szCs w:val="24"/>
          <w:lang w:val="ro-MD"/>
        </w:rPr>
        <w:t xml:space="preserve"> neregulamentar. Fișele de evaluare nu sunt aduse la cunoștinț</w:t>
      </w:r>
      <w:r w:rsidR="004C089E" w:rsidRPr="001C6DCE">
        <w:rPr>
          <w:rFonts w:asciiTheme="majorHAnsi" w:hAnsiTheme="majorHAnsi" w:cstheme="majorHAnsi"/>
          <w:iCs/>
          <w:sz w:val="24"/>
          <w:szCs w:val="24"/>
          <w:lang w:val="ro-MD"/>
        </w:rPr>
        <w:t>a</w:t>
      </w:r>
      <w:r w:rsidR="00031B47" w:rsidRPr="001C6DCE">
        <w:rPr>
          <w:rFonts w:asciiTheme="majorHAnsi" w:hAnsiTheme="majorHAnsi" w:cstheme="majorHAnsi"/>
          <w:iCs/>
          <w:sz w:val="24"/>
          <w:szCs w:val="24"/>
          <w:lang w:val="ro-MD"/>
        </w:rPr>
        <w:t xml:space="preserve"> salariatului, nefiind semnate de către salariatul evaluat, lipsește data evaluării, ceea ce contravine prevederil</w:t>
      </w:r>
      <w:r w:rsidR="004C089E" w:rsidRPr="001C6DCE">
        <w:rPr>
          <w:rFonts w:asciiTheme="majorHAnsi" w:hAnsiTheme="majorHAnsi" w:cstheme="majorHAnsi"/>
          <w:iCs/>
          <w:sz w:val="24"/>
          <w:szCs w:val="24"/>
          <w:lang w:val="ro-MD"/>
        </w:rPr>
        <w:t>or</w:t>
      </w:r>
      <w:r w:rsidR="00031B47" w:rsidRPr="001C6DCE">
        <w:rPr>
          <w:rFonts w:asciiTheme="majorHAnsi" w:hAnsiTheme="majorHAnsi" w:cstheme="majorHAnsi"/>
          <w:iCs/>
          <w:sz w:val="24"/>
          <w:szCs w:val="24"/>
          <w:lang w:val="ro-MD"/>
        </w:rPr>
        <w:t xml:space="preserve"> cadrului normativ</w:t>
      </w:r>
      <w:r w:rsidR="00031B47" w:rsidRPr="001C6DCE">
        <w:rPr>
          <w:rFonts w:asciiTheme="majorHAnsi" w:hAnsiTheme="majorHAnsi" w:cstheme="majorHAnsi"/>
          <w:iCs/>
          <w:sz w:val="24"/>
          <w:szCs w:val="24"/>
          <w:vertAlign w:val="superscript"/>
          <w:lang w:val="ro-MD"/>
        </w:rPr>
        <w:footnoteReference w:id="59"/>
      </w:r>
      <w:r w:rsidR="00031B47" w:rsidRPr="001C6DCE">
        <w:rPr>
          <w:rFonts w:asciiTheme="majorHAnsi" w:hAnsiTheme="majorHAnsi" w:cstheme="majorHAnsi"/>
          <w:iCs/>
          <w:sz w:val="24"/>
          <w:szCs w:val="24"/>
          <w:lang w:val="ro-MD"/>
        </w:rPr>
        <w:t>.</w:t>
      </w:r>
      <w:r w:rsidR="00031B47" w:rsidRPr="001C6DCE">
        <w:rPr>
          <w:rFonts w:ascii="Calibri Light" w:eastAsia="Times New Roman" w:hAnsi="Calibri Light" w:cs="Calibri Light"/>
          <w:iCs/>
          <w:noProof/>
          <w:sz w:val="24"/>
          <w:szCs w:val="24"/>
          <w:lang w:val="ro-MD"/>
        </w:rPr>
        <w:t xml:space="preserve"> Astfel, în anul 2022</w:t>
      </w:r>
      <w:r w:rsidR="004C089E" w:rsidRPr="001C6DCE">
        <w:rPr>
          <w:rFonts w:ascii="Calibri Light" w:eastAsia="Times New Roman" w:hAnsi="Calibri Light" w:cs="Calibri Light"/>
          <w:iCs/>
          <w:noProof/>
          <w:sz w:val="24"/>
          <w:szCs w:val="24"/>
          <w:lang w:val="ro-MD"/>
        </w:rPr>
        <w:t>,</w:t>
      </w:r>
      <w:r w:rsidR="00031B47" w:rsidRPr="001C6DCE">
        <w:rPr>
          <w:rFonts w:ascii="Calibri Light" w:eastAsia="Times New Roman" w:hAnsi="Calibri Light" w:cs="Calibri Light"/>
          <w:iCs/>
          <w:noProof/>
          <w:sz w:val="24"/>
          <w:szCs w:val="24"/>
          <w:lang w:val="ro-MD"/>
        </w:rPr>
        <w:t xml:space="preserve"> conducerea </w:t>
      </w:r>
      <w:r w:rsidR="004C089E" w:rsidRPr="001C6DCE">
        <w:rPr>
          <w:rFonts w:ascii="Calibri Light" w:eastAsia="Times New Roman" w:hAnsi="Calibri Light" w:cs="Calibri Light"/>
          <w:iCs/>
          <w:noProof/>
          <w:sz w:val="24"/>
          <w:szCs w:val="24"/>
          <w:lang w:val="ro-MD"/>
        </w:rPr>
        <w:t>IP CNC</w:t>
      </w:r>
      <w:r w:rsidR="00031B47" w:rsidRPr="001C6DCE">
        <w:rPr>
          <w:rFonts w:ascii="Calibri Light" w:eastAsia="Times New Roman" w:hAnsi="Calibri Light" w:cs="Calibri Light"/>
          <w:iCs/>
          <w:noProof/>
          <w:sz w:val="24"/>
          <w:szCs w:val="24"/>
          <w:lang w:val="ro-MD"/>
        </w:rPr>
        <w:t xml:space="preserve"> a atribuit </w:t>
      </w:r>
      <w:r w:rsidR="004C089E" w:rsidRPr="001C6DCE">
        <w:rPr>
          <w:rFonts w:ascii="Calibri Light" w:eastAsia="Times New Roman" w:hAnsi="Calibri Light" w:cs="Calibri Light"/>
          <w:iCs/>
          <w:noProof/>
          <w:sz w:val="24"/>
          <w:szCs w:val="24"/>
          <w:lang w:val="ro-MD"/>
        </w:rPr>
        <w:t xml:space="preserve">unui angajat </w:t>
      </w:r>
      <w:r w:rsidR="00031B47" w:rsidRPr="001C6DCE">
        <w:rPr>
          <w:rFonts w:ascii="Calibri Light" w:eastAsia="Times New Roman" w:hAnsi="Calibri Light" w:cs="Calibri Light"/>
          <w:iCs/>
          <w:noProof/>
          <w:sz w:val="24"/>
          <w:szCs w:val="24"/>
          <w:lang w:val="ro-MD"/>
        </w:rPr>
        <w:t xml:space="preserve">calificativul </w:t>
      </w:r>
      <w:r w:rsidR="00775A3A" w:rsidRPr="001C6DCE">
        <w:rPr>
          <w:rFonts w:ascii="Calibri Light" w:eastAsia="Times New Roman" w:hAnsi="Calibri Light" w:cs="Calibri Light"/>
          <w:iCs/>
          <w:noProof/>
          <w:sz w:val="24"/>
          <w:szCs w:val="24"/>
          <w:lang w:val="ro-MD"/>
        </w:rPr>
        <w:t>„</w:t>
      </w:r>
      <w:r w:rsidR="00031B47" w:rsidRPr="001C6DCE">
        <w:rPr>
          <w:rFonts w:ascii="Calibri Light" w:eastAsia="Times New Roman" w:hAnsi="Calibri Light" w:cs="Calibri Light"/>
          <w:iCs/>
          <w:noProof/>
          <w:sz w:val="24"/>
          <w:szCs w:val="24"/>
          <w:lang w:val="ro-MD"/>
        </w:rPr>
        <w:t xml:space="preserve">nesatisfăcător” pentru trimestrele I-II ale anului în lipsa sancțiunilor disciplinare și </w:t>
      </w:r>
      <w:r w:rsidR="00F85526" w:rsidRPr="001C6DCE">
        <w:rPr>
          <w:rFonts w:ascii="Calibri Light" w:eastAsia="Times New Roman" w:hAnsi="Calibri Light" w:cs="Calibri Light"/>
          <w:iCs/>
          <w:noProof/>
          <w:sz w:val="24"/>
          <w:szCs w:val="24"/>
          <w:lang w:val="ro-MD"/>
        </w:rPr>
        <w:t xml:space="preserve">a </w:t>
      </w:r>
      <w:r w:rsidR="00031B47" w:rsidRPr="001C6DCE">
        <w:rPr>
          <w:rFonts w:ascii="Calibri Light" w:eastAsia="Times New Roman" w:hAnsi="Calibri Light" w:cs="Calibri Light"/>
          <w:iCs/>
          <w:noProof/>
          <w:sz w:val="24"/>
          <w:szCs w:val="24"/>
          <w:lang w:val="ro-MD"/>
        </w:rPr>
        <w:t>probelor confirmative privind nerealizarea indicatorilor de performanță</w:t>
      </w:r>
      <w:r w:rsidR="000367B2" w:rsidRPr="001C6DCE">
        <w:rPr>
          <w:rFonts w:ascii="Calibri Light" w:eastAsia="Times New Roman" w:hAnsi="Calibri Light" w:cs="Calibri Light"/>
          <w:iCs/>
          <w:noProof/>
          <w:sz w:val="24"/>
          <w:szCs w:val="24"/>
          <w:lang w:val="ro-MD"/>
        </w:rPr>
        <w:t>;</w:t>
      </w:r>
      <w:r w:rsidR="00031B47" w:rsidRPr="001C6DCE">
        <w:rPr>
          <w:rFonts w:ascii="Calibri Light" w:eastAsia="Times New Roman" w:hAnsi="Calibri Light" w:cs="Calibri Light"/>
          <w:iCs/>
          <w:noProof/>
          <w:sz w:val="24"/>
          <w:szCs w:val="24"/>
          <w:lang w:val="ro-MD"/>
        </w:rPr>
        <w:t xml:space="preserve"> </w:t>
      </w:r>
      <w:r w:rsidR="00031B47" w:rsidRPr="001C6DCE">
        <w:rPr>
          <w:rFonts w:ascii="Calibri Light" w:eastAsia="Times New Roman" w:hAnsi="Calibri Light" w:cs="Calibri Light"/>
          <w:b/>
          <w:bCs/>
          <w:iCs/>
          <w:noProof/>
          <w:sz w:val="24"/>
          <w:szCs w:val="24"/>
          <w:lang w:val="ro-MD"/>
        </w:rPr>
        <w:t>5)</w:t>
      </w:r>
      <w:r w:rsidR="00031B47" w:rsidRPr="001C6DCE">
        <w:rPr>
          <w:rFonts w:ascii="Calibri Light" w:eastAsia="Times New Roman" w:hAnsi="Calibri Light" w:cs="Calibri Light"/>
          <w:iCs/>
          <w:noProof/>
          <w:sz w:val="24"/>
          <w:szCs w:val="24"/>
          <w:lang w:val="ro-MD"/>
        </w:rPr>
        <w:t xml:space="preserve"> </w:t>
      </w:r>
      <w:r w:rsidR="00031B47" w:rsidRPr="001C6DCE">
        <w:rPr>
          <w:rFonts w:asciiTheme="majorHAnsi" w:hAnsiTheme="majorHAnsi" w:cstheme="majorHAnsi"/>
          <w:iCs/>
          <w:sz w:val="24"/>
          <w:szCs w:val="24"/>
          <w:lang w:val="ro-MD"/>
        </w:rPr>
        <w:t xml:space="preserve">Sporul de performanță pentru 7 angajați </w:t>
      </w:r>
      <w:r w:rsidR="00F85526" w:rsidRPr="001C6DCE">
        <w:rPr>
          <w:rFonts w:asciiTheme="majorHAnsi" w:hAnsiTheme="majorHAnsi" w:cstheme="majorHAnsi"/>
          <w:iCs/>
          <w:sz w:val="24"/>
          <w:szCs w:val="24"/>
          <w:lang w:val="ro-MD"/>
        </w:rPr>
        <w:t xml:space="preserve">a fost acordat </w:t>
      </w:r>
      <w:r w:rsidR="00031B47" w:rsidRPr="001C6DCE">
        <w:rPr>
          <w:rFonts w:asciiTheme="majorHAnsi" w:hAnsiTheme="majorHAnsi" w:cstheme="majorHAnsi"/>
          <w:iCs/>
          <w:sz w:val="24"/>
          <w:szCs w:val="24"/>
          <w:lang w:val="ro-MD"/>
        </w:rPr>
        <w:t xml:space="preserve">în lipsa evaluării performanțelor individuale și </w:t>
      </w:r>
      <w:r w:rsidR="00F85526" w:rsidRPr="001C6DCE">
        <w:rPr>
          <w:rFonts w:asciiTheme="majorHAnsi" w:hAnsiTheme="majorHAnsi" w:cstheme="majorHAnsi"/>
          <w:iCs/>
          <w:sz w:val="24"/>
          <w:szCs w:val="24"/>
          <w:lang w:val="ro-MD"/>
        </w:rPr>
        <w:t>fără</w:t>
      </w:r>
      <w:r w:rsidR="00031B47" w:rsidRPr="001C6DCE">
        <w:rPr>
          <w:rFonts w:asciiTheme="majorHAnsi" w:hAnsiTheme="majorHAnsi" w:cstheme="majorHAnsi"/>
          <w:iCs/>
          <w:sz w:val="24"/>
          <w:szCs w:val="24"/>
          <w:lang w:val="ro-MD"/>
        </w:rPr>
        <w:t xml:space="preserve"> elabor</w:t>
      </w:r>
      <w:r w:rsidR="00F85526" w:rsidRPr="001C6DCE">
        <w:rPr>
          <w:rFonts w:asciiTheme="majorHAnsi" w:hAnsiTheme="majorHAnsi" w:cstheme="majorHAnsi"/>
          <w:iCs/>
          <w:sz w:val="24"/>
          <w:szCs w:val="24"/>
          <w:lang w:val="ro-MD"/>
        </w:rPr>
        <w:t>area</w:t>
      </w:r>
      <w:r w:rsidR="00031B47" w:rsidRPr="001C6DCE">
        <w:rPr>
          <w:rFonts w:asciiTheme="majorHAnsi" w:hAnsiTheme="majorHAnsi" w:cstheme="majorHAnsi"/>
          <w:iCs/>
          <w:sz w:val="24"/>
          <w:szCs w:val="24"/>
          <w:lang w:val="ro-MD"/>
        </w:rPr>
        <w:t xml:space="preserve"> fișelor de evaluare a performanț</w:t>
      </w:r>
      <w:r w:rsidR="00F85526" w:rsidRPr="001C6DCE">
        <w:rPr>
          <w:rFonts w:asciiTheme="majorHAnsi" w:hAnsiTheme="majorHAnsi" w:cstheme="majorHAnsi"/>
          <w:iCs/>
          <w:sz w:val="24"/>
          <w:szCs w:val="24"/>
          <w:lang w:val="ro-MD"/>
        </w:rPr>
        <w:t>e</w:t>
      </w:r>
      <w:r w:rsidR="00031B47" w:rsidRPr="001C6DCE">
        <w:rPr>
          <w:rFonts w:asciiTheme="majorHAnsi" w:hAnsiTheme="majorHAnsi" w:cstheme="majorHAnsi"/>
          <w:iCs/>
          <w:sz w:val="24"/>
          <w:szCs w:val="24"/>
          <w:lang w:val="ro-MD"/>
        </w:rPr>
        <w:t xml:space="preserve">lor pe parcursul anului 2022, </w:t>
      </w:r>
      <w:r w:rsidR="00F85526" w:rsidRPr="001C6DCE">
        <w:rPr>
          <w:rFonts w:asciiTheme="majorHAnsi" w:hAnsiTheme="majorHAnsi" w:cstheme="majorHAnsi"/>
          <w:iCs/>
          <w:sz w:val="24"/>
          <w:szCs w:val="24"/>
          <w:lang w:val="ro-MD"/>
        </w:rPr>
        <w:t xml:space="preserve">ceea ce a </w:t>
      </w:r>
      <w:r w:rsidR="00031B47" w:rsidRPr="001C6DCE">
        <w:rPr>
          <w:rFonts w:asciiTheme="majorHAnsi" w:hAnsiTheme="majorHAnsi" w:cstheme="majorHAnsi"/>
          <w:iCs/>
          <w:sz w:val="24"/>
          <w:szCs w:val="24"/>
          <w:lang w:val="ro-MD"/>
        </w:rPr>
        <w:t>gener</w:t>
      </w:r>
      <w:r w:rsidR="00F85526" w:rsidRPr="001C6DCE">
        <w:rPr>
          <w:rFonts w:asciiTheme="majorHAnsi" w:hAnsiTheme="majorHAnsi" w:cstheme="majorHAnsi"/>
          <w:iCs/>
          <w:sz w:val="24"/>
          <w:szCs w:val="24"/>
          <w:lang w:val="ro-MD"/>
        </w:rPr>
        <w:t>at</w:t>
      </w:r>
      <w:r w:rsidR="00031B47" w:rsidRPr="001C6DCE">
        <w:rPr>
          <w:rFonts w:asciiTheme="majorHAnsi" w:hAnsiTheme="majorHAnsi" w:cstheme="majorHAnsi"/>
          <w:iCs/>
          <w:sz w:val="24"/>
          <w:szCs w:val="24"/>
          <w:lang w:val="ro-MD"/>
        </w:rPr>
        <w:t xml:space="preserve"> acordarea </w:t>
      </w:r>
      <w:r w:rsidR="00F85526" w:rsidRPr="001C6DCE">
        <w:rPr>
          <w:rFonts w:asciiTheme="majorHAnsi" w:hAnsiTheme="majorHAnsi" w:cstheme="majorHAnsi"/>
          <w:iCs/>
          <w:sz w:val="24"/>
          <w:szCs w:val="24"/>
          <w:lang w:val="ro-MD"/>
        </w:rPr>
        <w:t xml:space="preserve">neregulamentară a </w:t>
      </w:r>
      <w:r w:rsidR="00031B47" w:rsidRPr="001C6DCE">
        <w:rPr>
          <w:rFonts w:asciiTheme="majorHAnsi" w:hAnsiTheme="majorHAnsi" w:cstheme="majorHAnsi"/>
          <w:iCs/>
          <w:sz w:val="24"/>
          <w:szCs w:val="24"/>
          <w:lang w:val="ro-MD"/>
        </w:rPr>
        <w:t xml:space="preserve">sporului de performanță în sumă de </w:t>
      </w:r>
      <w:r w:rsidR="00775A3A" w:rsidRPr="001C6DCE">
        <w:rPr>
          <w:rFonts w:asciiTheme="majorHAnsi" w:hAnsiTheme="majorHAnsi" w:cstheme="majorHAnsi"/>
          <w:iCs/>
          <w:sz w:val="24"/>
          <w:szCs w:val="24"/>
          <w:lang w:val="ro-MD"/>
        </w:rPr>
        <w:t>18,86 mii lei</w:t>
      </w:r>
      <w:r w:rsidR="00031B47" w:rsidRPr="001C6DCE">
        <w:rPr>
          <w:rFonts w:asciiTheme="majorHAnsi" w:hAnsiTheme="majorHAnsi" w:cstheme="majorHAnsi"/>
          <w:iCs/>
          <w:sz w:val="24"/>
          <w:szCs w:val="24"/>
          <w:lang w:val="ro-MD"/>
        </w:rPr>
        <w:t xml:space="preserve">. </w:t>
      </w:r>
      <w:r w:rsidR="00031B47" w:rsidRPr="001C6DCE">
        <w:rPr>
          <w:rFonts w:ascii="Calibri Light" w:eastAsia="Times New Roman" w:hAnsi="Calibri Light" w:cs="Calibri Light"/>
          <w:noProof/>
          <w:sz w:val="24"/>
          <w:szCs w:val="24"/>
          <w:lang w:val="ro-MD"/>
        </w:rPr>
        <w:t>Totodată, s-a constatat că 4 angajați, deși au obținut nota finală de 3,33-3,5 și calificativul</w:t>
      </w:r>
      <w:r w:rsidR="00775A3A" w:rsidRPr="001C6DCE">
        <w:rPr>
          <w:rFonts w:ascii="Calibri Light" w:eastAsia="Times New Roman" w:hAnsi="Calibri Light" w:cs="Calibri Light"/>
          <w:noProof/>
          <w:sz w:val="24"/>
          <w:szCs w:val="24"/>
          <w:lang w:val="ro-MD"/>
        </w:rPr>
        <w:t xml:space="preserve"> „</w:t>
      </w:r>
      <w:r w:rsidR="00031B47" w:rsidRPr="001C6DCE">
        <w:rPr>
          <w:rFonts w:ascii="Calibri Light" w:eastAsia="Times New Roman" w:hAnsi="Calibri Light" w:cs="Calibri Light"/>
          <w:noProof/>
          <w:sz w:val="24"/>
          <w:szCs w:val="24"/>
          <w:lang w:val="ro-MD"/>
        </w:rPr>
        <w:t xml:space="preserve">bine”, </w:t>
      </w:r>
      <w:r w:rsidR="00031B47" w:rsidRPr="001C6DCE">
        <w:rPr>
          <w:rFonts w:ascii="Calibri Light" w:eastAsia="Times New Roman" w:hAnsi="Calibri Light" w:cs="Calibri Light"/>
          <w:i/>
          <w:iCs/>
          <w:noProof/>
          <w:sz w:val="24"/>
          <w:szCs w:val="24"/>
          <w:lang w:val="ro-MD"/>
        </w:rPr>
        <w:t>nu au beneficiat de spor</w:t>
      </w:r>
      <w:r w:rsidR="00F85526" w:rsidRPr="001C6DCE">
        <w:rPr>
          <w:rFonts w:ascii="Calibri Light" w:eastAsia="Times New Roman" w:hAnsi="Calibri Light" w:cs="Calibri Light"/>
          <w:i/>
          <w:iCs/>
          <w:noProof/>
          <w:sz w:val="24"/>
          <w:szCs w:val="24"/>
          <w:lang w:val="ro-MD"/>
        </w:rPr>
        <w:t>ul</w:t>
      </w:r>
      <w:r w:rsidR="00031B47" w:rsidRPr="001C6DCE">
        <w:rPr>
          <w:rFonts w:ascii="Calibri Light" w:eastAsia="Times New Roman" w:hAnsi="Calibri Light" w:cs="Calibri Light"/>
          <w:i/>
          <w:iCs/>
          <w:noProof/>
          <w:sz w:val="24"/>
          <w:szCs w:val="24"/>
          <w:lang w:val="ro-MD"/>
        </w:rPr>
        <w:t xml:space="preserve"> de performanță</w:t>
      </w:r>
      <w:r w:rsidR="00031B47" w:rsidRPr="001C6DCE">
        <w:rPr>
          <w:rFonts w:ascii="Calibri Light" w:eastAsia="Times New Roman" w:hAnsi="Calibri Light" w:cs="Calibri Light"/>
          <w:noProof/>
          <w:sz w:val="24"/>
          <w:szCs w:val="24"/>
          <w:lang w:val="ro-MD"/>
        </w:rPr>
        <w:t xml:space="preserve">, </w:t>
      </w:r>
      <w:r w:rsidR="00F85526" w:rsidRPr="001C6DCE">
        <w:rPr>
          <w:rFonts w:ascii="Calibri Light" w:eastAsia="Times New Roman" w:hAnsi="Calibri Light" w:cs="Calibri Light"/>
          <w:noProof/>
          <w:sz w:val="24"/>
          <w:szCs w:val="24"/>
          <w:lang w:val="ro-MD"/>
        </w:rPr>
        <w:t>care</w:t>
      </w:r>
      <w:r w:rsidR="00721AC1">
        <w:rPr>
          <w:rFonts w:ascii="Calibri Light" w:eastAsia="Times New Roman" w:hAnsi="Calibri Light" w:cs="Calibri Light"/>
          <w:noProof/>
          <w:sz w:val="24"/>
          <w:szCs w:val="24"/>
          <w:lang w:val="ro-MD"/>
        </w:rPr>
        <w:t xml:space="preserve"> </w:t>
      </w:r>
      <w:r w:rsidR="00031B47" w:rsidRPr="001C6DCE">
        <w:rPr>
          <w:rFonts w:ascii="Calibri Light" w:eastAsia="Times New Roman" w:hAnsi="Calibri Light" w:cs="Calibri Light"/>
          <w:noProof/>
          <w:sz w:val="24"/>
          <w:szCs w:val="24"/>
          <w:lang w:val="ro-MD"/>
        </w:rPr>
        <w:t xml:space="preserve">ar constitui estimativ de la </w:t>
      </w:r>
      <w:r w:rsidR="00031B47" w:rsidRPr="001C6DCE">
        <w:rPr>
          <w:rFonts w:ascii="Calibri Light" w:eastAsia="Times New Roman" w:hAnsi="Calibri Light" w:cs="Calibri Light"/>
          <w:i/>
          <w:noProof/>
          <w:sz w:val="24"/>
          <w:szCs w:val="24"/>
          <w:lang w:val="ro-MD"/>
        </w:rPr>
        <w:t>1,06</w:t>
      </w:r>
      <w:r w:rsidR="00C17541" w:rsidRPr="001C6DCE">
        <w:rPr>
          <w:rFonts w:ascii="Calibri Light" w:eastAsia="Times New Roman" w:hAnsi="Calibri Light" w:cs="Calibri Light"/>
          <w:i/>
          <w:noProof/>
          <w:sz w:val="24"/>
          <w:szCs w:val="24"/>
          <w:lang w:val="ro-MD"/>
        </w:rPr>
        <w:t xml:space="preserve"> mii lei</w:t>
      </w:r>
      <w:r w:rsidR="00F85526" w:rsidRPr="001C6DCE">
        <w:rPr>
          <w:rFonts w:ascii="Calibri Light" w:eastAsia="Times New Roman" w:hAnsi="Calibri Light" w:cs="Calibri Light"/>
          <w:i/>
          <w:noProof/>
          <w:sz w:val="24"/>
          <w:szCs w:val="24"/>
          <w:lang w:val="ro-MD"/>
        </w:rPr>
        <w:t xml:space="preserve"> până la </w:t>
      </w:r>
      <w:r w:rsidR="00031B47" w:rsidRPr="001C6DCE">
        <w:rPr>
          <w:rFonts w:ascii="Calibri Light" w:eastAsia="Times New Roman" w:hAnsi="Calibri Light" w:cs="Calibri Light"/>
          <w:i/>
          <w:noProof/>
          <w:sz w:val="24"/>
          <w:szCs w:val="24"/>
          <w:lang w:val="ro-MD"/>
        </w:rPr>
        <w:t>10,61</w:t>
      </w:r>
      <w:r w:rsidR="00721AC1">
        <w:rPr>
          <w:rFonts w:ascii="Calibri Light" w:eastAsia="Times New Roman" w:hAnsi="Calibri Light" w:cs="Calibri Light"/>
          <w:i/>
          <w:noProof/>
          <w:sz w:val="24"/>
          <w:szCs w:val="24"/>
          <w:lang w:val="ro-MD"/>
        </w:rPr>
        <w:t xml:space="preserve"> </w:t>
      </w:r>
      <w:r w:rsidR="00031B47" w:rsidRPr="001C6DCE">
        <w:rPr>
          <w:rFonts w:ascii="Calibri Light" w:eastAsia="Times New Roman" w:hAnsi="Calibri Light" w:cs="Calibri Light"/>
          <w:noProof/>
          <w:sz w:val="24"/>
          <w:szCs w:val="24"/>
          <w:lang w:val="ro-MD"/>
        </w:rPr>
        <w:t>mii lei (1%</w:t>
      </w:r>
      <w:r w:rsidR="00B50EEB" w:rsidRPr="001C6DCE">
        <w:rPr>
          <w:rFonts w:ascii="Calibri Light" w:eastAsia="Times New Roman" w:hAnsi="Calibri Light" w:cs="Calibri Light"/>
          <w:noProof/>
          <w:sz w:val="24"/>
          <w:szCs w:val="24"/>
          <w:lang w:val="ro-MD"/>
        </w:rPr>
        <w:t xml:space="preserve"> </w:t>
      </w:r>
      <w:r w:rsidR="00031B47" w:rsidRPr="001C6DCE">
        <w:rPr>
          <w:rFonts w:ascii="Calibri Light" w:eastAsia="Times New Roman" w:hAnsi="Calibri Light" w:cs="Calibri Light"/>
          <w:noProof/>
          <w:sz w:val="24"/>
          <w:szCs w:val="24"/>
          <w:lang w:val="ro-MD"/>
        </w:rPr>
        <w:t>-10% calculat la salariu</w:t>
      </w:r>
      <w:r w:rsidR="00C17541" w:rsidRPr="001C6DCE">
        <w:rPr>
          <w:rFonts w:ascii="Calibri Light" w:eastAsia="Times New Roman" w:hAnsi="Calibri Light" w:cs="Calibri Light"/>
          <w:noProof/>
          <w:sz w:val="24"/>
          <w:szCs w:val="24"/>
          <w:lang w:val="ro-MD"/>
        </w:rPr>
        <w:t>l</w:t>
      </w:r>
      <w:r w:rsidR="00031B47" w:rsidRPr="001C6DCE">
        <w:rPr>
          <w:rFonts w:ascii="Calibri Light" w:eastAsia="Times New Roman" w:hAnsi="Calibri Light" w:cs="Calibri Light"/>
          <w:noProof/>
          <w:sz w:val="24"/>
          <w:szCs w:val="24"/>
          <w:lang w:val="ro-MD"/>
        </w:rPr>
        <w:t xml:space="preserve"> de bază anual)</w:t>
      </w:r>
      <w:r w:rsidR="000367B2" w:rsidRPr="001C6DCE">
        <w:rPr>
          <w:rFonts w:ascii="Calibri Light" w:eastAsia="Times New Roman" w:hAnsi="Calibri Light" w:cs="Calibri Light"/>
          <w:noProof/>
          <w:sz w:val="24"/>
          <w:szCs w:val="24"/>
          <w:lang w:val="ro-MD"/>
        </w:rPr>
        <w:t>;</w:t>
      </w:r>
      <w:r w:rsidR="00031B47" w:rsidRPr="001C6DCE">
        <w:rPr>
          <w:rFonts w:ascii="Calibri Light" w:eastAsia="Times New Roman" w:hAnsi="Calibri Light" w:cs="Calibri Light"/>
          <w:noProof/>
          <w:sz w:val="24"/>
          <w:szCs w:val="24"/>
          <w:lang w:val="ro-MD"/>
        </w:rPr>
        <w:t xml:space="preserve"> </w:t>
      </w:r>
      <w:r w:rsidR="00031B47" w:rsidRPr="001C6DCE">
        <w:rPr>
          <w:rFonts w:ascii="Calibri Light" w:eastAsia="Times New Roman" w:hAnsi="Calibri Light" w:cs="Calibri Light"/>
          <w:b/>
          <w:bCs/>
          <w:noProof/>
          <w:sz w:val="24"/>
          <w:szCs w:val="24"/>
          <w:lang w:val="ro-MD"/>
        </w:rPr>
        <w:t>6)</w:t>
      </w:r>
      <w:r w:rsidR="00031B47" w:rsidRPr="001C6DCE">
        <w:rPr>
          <w:rFonts w:ascii="Calibri Light" w:eastAsia="Times New Roman" w:hAnsi="Calibri Light" w:cs="Calibri Light"/>
          <w:noProof/>
          <w:sz w:val="24"/>
          <w:szCs w:val="24"/>
          <w:lang w:val="ro-MD"/>
        </w:rPr>
        <w:t xml:space="preserve"> Nerespect</w:t>
      </w:r>
      <w:r w:rsidR="00C17541" w:rsidRPr="001C6DCE">
        <w:rPr>
          <w:rFonts w:ascii="Calibri Light" w:eastAsia="Times New Roman" w:hAnsi="Calibri Light" w:cs="Calibri Light"/>
          <w:noProof/>
          <w:sz w:val="24"/>
          <w:szCs w:val="24"/>
          <w:lang w:val="ro-MD"/>
        </w:rPr>
        <w:t>â</w:t>
      </w:r>
      <w:r w:rsidR="00031B47" w:rsidRPr="001C6DCE">
        <w:rPr>
          <w:rFonts w:ascii="Calibri Light" w:eastAsia="Times New Roman" w:hAnsi="Calibri Light" w:cs="Calibri Light"/>
          <w:noProof/>
          <w:sz w:val="24"/>
          <w:szCs w:val="24"/>
          <w:lang w:val="ro-MD"/>
        </w:rPr>
        <w:t>nd</w:t>
      </w:r>
      <w:r w:rsidR="00C17541" w:rsidRPr="001C6DCE">
        <w:rPr>
          <w:rFonts w:ascii="Calibri Light" w:eastAsia="Times New Roman" w:hAnsi="Calibri Light" w:cs="Calibri Light"/>
          <w:noProof/>
          <w:sz w:val="24"/>
          <w:szCs w:val="24"/>
          <w:lang w:val="ro-MD"/>
        </w:rPr>
        <w:t>u-se</w:t>
      </w:r>
      <w:r w:rsidR="00031B47" w:rsidRPr="001C6DCE">
        <w:rPr>
          <w:rFonts w:ascii="Calibri Light" w:eastAsia="Times New Roman" w:hAnsi="Calibri Light" w:cs="Calibri Light"/>
          <w:noProof/>
          <w:sz w:val="24"/>
          <w:szCs w:val="24"/>
          <w:lang w:val="ro-MD"/>
        </w:rPr>
        <w:t xml:space="preserve"> prevederile art.17 din Legea </w:t>
      </w:r>
      <w:r w:rsidR="00775A3A" w:rsidRPr="001C6DCE">
        <w:rPr>
          <w:rFonts w:ascii="Calibri Light" w:eastAsia="Times New Roman" w:hAnsi="Calibri Light" w:cs="Calibri Light"/>
          <w:noProof/>
          <w:sz w:val="24"/>
          <w:szCs w:val="24"/>
          <w:lang w:val="ro-MD"/>
        </w:rPr>
        <w:t>nr.</w:t>
      </w:r>
      <w:r w:rsidR="00031B47" w:rsidRPr="001C6DCE">
        <w:rPr>
          <w:rFonts w:ascii="Calibri Light" w:eastAsia="Times New Roman" w:hAnsi="Calibri Light" w:cs="Calibri Light"/>
          <w:noProof/>
          <w:sz w:val="24"/>
          <w:szCs w:val="24"/>
          <w:lang w:val="ro-MD"/>
        </w:rPr>
        <w:t>270/2018</w:t>
      </w:r>
      <w:r w:rsidR="001C6DCE" w:rsidRPr="001C6DCE">
        <w:rPr>
          <w:rStyle w:val="a5"/>
          <w:rFonts w:ascii="Calibri Light" w:eastAsia="Times New Roman" w:hAnsi="Calibri Light" w:cs="Calibri Light"/>
          <w:noProof/>
          <w:sz w:val="24"/>
          <w:szCs w:val="24"/>
          <w:lang w:val="ro-MD"/>
        </w:rPr>
        <w:footnoteReference w:id="60"/>
      </w:r>
      <w:r w:rsidR="00031B47" w:rsidRPr="001C6DCE">
        <w:rPr>
          <w:rFonts w:ascii="Calibri Light" w:eastAsia="Times New Roman" w:hAnsi="Calibri Light" w:cs="Calibri Light"/>
          <w:noProof/>
          <w:sz w:val="24"/>
          <w:szCs w:val="24"/>
          <w:lang w:val="ro-MD"/>
        </w:rPr>
        <w:t xml:space="preserve"> și </w:t>
      </w:r>
      <w:r w:rsidR="00C17541" w:rsidRPr="001C6DCE">
        <w:rPr>
          <w:rFonts w:ascii="Calibri Light" w:eastAsia="Times New Roman" w:hAnsi="Calibri Light" w:cs="Calibri Light"/>
          <w:noProof/>
          <w:sz w:val="24"/>
          <w:szCs w:val="24"/>
          <w:lang w:val="ro-MD"/>
        </w:rPr>
        <w:t xml:space="preserve">ale </w:t>
      </w:r>
      <w:r w:rsidR="00031B47" w:rsidRPr="001C6DCE">
        <w:rPr>
          <w:rFonts w:ascii="Calibri Light" w:eastAsia="Times New Roman" w:hAnsi="Calibri Light" w:cs="Calibri Light"/>
          <w:noProof/>
          <w:sz w:val="24"/>
          <w:szCs w:val="24"/>
          <w:lang w:val="ro-MD"/>
        </w:rPr>
        <w:t>pct.23 din H</w:t>
      </w:r>
      <w:r w:rsidR="00C17541" w:rsidRPr="001C6DCE">
        <w:rPr>
          <w:rFonts w:ascii="Calibri Light" w:eastAsia="Times New Roman" w:hAnsi="Calibri Light" w:cs="Calibri Light"/>
          <w:noProof/>
          <w:sz w:val="24"/>
          <w:szCs w:val="24"/>
          <w:lang w:val="ro-MD"/>
        </w:rPr>
        <w:t xml:space="preserve">otărârea </w:t>
      </w:r>
      <w:r w:rsidR="00031B47" w:rsidRPr="001C6DCE">
        <w:rPr>
          <w:rFonts w:ascii="Calibri Light" w:eastAsia="Times New Roman" w:hAnsi="Calibri Light" w:cs="Calibri Light"/>
          <w:noProof/>
          <w:sz w:val="24"/>
          <w:szCs w:val="24"/>
          <w:lang w:val="ro-MD"/>
        </w:rPr>
        <w:t>G</w:t>
      </w:r>
      <w:r w:rsidR="00C17541" w:rsidRPr="001C6DCE">
        <w:rPr>
          <w:rFonts w:ascii="Calibri Light" w:eastAsia="Times New Roman" w:hAnsi="Calibri Light" w:cs="Calibri Light"/>
          <w:noProof/>
          <w:sz w:val="24"/>
          <w:szCs w:val="24"/>
          <w:lang w:val="ro-MD"/>
        </w:rPr>
        <w:t>uvernului</w:t>
      </w:r>
      <w:r w:rsidR="00031B47" w:rsidRPr="001C6DCE">
        <w:rPr>
          <w:rFonts w:ascii="Calibri Light" w:eastAsia="Times New Roman" w:hAnsi="Calibri Light" w:cs="Calibri Light"/>
          <w:noProof/>
          <w:sz w:val="24"/>
          <w:szCs w:val="24"/>
          <w:lang w:val="ro-MD"/>
        </w:rPr>
        <w:t xml:space="preserve"> nr.1234</w:t>
      </w:r>
      <w:r w:rsidR="001C6DCE" w:rsidRPr="001C6DCE">
        <w:rPr>
          <w:rStyle w:val="a5"/>
          <w:rFonts w:ascii="Calibri Light" w:eastAsia="Times New Roman" w:hAnsi="Calibri Light" w:cs="Calibri Light"/>
          <w:noProof/>
          <w:sz w:val="24"/>
          <w:szCs w:val="24"/>
          <w:lang w:val="ro-MD"/>
        </w:rPr>
        <w:footnoteReference w:id="61"/>
      </w:r>
      <w:r w:rsidR="00031B47" w:rsidRPr="001C6DCE">
        <w:rPr>
          <w:rFonts w:ascii="Calibri Light" w:eastAsia="Times New Roman" w:hAnsi="Calibri Light" w:cs="Calibri Light"/>
          <w:noProof/>
          <w:sz w:val="24"/>
          <w:szCs w:val="24"/>
          <w:lang w:val="ro-MD"/>
        </w:rPr>
        <w:t xml:space="preserve"> din 12.12.2018</w:t>
      </w:r>
      <w:r w:rsidR="00C17541" w:rsidRPr="001C6DCE">
        <w:rPr>
          <w:rFonts w:ascii="Calibri Light" w:eastAsia="Times New Roman" w:hAnsi="Calibri Light" w:cs="Calibri Light"/>
          <w:noProof/>
          <w:sz w:val="24"/>
          <w:szCs w:val="24"/>
          <w:lang w:val="ro-MD"/>
        </w:rPr>
        <w:t>,</w:t>
      </w:r>
      <w:r w:rsidR="00031B47" w:rsidRPr="001C6DCE">
        <w:rPr>
          <w:rFonts w:ascii="Calibri Light" w:eastAsia="Times New Roman" w:hAnsi="Calibri Light" w:cs="Calibri Light"/>
          <w:noProof/>
          <w:sz w:val="24"/>
          <w:szCs w:val="24"/>
          <w:lang w:val="ro-MD"/>
        </w:rPr>
        <w:t xml:space="preserve"> </w:t>
      </w:r>
      <w:r w:rsidR="00C17541" w:rsidRPr="001C6DCE">
        <w:rPr>
          <w:rFonts w:ascii="Calibri Light" w:eastAsia="Times New Roman" w:hAnsi="Calibri Light" w:cs="Calibri Light"/>
          <w:noProof/>
          <w:sz w:val="24"/>
          <w:szCs w:val="24"/>
          <w:lang w:val="ro-MD"/>
        </w:rPr>
        <w:t xml:space="preserve">pentru angajați </w:t>
      </w:r>
      <w:r w:rsidR="00031B47" w:rsidRPr="001C6DCE">
        <w:rPr>
          <w:rFonts w:ascii="Calibri Light" w:eastAsia="Times New Roman" w:hAnsi="Calibri Light" w:cs="Calibri Light"/>
          <w:noProof/>
          <w:sz w:val="24"/>
          <w:szCs w:val="24"/>
          <w:lang w:val="ro-MD"/>
        </w:rPr>
        <w:t xml:space="preserve">s-a acordat sporul cu caracter specific </w:t>
      </w:r>
      <w:r w:rsidR="00C17541" w:rsidRPr="001C6DCE">
        <w:rPr>
          <w:rFonts w:ascii="Calibri Light" w:eastAsia="Times New Roman" w:hAnsi="Calibri Light" w:cs="Calibri Light"/>
          <w:noProof/>
          <w:sz w:val="24"/>
          <w:szCs w:val="24"/>
          <w:lang w:val="ro-MD"/>
        </w:rPr>
        <w:t>fără</w:t>
      </w:r>
      <w:r w:rsidR="00031B47" w:rsidRPr="001C6DCE">
        <w:rPr>
          <w:rFonts w:ascii="Calibri Light" w:eastAsia="Times New Roman" w:hAnsi="Calibri Light" w:cs="Calibri Light"/>
          <w:noProof/>
          <w:sz w:val="24"/>
          <w:szCs w:val="24"/>
          <w:lang w:val="ro-MD"/>
        </w:rPr>
        <w:t xml:space="preserve"> planific</w:t>
      </w:r>
      <w:r w:rsidR="00C17541" w:rsidRPr="001C6DCE">
        <w:rPr>
          <w:rFonts w:ascii="Calibri Light" w:eastAsia="Times New Roman" w:hAnsi="Calibri Light" w:cs="Calibri Light"/>
          <w:noProof/>
          <w:sz w:val="24"/>
          <w:szCs w:val="24"/>
          <w:lang w:val="ro-MD"/>
        </w:rPr>
        <w:t>area</w:t>
      </w:r>
      <w:r w:rsidR="00031B47" w:rsidRPr="001C6DCE">
        <w:rPr>
          <w:rFonts w:ascii="Calibri Light" w:eastAsia="Times New Roman" w:hAnsi="Calibri Light" w:cs="Calibri Light"/>
          <w:noProof/>
          <w:sz w:val="24"/>
          <w:szCs w:val="24"/>
          <w:lang w:val="ro-MD"/>
        </w:rPr>
        <w:t xml:space="preserve"> </w:t>
      </w:r>
      <w:r w:rsidR="00182FE9" w:rsidRPr="001C6DCE">
        <w:rPr>
          <w:rFonts w:ascii="Calibri Light" w:eastAsia="Times New Roman" w:hAnsi="Calibri Light" w:cs="Calibri Light"/>
          <w:noProof/>
          <w:sz w:val="24"/>
          <w:szCs w:val="24"/>
          <w:lang w:val="ro-MD"/>
        </w:rPr>
        <w:t>acestuia</w:t>
      </w:r>
      <w:r w:rsidR="00031B47" w:rsidRPr="001C6DCE">
        <w:rPr>
          <w:rFonts w:ascii="Calibri Light" w:eastAsia="Times New Roman" w:hAnsi="Calibri Light" w:cs="Calibri Light"/>
          <w:noProof/>
          <w:sz w:val="24"/>
          <w:szCs w:val="24"/>
          <w:lang w:val="ro-MD"/>
        </w:rPr>
        <w:t>, în lipsa actului administrativ intern al instituției</w:t>
      </w:r>
      <w:r w:rsidR="00117E32" w:rsidRPr="001C6DCE">
        <w:rPr>
          <w:rFonts w:ascii="Calibri Light" w:eastAsia="Times New Roman" w:hAnsi="Calibri Light" w:cs="Calibri Light"/>
          <w:noProof/>
          <w:sz w:val="24"/>
          <w:szCs w:val="24"/>
          <w:lang w:val="ro-MD"/>
        </w:rPr>
        <w:t xml:space="preserve"> și </w:t>
      </w:r>
      <w:r w:rsidR="00B50EEB" w:rsidRPr="001C6DCE">
        <w:rPr>
          <w:rFonts w:ascii="Calibri Light" w:eastAsia="Times New Roman" w:hAnsi="Calibri Light" w:cs="Calibri Light"/>
          <w:noProof/>
          <w:sz w:val="24"/>
          <w:szCs w:val="24"/>
          <w:lang w:val="ro-MD"/>
        </w:rPr>
        <w:t xml:space="preserve">fără </w:t>
      </w:r>
      <w:r w:rsidR="00031B47" w:rsidRPr="001C6DCE">
        <w:rPr>
          <w:rFonts w:ascii="Calibri Light" w:eastAsia="Times New Roman" w:hAnsi="Calibri Light" w:cs="Calibri Light"/>
          <w:noProof/>
          <w:sz w:val="24"/>
          <w:szCs w:val="24"/>
          <w:lang w:val="ro-MD"/>
        </w:rPr>
        <w:t>stabili</w:t>
      </w:r>
      <w:r w:rsidR="00B50EEB" w:rsidRPr="001C6DCE">
        <w:rPr>
          <w:rFonts w:ascii="Calibri Light" w:eastAsia="Times New Roman" w:hAnsi="Calibri Light" w:cs="Calibri Light"/>
          <w:noProof/>
          <w:sz w:val="24"/>
          <w:szCs w:val="24"/>
          <w:lang w:val="ro-MD"/>
        </w:rPr>
        <w:t>rea</w:t>
      </w:r>
      <w:r w:rsidR="00031B47" w:rsidRPr="001C6DCE">
        <w:rPr>
          <w:rFonts w:ascii="Calibri Light" w:eastAsia="Times New Roman" w:hAnsi="Calibri Light" w:cs="Calibri Light"/>
          <w:noProof/>
          <w:sz w:val="24"/>
          <w:szCs w:val="24"/>
          <w:lang w:val="ro-MD"/>
        </w:rPr>
        <w:t xml:space="preserve"> </w:t>
      </w:r>
      <w:r w:rsidR="00F06140" w:rsidRPr="001C6DCE">
        <w:rPr>
          <w:rFonts w:ascii="Calibri Light" w:eastAsia="Times New Roman" w:hAnsi="Calibri Light" w:cs="Calibri Light"/>
          <w:noProof/>
          <w:sz w:val="24"/>
          <w:szCs w:val="24"/>
          <w:lang w:val="ro-MD"/>
        </w:rPr>
        <w:t>mecanismul</w:t>
      </w:r>
      <w:r w:rsidR="00117E32" w:rsidRPr="001C6DCE">
        <w:rPr>
          <w:rFonts w:ascii="Calibri Light" w:eastAsia="Times New Roman" w:hAnsi="Calibri Light" w:cs="Calibri Light"/>
          <w:noProof/>
          <w:sz w:val="24"/>
          <w:szCs w:val="24"/>
          <w:lang w:val="ro-MD"/>
        </w:rPr>
        <w:t>ui</w:t>
      </w:r>
      <w:r w:rsidR="00F06140" w:rsidRPr="001C6DCE">
        <w:rPr>
          <w:rFonts w:ascii="Calibri Light" w:eastAsia="Times New Roman" w:hAnsi="Calibri Light" w:cs="Calibri Light"/>
          <w:noProof/>
          <w:sz w:val="24"/>
          <w:szCs w:val="24"/>
          <w:lang w:val="ro-MD"/>
        </w:rPr>
        <w:t xml:space="preserve"> </w:t>
      </w:r>
      <w:r w:rsidR="00031B47" w:rsidRPr="001C6DCE">
        <w:rPr>
          <w:rFonts w:ascii="Calibri Light" w:eastAsia="Times New Roman" w:hAnsi="Calibri Light" w:cs="Calibri Light"/>
          <w:noProof/>
          <w:sz w:val="24"/>
          <w:szCs w:val="24"/>
          <w:lang w:val="ro-MD"/>
        </w:rPr>
        <w:t>de acordare</w:t>
      </w:r>
      <w:r w:rsidR="00C17541" w:rsidRPr="001C6DCE">
        <w:rPr>
          <w:rFonts w:ascii="Calibri Light" w:eastAsia="Times New Roman" w:hAnsi="Calibri Light" w:cs="Calibri Light"/>
          <w:noProof/>
          <w:sz w:val="24"/>
          <w:szCs w:val="24"/>
          <w:lang w:val="ro-MD"/>
        </w:rPr>
        <w:t>,</w:t>
      </w:r>
      <w:r w:rsidR="00031B47" w:rsidRPr="001C6DCE">
        <w:rPr>
          <w:rFonts w:ascii="Calibri Light" w:eastAsia="Times New Roman" w:hAnsi="Calibri Light" w:cs="Calibri Light"/>
          <w:noProof/>
          <w:sz w:val="24"/>
          <w:szCs w:val="24"/>
          <w:lang w:val="ro-MD"/>
        </w:rPr>
        <w:t xml:space="preserve"> </w:t>
      </w:r>
      <w:r w:rsidR="00117E32" w:rsidRPr="001C6DCE">
        <w:rPr>
          <w:rFonts w:ascii="Calibri Light" w:eastAsia="Times New Roman" w:hAnsi="Calibri Light" w:cs="Calibri Light"/>
          <w:noProof/>
          <w:sz w:val="24"/>
          <w:szCs w:val="24"/>
          <w:lang w:val="ro-MD"/>
        </w:rPr>
        <w:t xml:space="preserve">precum </w:t>
      </w:r>
      <w:r w:rsidR="00031B47" w:rsidRPr="001C6DCE">
        <w:rPr>
          <w:rFonts w:ascii="Calibri Light" w:eastAsia="Times New Roman" w:hAnsi="Calibri Light" w:cs="Calibri Light"/>
          <w:noProof/>
          <w:sz w:val="24"/>
          <w:szCs w:val="24"/>
          <w:lang w:val="ro-MD"/>
        </w:rPr>
        <w:t xml:space="preserve">și </w:t>
      </w:r>
      <w:r w:rsidR="00117E32" w:rsidRPr="001C6DCE">
        <w:rPr>
          <w:rFonts w:ascii="Calibri Light" w:eastAsia="Times New Roman" w:hAnsi="Calibri Light" w:cs="Calibri Light"/>
          <w:noProof/>
          <w:sz w:val="24"/>
          <w:szCs w:val="24"/>
          <w:lang w:val="ro-MD"/>
        </w:rPr>
        <w:t>în lipsa</w:t>
      </w:r>
      <w:r w:rsidR="00721AC1">
        <w:rPr>
          <w:rFonts w:ascii="Calibri Light" w:eastAsia="Times New Roman" w:hAnsi="Calibri Light" w:cs="Calibri Light"/>
          <w:noProof/>
          <w:sz w:val="24"/>
          <w:szCs w:val="24"/>
          <w:lang w:val="ro-MD"/>
        </w:rPr>
        <w:t xml:space="preserve"> </w:t>
      </w:r>
      <w:r w:rsidR="00031B47" w:rsidRPr="001C6DCE">
        <w:rPr>
          <w:rFonts w:ascii="Calibri Light" w:eastAsia="Times New Roman" w:hAnsi="Calibri Light" w:cs="Calibri Light"/>
          <w:noProof/>
          <w:sz w:val="24"/>
          <w:szCs w:val="24"/>
          <w:lang w:val="ro-MD"/>
        </w:rPr>
        <w:t xml:space="preserve">Ordinului de acordare a sporului, </w:t>
      </w:r>
      <w:r w:rsidR="00C17541" w:rsidRPr="001C6DCE">
        <w:rPr>
          <w:rFonts w:ascii="Calibri Light" w:eastAsia="Times New Roman" w:hAnsi="Calibri Light" w:cs="Calibri Light"/>
          <w:noProof/>
          <w:sz w:val="24"/>
          <w:szCs w:val="24"/>
          <w:lang w:val="ro-MD"/>
        </w:rPr>
        <w:t xml:space="preserve">fiind </w:t>
      </w:r>
      <w:r w:rsidR="00031B47" w:rsidRPr="001C6DCE">
        <w:rPr>
          <w:rFonts w:ascii="Calibri Light" w:eastAsia="Times New Roman" w:hAnsi="Calibri Light" w:cs="Calibri Light"/>
          <w:noProof/>
          <w:sz w:val="24"/>
          <w:szCs w:val="24"/>
          <w:lang w:val="ro-MD"/>
        </w:rPr>
        <w:t>suport</w:t>
      </w:r>
      <w:r w:rsidR="00C17541" w:rsidRPr="001C6DCE">
        <w:rPr>
          <w:rFonts w:ascii="Calibri Light" w:eastAsia="Times New Roman" w:hAnsi="Calibri Light" w:cs="Calibri Light"/>
          <w:noProof/>
          <w:sz w:val="24"/>
          <w:szCs w:val="24"/>
          <w:lang w:val="ro-MD"/>
        </w:rPr>
        <w:t>ate</w:t>
      </w:r>
      <w:r w:rsidR="00031B47" w:rsidRPr="001C6DCE">
        <w:rPr>
          <w:rFonts w:ascii="Calibri Light" w:eastAsia="Times New Roman" w:hAnsi="Calibri Light" w:cs="Calibri Light"/>
          <w:noProof/>
          <w:sz w:val="24"/>
          <w:szCs w:val="24"/>
          <w:lang w:val="ro-MD"/>
        </w:rPr>
        <w:t xml:space="preserve"> cheltuieli neregulamentare în </w:t>
      </w:r>
      <w:r w:rsidR="00C17541" w:rsidRPr="001C6DCE">
        <w:rPr>
          <w:rFonts w:ascii="Calibri Light" w:eastAsia="Times New Roman" w:hAnsi="Calibri Light" w:cs="Calibri Light"/>
          <w:noProof/>
          <w:sz w:val="24"/>
          <w:szCs w:val="24"/>
          <w:lang w:val="ro-MD"/>
        </w:rPr>
        <w:t>sumă</w:t>
      </w:r>
      <w:r w:rsidR="00031B47" w:rsidRPr="001C6DCE">
        <w:rPr>
          <w:rFonts w:ascii="Calibri Light" w:eastAsia="Times New Roman" w:hAnsi="Calibri Light" w:cs="Calibri Light"/>
          <w:noProof/>
          <w:sz w:val="24"/>
          <w:szCs w:val="24"/>
          <w:lang w:val="ro-MD"/>
        </w:rPr>
        <w:t xml:space="preserve"> de </w:t>
      </w:r>
      <w:r w:rsidR="00775A3A" w:rsidRPr="001C6DCE">
        <w:rPr>
          <w:rFonts w:ascii="Calibri Light" w:eastAsia="Times New Roman" w:hAnsi="Calibri Light" w:cs="Calibri Light"/>
          <w:noProof/>
          <w:sz w:val="24"/>
          <w:szCs w:val="24"/>
          <w:lang w:val="ro-MD"/>
        </w:rPr>
        <w:t>6,39 mii lei</w:t>
      </w:r>
      <w:r w:rsidR="000367B2" w:rsidRPr="001C6DCE">
        <w:rPr>
          <w:rFonts w:ascii="Calibri Light" w:eastAsia="Times New Roman" w:hAnsi="Calibri Light" w:cs="Calibri Light"/>
          <w:noProof/>
          <w:sz w:val="24"/>
          <w:szCs w:val="24"/>
          <w:lang w:val="ro-MD"/>
        </w:rPr>
        <w:t>;</w:t>
      </w:r>
      <w:r w:rsidR="00031B47" w:rsidRPr="001C6DCE">
        <w:rPr>
          <w:rFonts w:ascii="Calibri Light" w:eastAsia="Times New Roman" w:hAnsi="Calibri Light" w:cs="Calibri Light"/>
          <w:noProof/>
          <w:sz w:val="24"/>
          <w:szCs w:val="24"/>
          <w:lang w:val="ro-MD"/>
        </w:rPr>
        <w:t xml:space="preserve"> </w:t>
      </w:r>
      <w:r w:rsidR="00031B47" w:rsidRPr="001C6DCE">
        <w:rPr>
          <w:rFonts w:ascii="Calibri Light" w:eastAsia="Times New Roman" w:hAnsi="Calibri Light" w:cs="Calibri Light"/>
          <w:b/>
          <w:bCs/>
          <w:noProof/>
          <w:sz w:val="24"/>
          <w:szCs w:val="24"/>
          <w:lang w:val="ro-MD"/>
        </w:rPr>
        <w:t>7)</w:t>
      </w:r>
      <w:r w:rsidR="00031B47" w:rsidRPr="001C6DCE">
        <w:rPr>
          <w:rFonts w:ascii="Calibri Light" w:eastAsia="Times New Roman" w:hAnsi="Calibri Light" w:cs="Calibri Light"/>
          <w:noProof/>
          <w:sz w:val="24"/>
          <w:szCs w:val="24"/>
          <w:lang w:val="ro-MD"/>
        </w:rPr>
        <w:t xml:space="preserve"> Acordarea sporului pentru cumularea unei funcții s-a efectuat în lipsa deciziilor conducătorului (2 angajați), </w:t>
      </w:r>
      <w:r w:rsidR="00C17541" w:rsidRPr="001C6DCE">
        <w:rPr>
          <w:rFonts w:ascii="Calibri Light" w:eastAsia="Times New Roman" w:hAnsi="Calibri Light" w:cs="Calibri Light"/>
          <w:noProof/>
          <w:sz w:val="24"/>
          <w:szCs w:val="24"/>
          <w:lang w:val="ro-MD"/>
        </w:rPr>
        <w:t>fiind</w:t>
      </w:r>
      <w:r w:rsidR="00031B47" w:rsidRPr="001C6DCE">
        <w:rPr>
          <w:rFonts w:ascii="Calibri Light" w:eastAsia="Times New Roman" w:hAnsi="Calibri Light" w:cs="Calibri Light"/>
          <w:noProof/>
          <w:sz w:val="24"/>
          <w:szCs w:val="24"/>
          <w:lang w:val="ro-MD"/>
        </w:rPr>
        <w:t xml:space="preserve"> suportate cheltuieli în</w:t>
      </w:r>
      <w:r w:rsidR="00C17541" w:rsidRPr="001C6DCE">
        <w:rPr>
          <w:rFonts w:ascii="Calibri Light" w:eastAsia="Times New Roman" w:hAnsi="Calibri Light" w:cs="Calibri Light"/>
          <w:noProof/>
          <w:sz w:val="24"/>
          <w:szCs w:val="24"/>
          <w:lang w:val="ro-MD"/>
        </w:rPr>
        <w:t xml:space="preserve"> sumă</w:t>
      </w:r>
      <w:r w:rsidR="00031B47" w:rsidRPr="001C6DCE">
        <w:rPr>
          <w:rFonts w:ascii="Calibri Light" w:eastAsia="Times New Roman" w:hAnsi="Calibri Light" w:cs="Calibri Light"/>
          <w:noProof/>
          <w:sz w:val="24"/>
          <w:szCs w:val="24"/>
          <w:lang w:val="ro-MD"/>
        </w:rPr>
        <w:t xml:space="preserve"> de </w:t>
      </w:r>
      <w:r w:rsidR="003C57FF" w:rsidRPr="001C6DCE">
        <w:rPr>
          <w:rFonts w:ascii="Calibri Light" w:eastAsia="Times New Roman" w:hAnsi="Calibri Light" w:cs="Calibri Light"/>
          <w:noProof/>
          <w:sz w:val="24"/>
          <w:szCs w:val="24"/>
          <w:lang w:val="ro-MD"/>
        </w:rPr>
        <w:t>107,07 mii lei</w:t>
      </w:r>
      <w:r w:rsidR="000367B2" w:rsidRPr="001C6DCE">
        <w:rPr>
          <w:rFonts w:ascii="Calibri Light" w:eastAsia="Times New Roman" w:hAnsi="Calibri Light" w:cs="Calibri Light"/>
          <w:noProof/>
          <w:sz w:val="24"/>
          <w:szCs w:val="24"/>
          <w:lang w:val="ro-MD"/>
        </w:rPr>
        <w:t>;</w:t>
      </w:r>
      <w:r w:rsidR="00031B47" w:rsidRPr="001C6DCE">
        <w:rPr>
          <w:rFonts w:ascii="Calibri Light" w:eastAsia="Times New Roman" w:hAnsi="Calibri Light" w:cs="Calibri Light"/>
          <w:noProof/>
          <w:sz w:val="24"/>
          <w:szCs w:val="24"/>
          <w:lang w:val="ro-MD"/>
        </w:rPr>
        <w:t xml:space="preserve"> </w:t>
      </w:r>
      <w:r w:rsidR="00031B47" w:rsidRPr="001C6DCE">
        <w:rPr>
          <w:rFonts w:ascii="Calibri Light" w:eastAsia="Times New Roman" w:hAnsi="Calibri Light" w:cs="Calibri Light"/>
          <w:b/>
          <w:bCs/>
          <w:noProof/>
          <w:sz w:val="24"/>
          <w:szCs w:val="24"/>
          <w:lang w:val="ro-MD"/>
        </w:rPr>
        <w:t>8)</w:t>
      </w:r>
      <w:r w:rsidR="00031B47" w:rsidRPr="001C6DCE">
        <w:rPr>
          <w:rFonts w:ascii="Calibri Light" w:eastAsia="Times New Roman" w:hAnsi="Calibri Light" w:cs="Calibri Light"/>
          <w:noProof/>
          <w:sz w:val="24"/>
          <w:szCs w:val="24"/>
          <w:lang w:val="ro-MD"/>
        </w:rPr>
        <w:t xml:space="preserve"> </w:t>
      </w:r>
      <w:r w:rsidR="003C1DC0" w:rsidRPr="001C6DCE">
        <w:rPr>
          <w:rFonts w:ascii="Calibri Light" w:eastAsia="Times New Roman" w:hAnsi="Calibri Light" w:cs="Calibri Light"/>
          <w:noProof/>
          <w:sz w:val="24"/>
          <w:szCs w:val="24"/>
          <w:lang w:val="ro-MD"/>
        </w:rPr>
        <w:t>L</w:t>
      </w:r>
      <w:r w:rsidR="00F06140" w:rsidRPr="001C6DCE">
        <w:rPr>
          <w:rFonts w:ascii="Calibri Light" w:eastAsia="Times New Roman" w:hAnsi="Calibri Light" w:cs="Calibri Light"/>
          <w:noProof/>
          <w:sz w:val="24"/>
          <w:szCs w:val="24"/>
          <w:lang w:val="ro-MD"/>
        </w:rPr>
        <w:t xml:space="preserve">a </w:t>
      </w:r>
      <w:r w:rsidR="003C57FF" w:rsidRPr="001C6DCE">
        <w:rPr>
          <w:rFonts w:ascii="Calibri Light" w:eastAsia="Times New Roman" w:hAnsi="Calibri Light" w:cs="Calibri Light"/>
          <w:noProof/>
          <w:sz w:val="24"/>
          <w:szCs w:val="24"/>
          <w:lang w:val="ro-MD"/>
        </w:rPr>
        <w:t xml:space="preserve">IP </w:t>
      </w:r>
      <w:r w:rsidR="00031B47" w:rsidRPr="001C6DCE">
        <w:rPr>
          <w:rFonts w:ascii="Calibri Light" w:eastAsia="Times New Roman" w:hAnsi="Calibri Light" w:cs="Calibri Light"/>
          <w:noProof/>
          <w:sz w:val="24"/>
          <w:szCs w:val="24"/>
          <w:lang w:val="ro-MD"/>
        </w:rPr>
        <w:t>CNC nu a fost asigurat</w:t>
      </w:r>
      <w:r w:rsidR="00F06140" w:rsidRPr="001C6DCE">
        <w:rPr>
          <w:rFonts w:ascii="Calibri Light" w:eastAsia="Times New Roman" w:hAnsi="Calibri Light" w:cs="Calibri Light"/>
          <w:noProof/>
          <w:sz w:val="24"/>
          <w:szCs w:val="24"/>
          <w:lang w:val="ro-MD"/>
        </w:rPr>
        <w:t>ă</w:t>
      </w:r>
      <w:r w:rsidR="00031B47" w:rsidRPr="001C6DCE">
        <w:rPr>
          <w:rFonts w:ascii="Calibri Light" w:eastAsia="Times New Roman" w:hAnsi="Calibri Light" w:cs="Calibri Light"/>
          <w:noProof/>
          <w:sz w:val="24"/>
          <w:szCs w:val="24"/>
          <w:lang w:val="ro-MD"/>
        </w:rPr>
        <w:t xml:space="preserve"> planificarea și acordarea pentru anul 2022 a premiului anual angajaților instituției. De asemenea, nerespectând principiul egalității și echității, conducerea entității nu a asigurat acordarea premiilor unice de sărbători conform unor criterii unice, nefiind stabilit </w:t>
      </w:r>
      <w:r w:rsidR="00F06140" w:rsidRPr="001C6DCE">
        <w:rPr>
          <w:rFonts w:ascii="Calibri Light" w:eastAsia="Times New Roman" w:hAnsi="Calibri Light" w:cs="Calibri Light"/>
          <w:noProof/>
          <w:sz w:val="24"/>
          <w:szCs w:val="24"/>
          <w:lang w:val="ro-MD"/>
        </w:rPr>
        <w:t xml:space="preserve">mecanismul </w:t>
      </w:r>
      <w:r w:rsidR="00031B47" w:rsidRPr="001C6DCE">
        <w:rPr>
          <w:rFonts w:ascii="Calibri Light" w:eastAsia="Times New Roman" w:hAnsi="Calibri Light" w:cs="Calibri Light"/>
          <w:noProof/>
          <w:sz w:val="24"/>
          <w:szCs w:val="24"/>
          <w:lang w:val="ro-MD"/>
        </w:rPr>
        <w:t>de acordare unic pentru toți angajații (% din salariul de bază sau mărime fix</w:t>
      </w:r>
      <w:r w:rsidR="00E7777F" w:rsidRPr="001C6DCE">
        <w:rPr>
          <w:rFonts w:ascii="Calibri Light" w:eastAsia="Times New Roman" w:hAnsi="Calibri Light" w:cs="Calibri Light"/>
          <w:noProof/>
          <w:sz w:val="24"/>
          <w:szCs w:val="24"/>
          <w:lang w:val="ro-MD"/>
        </w:rPr>
        <w:t>ă</w:t>
      </w:r>
      <w:r w:rsidR="00031B47" w:rsidRPr="001C6DCE">
        <w:rPr>
          <w:rFonts w:ascii="Calibri Light" w:eastAsia="Times New Roman" w:hAnsi="Calibri Light" w:cs="Calibri Light"/>
          <w:noProof/>
          <w:sz w:val="24"/>
          <w:szCs w:val="24"/>
          <w:lang w:val="ro-MD"/>
        </w:rPr>
        <w:t xml:space="preserve"> stabilită), c</w:t>
      </w:r>
      <w:r w:rsidR="00E7777F" w:rsidRPr="001C6DCE">
        <w:rPr>
          <w:rFonts w:ascii="Calibri Light" w:eastAsia="Times New Roman" w:hAnsi="Calibri Light" w:cs="Calibri Light"/>
          <w:noProof/>
          <w:sz w:val="24"/>
          <w:szCs w:val="24"/>
          <w:lang w:val="ro-MD"/>
        </w:rPr>
        <w:t>ar</w:t>
      </w:r>
      <w:r w:rsidR="00031B47" w:rsidRPr="001C6DCE">
        <w:rPr>
          <w:rFonts w:ascii="Calibri Light" w:eastAsia="Times New Roman" w:hAnsi="Calibri Light" w:cs="Calibri Light"/>
          <w:noProof/>
          <w:sz w:val="24"/>
          <w:szCs w:val="24"/>
          <w:lang w:val="ro-MD"/>
        </w:rPr>
        <w:t>e pentru cadre</w:t>
      </w:r>
      <w:r w:rsidR="00E7777F" w:rsidRPr="001C6DCE">
        <w:rPr>
          <w:rFonts w:ascii="Calibri Light" w:eastAsia="Times New Roman" w:hAnsi="Calibri Light" w:cs="Calibri Light"/>
          <w:noProof/>
          <w:sz w:val="24"/>
          <w:szCs w:val="24"/>
          <w:lang w:val="ro-MD"/>
        </w:rPr>
        <w:t>le</w:t>
      </w:r>
      <w:r w:rsidR="00031B47" w:rsidRPr="001C6DCE">
        <w:rPr>
          <w:rFonts w:ascii="Calibri Light" w:eastAsia="Times New Roman" w:hAnsi="Calibri Light" w:cs="Calibri Light"/>
          <w:noProof/>
          <w:sz w:val="24"/>
          <w:szCs w:val="24"/>
          <w:lang w:val="ro-MD"/>
        </w:rPr>
        <w:t xml:space="preserve"> didactice </w:t>
      </w:r>
      <w:r w:rsidR="00E7777F" w:rsidRPr="001C6DCE">
        <w:rPr>
          <w:rFonts w:ascii="Calibri Light" w:eastAsia="Times New Roman" w:hAnsi="Calibri Light" w:cs="Calibri Light"/>
          <w:noProof/>
          <w:sz w:val="24"/>
          <w:szCs w:val="24"/>
          <w:lang w:val="ro-MD"/>
        </w:rPr>
        <w:t xml:space="preserve">variază </w:t>
      </w:r>
      <w:r w:rsidR="00031B47" w:rsidRPr="001C6DCE">
        <w:rPr>
          <w:rFonts w:ascii="Calibri Light" w:eastAsia="Times New Roman" w:hAnsi="Calibri Light" w:cs="Calibri Light"/>
          <w:noProof/>
          <w:sz w:val="24"/>
          <w:szCs w:val="24"/>
          <w:lang w:val="ro-MD"/>
        </w:rPr>
        <w:t>de la 200</w:t>
      </w:r>
      <w:r w:rsidR="00E7777F" w:rsidRPr="001C6DCE">
        <w:rPr>
          <w:rFonts w:ascii="Calibri Light" w:eastAsia="Times New Roman" w:hAnsi="Calibri Light" w:cs="Calibri Light"/>
          <w:noProof/>
          <w:sz w:val="24"/>
          <w:szCs w:val="24"/>
          <w:lang w:val="ro-MD"/>
        </w:rPr>
        <w:t xml:space="preserve"> lei</w:t>
      </w:r>
      <w:r w:rsidR="00031B47" w:rsidRPr="001C6DCE">
        <w:rPr>
          <w:rFonts w:ascii="Calibri Light" w:eastAsia="Times New Roman" w:hAnsi="Calibri Light" w:cs="Calibri Light"/>
          <w:noProof/>
          <w:sz w:val="24"/>
          <w:szCs w:val="24"/>
          <w:lang w:val="ro-MD"/>
        </w:rPr>
        <w:t xml:space="preserve"> p</w:t>
      </w:r>
      <w:r w:rsidR="003C57FF" w:rsidRPr="001C6DCE">
        <w:rPr>
          <w:rFonts w:ascii="Calibri Light" w:eastAsia="Times New Roman" w:hAnsi="Calibri Light" w:cs="Calibri Light"/>
          <w:noProof/>
          <w:sz w:val="24"/>
          <w:szCs w:val="24"/>
          <w:lang w:val="ro-MD"/>
        </w:rPr>
        <w:t>â</w:t>
      </w:r>
      <w:r w:rsidR="00031B47" w:rsidRPr="001C6DCE">
        <w:rPr>
          <w:rFonts w:ascii="Calibri Light" w:eastAsia="Times New Roman" w:hAnsi="Calibri Light" w:cs="Calibri Light"/>
          <w:noProof/>
          <w:sz w:val="24"/>
          <w:szCs w:val="24"/>
          <w:lang w:val="ro-MD"/>
        </w:rPr>
        <w:t>nă la 4000 lei</w:t>
      </w:r>
      <w:r w:rsidR="00E7777F" w:rsidRPr="001C6DCE">
        <w:rPr>
          <w:rFonts w:ascii="Calibri Light" w:eastAsia="Times New Roman" w:hAnsi="Calibri Light" w:cs="Calibri Light"/>
          <w:noProof/>
          <w:sz w:val="24"/>
          <w:szCs w:val="24"/>
          <w:lang w:val="ro-MD"/>
        </w:rPr>
        <w:t>,</w:t>
      </w:r>
      <w:r w:rsidR="00031B47" w:rsidRPr="001C6DCE">
        <w:rPr>
          <w:rFonts w:ascii="Calibri Light" w:eastAsia="Times New Roman" w:hAnsi="Calibri Light" w:cs="Calibri Light"/>
          <w:noProof/>
          <w:sz w:val="24"/>
          <w:szCs w:val="24"/>
          <w:lang w:val="ro-MD"/>
        </w:rPr>
        <w:t xml:space="preserve"> </w:t>
      </w:r>
      <w:r w:rsidR="00E7777F" w:rsidRPr="001C6DCE">
        <w:rPr>
          <w:rFonts w:ascii="Calibri Light" w:eastAsia="Times New Roman" w:hAnsi="Calibri Light" w:cs="Calibri Light"/>
          <w:noProof/>
          <w:sz w:val="24"/>
          <w:szCs w:val="24"/>
          <w:lang w:val="ro-MD"/>
        </w:rPr>
        <w:t>iar</w:t>
      </w:r>
      <w:r w:rsidR="00031B47" w:rsidRPr="001C6DCE">
        <w:rPr>
          <w:rFonts w:ascii="Calibri Light" w:eastAsia="Times New Roman" w:hAnsi="Calibri Light" w:cs="Calibri Light"/>
          <w:noProof/>
          <w:sz w:val="24"/>
          <w:szCs w:val="24"/>
          <w:lang w:val="ro-MD"/>
        </w:rPr>
        <w:t xml:space="preserve"> pentru personalul nedidactic și auxiliar </w:t>
      </w:r>
      <w:r w:rsidR="00E7777F" w:rsidRPr="001C6DCE">
        <w:rPr>
          <w:rFonts w:ascii="Calibri Light" w:eastAsia="Times New Roman" w:hAnsi="Calibri Light" w:cs="Calibri Light"/>
          <w:noProof/>
          <w:sz w:val="24"/>
          <w:szCs w:val="24"/>
          <w:lang w:val="ro-MD"/>
        </w:rPr>
        <w:t xml:space="preserve">- </w:t>
      </w:r>
      <w:r w:rsidR="00031B47" w:rsidRPr="001C6DCE">
        <w:rPr>
          <w:rFonts w:ascii="Calibri Light" w:eastAsia="Times New Roman" w:hAnsi="Calibri Light" w:cs="Calibri Light"/>
          <w:noProof/>
          <w:sz w:val="24"/>
          <w:szCs w:val="24"/>
          <w:lang w:val="ro-MD"/>
        </w:rPr>
        <w:t>de la 400 lei până la 7500</w:t>
      </w:r>
      <w:r w:rsidR="003C57FF" w:rsidRPr="001C6DCE">
        <w:rPr>
          <w:rFonts w:ascii="Calibri Light" w:eastAsia="Times New Roman" w:hAnsi="Calibri Light" w:cs="Calibri Light"/>
          <w:noProof/>
          <w:sz w:val="24"/>
          <w:szCs w:val="24"/>
          <w:lang w:val="ro-MD"/>
        </w:rPr>
        <w:t xml:space="preserve"> lei</w:t>
      </w:r>
      <w:r w:rsidR="000367B2" w:rsidRPr="001C6DCE">
        <w:rPr>
          <w:rFonts w:ascii="Calibri Light" w:eastAsia="Times New Roman" w:hAnsi="Calibri Light" w:cs="Calibri Light"/>
          <w:noProof/>
          <w:sz w:val="24"/>
          <w:szCs w:val="24"/>
          <w:lang w:val="ro-MD"/>
        </w:rPr>
        <w:t>;</w:t>
      </w:r>
      <w:r w:rsidR="00031B47" w:rsidRPr="001C6DCE">
        <w:rPr>
          <w:rFonts w:ascii="Calibri Light" w:eastAsia="Times New Roman" w:hAnsi="Calibri Light" w:cs="Calibri Light"/>
          <w:noProof/>
          <w:sz w:val="24"/>
          <w:szCs w:val="24"/>
          <w:lang w:val="ro-MD"/>
        </w:rPr>
        <w:t xml:space="preserve"> </w:t>
      </w:r>
      <w:r w:rsidR="00031B47" w:rsidRPr="001C6DCE">
        <w:rPr>
          <w:rFonts w:ascii="Calibri Light" w:eastAsia="Times New Roman" w:hAnsi="Calibri Light" w:cs="Calibri Light"/>
          <w:b/>
          <w:bCs/>
          <w:noProof/>
          <w:sz w:val="24"/>
          <w:szCs w:val="24"/>
          <w:lang w:val="ro-MD"/>
        </w:rPr>
        <w:t>9)</w:t>
      </w:r>
      <w:r w:rsidR="00031B47" w:rsidRPr="001C6DCE">
        <w:rPr>
          <w:rFonts w:ascii="Calibri Light" w:eastAsia="Times New Roman" w:hAnsi="Calibri Light" w:cs="Calibri Light"/>
          <w:noProof/>
          <w:sz w:val="24"/>
          <w:szCs w:val="24"/>
          <w:lang w:val="ro-MD"/>
        </w:rPr>
        <w:t xml:space="preserve"> </w:t>
      </w:r>
      <w:r w:rsidR="00282186" w:rsidRPr="001C6DCE">
        <w:rPr>
          <w:rFonts w:ascii="Calibri Light" w:eastAsia="Times New Roman" w:hAnsi="Calibri Light" w:cs="Calibri Light"/>
          <w:noProof/>
          <w:sz w:val="24"/>
          <w:szCs w:val="24"/>
          <w:lang w:val="ro-MD"/>
        </w:rPr>
        <w:t>În contradicție cu</w:t>
      </w:r>
      <w:r w:rsidR="00031B47" w:rsidRPr="001C6DCE">
        <w:rPr>
          <w:rFonts w:ascii="Calibri Light" w:eastAsia="Times New Roman" w:hAnsi="Calibri Light" w:cs="Calibri Light"/>
          <w:noProof/>
          <w:sz w:val="24"/>
          <w:szCs w:val="24"/>
          <w:lang w:val="ro-MD"/>
        </w:rPr>
        <w:t xml:space="preserve"> prevederil</w:t>
      </w:r>
      <w:r w:rsidR="00E7777F" w:rsidRPr="001C6DCE">
        <w:rPr>
          <w:rFonts w:ascii="Calibri Light" w:eastAsia="Times New Roman" w:hAnsi="Calibri Light" w:cs="Calibri Light"/>
          <w:noProof/>
          <w:sz w:val="24"/>
          <w:szCs w:val="24"/>
          <w:lang w:val="ro-MD"/>
        </w:rPr>
        <w:t>e</w:t>
      </w:r>
      <w:r w:rsidR="00031B47" w:rsidRPr="001C6DCE">
        <w:rPr>
          <w:rFonts w:ascii="Calibri Light" w:eastAsia="Times New Roman" w:hAnsi="Calibri Light" w:cs="Calibri Light"/>
          <w:noProof/>
          <w:sz w:val="24"/>
          <w:szCs w:val="24"/>
          <w:lang w:val="ro-MD"/>
        </w:rPr>
        <w:t xml:space="preserve"> pct</w:t>
      </w:r>
      <w:r w:rsidR="00E7777F" w:rsidRPr="001C6DCE">
        <w:rPr>
          <w:rFonts w:ascii="Calibri Light" w:eastAsia="Times New Roman" w:hAnsi="Calibri Light" w:cs="Calibri Light"/>
          <w:noProof/>
          <w:sz w:val="24"/>
          <w:szCs w:val="24"/>
          <w:lang w:val="ro-MD"/>
        </w:rPr>
        <w:t>.</w:t>
      </w:r>
      <w:r w:rsidR="00031B47" w:rsidRPr="001C6DCE">
        <w:rPr>
          <w:rFonts w:ascii="Calibri Light" w:eastAsia="Times New Roman" w:hAnsi="Calibri Light" w:cs="Calibri Light"/>
          <w:noProof/>
          <w:sz w:val="24"/>
          <w:szCs w:val="24"/>
          <w:lang w:val="ro-MD"/>
        </w:rPr>
        <w:t xml:space="preserve"> 24</w:t>
      </w:r>
      <w:r w:rsidR="00031B47" w:rsidRPr="001C6DCE">
        <w:rPr>
          <w:rFonts w:ascii="Calibri Light" w:eastAsia="Times New Roman" w:hAnsi="Calibri Light" w:cs="Calibri Light"/>
          <w:noProof/>
          <w:sz w:val="24"/>
          <w:szCs w:val="24"/>
          <w:vertAlign w:val="superscript"/>
          <w:lang w:val="ro-MD"/>
        </w:rPr>
        <w:t>1</w:t>
      </w:r>
      <w:r w:rsidR="00031B47" w:rsidRPr="001C6DCE">
        <w:rPr>
          <w:rFonts w:ascii="Calibri Light" w:eastAsia="Times New Roman" w:hAnsi="Calibri Light" w:cs="Calibri Light"/>
          <w:noProof/>
          <w:sz w:val="24"/>
          <w:szCs w:val="24"/>
          <w:lang w:val="ro-MD"/>
        </w:rPr>
        <w:t xml:space="preserve"> din H</w:t>
      </w:r>
      <w:r w:rsidR="00E7777F" w:rsidRPr="001C6DCE">
        <w:rPr>
          <w:rFonts w:ascii="Calibri Light" w:eastAsia="Times New Roman" w:hAnsi="Calibri Light" w:cs="Calibri Light"/>
          <w:noProof/>
          <w:sz w:val="24"/>
          <w:szCs w:val="24"/>
          <w:lang w:val="ro-MD"/>
        </w:rPr>
        <w:t xml:space="preserve">otărârea </w:t>
      </w:r>
      <w:r w:rsidR="00031B47" w:rsidRPr="001C6DCE">
        <w:rPr>
          <w:rFonts w:ascii="Calibri Light" w:eastAsia="Times New Roman" w:hAnsi="Calibri Light" w:cs="Calibri Light"/>
          <w:noProof/>
          <w:sz w:val="24"/>
          <w:szCs w:val="24"/>
          <w:lang w:val="ro-MD"/>
        </w:rPr>
        <w:t>G</w:t>
      </w:r>
      <w:r w:rsidR="00E7777F" w:rsidRPr="001C6DCE">
        <w:rPr>
          <w:rFonts w:ascii="Calibri Light" w:eastAsia="Times New Roman" w:hAnsi="Calibri Light" w:cs="Calibri Light"/>
          <w:noProof/>
          <w:sz w:val="24"/>
          <w:szCs w:val="24"/>
          <w:lang w:val="ro-MD"/>
        </w:rPr>
        <w:t>uvernului</w:t>
      </w:r>
      <w:r w:rsidR="00721AC1">
        <w:rPr>
          <w:rFonts w:ascii="Calibri Light" w:eastAsia="Times New Roman" w:hAnsi="Calibri Light" w:cs="Calibri Light"/>
          <w:noProof/>
          <w:sz w:val="24"/>
          <w:szCs w:val="24"/>
          <w:lang w:val="ro-MD"/>
        </w:rPr>
        <w:t xml:space="preserve"> </w:t>
      </w:r>
      <w:r w:rsidR="00031B47" w:rsidRPr="001C6DCE">
        <w:rPr>
          <w:rFonts w:ascii="Calibri Light" w:eastAsia="Times New Roman" w:hAnsi="Calibri Light" w:cs="Calibri Light"/>
          <w:noProof/>
          <w:sz w:val="24"/>
          <w:szCs w:val="24"/>
          <w:lang w:val="ro-MD"/>
        </w:rPr>
        <w:t xml:space="preserve">nr.1234/2018, directorului instituției i s-a acordat premiu unic în lipsa ordinului/deciziei organului ierarhic superior (MEC), </w:t>
      </w:r>
      <w:r w:rsidR="00282186" w:rsidRPr="001C6DCE">
        <w:rPr>
          <w:rFonts w:ascii="Calibri Light" w:eastAsia="Times New Roman" w:hAnsi="Calibri Light" w:cs="Calibri Light"/>
          <w:noProof/>
          <w:sz w:val="24"/>
          <w:szCs w:val="24"/>
          <w:lang w:val="ro-MD"/>
        </w:rPr>
        <w:t xml:space="preserve">astfel fiind </w:t>
      </w:r>
      <w:r w:rsidR="00031B47" w:rsidRPr="001C6DCE">
        <w:rPr>
          <w:rFonts w:ascii="Calibri Light" w:eastAsia="Times New Roman" w:hAnsi="Calibri Light" w:cs="Calibri Light"/>
          <w:noProof/>
          <w:sz w:val="24"/>
          <w:szCs w:val="24"/>
          <w:lang w:val="ro-MD"/>
        </w:rPr>
        <w:t>suport</w:t>
      </w:r>
      <w:r w:rsidR="00282186" w:rsidRPr="001C6DCE">
        <w:rPr>
          <w:rFonts w:ascii="Calibri Light" w:eastAsia="Times New Roman" w:hAnsi="Calibri Light" w:cs="Calibri Light"/>
          <w:noProof/>
          <w:sz w:val="24"/>
          <w:szCs w:val="24"/>
          <w:lang w:val="ro-MD"/>
        </w:rPr>
        <w:t>ate</w:t>
      </w:r>
      <w:r w:rsidR="00031B47" w:rsidRPr="001C6DCE">
        <w:rPr>
          <w:rFonts w:ascii="Calibri Light" w:eastAsia="Times New Roman" w:hAnsi="Calibri Light" w:cs="Calibri Light"/>
          <w:noProof/>
          <w:sz w:val="24"/>
          <w:szCs w:val="24"/>
          <w:lang w:val="ro-MD"/>
        </w:rPr>
        <w:t xml:space="preserve"> cheltuieli neregulamentare în </w:t>
      </w:r>
      <w:r w:rsidR="00282186" w:rsidRPr="001C6DCE">
        <w:rPr>
          <w:rFonts w:ascii="Calibri Light" w:eastAsia="Times New Roman" w:hAnsi="Calibri Light" w:cs="Calibri Light"/>
          <w:noProof/>
          <w:sz w:val="24"/>
          <w:szCs w:val="24"/>
          <w:lang w:val="ro-MD"/>
        </w:rPr>
        <w:t>sumă</w:t>
      </w:r>
      <w:r w:rsidR="00031B47" w:rsidRPr="001C6DCE">
        <w:rPr>
          <w:rFonts w:ascii="Calibri Light" w:eastAsia="Times New Roman" w:hAnsi="Calibri Light" w:cs="Calibri Light"/>
          <w:noProof/>
          <w:sz w:val="24"/>
          <w:szCs w:val="24"/>
          <w:lang w:val="ro-MD"/>
        </w:rPr>
        <w:t xml:space="preserve"> de </w:t>
      </w:r>
      <w:r w:rsidR="003C57FF" w:rsidRPr="001C6DCE">
        <w:rPr>
          <w:rFonts w:ascii="Calibri Light" w:eastAsia="Times New Roman" w:hAnsi="Calibri Light" w:cs="Calibri Light"/>
          <w:noProof/>
          <w:sz w:val="24"/>
          <w:szCs w:val="24"/>
          <w:lang w:val="ro-MD"/>
        </w:rPr>
        <w:t>6,45 mii lei</w:t>
      </w:r>
      <w:r w:rsidR="000367B2" w:rsidRPr="001C6DCE">
        <w:rPr>
          <w:rFonts w:ascii="Calibri Light" w:eastAsia="Times New Roman" w:hAnsi="Calibri Light" w:cs="Calibri Light"/>
          <w:noProof/>
          <w:sz w:val="24"/>
          <w:szCs w:val="24"/>
          <w:lang w:val="ro-MD"/>
        </w:rPr>
        <w:t>;</w:t>
      </w:r>
      <w:r w:rsidR="00031B47" w:rsidRPr="001C6DCE">
        <w:rPr>
          <w:rFonts w:ascii="Calibri Light" w:eastAsia="Times New Roman" w:hAnsi="Calibri Light" w:cs="Calibri Light"/>
          <w:noProof/>
          <w:sz w:val="24"/>
          <w:szCs w:val="24"/>
          <w:lang w:val="ro-MD"/>
        </w:rPr>
        <w:t xml:space="preserve"> </w:t>
      </w:r>
      <w:r w:rsidR="00031B47" w:rsidRPr="001C6DCE">
        <w:rPr>
          <w:rFonts w:ascii="Calibri Light" w:eastAsia="Times New Roman" w:hAnsi="Calibri Light" w:cs="Calibri Light"/>
          <w:b/>
          <w:bCs/>
          <w:noProof/>
          <w:sz w:val="24"/>
          <w:szCs w:val="24"/>
          <w:lang w:val="ro-MD"/>
        </w:rPr>
        <w:t>10)</w:t>
      </w:r>
      <w:r w:rsidR="00031B47" w:rsidRPr="001C6DCE">
        <w:rPr>
          <w:rFonts w:ascii="Calibri Light" w:eastAsia="Times New Roman" w:hAnsi="Calibri Light" w:cs="Calibri Light"/>
          <w:noProof/>
          <w:sz w:val="24"/>
          <w:szCs w:val="24"/>
          <w:lang w:val="ro-MD"/>
        </w:rPr>
        <w:t xml:space="preserve"> Nerespect</w:t>
      </w:r>
      <w:r w:rsidR="00282186" w:rsidRPr="001C6DCE">
        <w:rPr>
          <w:rFonts w:ascii="Calibri Light" w:eastAsia="Times New Roman" w:hAnsi="Calibri Light" w:cs="Calibri Light"/>
          <w:noProof/>
          <w:sz w:val="24"/>
          <w:szCs w:val="24"/>
          <w:lang w:val="ro-MD"/>
        </w:rPr>
        <w:t>â</w:t>
      </w:r>
      <w:r w:rsidR="00031B47" w:rsidRPr="001C6DCE">
        <w:rPr>
          <w:rFonts w:ascii="Calibri Light" w:eastAsia="Times New Roman" w:hAnsi="Calibri Light" w:cs="Calibri Light"/>
          <w:noProof/>
          <w:sz w:val="24"/>
          <w:szCs w:val="24"/>
          <w:lang w:val="ro-MD"/>
        </w:rPr>
        <w:t>nd</w:t>
      </w:r>
      <w:r w:rsidR="00282186" w:rsidRPr="001C6DCE">
        <w:rPr>
          <w:rFonts w:ascii="Calibri Light" w:eastAsia="Times New Roman" w:hAnsi="Calibri Light" w:cs="Calibri Light"/>
          <w:noProof/>
          <w:sz w:val="24"/>
          <w:szCs w:val="24"/>
          <w:lang w:val="ro-MD"/>
        </w:rPr>
        <w:t>u-se</w:t>
      </w:r>
      <w:r w:rsidR="00031B47" w:rsidRPr="001C6DCE">
        <w:rPr>
          <w:rFonts w:ascii="Calibri Light" w:eastAsia="Times New Roman" w:hAnsi="Calibri Light" w:cs="Calibri Light"/>
          <w:noProof/>
          <w:sz w:val="24"/>
          <w:szCs w:val="24"/>
          <w:lang w:val="ro-MD"/>
        </w:rPr>
        <w:t xml:space="preserve"> pre</w:t>
      </w:r>
      <w:r w:rsidR="00282186" w:rsidRPr="001C6DCE">
        <w:rPr>
          <w:rFonts w:ascii="Calibri Light" w:eastAsia="Times New Roman" w:hAnsi="Calibri Light" w:cs="Calibri Light"/>
          <w:noProof/>
          <w:sz w:val="24"/>
          <w:szCs w:val="24"/>
          <w:lang w:val="ro-MD"/>
        </w:rPr>
        <w:t>scripțiile</w:t>
      </w:r>
      <w:r w:rsidR="00031B47" w:rsidRPr="001C6DCE">
        <w:rPr>
          <w:rFonts w:ascii="Calibri Light" w:eastAsia="Times New Roman" w:hAnsi="Calibri Light" w:cs="Calibri Light"/>
          <w:noProof/>
          <w:sz w:val="24"/>
          <w:szCs w:val="24"/>
          <w:lang w:val="ro-MD"/>
        </w:rPr>
        <w:t xml:space="preserve"> H</w:t>
      </w:r>
      <w:r w:rsidR="00282186" w:rsidRPr="001C6DCE">
        <w:rPr>
          <w:rFonts w:ascii="Calibri Light" w:eastAsia="Times New Roman" w:hAnsi="Calibri Light" w:cs="Calibri Light"/>
          <w:noProof/>
          <w:sz w:val="24"/>
          <w:szCs w:val="24"/>
          <w:lang w:val="ro-MD"/>
        </w:rPr>
        <w:t xml:space="preserve">otărârii </w:t>
      </w:r>
      <w:r w:rsidR="00031B47" w:rsidRPr="001C6DCE">
        <w:rPr>
          <w:rFonts w:ascii="Calibri Light" w:eastAsia="Times New Roman" w:hAnsi="Calibri Light" w:cs="Calibri Light"/>
          <w:noProof/>
          <w:sz w:val="24"/>
          <w:szCs w:val="24"/>
          <w:lang w:val="ro-MD"/>
        </w:rPr>
        <w:t>G</w:t>
      </w:r>
      <w:r w:rsidR="00282186" w:rsidRPr="001C6DCE">
        <w:rPr>
          <w:rFonts w:ascii="Calibri Light" w:eastAsia="Times New Roman" w:hAnsi="Calibri Light" w:cs="Calibri Light"/>
          <w:noProof/>
          <w:sz w:val="24"/>
          <w:szCs w:val="24"/>
          <w:lang w:val="ro-MD"/>
        </w:rPr>
        <w:t>uvernului</w:t>
      </w:r>
      <w:r w:rsidR="00031B47" w:rsidRPr="001C6DCE">
        <w:rPr>
          <w:rFonts w:ascii="Calibri Light" w:eastAsia="Times New Roman" w:hAnsi="Calibri Light" w:cs="Calibri Light"/>
          <w:noProof/>
          <w:sz w:val="24"/>
          <w:szCs w:val="24"/>
          <w:lang w:val="ro-MD"/>
        </w:rPr>
        <w:t xml:space="preserve"> nr.426 din 26.04.2004 privind aprobarea </w:t>
      </w:r>
      <w:r w:rsidR="00282186" w:rsidRPr="001C6DCE">
        <w:rPr>
          <w:rFonts w:ascii="Calibri Light" w:eastAsia="Times New Roman" w:hAnsi="Calibri Light" w:cs="Calibri Light"/>
          <w:noProof/>
          <w:sz w:val="24"/>
          <w:szCs w:val="24"/>
          <w:lang w:val="ro-MD"/>
        </w:rPr>
        <w:t>m</w:t>
      </w:r>
      <w:r w:rsidR="00031B47" w:rsidRPr="001C6DCE">
        <w:rPr>
          <w:rFonts w:ascii="Calibri Light" w:eastAsia="Times New Roman" w:hAnsi="Calibri Light" w:cs="Calibri Light"/>
          <w:noProof/>
          <w:sz w:val="24"/>
          <w:szCs w:val="24"/>
          <w:lang w:val="ro-MD"/>
        </w:rPr>
        <w:t>odului de calculare a salariului mediu</w:t>
      </w:r>
      <w:r w:rsidR="00282186" w:rsidRPr="001C6DCE">
        <w:rPr>
          <w:rFonts w:ascii="Calibri Light" w:eastAsia="Times New Roman" w:hAnsi="Calibri Light" w:cs="Calibri Light"/>
          <w:noProof/>
          <w:sz w:val="24"/>
          <w:szCs w:val="24"/>
          <w:lang w:val="ro-MD"/>
        </w:rPr>
        <w:t>,</w:t>
      </w:r>
      <w:r w:rsidR="00031B47" w:rsidRPr="001C6DCE">
        <w:rPr>
          <w:rFonts w:ascii="Calibri Light" w:eastAsia="Times New Roman" w:hAnsi="Calibri Light" w:cs="Calibri Light"/>
          <w:noProof/>
          <w:sz w:val="24"/>
          <w:szCs w:val="24"/>
          <w:lang w:val="ro-MD"/>
        </w:rPr>
        <w:t xml:space="preserve"> </w:t>
      </w:r>
      <w:r w:rsidR="00282186" w:rsidRPr="001C6DCE">
        <w:rPr>
          <w:rFonts w:ascii="Calibri Light" w:eastAsia="Times New Roman" w:hAnsi="Calibri Light" w:cs="Calibri Light"/>
          <w:noProof/>
          <w:sz w:val="24"/>
          <w:szCs w:val="24"/>
          <w:lang w:val="ro-MD"/>
        </w:rPr>
        <w:t>la</w:t>
      </w:r>
      <w:r w:rsidR="00031B47" w:rsidRPr="001C6DCE">
        <w:rPr>
          <w:rFonts w:ascii="Calibri Light" w:eastAsia="Times New Roman" w:hAnsi="Calibri Light" w:cs="Calibri Light"/>
          <w:noProof/>
          <w:sz w:val="24"/>
          <w:szCs w:val="24"/>
          <w:lang w:val="ro-MD"/>
        </w:rPr>
        <w:t xml:space="preserve"> instituți</w:t>
      </w:r>
      <w:r w:rsidR="00282186" w:rsidRPr="001C6DCE">
        <w:rPr>
          <w:rFonts w:ascii="Calibri Light" w:eastAsia="Times New Roman" w:hAnsi="Calibri Light" w:cs="Calibri Light"/>
          <w:noProof/>
          <w:sz w:val="24"/>
          <w:szCs w:val="24"/>
          <w:lang w:val="ro-MD"/>
        </w:rPr>
        <w:t>e,</w:t>
      </w:r>
      <w:r w:rsidR="00031B47" w:rsidRPr="001C6DCE">
        <w:rPr>
          <w:rFonts w:ascii="Calibri Light" w:eastAsia="Times New Roman" w:hAnsi="Calibri Light" w:cs="Calibri Light"/>
          <w:noProof/>
          <w:sz w:val="24"/>
          <w:szCs w:val="24"/>
          <w:lang w:val="ro-MD"/>
        </w:rPr>
        <w:t xml:space="preserve"> în baza de calcul a</w:t>
      </w:r>
      <w:r w:rsidR="008B3436" w:rsidRPr="001C6DCE">
        <w:rPr>
          <w:rFonts w:ascii="Calibri Light" w:eastAsia="Times New Roman" w:hAnsi="Calibri Light" w:cs="Calibri Light"/>
          <w:noProof/>
          <w:sz w:val="24"/>
          <w:szCs w:val="24"/>
          <w:lang w:val="ro-MD"/>
        </w:rPr>
        <w:t>l</w:t>
      </w:r>
      <w:r w:rsidR="00031B47" w:rsidRPr="001C6DCE">
        <w:rPr>
          <w:rFonts w:ascii="Calibri Light" w:eastAsia="Times New Roman" w:hAnsi="Calibri Light" w:cs="Calibri Light"/>
          <w:noProof/>
          <w:sz w:val="24"/>
          <w:szCs w:val="24"/>
          <w:lang w:val="ro-MD"/>
        </w:rPr>
        <w:t xml:space="preserve"> salariului mediu </w:t>
      </w:r>
      <w:r w:rsidR="00282186" w:rsidRPr="001C6DCE">
        <w:rPr>
          <w:rFonts w:ascii="Calibri Light" w:eastAsia="Times New Roman" w:hAnsi="Calibri Light" w:cs="Calibri Light"/>
          <w:noProof/>
          <w:sz w:val="24"/>
          <w:szCs w:val="24"/>
          <w:lang w:val="ro-MD"/>
        </w:rPr>
        <w:t xml:space="preserve">au fost incluse </w:t>
      </w:r>
      <w:r w:rsidR="00031B47" w:rsidRPr="001C6DCE">
        <w:rPr>
          <w:rFonts w:ascii="Calibri Light" w:eastAsia="Times New Roman" w:hAnsi="Calibri Light" w:cs="Calibri Light"/>
          <w:noProof/>
          <w:sz w:val="24"/>
          <w:szCs w:val="24"/>
          <w:lang w:val="ro-MD"/>
        </w:rPr>
        <w:t>9 luni calendaristice</w:t>
      </w:r>
      <w:r w:rsidR="00282186" w:rsidRPr="001C6DCE">
        <w:rPr>
          <w:rFonts w:ascii="Calibri Light" w:eastAsia="Times New Roman" w:hAnsi="Calibri Light" w:cs="Calibri Light"/>
          <w:noProof/>
          <w:sz w:val="24"/>
          <w:szCs w:val="24"/>
          <w:lang w:val="ro-MD"/>
        </w:rPr>
        <w:t>,</w:t>
      </w:r>
      <w:r w:rsidR="00031B47" w:rsidRPr="001C6DCE">
        <w:rPr>
          <w:rFonts w:ascii="Calibri Light" w:eastAsia="Times New Roman" w:hAnsi="Calibri Light" w:cs="Calibri Light"/>
          <w:noProof/>
          <w:sz w:val="24"/>
          <w:szCs w:val="24"/>
          <w:lang w:val="ro-MD"/>
        </w:rPr>
        <w:t xml:space="preserve"> în loc de 3 luni, ceea ce a dus la calcularea și acordarea </w:t>
      </w:r>
      <w:r w:rsidR="008B3436" w:rsidRPr="001C6DCE">
        <w:rPr>
          <w:rFonts w:ascii="Calibri Light" w:eastAsia="Times New Roman" w:hAnsi="Calibri Light" w:cs="Calibri Light"/>
          <w:noProof/>
          <w:sz w:val="24"/>
          <w:szCs w:val="24"/>
          <w:lang w:val="ro-MD"/>
        </w:rPr>
        <w:t>cu 16,30 mii lei mai mult</w:t>
      </w:r>
      <w:r w:rsidR="00031B47" w:rsidRPr="001C6DCE">
        <w:rPr>
          <w:rFonts w:ascii="Calibri Light" w:eastAsia="Times New Roman" w:hAnsi="Calibri Light" w:cs="Calibri Light"/>
          <w:noProof/>
          <w:sz w:val="24"/>
          <w:szCs w:val="24"/>
          <w:lang w:val="ro-MD"/>
        </w:rPr>
        <w:t xml:space="preserve"> a indemnizațiilor de concediu pentru 30 de angajați, </w:t>
      </w:r>
      <w:r w:rsidR="008B3436" w:rsidRPr="001C6DCE">
        <w:rPr>
          <w:rFonts w:ascii="Calibri Light" w:eastAsia="Times New Roman" w:hAnsi="Calibri Light" w:cs="Calibri Light"/>
          <w:noProof/>
          <w:sz w:val="24"/>
          <w:szCs w:val="24"/>
          <w:lang w:val="ro-MD"/>
        </w:rPr>
        <w:t xml:space="preserve">astfel fiind </w:t>
      </w:r>
      <w:r w:rsidR="00031B47" w:rsidRPr="001C6DCE">
        <w:rPr>
          <w:rFonts w:ascii="Calibri Light" w:eastAsia="Times New Roman" w:hAnsi="Calibri Light" w:cs="Calibri Light"/>
          <w:noProof/>
          <w:sz w:val="24"/>
          <w:szCs w:val="24"/>
          <w:lang w:val="ro-MD"/>
        </w:rPr>
        <w:t>gener</w:t>
      </w:r>
      <w:r w:rsidR="008B3436" w:rsidRPr="001C6DCE">
        <w:rPr>
          <w:rFonts w:ascii="Calibri Light" w:eastAsia="Times New Roman" w:hAnsi="Calibri Light" w:cs="Calibri Light"/>
          <w:noProof/>
          <w:sz w:val="24"/>
          <w:szCs w:val="24"/>
          <w:lang w:val="ro-MD"/>
        </w:rPr>
        <w:t>ate</w:t>
      </w:r>
      <w:r w:rsidR="00031B47" w:rsidRPr="001C6DCE">
        <w:rPr>
          <w:rFonts w:ascii="Calibri Light" w:eastAsia="Times New Roman" w:hAnsi="Calibri Light" w:cs="Calibri Light"/>
          <w:noProof/>
          <w:sz w:val="24"/>
          <w:szCs w:val="24"/>
          <w:lang w:val="ro-MD"/>
        </w:rPr>
        <w:t xml:space="preserve"> cheltuieli neregulamentare. Se atestă și situați</w:t>
      </w:r>
      <w:r w:rsidR="008B3436" w:rsidRPr="001C6DCE">
        <w:rPr>
          <w:rFonts w:ascii="Calibri Light" w:eastAsia="Times New Roman" w:hAnsi="Calibri Light" w:cs="Calibri Light"/>
          <w:noProof/>
          <w:sz w:val="24"/>
          <w:szCs w:val="24"/>
          <w:lang w:val="ro-MD"/>
        </w:rPr>
        <w:t>a</w:t>
      </w:r>
      <w:r w:rsidR="00031B47" w:rsidRPr="001C6DCE">
        <w:rPr>
          <w:rFonts w:ascii="Calibri Light" w:eastAsia="Times New Roman" w:hAnsi="Calibri Light" w:cs="Calibri Light"/>
          <w:noProof/>
          <w:sz w:val="24"/>
          <w:szCs w:val="24"/>
          <w:lang w:val="ro-MD"/>
        </w:rPr>
        <w:t xml:space="preserve"> inversă </w:t>
      </w:r>
      <w:r w:rsidR="008B3436" w:rsidRPr="001C6DCE">
        <w:rPr>
          <w:rFonts w:ascii="Calibri Light" w:eastAsia="Times New Roman" w:hAnsi="Calibri Light" w:cs="Calibri Light"/>
          <w:noProof/>
          <w:sz w:val="24"/>
          <w:szCs w:val="24"/>
          <w:lang w:val="ro-MD"/>
        </w:rPr>
        <w:t xml:space="preserve">- </w:t>
      </w:r>
      <w:r w:rsidR="00031B47" w:rsidRPr="001C6DCE">
        <w:rPr>
          <w:rFonts w:ascii="Calibri Light" w:eastAsia="Times New Roman" w:hAnsi="Calibri Light" w:cs="Calibri Light"/>
          <w:noProof/>
          <w:sz w:val="24"/>
          <w:szCs w:val="24"/>
          <w:lang w:val="ro-MD"/>
        </w:rPr>
        <w:t xml:space="preserve">de neplăți pentru 40 </w:t>
      </w:r>
      <w:r w:rsidR="008B3436" w:rsidRPr="001C6DCE">
        <w:rPr>
          <w:rFonts w:ascii="Calibri Light" w:eastAsia="Times New Roman" w:hAnsi="Calibri Light" w:cs="Calibri Light"/>
          <w:noProof/>
          <w:sz w:val="24"/>
          <w:szCs w:val="24"/>
          <w:lang w:val="ro-MD"/>
        </w:rPr>
        <w:t xml:space="preserve">de </w:t>
      </w:r>
      <w:r w:rsidR="00031B47" w:rsidRPr="001C6DCE">
        <w:rPr>
          <w:rFonts w:ascii="Calibri Light" w:eastAsia="Times New Roman" w:hAnsi="Calibri Light" w:cs="Calibri Light"/>
          <w:noProof/>
          <w:sz w:val="24"/>
          <w:szCs w:val="24"/>
          <w:lang w:val="ro-MD"/>
        </w:rPr>
        <w:t>angajați</w:t>
      </w:r>
      <w:r w:rsidR="008B3436" w:rsidRPr="001C6DCE">
        <w:rPr>
          <w:rFonts w:ascii="Calibri Light" w:eastAsia="Times New Roman" w:hAnsi="Calibri Light" w:cs="Calibri Light"/>
          <w:noProof/>
          <w:sz w:val="24"/>
          <w:szCs w:val="24"/>
          <w:lang w:val="ro-MD"/>
        </w:rPr>
        <w:t>,</w:t>
      </w:r>
      <w:r w:rsidR="00031B47" w:rsidRPr="001C6DCE">
        <w:rPr>
          <w:rFonts w:ascii="Calibri Light" w:eastAsia="Times New Roman" w:hAnsi="Calibri Light" w:cs="Calibri Light"/>
          <w:noProof/>
          <w:sz w:val="24"/>
          <w:szCs w:val="24"/>
          <w:lang w:val="ro-MD"/>
        </w:rPr>
        <w:t xml:space="preserve"> în </w:t>
      </w:r>
      <w:r w:rsidR="008B3436" w:rsidRPr="001C6DCE">
        <w:rPr>
          <w:rFonts w:ascii="Calibri Light" w:eastAsia="Times New Roman" w:hAnsi="Calibri Light" w:cs="Calibri Light"/>
          <w:noProof/>
          <w:sz w:val="24"/>
          <w:szCs w:val="24"/>
          <w:lang w:val="ro-MD"/>
        </w:rPr>
        <w:t>sumă</w:t>
      </w:r>
      <w:r w:rsidR="00031B47" w:rsidRPr="001C6DCE">
        <w:rPr>
          <w:rFonts w:ascii="Calibri Light" w:eastAsia="Times New Roman" w:hAnsi="Calibri Light" w:cs="Calibri Light"/>
          <w:noProof/>
          <w:sz w:val="24"/>
          <w:szCs w:val="24"/>
          <w:lang w:val="ro-MD"/>
        </w:rPr>
        <w:t xml:space="preserve"> de </w:t>
      </w:r>
      <w:r w:rsidR="003C57FF" w:rsidRPr="001C6DCE">
        <w:rPr>
          <w:rFonts w:ascii="Calibri Light" w:eastAsia="Times New Roman" w:hAnsi="Calibri Light" w:cs="Calibri Light"/>
          <w:noProof/>
          <w:sz w:val="24"/>
          <w:szCs w:val="24"/>
          <w:lang w:val="ro-MD"/>
        </w:rPr>
        <w:t>45,9 mii lei</w:t>
      </w:r>
      <w:r w:rsidR="00031B47" w:rsidRPr="001C6DCE">
        <w:rPr>
          <w:rFonts w:ascii="Calibri Light" w:eastAsia="Times New Roman" w:hAnsi="Calibri Light" w:cs="Calibri Light"/>
          <w:noProof/>
          <w:sz w:val="24"/>
          <w:szCs w:val="24"/>
          <w:lang w:val="ro-MD"/>
        </w:rPr>
        <w:t>.</w:t>
      </w:r>
    </w:p>
    <w:p w14:paraId="6AD2841A" w14:textId="453180EC" w:rsidR="00114048" w:rsidRPr="001C6DCE" w:rsidRDefault="00031B47" w:rsidP="008C4E63">
      <w:pPr>
        <w:spacing w:after="0" w:line="276" w:lineRule="auto"/>
        <w:ind w:right="-53"/>
        <w:jc w:val="both"/>
        <w:rPr>
          <w:rFonts w:asciiTheme="majorHAnsi" w:hAnsiTheme="majorHAnsi" w:cstheme="majorHAnsi"/>
          <w:b/>
          <w:sz w:val="24"/>
          <w:szCs w:val="24"/>
          <w:lang w:val="ro-MD"/>
        </w:rPr>
      </w:pPr>
      <w:r w:rsidRPr="001C6DCE">
        <w:rPr>
          <w:rFonts w:asciiTheme="majorHAnsi" w:hAnsiTheme="majorHAnsi" w:cstheme="majorHAnsi"/>
          <w:b/>
          <w:sz w:val="24"/>
          <w:szCs w:val="24"/>
          <w:lang w:val="ro-MD"/>
        </w:rPr>
        <w:t>6.12.</w:t>
      </w:r>
      <w:r w:rsidRPr="001C6DCE">
        <w:rPr>
          <w:rFonts w:asciiTheme="majorHAnsi" w:hAnsiTheme="majorHAnsi" w:cstheme="majorHAnsi"/>
          <w:sz w:val="24"/>
          <w:szCs w:val="24"/>
          <w:lang w:val="ro-MD"/>
        </w:rPr>
        <w:t xml:space="preserve"> </w:t>
      </w:r>
      <w:r w:rsidR="00114048" w:rsidRPr="001C6DCE">
        <w:rPr>
          <w:rFonts w:asciiTheme="majorHAnsi" w:hAnsiTheme="majorHAnsi" w:cstheme="majorHAnsi"/>
          <w:sz w:val="24"/>
          <w:szCs w:val="24"/>
          <w:lang w:val="ro-MD"/>
        </w:rPr>
        <w:t>P</w:t>
      </w:r>
      <w:r w:rsidR="00114048" w:rsidRPr="001C6DCE">
        <w:rPr>
          <w:rFonts w:asciiTheme="majorHAnsi" w:eastAsia="MS Mincho" w:hAnsiTheme="majorHAnsi" w:cstheme="majorHAnsi"/>
          <w:sz w:val="24"/>
          <w:szCs w:val="24"/>
          <w:lang w:val="ro-MD"/>
        </w:rPr>
        <w:t xml:space="preserve">entru această misiune de audit a fost stabilit un obiectiv specific - de a verifica situația privind ajutorul acordat și/sau serviciile prestate refugiaților de către minister și instituțiile subordonate din domeniul </w:t>
      </w:r>
      <w:r w:rsidR="003C57FF" w:rsidRPr="001C6DCE">
        <w:rPr>
          <w:rFonts w:asciiTheme="majorHAnsi" w:eastAsia="MS Mincho" w:hAnsiTheme="majorHAnsi" w:cstheme="majorHAnsi"/>
          <w:sz w:val="24"/>
          <w:szCs w:val="24"/>
          <w:lang w:val="ro-MD"/>
        </w:rPr>
        <w:t xml:space="preserve">educației și cercetării </w:t>
      </w:r>
      <w:r w:rsidR="00114048" w:rsidRPr="001C6DCE">
        <w:rPr>
          <w:rFonts w:asciiTheme="majorHAnsi" w:eastAsia="MS Mincho" w:hAnsiTheme="majorHAnsi" w:cstheme="majorHAnsi"/>
          <w:sz w:val="24"/>
          <w:szCs w:val="24"/>
          <w:lang w:val="ro-MD"/>
        </w:rPr>
        <w:t>în perioada februarie-decembrie 2022.</w:t>
      </w:r>
      <w:r w:rsidR="00721AC1">
        <w:rPr>
          <w:rFonts w:asciiTheme="majorHAnsi" w:eastAsia="MS Mincho" w:hAnsiTheme="majorHAnsi" w:cstheme="majorHAnsi"/>
          <w:sz w:val="24"/>
          <w:szCs w:val="24"/>
          <w:lang w:val="ro-MD"/>
        </w:rPr>
        <w:t xml:space="preserve"> </w:t>
      </w:r>
    </w:p>
    <w:p w14:paraId="2ABD5E8A" w14:textId="172BBC39" w:rsidR="00086623" w:rsidRPr="001C6DCE" w:rsidRDefault="00114048" w:rsidP="008C4E63">
      <w:pPr>
        <w:tabs>
          <w:tab w:val="left" w:pos="284"/>
        </w:tabs>
        <w:spacing w:after="0" w:line="276" w:lineRule="auto"/>
        <w:ind w:right="-53"/>
        <w:jc w:val="both"/>
        <w:rPr>
          <w:rFonts w:asciiTheme="majorHAnsi" w:hAnsiTheme="majorHAnsi" w:cstheme="majorHAnsi"/>
          <w:b/>
          <w:sz w:val="24"/>
          <w:szCs w:val="24"/>
          <w:lang w:val="ro-MD"/>
        </w:rPr>
      </w:pPr>
      <w:r w:rsidRPr="001C6DCE">
        <w:rPr>
          <w:rFonts w:asciiTheme="majorHAnsi" w:hAnsiTheme="majorHAnsi" w:cstheme="majorHAnsi"/>
          <w:sz w:val="24"/>
          <w:szCs w:val="24"/>
          <w:lang w:val="ro-MD"/>
        </w:rPr>
        <w:t xml:space="preserve">Instituțiile din subordinea Ministerului Educației și Cercetării, în perioada februarie – decembrie 2022, au acordat ajutoare pentru circa 817 persoane refugiate din Ucraina, sub formă de servicii de cazare, produse alimentare, produse igienice, etc., cheltuielile însumând </w:t>
      </w:r>
      <w:r w:rsidRPr="001C6DCE">
        <w:rPr>
          <w:rFonts w:asciiTheme="majorHAnsi" w:hAnsiTheme="majorHAnsi" w:cstheme="majorHAnsi"/>
          <w:b/>
          <w:i/>
          <w:sz w:val="24"/>
          <w:szCs w:val="24"/>
          <w:lang w:val="ro-MD"/>
        </w:rPr>
        <w:t>10</w:t>
      </w:r>
      <w:r w:rsidR="003C57FF" w:rsidRPr="001C6DCE">
        <w:rPr>
          <w:rFonts w:asciiTheme="majorHAnsi" w:hAnsiTheme="majorHAnsi" w:cstheme="majorHAnsi"/>
          <w:b/>
          <w:i/>
          <w:sz w:val="24"/>
          <w:szCs w:val="24"/>
          <w:lang w:val="ro-MD"/>
        </w:rPr>
        <w:t>,</w:t>
      </w:r>
      <w:r w:rsidRPr="001C6DCE">
        <w:rPr>
          <w:rFonts w:asciiTheme="majorHAnsi" w:hAnsiTheme="majorHAnsi" w:cstheme="majorHAnsi"/>
          <w:b/>
          <w:i/>
          <w:sz w:val="24"/>
          <w:szCs w:val="24"/>
          <w:lang w:val="ro-MD"/>
        </w:rPr>
        <w:t>8</w:t>
      </w:r>
      <w:r w:rsidR="003C57FF" w:rsidRPr="001C6DCE">
        <w:rPr>
          <w:rFonts w:asciiTheme="majorHAnsi" w:hAnsiTheme="majorHAnsi" w:cstheme="majorHAnsi"/>
          <w:b/>
          <w:i/>
          <w:sz w:val="24"/>
          <w:szCs w:val="24"/>
          <w:lang w:val="ro-MD"/>
        </w:rPr>
        <w:t>7</w:t>
      </w:r>
      <w:r w:rsidRPr="001C6DCE">
        <w:rPr>
          <w:rFonts w:asciiTheme="majorHAnsi" w:hAnsiTheme="majorHAnsi" w:cstheme="majorHAnsi"/>
          <w:b/>
          <w:i/>
          <w:sz w:val="24"/>
          <w:szCs w:val="24"/>
          <w:lang w:val="ro-MD"/>
        </w:rPr>
        <w:t xml:space="preserve"> mi</w:t>
      </w:r>
      <w:r w:rsidR="003C57FF" w:rsidRPr="001C6DCE">
        <w:rPr>
          <w:rFonts w:asciiTheme="majorHAnsi" w:hAnsiTheme="majorHAnsi" w:cstheme="majorHAnsi"/>
          <w:b/>
          <w:i/>
          <w:sz w:val="24"/>
          <w:szCs w:val="24"/>
          <w:lang w:val="ro-MD"/>
        </w:rPr>
        <w:t>l.</w:t>
      </w:r>
      <w:r w:rsidRPr="001C6DCE">
        <w:rPr>
          <w:rFonts w:asciiTheme="majorHAnsi" w:hAnsiTheme="majorHAnsi" w:cstheme="majorHAnsi"/>
          <w:b/>
          <w:i/>
          <w:sz w:val="24"/>
          <w:szCs w:val="24"/>
          <w:lang w:val="ro-MD"/>
        </w:rPr>
        <w:t>lei</w:t>
      </w:r>
      <w:r w:rsidRPr="001C6DCE">
        <w:rPr>
          <w:rFonts w:asciiTheme="majorHAnsi" w:hAnsiTheme="majorHAnsi" w:cstheme="majorHAnsi"/>
          <w:sz w:val="24"/>
          <w:szCs w:val="24"/>
          <w:lang w:val="ro-MD"/>
        </w:rPr>
        <w:t xml:space="preserve">, din care au fost recuperate: </w:t>
      </w:r>
      <w:r w:rsidRPr="001C6DCE">
        <w:rPr>
          <w:rFonts w:asciiTheme="majorHAnsi" w:hAnsiTheme="majorHAnsi" w:cstheme="majorHAnsi"/>
          <w:i/>
          <w:sz w:val="24"/>
          <w:szCs w:val="24"/>
          <w:lang w:val="ro-MD"/>
        </w:rPr>
        <w:t>4</w:t>
      </w:r>
      <w:r w:rsidR="003C57FF" w:rsidRPr="001C6DCE">
        <w:rPr>
          <w:rFonts w:asciiTheme="majorHAnsi" w:hAnsiTheme="majorHAnsi" w:cstheme="majorHAnsi"/>
          <w:i/>
          <w:sz w:val="24"/>
          <w:szCs w:val="24"/>
          <w:lang w:val="ro-MD"/>
        </w:rPr>
        <w:t>,</w:t>
      </w:r>
      <w:r w:rsidRPr="001C6DCE">
        <w:rPr>
          <w:rFonts w:asciiTheme="majorHAnsi" w:hAnsiTheme="majorHAnsi" w:cstheme="majorHAnsi"/>
          <w:i/>
          <w:sz w:val="24"/>
          <w:szCs w:val="24"/>
          <w:lang w:val="ro-MD"/>
        </w:rPr>
        <w:t>5</w:t>
      </w:r>
      <w:r w:rsidR="003C57FF" w:rsidRPr="001C6DCE">
        <w:rPr>
          <w:rFonts w:asciiTheme="majorHAnsi" w:hAnsiTheme="majorHAnsi" w:cstheme="majorHAnsi"/>
          <w:i/>
          <w:sz w:val="24"/>
          <w:szCs w:val="24"/>
          <w:lang w:val="ro-MD"/>
        </w:rPr>
        <w:t>2</w:t>
      </w:r>
      <w:r w:rsidRPr="001C6DCE">
        <w:rPr>
          <w:rFonts w:asciiTheme="majorHAnsi" w:hAnsiTheme="majorHAnsi" w:cstheme="majorHAnsi"/>
          <w:i/>
          <w:sz w:val="24"/>
          <w:szCs w:val="24"/>
          <w:lang w:val="ro-MD"/>
        </w:rPr>
        <w:t xml:space="preserve"> mi</w:t>
      </w:r>
      <w:r w:rsidR="003C57FF" w:rsidRPr="001C6DCE">
        <w:rPr>
          <w:rFonts w:asciiTheme="majorHAnsi" w:hAnsiTheme="majorHAnsi" w:cstheme="majorHAnsi"/>
          <w:i/>
          <w:sz w:val="24"/>
          <w:szCs w:val="24"/>
          <w:lang w:val="ro-MD"/>
        </w:rPr>
        <w:t>l.</w:t>
      </w:r>
      <w:r w:rsidRPr="001C6DCE">
        <w:rPr>
          <w:rFonts w:asciiTheme="majorHAnsi" w:hAnsiTheme="majorHAnsi" w:cstheme="majorHAnsi"/>
          <w:i/>
          <w:sz w:val="24"/>
          <w:szCs w:val="24"/>
          <w:lang w:val="ro-MD"/>
        </w:rPr>
        <w:t>lei</w:t>
      </w:r>
      <w:r w:rsidRPr="001C6DCE">
        <w:rPr>
          <w:rFonts w:asciiTheme="majorHAnsi" w:hAnsiTheme="majorHAnsi" w:cstheme="majorHAnsi"/>
          <w:sz w:val="24"/>
          <w:szCs w:val="24"/>
          <w:lang w:val="ro-MD"/>
        </w:rPr>
        <w:t xml:space="preserve"> – de </w:t>
      </w:r>
      <w:r w:rsidR="008B3436" w:rsidRPr="001C6DCE">
        <w:rPr>
          <w:rFonts w:asciiTheme="majorHAnsi" w:hAnsiTheme="majorHAnsi" w:cstheme="majorHAnsi"/>
          <w:sz w:val="24"/>
          <w:szCs w:val="24"/>
          <w:lang w:val="ro-MD"/>
        </w:rPr>
        <w:t xml:space="preserve">către </w:t>
      </w:r>
      <w:r w:rsidRPr="001C6DCE">
        <w:rPr>
          <w:rFonts w:asciiTheme="majorHAnsi" w:hAnsiTheme="majorHAnsi" w:cstheme="majorHAnsi"/>
          <w:sz w:val="24"/>
          <w:szCs w:val="24"/>
          <w:lang w:val="ro-MD"/>
        </w:rPr>
        <w:t>Ministerul Muncii și Protecției Sociale</w:t>
      </w:r>
      <w:r w:rsidR="008B3436"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w:t>
      </w:r>
      <w:r w:rsidRPr="001C6DCE">
        <w:rPr>
          <w:rFonts w:asciiTheme="majorHAnsi" w:hAnsiTheme="majorHAnsi" w:cstheme="majorHAnsi"/>
          <w:i/>
          <w:sz w:val="24"/>
          <w:szCs w:val="24"/>
          <w:lang w:val="ro-MD"/>
        </w:rPr>
        <w:t>2</w:t>
      </w:r>
      <w:r w:rsidR="003C57FF" w:rsidRPr="001C6DCE">
        <w:rPr>
          <w:rFonts w:asciiTheme="majorHAnsi" w:hAnsiTheme="majorHAnsi" w:cstheme="majorHAnsi"/>
          <w:i/>
          <w:sz w:val="24"/>
          <w:szCs w:val="24"/>
          <w:lang w:val="ro-MD"/>
        </w:rPr>
        <w:t>,</w:t>
      </w:r>
      <w:r w:rsidRPr="001C6DCE">
        <w:rPr>
          <w:rFonts w:asciiTheme="majorHAnsi" w:hAnsiTheme="majorHAnsi" w:cstheme="majorHAnsi"/>
          <w:i/>
          <w:sz w:val="24"/>
          <w:szCs w:val="24"/>
          <w:lang w:val="ro-MD"/>
        </w:rPr>
        <w:t>3</w:t>
      </w:r>
      <w:r w:rsidR="003C57FF" w:rsidRPr="001C6DCE">
        <w:rPr>
          <w:rFonts w:asciiTheme="majorHAnsi" w:hAnsiTheme="majorHAnsi" w:cstheme="majorHAnsi"/>
          <w:i/>
          <w:sz w:val="24"/>
          <w:szCs w:val="24"/>
          <w:lang w:val="ro-MD"/>
        </w:rPr>
        <w:t>9</w:t>
      </w:r>
      <w:r w:rsidRPr="001C6DCE">
        <w:rPr>
          <w:rFonts w:asciiTheme="majorHAnsi" w:hAnsiTheme="majorHAnsi" w:cstheme="majorHAnsi"/>
          <w:i/>
          <w:sz w:val="24"/>
          <w:szCs w:val="24"/>
          <w:lang w:val="ro-MD"/>
        </w:rPr>
        <w:t xml:space="preserve"> mi</w:t>
      </w:r>
      <w:r w:rsidR="003C57FF" w:rsidRPr="001C6DCE">
        <w:rPr>
          <w:rFonts w:asciiTheme="majorHAnsi" w:hAnsiTheme="majorHAnsi" w:cstheme="majorHAnsi"/>
          <w:i/>
          <w:sz w:val="24"/>
          <w:szCs w:val="24"/>
          <w:lang w:val="ro-MD"/>
        </w:rPr>
        <w:t>l.</w:t>
      </w:r>
      <w:r w:rsidRPr="001C6DCE">
        <w:rPr>
          <w:rFonts w:asciiTheme="majorHAnsi" w:hAnsiTheme="majorHAnsi" w:cstheme="majorHAnsi"/>
          <w:i/>
          <w:sz w:val="24"/>
          <w:szCs w:val="24"/>
          <w:lang w:val="ro-MD"/>
        </w:rPr>
        <w:t>lei</w:t>
      </w:r>
      <w:r w:rsidRPr="001C6DCE">
        <w:rPr>
          <w:rFonts w:asciiTheme="majorHAnsi" w:hAnsiTheme="majorHAnsi" w:cstheme="majorHAnsi"/>
          <w:sz w:val="24"/>
          <w:szCs w:val="24"/>
          <w:lang w:val="ro-MD"/>
        </w:rPr>
        <w:t xml:space="preserve"> –</w:t>
      </w:r>
      <w:r w:rsidR="00721AC1">
        <w:rPr>
          <w:rFonts w:asciiTheme="majorHAnsi" w:hAnsiTheme="majorHAnsi" w:cstheme="majorHAnsi"/>
          <w:sz w:val="24"/>
          <w:szCs w:val="24"/>
          <w:lang w:val="ro-MD"/>
        </w:rPr>
        <w:t xml:space="preserve"> </w:t>
      </w:r>
      <w:r w:rsidRPr="001C6DCE">
        <w:rPr>
          <w:rFonts w:asciiTheme="majorHAnsi" w:hAnsiTheme="majorHAnsi" w:cstheme="majorHAnsi"/>
          <w:sz w:val="24"/>
          <w:szCs w:val="24"/>
          <w:lang w:val="ro-MD"/>
        </w:rPr>
        <w:t xml:space="preserve">de </w:t>
      </w:r>
      <w:r w:rsidR="008B3436" w:rsidRPr="001C6DCE">
        <w:rPr>
          <w:rFonts w:asciiTheme="majorHAnsi" w:hAnsiTheme="majorHAnsi" w:cstheme="majorHAnsi"/>
          <w:sz w:val="24"/>
          <w:szCs w:val="24"/>
          <w:lang w:val="ro-MD"/>
        </w:rPr>
        <w:t xml:space="preserve">către </w:t>
      </w:r>
      <w:r w:rsidRPr="001C6DCE">
        <w:rPr>
          <w:rFonts w:asciiTheme="majorHAnsi" w:hAnsiTheme="majorHAnsi" w:cstheme="majorHAnsi"/>
          <w:sz w:val="24"/>
          <w:szCs w:val="24"/>
          <w:lang w:val="ro-MD"/>
        </w:rPr>
        <w:t>alte instituții de stat</w:t>
      </w:r>
      <w:r w:rsidR="008B3436" w:rsidRPr="001C6DCE">
        <w:rPr>
          <w:rFonts w:asciiTheme="majorHAnsi" w:hAnsiTheme="majorHAnsi" w:cstheme="majorHAnsi"/>
          <w:sz w:val="24"/>
          <w:szCs w:val="24"/>
          <w:lang w:val="ro-MD"/>
        </w:rPr>
        <w:t>;</w:t>
      </w:r>
      <w:r w:rsidRPr="001C6DCE">
        <w:rPr>
          <w:rFonts w:asciiTheme="majorHAnsi" w:hAnsiTheme="majorHAnsi" w:cstheme="majorHAnsi"/>
          <w:sz w:val="24"/>
          <w:szCs w:val="24"/>
          <w:lang w:val="ro-MD"/>
        </w:rPr>
        <w:t xml:space="preserve"> </w:t>
      </w:r>
      <w:r w:rsidR="003C57FF" w:rsidRPr="001C6DCE">
        <w:rPr>
          <w:rFonts w:asciiTheme="majorHAnsi" w:hAnsiTheme="majorHAnsi" w:cstheme="majorHAnsi"/>
          <w:i/>
          <w:iCs/>
          <w:sz w:val="24"/>
          <w:szCs w:val="24"/>
          <w:lang w:val="ro-MD"/>
        </w:rPr>
        <w:t>0,</w:t>
      </w:r>
      <w:r w:rsidRPr="001C6DCE">
        <w:rPr>
          <w:rFonts w:asciiTheme="majorHAnsi" w:hAnsiTheme="majorHAnsi" w:cstheme="majorHAnsi"/>
          <w:i/>
          <w:sz w:val="24"/>
          <w:szCs w:val="24"/>
          <w:lang w:val="ro-MD"/>
        </w:rPr>
        <w:t>1</w:t>
      </w:r>
      <w:r w:rsidR="003C57FF" w:rsidRPr="001C6DCE">
        <w:rPr>
          <w:rFonts w:asciiTheme="majorHAnsi" w:hAnsiTheme="majorHAnsi" w:cstheme="majorHAnsi"/>
          <w:i/>
          <w:sz w:val="24"/>
          <w:szCs w:val="24"/>
          <w:lang w:val="ro-MD"/>
        </w:rPr>
        <w:t>1</w:t>
      </w:r>
      <w:r w:rsidRPr="001C6DCE">
        <w:rPr>
          <w:rFonts w:asciiTheme="majorHAnsi" w:hAnsiTheme="majorHAnsi" w:cstheme="majorHAnsi"/>
          <w:i/>
          <w:sz w:val="24"/>
          <w:szCs w:val="24"/>
          <w:lang w:val="ro-MD"/>
        </w:rPr>
        <w:t xml:space="preserve"> mi</w:t>
      </w:r>
      <w:r w:rsidR="003C57FF" w:rsidRPr="001C6DCE">
        <w:rPr>
          <w:rFonts w:asciiTheme="majorHAnsi" w:hAnsiTheme="majorHAnsi" w:cstheme="majorHAnsi"/>
          <w:i/>
          <w:sz w:val="24"/>
          <w:szCs w:val="24"/>
          <w:lang w:val="ro-MD"/>
        </w:rPr>
        <w:t>l.</w:t>
      </w:r>
      <w:r w:rsidRPr="001C6DCE">
        <w:rPr>
          <w:rFonts w:asciiTheme="majorHAnsi" w:hAnsiTheme="majorHAnsi" w:cstheme="majorHAnsi"/>
          <w:i/>
          <w:sz w:val="24"/>
          <w:szCs w:val="24"/>
          <w:lang w:val="ro-MD"/>
        </w:rPr>
        <w:t>lei</w:t>
      </w:r>
      <w:r w:rsidRPr="001C6DCE">
        <w:rPr>
          <w:rFonts w:asciiTheme="majorHAnsi" w:hAnsiTheme="majorHAnsi" w:cstheme="majorHAnsi"/>
          <w:sz w:val="24"/>
          <w:szCs w:val="24"/>
          <w:lang w:val="ro-MD"/>
        </w:rPr>
        <w:t xml:space="preserve"> </w:t>
      </w:r>
      <w:r w:rsidR="008B3436" w:rsidRPr="001C6DCE">
        <w:rPr>
          <w:rFonts w:asciiTheme="majorHAnsi" w:hAnsiTheme="majorHAnsi" w:cstheme="majorHAnsi"/>
          <w:sz w:val="24"/>
          <w:szCs w:val="24"/>
          <w:lang w:val="ro-MD"/>
        </w:rPr>
        <w:t xml:space="preserve">- </w:t>
      </w:r>
      <w:r w:rsidRPr="001C6DCE">
        <w:rPr>
          <w:rFonts w:asciiTheme="majorHAnsi" w:hAnsiTheme="majorHAnsi" w:cstheme="majorHAnsi"/>
          <w:sz w:val="24"/>
          <w:szCs w:val="24"/>
          <w:lang w:val="ro-MD"/>
        </w:rPr>
        <w:t>din contul ajutoarelor primite de la agenți economici și alte organizații</w:t>
      </w:r>
      <w:r w:rsidR="008B3436" w:rsidRPr="001C6DCE">
        <w:rPr>
          <w:rFonts w:asciiTheme="majorHAnsi" w:hAnsiTheme="majorHAnsi" w:cstheme="majorHAnsi"/>
          <w:sz w:val="24"/>
          <w:szCs w:val="24"/>
          <w:lang w:val="ro-MD"/>
        </w:rPr>
        <w:t xml:space="preserve">, </w:t>
      </w:r>
      <w:r w:rsidRPr="001C6DCE">
        <w:rPr>
          <w:rFonts w:asciiTheme="majorHAnsi" w:hAnsiTheme="majorHAnsi" w:cstheme="majorHAnsi"/>
          <w:sz w:val="24"/>
          <w:szCs w:val="24"/>
          <w:lang w:val="ro-MD"/>
        </w:rPr>
        <w:t>și</w:t>
      </w:r>
      <w:r w:rsidRPr="001C6DCE">
        <w:rPr>
          <w:rFonts w:asciiTheme="majorHAnsi" w:hAnsiTheme="majorHAnsi" w:cstheme="majorHAnsi"/>
          <w:i/>
          <w:sz w:val="24"/>
          <w:szCs w:val="24"/>
          <w:lang w:val="ro-MD"/>
        </w:rPr>
        <w:t xml:space="preserve"> 3</w:t>
      </w:r>
      <w:r w:rsidR="003C57FF" w:rsidRPr="001C6DCE">
        <w:rPr>
          <w:rFonts w:asciiTheme="majorHAnsi" w:hAnsiTheme="majorHAnsi" w:cstheme="majorHAnsi"/>
          <w:i/>
          <w:sz w:val="24"/>
          <w:szCs w:val="24"/>
          <w:lang w:val="ro-MD"/>
        </w:rPr>
        <w:t>,</w:t>
      </w:r>
      <w:r w:rsidRPr="001C6DCE">
        <w:rPr>
          <w:rFonts w:asciiTheme="majorHAnsi" w:hAnsiTheme="majorHAnsi" w:cstheme="majorHAnsi"/>
          <w:i/>
          <w:sz w:val="24"/>
          <w:szCs w:val="24"/>
          <w:lang w:val="ro-MD"/>
        </w:rPr>
        <w:t>8</w:t>
      </w:r>
      <w:r w:rsidR="003C57FF" w:rsidRPr="001C6DCE">
        <w:rPr>
          <w:rFonts w:asciiTheme="majorHAnsi" w:hAnsiTheme="majorHAnsi" w:cstheme="majorHAnsi"/>
          <w:i/>
          <w:sz w:val="24"/>
          <w:szCs w:val="24"/>
          <w:lang w:val="ro-MD"/>
        </w:rPr>
        <w:t>5</w:t>
      </w:r>
      <w:r w:rsidRPr="001C6DCE">
        <w:rPr>
          <w:rFonts w:asciiTheme="majorHAnsi" w:hAnsiTheme="majorHAnsi" w:cstheme="majorHAnsi"/>
          <w:i/>
          <w:sz w:val="24"/>
          <w:szCs w:val="24"/>
          <w:lang w:val="ro-MD"/>
        </w:rPr>
        <w:t xml:space="preserve"> mi</w:t>
      </w:r>
      <w:r w:rsidR="003C57FF" w:rsidRPr="001C6DCE">
        <w:rPr>
          <w:rFonts w:asciiTheme="majorHAnsi" w:hAnsiTheme="majorHAnsi" w:cstheme="majorHAnsi"/>
          <w:i/>
          <w:sz w:val="24"/>
          <w:szCs w:val="24"/>
          <w:lang w:val="ro-MD"/>
        </w:rPr>
        <w:t>l.</w:t>
      </w:r>
      <w:r w:rsidRPr="001C6DCE">
        <w:rPr>
          <w:rFonts w:asciiTheme="majorHAnsi" w:hAnsiTheme="majorHAnsi" w:cstheme="majorHAnsi"/>
          <w:i/>
          <w:sz w:val="24"/>
          <w:szCs w:val="24"/>
          <w:lang w:val="ro-MD"/>
        </w:rPr>
        <w:t>lei</w:t>
      </w:r>
      <w:r w:rsidRPr="001C6DCE">
        <w:rPr>
          <w:rFonts w:asciiTheme="majorHAnsi" w:hAnsiTheme="majorHAnsi" w:cstheme="majorHAnsi"/>
          <w:sz w:val="24"/>
          <w:szCs w:val="24"/>
          <w:lang w:val="ro-MD"/>
        </w:rPr>
        <w:t xml:space="preserve"> – din contul instituțiilor c</w:t>
      </w:r>
      <w:r w:rsidR="008B3436" w:rsidRPr="001C6DCE">
        <w:rPr>
          <w:rFonts w:asciiTheme="majorHAnsi" w:hAnsiTheme="majorHAnsi" w:cstheme="majorHAnsi"/>
          <w:sz w:val="24"/>
          <w:szCs w:val="24"/>
          <w:lang w:val="ro-MD"/>
        </w:rPr>
        <w:t>ar</w:t>
      </w:r>
      <w:r w:rsidRPr="001C6DCE">
        <w:rPr>
          <w:rFonts w:asciiTheme="majorHAnsi" w:hAnsiTheme="majorHAnsi" w:cstheme="majorHAnsi"/>
          <w:sz w:val="24"/>
          <w:szCs w:val="24"/>
          <w:lang w:val="ro-MD"/>
        </w:rPr>
        <w:t>e au acordat aceste servicii.</w:t>
      </w:r>
    </w:p>
    <w:p w14:paraId="2DE3B626" w14:textId="1E364A1B" w:rsidR="006772FE" w:rsidRPr="001C6DCE" w:rsidRDefault="006772FE" w:rsidP="008C4E63">
      <w:pPr>
        <w:pStyle w:val="1"/>
        <w:spacing w:line="276" w:lineRule="auto"/>
        <w:jc w:val="both"/>
        <w:rPr>
          <w:rFonts w:asciiTheme="majorHAnsi" w:eastAsia="Times New Roman" w:hAnsiTheme="majorHAnsi" w:cstheme="majorHAnsi"/>
          <w:sz w:val="24"/>
          <w:szCs w:val="24"/>
          <w:lang w:val="ro-RO"/>
        </w:rPr>
      </w:pPr>
      <w:bookmarkStart w:id="9" w:name="_Toc529544634"/>
      <w:r w:rsidRPr="001C6DCE">
        <w:rPr>
          <w:rFonts w:asciiTheme="majorHAnsi" w:eastAsia="Times New Roman" w:hAnsiTheme="majorHAnsi" w:cstheme="majorHAnsi"/>
          <w:sz w:val="24"/>
          <w:szCs w:val="24"/>
          <w:lang w:val="ro-RO"/>
        </w:rPr>
        <w:t>VI</w:t>
      </w:r>
      <w:r w:rsidR="00114048" w:rsidRPr="001C6DCE">
        <w:rPr>
          <w:rFonts w:asciiTheme="majorHAnsi" w:eastAsia="Times New Roman" w:hAnsiTheme="majorHAnsi" w:cstheme="majorHAnsi"/>
          <w:sz w:val="24"/>
          <w:szCs w:val="24"/>
          <w:lang w:val="ro-RO"/>
        </w:rPr>
        <w:t>I</w:t>
      </w:r>
      <w:r w:rsidRPr="001C6DCE">
        <w:rPr>
          <w:rFonts w:asciiTheme="majorHAnsi" w:eastAsia="Times New Roman" w:hAnsiTheme="majorHAnsi" w:cstheme="majorHAnsi"/>
          <w:sz w:val="24"/>
          <w:szCs w:val="24"/>
          <w:lang w:val="ro-RO"/>
        </w:rPr>
        <w:t>. RESPONSABILITĂȚILE CONDUCERII PENTRU RAPOARTELE FINANCIARE</w:t>
      </w:r>
      <w:bookmarkEnd w:id="6"/>
      <w:bookmarkEnd w:id="7"/>
      <w:bookmarkEnd w:id="8"/>
      <w:bookmarkEnd w:id="9"/>
    </w:p>
    <w:p w14:paraId="13CF9AE3" w14:textId="77777777" w:rsidR="006772FE" w:rsidRPr="001C6DCE" w:rsidRDefault="006772FE" w:rsidP="008C4E63">
      <w:pPr>
        <w:spacing w:after="0" w:line="276" w:lineRule="auto"/>
        <w:jc w:val="both"/>
        <w:rPr>
          <w:rFonts w:asciiTheme="majorHAnsi" w:hAnsiTheme="majorHAnsi" w:cstheme="majorHAnsi"/>
          <w:sz w:val="24"/>
          <w:szCs w:val="24"/>
          <w:lang w:val="ro-RO"/>
        </w:rPr>
      </w:pPr>
      <w:r w:rsidRPr="001C6DCE">
        <w:rPr>
          <w:rFonts w:asciiTheme="majorHAnsi" w:hAnsiTheme="majorHAnsi" w:cstheme="majorHAnsi"/>
          <w:bCs/>
          <w:sz w:val="24"/>
          <w:szCs w:val="24"/>
          <w:lang w:val="ro-RO"/>
        </w:rPr>
        <w:t>Ministrul</w:t>
      </w:r>
      <w:r w:rsidRPr="001C6DCE">
        <w:rPr>
          <w:rFonts w:asciiTheme="majorHAnsi" w:hAnsiTheme="majorHAnsi" w:cstheme="majorHAnsi"/>
          <w:sz w:val="24"/>
          <w:szCs w:val="24"/>
          <w:lang w:val="ro-RO"/>
        </w:rPr>
        <w:t xml:space="preserve"> </w:t>
      </w:r>
      <w:r w:rsidR="00B04116" w:rsidRPr="001C6DCE">
        <w:rPr>
          <w:rFonts w:asciiTheme="majorHAnsi" w:hAnsiTheme="majorHAnsi" w:cstheme="majorHAnsi"/>
          <w:bCs/>
          <w:sz w:val="24"/>
          <w:szCs w:val="24"/>
          <w:lang w:val="ro-RO"/>
        </w:rPr>
        <w:t>E</w:t>
      </w:r>
      <w:r w:rsidRPr="001C6DCE">
        <w:rPr>
          <w:rFonts w:asciiTheme="majorHAnsi" w:hAnsiTheme="majorHAnsi" w:cstheme="majorHAnsi"/>
          <w:bCs/>
          <w:sz w:val="24"/>
          <w:szCs w:val="24"/>
          <w:lang w:val="ro-RO"/>
        </w:rPr>
        <w:t xml:space="preserve">ducației și </w:t>
      </w:r>
      <w:r w:rsidR="00B04116" w:rsidRPr="001C6DCE">
        <w:rPr>
          <w:rFonts w:asciiTheme="majorHAnsi" w:hAnsiTheme="majorHAnsi" w:cstheme="majorHAnsi"/>
          <w:bCs/>
          <w:sz w:val="24"/>
          <w:szCs w:val="24"/>
          <w:lang w:val="ro-RO"/>
        </w:rPr>
        <w:t>C</w:t>
      </w:r>
      <w:r w:rsidRPr="001C6DCE">
        <w:rPr>
          <w:rFonts w:asciiTheme="majorHAnsi" w:hAnsiTheme="majorHAnsi" w:cstheme="majorHAnsi"/>
          <w:bCs/>
          <w:sz w:val="24"/>
          <w:szCs w:val="24"/>
          <w:lang w:val="ro-RO"/>
        </w:rPr>
        <w:t>ercetării,</w:t>
      </w:r>
      <w:r w:rsidRPr="001C6DCE">
        <w:rPr>
          <w:rFonts w:asciiTheme="majorHAnsi" w:hAnsiTheme="majorHAnsi" w:cstheme="majorHAnsi"/>
          <w:sz w:val="24"/>
          <w:szCs w:val="24"/>
          <w:lang w:val="ro-RO"/>
        </w:rPr>
        <w:t xml:space="preserve"> </w:t>
      </w:r>
      <w:r w:rsidR="00B04116" w:rsidRPr="001C6DCE">
        <w:rPr>
          <w:rFonts w:asciiTheme="majorHAnsi" w:hAnsiTheme="majorHAnsi" w:cs="Times New Roman"/>
          <w:sz w:val="24"/>
          <w:szCs w:val="24"/>
          <w:lang w:val="ro-RO"/>
        </w:rPr>
        <w:t>în calitate de conducător al organului central de specialitate al administrației publice, este responsabil de întocmirea și prezentarea corectă și fidelă a rapoartelor financiare consolidate</w:t>
      </w:r>
      <w:r w:rsidR="00B04116" w:rsidRPr="001C6DCE">
        <w:rPr>
          <w:rFonts w:asciiTheme="majorHAnsi" w:hAnsiTheme="majorHAnsi"/>
          <w:sz w:val="22"/>
          <w:vertAlign w:val="superscript"/>
          <w:lang w:val="ro-RO"/>
        </w:rPr>
        <w:footnoteReference w:id="62"/>
      </w:r>
      <w:r w:rsidR="00B04116" w:rsidRPr="001C6DCE">
        <w:rPr>
          <w:rFonts w:asciiTheme="majorHAnsi" w:hAnsiTheme="majorHAnsi" w:cs="Times New Roman"/>
          <w:sz w:val="24"/>
          <w:szCs w:val="24"/>
          <w:lang w:val="ro-RO"/>
        </w:rPr>
        <w:t xml:space="preserve"> în conformitate cu cadrul de raportare financiară aplicabil</w:t>
      </w:r>
      <w:r w:rsidR="00B04116" w:rsidRPr="001C6DCE">
        <w:rPr>
          <w:rFonts w:asciiTheme="majorHAnsi" w:hAnsiTheme="majorHAnsi"/>
          <w:sz w:val="22"/>
          <w:vertAlign w:val="superscript"/>
          <w:lang w:val="ro-RO"/>
        </w:rPr>
        <w:footnoteReference w:id="63"/>
      </w:r>
      <w:r w:rsidR="00B04116" w:rsidRPr="001C6DCE">
        <w:rPr>
          <w:rFonts w:asciiTheme="majorHAnsi" w:hAnsiTheme="majorHAnsi" w:cs="Times New Roman"/>
          <w:sz w:val="24"/>
          <w:szCs w:val="24"/>
          <w:lang w:val="ro-RO"/>
        </w:rPr>
        <w:t>, precum și de organizarea controlului intern managerial, pentru a asigura desfășurarea organizată și eficientă a activității economice a entității, inclusiv respectarea strictă a integrității activelor, prevenirea și descoperirea cauzelor de fraudă și/sau eroare, exactitatea și plenitudinea înregistrărilor contabile, precum și pregătirea oportună a unor informații credibile.</w:t>
      </w:r>
    </w:p>
    <w:p w14:paraId="1E75AA18" w14:textId="77777777" w:rsidR="006772FE" w:rsidRPr="001C6DCE" w:rsidRDefault="006772FE" w:rsidP="008C4E63">
      <w:pPr>
        <w:spacing w:after="0" w:line="276" w:lineRule="auto"/>
        <w:jc w:val="both"/>
        <w:rPr>
          <w:rFonts w:asciiTheme="majorHAnsi" w:hAnsiTheme="majorHAnsi" w:cstheme="majorHAnsi"/>
          <w:bCs/>
          <w:sz w:val="24"/>
          <w:szCs w:val="24"/>
          <w:lang w:val="ro-RO"/>
        </w:rPr>
      </w:pPr>
    </w:p>
    <w:p w14:paraId="230B13F7" w14:textId="2BD5F44A" w:rsidR="006772FE" w:rsidRPr="001C6DCE" w:rsidRDefault="006772FE" w:rsidP="008C4E63">
      <w:pPr>
        <w:pStyle w:val="1"/>
        <w:tabs>
          <w:tab w:val="left" w:pos="0"/>
        </w:tabs>
        <w:spacing w:before="0" w:line="276" w:lineRule="auto"/>
        <w:jc w:val="both"/>
        <w:rPr>
          <w:rFonts w:asciiTheme="majorHAnsi" w:hAnsiTheme="majorHAnsi" w:cstheme="majorHAnsi"/>
          <w:sz w:val="24"/>
          <w:szCs w:val="24"/>
          <w:lang w:val="ro-RO"/>
        </w:rPr>
      </w:pPr>
      <w:bookmarkStart w:id="10" w:name="_Toc506212738"/>
      <w:bookmarkStart w:id="11" w:name="_Toc517946648"/>
      <w:bookmarkStart w:id="12" w:name="_Toc519878943"/>
      <w:bookmarkStart w:id="13" w:name="_Toc527989154"/>
      <w:bookmarkStart w:id="14" w:name="_Toc528164111"/>
      <w:bookmarkStart w:id="15" w:name="_Toc529544635"/>
      <w:r w:rsidRPr="001C6DCE">
        <w:rPr>
          <w:rFonts w:asciiTheme="majorHAnsi" w:hAnsiTheme="majorHAnsi" w:cstheme="majorHAnsi"/>
          <w:sz w:val="24"/>
          <w:szCs w:val="24"/>
          <w:lang w:val="ro-RO"/>
        </w:rPr>
        <w:t>VII</w:t>
      </w:r>
      <w:r w:rsidR="00114048" w:rsidRPr="001C6DCE">
        <w:rPr>
          <w:rFonts w:asciiTheme="majorHAnsi" w:hAnsiTheme="majorHAnsi" w:cstheme="majorHAnsi"/>
          <w:sz w:val="24"/>
          <w:szCs w:val="24"/>
          <w:lang w:val="ro-RO"/>
        </w:rPr>
        <w:t>I</w:t>
      </w:r>
      <w:r w:rsidRPr="001C6DCE">
        <w:rPr>
          <w:rFonts w:asciiTheme="majorHAnsi" w:hAnsiTheme="majorHAnsi" w:cstheme="majorHAnsi"/>
          <w:sz w:val="24"/>
          <w:szCs w:val="24"/>
          <w:lang w:val="ro-RO"/>
        </w:rPr>
        <w:t>. RESPONSABILITĂȚILE AUDITORULUI</w:t>
      </w:r>
      <w:bookmarkEnd w:id="10"/>
      <w:bookmarkEnd w:id="11"/>
      <w:r w:rsidRPr="001C6DCE">
        <w:rPr>
          <w:rFonts w:asciiTheme="majorHAnsi" w:hAnsiTheme="majorHAnsi" w:cstheme="majorHAnsi"/>
          <w:sz w:val="24"/>
          <w:szCs w:val="24"/>
          <w:lang w:val="ro-RO"/>
        </w:rPr>
        <w:t xml:space="preserve"> ÎNTR-UN AUDIT AL RAPOARTELOR FINANCIARE</w:t>
      </w:r>
      <w:bookmarkEnd w:id="12"/>
      <w:bookmarkEnd w:id="13"/>
      <w:bookmarkEnd w:id="14"/>
      <w:bookmarkEnd w:id="15"/>
    </w:p>
    <w:p w14:paraId="7B09BBE0" w14:textId="77777777" w:rsidR="00B04116" w:rsidRPr="001C6DCE" w:rsidRDefault="00B04116" w:rsidP="008C4E63">
      <w:pPr>
        <w:autoSpaceDE w:val="0"/>
        <w:autoSpaceDN w:val="0"/>
        <w:adjustRightInd w:val="0"/>
        <w:spacing w:after="0" w:line="276" w:lineRule="auto"/>
        <w:jc w:val="both"/>
        <w:rPr>
          <w:rFonts w:asciiTheme="majorHAnsi" w:hAnsiTheme="majorHAnsi" w:cstheme="minorHAnsi"/>
          <w:sz w:val="24"/>
          <w:szCs w:val="24"/>
          <w:lang w:val="ro-RO"/>
        </w:rPr>
      </w:pPr>
      <w:r w:rsidRPr="001C6DCE">
        <w:rPr>
          <w:rFonts w:asciiTheme="majorHAnsi" w:hAnsiTheme="majorHAnsi" w:cstheme="minorHAnsi"/>
          <w:sz w:val="24"/>
          <w:szCs w:val="24"/>
          <w:lang w:val="ro-RO"/>
        </w:rPr>
        <w:t>Responsabilitatea noastră este de a planifica și a realiza misiunea de audit public, cu obținerea probelor suficiente și adecvate în vederea susținerii bazei pentru opinia de audit. Obiectivele noastre sunt: obținerea unei asigurări rezonabile că rapoartele financiare nu sunt afectate de denaturări semnificative, cauzate de fraude și/sau erori, precum și emiterea unei opinii.</w:t>
      </w:r>
    </w:p>
    <w:p w14:paraId="3F7975B7" w14:textId="5EB3D290" w:rsidR="00B04116" w:rsidRPr="001C6DCE" w:rsidRDefault="00B04116" w:rsidP="008C4E63">
      <w:pPr>
        <w:autoSpaceDE w:val="0"/>
        <w:autoSpaceDN w:val="0"/>
        <w:adjustRightInd w:val="0"/>
        <w:spacing w:after="0" w:line="276" w:lineRule="auto"/>
        <w:jc w:val="both"/>
        <w:rPr>
          <w:rFonts w:asciiTheme="majorHAnsi" w:hAnsiTheme="majorHAnsi" w:cstheme="minorHAnsi"/>
          <w:sz w:val="24"/>
          <w:szCs w:val="24"/>
          <w:lang w:val="ro-RO"/>
        </w:rPr>
      </w:pPr>
      <w:r w:rsidRPr="001C6DCE">
        <w:rPr>
          <w:rFonts w:asciiTheme="majorHAnsi" w:hAnsiTheme="majorHAnsi" w:cstheme="minorHAnsi"/>
          <w:sz w:val="24"/>
          <w:szCs w:val="24"/>
          <w:lang w:val="ro-RO"/>
        </w:rPr>
        <w:t xml:space="preserve">Asigurarea rezonabilă este un nivel ridicat de asigurare, dar nu este o garanție că un audit efectuat în conformitate cu ISSAI va detecta întotdeauna o denaturare semnificativă atunci când ea există. Denaturările pot fi urmarea fraudelor sau erorilor. Totodată, denaturările pot fi considerate semnificative dacă, în mod individual sau în ansamblu, pot influența deciziile economice ale utilizatorilor acestor rapoarte financiare consolidate. </w:t>
      </w:r>
    </w:p>
    <w:p w14:paraId="31A5B257" w14:textId="77777777" w:rsidR="00B04116" w:rsidRPr="001C6DCE" w:rsidRDefault="00B04116" w:rsidP="008C4E63">
      <w:pPr>
        <w:spacing w:line="276" w:lineRule="auto"/>
        <w:jc w:val="both"/>
        <w:rPr>
          <w:rFonts w:asciiTheme="majorHAnsi" w:hAnsiTheme="majorHAnsi" w:cstheme="minorHAnsi"/>
          <w:sz w:val="16"/>
          <w:szCs w:val="16"/>
          <w:lang w:val="ro-RO"/>
        </w:rPr>
      </w:pPr>
      <w:r w:rsidRPr="001C6DCE">
        <w:rPr>
          <w:rFonts w:asciiTheme="majorHAnsi" w:hAnsiTheme="majorHAnsi" w:cstheme="minorHAnsi"/>
          <w:sz w:val="24"/>
          <w:szCs w:val="24"/>
          <w:lang w:val="ro-RO"/>
        </w:rPr>
        <w:t>O descriere suplimentară a responsabilităților auditorului într-un audit al rapoartelor financiare este plasată pe site-ul Curții de Conturi, la adresa:</w:t>
      </w:r>
      <w:r w:rsidRPr="001C6DCE">
        <w:rPr>
          <w:rFonts w:cs="Times New Roman"/>
          <w:sz w:val="24"/>
          <w:szCs w:val="24"/>
          <w:lang w:val="ro-RO"/>
        </w:rPr>
        <w:t xml:space="preserve"> </w:t>
      </w:r>
      <w:hyperlink r:id="rId12" w:history="1">
        <w:r w:rsidRPr="001C6DCE">
          <w:rPr>
            <w:rFonts w:cs="Times New Roman"/>
            <w:sz w:val="24"/>
            <w:szCs w:val="24"/>
            <w:u w:val="single"/>
            <w:lang w:val="ro-RO"/>
          </w:rPr>
          <w:t>https://www.ccrm.md/ro/responsabilitati-in-auditul-financiar-3596.html</w:t>
        </w:r>
      </w:hyperlink>
      <w:r w:rsidRPr="001C6DCE">
        <w:rPr>
          <w:rFonts w:asciiTheme="majorHAnsi" w:hAnsiTheme="majorHAnsi" w:cstheme="minorHAnsi"/>
          <w:sz w:val="24"/>
          <w:szCs w:val="24"/>
          <w:lang w:val="ro-RO"/>
        </w:rPr>
        <w:t>. Această descriere face parte din Raportul nostru de audit.</w:t>
      </w:r>
    </w:p>
    <w:p w14:paraId="3CB78AAC" w14:textId="77777777" w:rsidR="006772FE" w:rsidRPr="001C6DCE" w:rsidRDefault="006772FE" w:rsidP="008C4E63">
      <w:pPr>
        <w:pStyle w:val="ab"/>
        <w:spacing w:line="276" w:lineRule="auto"/>
        <w:ind w:firstLine="0"/>
        <w:rPr>
          <w:rFonts w:asciiTheme="majorHAnsi" w:hAnsiTheme="majorHAnsi" w:cstheme="majorHAnsi"/>
          <w:i/>
          <w:iCs/>
          <w:sz w:val="20"/>
          <w:szCs w:val="20"/>
          <w:lang w:val="ro-RO"/>
        </w:rPr>
      </w:pPr>
    </w:p>
    <w:p w14:paraId="684FC4DE" w14:textId="33EAF4F5" w:rsidR="006772FE" w:rsidRPr="001C6DCE" w:rsidRDefault="006772FE" w:rsidP="008C4E63">
      <w:pPr>
        <w:pStyle w:val="ab"/>
        <w:spacing w:line="276" w:lineRule="auto"/>
        <w:ind w:firstLine="0"/>
        <w:rPr>
          <w:rFonts w:asciiTheme="majorHAnsi" w:hAnsiTheme="majorHAnsi" w:cstheme="majorHAnsi"/>
          <w:i/>
          <w:iCs/>
          <w:sz w:val="20"/>
          <w:szCs w:val="20"/>
          <w:lang w:val="ro-RO"/>
        </w:rPr>
      </w:pPr>
      <w:r w:rsidRPr="001C6DCE">
        <w:rPr>
          <w:rFonts w:asciiTheme="majorHAnsi" w:hAnsiTheme="majorHAnsi" w:cstheme="majorHAnsi"/>
          <w:b/>
          <w:i/>
          <w:iCs/>
          <w:sz w:val="20"/>
          <w:szCs w:val="20"/>
          <w:lang w:val="ro-RO"/>
        </w:rPr>
        <w:t>Notă:</w:t>
      </w:r>
      <w:r w:rsidRPr="001C6DCE">
        <w:rPr>
          <w:rFonts w:asciiTheme="majorHAnsi" w:hAnsiTheme="majorHAnsi" w:cstheme="majorHAnsi"/>
          <w:i/>
          <w:iCs/>
          <w:sz w:val="20"/>
          <w:szCs w:val="20"/>
          <w:lang w:val="ro-RO"/>
        </w:rPr>
        <w:t xml:space="preserve"> Prezentul Raport de audit a fost întocmit în baza probelor acumulate de către echipa de audit, în următoarea componență: auditorii publici pr</w:t>
      </w:r>
      <w:r w:rsidR="00114048" w:rsidRPr="001C6DCE">
        <w:rPr>
          <w:rFonts w:asciiTheme="majorHAnsi" w:hAnsiTheme="majorHAnsi" w:cstheme="majorHAnsi"/>
          <w:i/>
          <w:iCs/>
          <w:sz w:val="20"/>
          <w:szCs w:val="20"/>
          <w:lang w:val="ro-RO"/>
        </w:rPr>
        <w:t>incipali</w:t>
      </w:r>
      <w:r w:rsidR="00EC7DF2" w:rsidRPr="001C6DCE">
        <w:rPr>
          <w:rFonts w:asciiTheme="majorHAnsi" w:hAnsiTheme="majorHAnsi" w:cstheme="majorHAnsi"/>
          <w:i/>
          <w:iCs/>
          <w:sz w:val="20"/>
          <w:szCs w:val="20"/>
          <w:lang w:val="ro-RO"/>
        </w:rPr>
        <w:t xml:space="preserve"> </w:t>
      </w:r>
      <w:r w:rsidR="00EC7DF2" w:rsidRPr="001C6DCE">
        <w:rPr>
          <w:rFonts w:asciiTheme="majorHAnsi" w:hAnsiTheme="majorHAnsi" w:cstheme="majorHAnsi"/>
          <w:i/>
          <w:iCs/>
          <w:sz w:val="20"/>
          <w:szCs w:val="20"/>
          <w:lang w:val="ro-MD"/>
        </w:rPr>
        <w:t>–</w:t>
      </w:r>
      <w:r w:rsidR="00EC7DF2" w:rsidRPr="001C6DCE">
        <w:rPr>
          <w:rFonts w:asciiTheme="majorHAnsi" w:hAnsiTheme="majorHAnsi" w:cstheme="majorHAnsi"/>
          <w:i/>
          <w:iCs/>
          <w:sz w:val="20"/>
          <w:szCs w:val="20"/>
          <w:lang w:val="ro-RO"/>
        </w:rPr>
        <w:t xml:space="preserve"> </w:t>
      </w:r>
      <w:r w:rsidR="00114048" w:rsidRPr="001C6DCE">
        <w:rPr>
          <w:rFonts w:asciiTheme="majorHAnsi" w:hAnsiTheme="majorHAnsi" w:cstheme="majorHAnsi"/>
          <w:i/>
          <w:iCs/>
          <w:sz w:val="20"/>
          <w:szCs w:val="20"/>
          <w:lang w:val="ro-RO"/>
        </w:rPr>
        <w:t>Tatiana UNGUREANU, All</w:t>
      </w:r>
      <w:r w:rsidRPr="001C6DCE">
        <w:rPr>
          <w:rFonts w:asciiTheme="majorHAnsi" w:hAnsiTheme="majorHAnsi" w:cstheme="majorHAnsi"/>
          <w:i/>
          <w:iCs/>
          <w:sz w:val="20"/>
          <w:szCs w:val="20"/>
          <w:lang w:val="ro-RO"/>
        </w:rPr>
        <w:t>a LEAȘOC</w:t>
      </w:r>
      <w:r w:rsidR="00114048" w:rsidRPr="001C6DCE">
        <w:rPr>
          <w:rFonts w:asciiTheme="majorHAnsi" w:hAnsiTheme="majorHAnsi" w:cstheme="majorHAnsi"/>
          <w:i/>
          <w:iCs/>
          <w:sz w:val="20"/>
          <w:szCs w:val="20"/>
          <w:lang w:val="ro-RO"/>
        </w:rPr>
        <w:t>, Ecaterina CHIRTOACĂ</w:t>
      </w:r>
      <w:r w:rsidR="00B83E2D" w:rsidRPr="001C6DCE">
        <w:rPr>
          <w:rFonts w:asciiTheme="majorHAnsi" w:hAnsiTheme="majorHAnsi" w:cstheme="majorHAnsi"/>
          <w:i/>
          <w:iCs/>
          <w:sz w:val="20"/>
          <w:szCs w:val="20"/>
          <w:lang w:val="ro-RO"/>
        </w:rPr>
        <w:t>,</w:t>
      </w:r>
      <w:r w:rsidR="00114048" w:rsidRPr="001C6DCE">
        <w:rPr>
          <w:rFonts w:asciiTheme="majorHAnsi" w:hAnsiTheme="majorHAnsi" w:cstheme="majorHAnsi"/>
          <w:i/>
          <w:iCs/>
          <w:sz w:val="20"/>
          <w:szCs w:val="20"/>
          <w:lang w:val="ro-RO"/>
        </w:rPr>
        <w:t xml:space="preserve"> </w:t>
      </w:r>
      <w:r w:rsidRPr="001C6DCE">
        <w:rPr>
          <w:rFonts w:asciiTheme="majorHAnsi" w:hAnsiTheme="majorHAnsi" w:cstheme="majorHAnsi"/>
          <w:i/>
          <w:iCs/>
          <w:sz w:val="20"/>
          <w:szCs w:val="20"/>
          <w:lang w:val="ro-RO"/>
        </w:rPr>
        <w:t>Sergiu MÎȚĂ</w:t>
      </w:r>
      <w:r w:rsidR="00F06140" w:rsidRPr="001C6DCE">
        <w:rPr>
          <w:rFonts w:asciiTheme="majorHAnsi" w:hAnsiTheme="majorHAnsi" w:cstheme="majorHAnsi"/>
          <w:i/>
          <w:iCs/>
          <w:sz w:val="20"/>
          <w:szCs w:val="20"/>
          <w:lang w:val="ro-RO"/>
        </w:rPr>
        <w:t>, Aliona MANOLE</w:t>
      </w:r>
      <w:r w:rsidRPr="001C6DCE">
        <w:rPr>
          <w:rFonts w:asciiTheme="majorHAnsi" w:hAnsiTheme="majorHAnsi" w:cstheme="majorHAnsi"/>
          <w:i/>
          <w:iCs/>
          <w:sz w:val="20"/>
          <w:szCs w:val="20"/>
          <w:lang w:val="ro-RO"/>
        </w:rPr>
        <w:t>; auditorii publici</w:t>
      </w:r>
      <w:r w:rsidR="00EC7DF2" w:rsidRPr="001C6DCE">
        <w:rPr>
          <w:rFonts w:asciiTheme="majorHAnsi" w:hAnsiTheme="majorHAnsi" w:cstheme="majorHAnsi"/>
          <w:i/>
          <w:iCs/>
          <w:sz w:val="20"/>
          <w:szCs w:val="20"/>
          <w:lang w:val="ro-RO"/>
        </w:rPr>
        <w:t xml:space="preserve"> </w:t>
      </w:r>
      <w:r w:rsidR="00EC7DF2" w:rsidRPr="001C6DCE">
        <w:rPr>
          <w:rFonts w:asciiTheme="majorHAnsi" w:hAnsiTheme="majorHAnsi" w:cstheme="majorHAnsi"/>
          <w:i/>
          <w:iCs/>
          <w:sz w:val="20"/>
          <w:szCs w:val="20"/>
          <w:lang w:val="ro-MD"/>
        </w:rPr>
        <w:t>–</w:t>
      </w:r>
      <w:r w:rsidRPr="001C6DCE">
        <w:rPr>
          <w:rFonts w:asciiTheme="majorHAnsi" w:hAnsiTheme="majorHAnsi" w:cstheme="majorHAnsi"/>
          <w:i/>
          <w:iCs/>
          <w:sz w:val="20"/>
          <w:szCs w:val="20"/>
          <w:lang w:val="ro-RO"/>
        </w:rPr>
        <w:t xml:space="preserve"> Anatol PETREANU, Alfred</w:t>
      </w:r>
      <w:r w:rsidR="00CE59BC" w:rsidRPr="001C6DCE">
        <w:rPr>
          <w:rFonts w:asciiTheme="majorHAnsi" w:hAnsiTheme="majorHAnsi" w:cstheme="majorHAnsi"/>
          <w:i/>
          <w:iCs/>
          <w:sz w:val="20"/>
          <w:szCs w:val="20"/>
          <w:lang w:val="ro-RO"/>
        </w:rPr>
        <w:t xml:space="preserve"> </w:t>
      </w:r>
      <w:r w:rsidRPr="001C6DCE">
        <w:rPr>
          <w:rFonts w:asciiTheme="majorHAnsi" w:hAnsiTheme="majorHAnsi" w:cstheme="majorHAnsi"/>
          <w:i/>
          <w:iCs/>
          <w:sz w:val="20"/>
          <w:szCs w:val="20"/>
          <w:lang w:val="ro-RO"/>
        </w:rPr>
        <w:t>SILISTRARI</w:t>
      </w:r>
      <w:r w:rsidR="00EC7DF2" w:rsidRPr="001C6DCE">
        <w:rPr>
          <w:rFonts w:asciiTheme="majorHAnsi" w:hAnsiTheme="majorHAnsi" w:cstheme="majorHAnsi"/>
          <w:i/>
          <w:iCs/>
          <w:sz w:val="20"/>
          <w:szCs w:val="20"/>
          <w:lang w:val="ro-RO"/>
        </w:rPr>
        <w:t>.</w:t>
      </w:r>
    </w:p>
    <w:p w14:paraId="5740776D" w14:textId="77777777" w:rsidR="006772FE" w:rsidRPr="001C6DCE" w:rsidRDefault="006772FE" w:rsidP="008C4E63">
      <w:pPr>
        <w:pStyle w:val="a8"/>
        <w:spacing w:line="276" w:lineRule="auto"/>
        <w:ind w:left="0" w:firstLine="720"/>
        <w:contextualSpacing w:val="0"/>
        <w:rPr>
          <w:rFonts w:asciiTheme="majorHAnsi" w:hAnsiTheme="majorHAnsi" w:cstheme="majorHAnsi"/>
          <w:b/>
          <w:bCs/>
          <w:i/>
          <w:sz w:val="24"/>
          <w:szCs w:val="24"/>
          <w:lang w:val="ro-RO"/>
        </w:rPr>
      </w:pPr>
    </w:p>
    <w:p w14:paraId="5F327753" w14:textId="77777777" w:rsidR="006772FE" w:rsidRPr="001C6DCE" w:rsidRDefault="006772FE" w:rsidP="008C4E63">
      <w:pPr>
        <w:spacing w:after="0" w:line="276" w:lineRule="auto"/>
        <w:rPr>
          <w:rFonts w:asciiTheme="majorHAnsi" w:eastAsia="Times New Roman" w:hAnsiTheme="majorHAnsi" w:cs="Times New Roman"/>
          <w:b/>
          <w:i/>
          <w:sz w:val="24"/>
          <w:szCs w:val="24"/>
          <w:lang w:val="ro-RO" w:eastAsia="ro-MD"/>
        </w:rPr>
      </w:pPr>
      <w:r w:rsidRPr="001C6DCE">
        <w:rPr>
          <w:rFonts w:asciiTheme="majorHAnsi" w:eastAsia="Times New Roman" w:hAnsiTheme="majorHAnsi" w:cs="Times New Roman"/>
          <w:b/>
          <w:i/>
          <w:sz w:val="24"/>
          <w:szCs w:val="24"/>
          <w:lang w:val="ro-RO" w:eastAsia="ro-MD"/>
        </w:rPr>
        <w:t>Responsabili de întocmirea Raportului de audit:</w:t>
      </w:r>
    </w:p>
    <w:p w14:paraId="2E18861E" w14:textId="77777777" w:rsidR="006772FE" w:rsidRPr="001C6DCE" w:rsidRDefault="006772FE" w:rsidP="008C4E63">
      <w:pPr>
        <w:spacing w:after="0" w:line="276" w:lineRule="auto"/>
        <w:rPr>
          <w:rFonts w:asciiTheme="majorHAnsi" w:eastAsia="Times New Roman" w:hAnsiTheme="majorHAnsi" w:cs="Times New Roman"/>
          <w:sz w:val="24"/>
          <w:szCs w:val="24"/>
          <w:lang w:val="ro-RO" w:eastAsia="ro-MD"/>
        </w:rPr>
      </w:pPr>
      <w:r w:rsidRPr="001C6DCE">
        <w:rPr>
          <w:rFonts w:asciiTheme="majorHAnsi" w:eastAsia="Times New Roman" w:hAnsiTheme="majorHAnsi" w:cs="Times New Roman"/>
          <w:sz w:val="24"/>
          <w:szCs w:val="24"/>
          <w:lang w:val="ro-RO" w:eastAsia="ro-MD"/>
        </w:rPr>
        <w:t>Șefa echipei de audit,</w:t>
      </w:r>
    </w:p>
    <w:p w14:paraId="7DDDF400" w14:textId="0F260AFF" w:rsidR="006772FE" w:rsidRPr="001C6DCE" w:rsidRDefault="00EC7DF2" w:rsidP="008C4E63">
      <w:pPr>
        <w:spacing w:after="0" w:line="276" w:lineRule="auto"/>
        <w:rPr>
          <w:rFonts w:asciiTheme="majorHAnsi" w:eastAsia="Times New Roman" w:hAnsiTheme="majorHAnsi" w:cs="Times New Roman"/>
          <w:sz w:val="24"/>
          <w:szCs w:val="24"/>
          <w:lang w:val="ro-RO" w:eastAsia="ro-MD"/>
        </w:rPr>
      </w:pPr>
      <w:r w:rsidRPr="001C6DCE">
        <w:rPr>
          <w:rFonts w:asciiTheme="majorHAnsi" w:eastAsia="Times New Roman" w:hAnsiTheme="majorHAnsi" w:cs="Times New Roman"/>
          <w:sz w:val="24"/>
          <w:szCs w:val="24"/>
          <w:lang w:val="ro-RO" w:eastAsia="ro-MD"/>
        </w:rPr>
        <w:t>a</w:t>
      </w:r>
      <w:r w:rsidR="006772FE" w:rsidRPr="001C6DCE">
        <w:rPr>
          <w:rFonts w:asciiTheme="majorHAnsi" w:eastAsia="Times New Roman" w:hAnsiTheme="majorHAnsi" w:cs="Times New Roman"/>
          <w:sz w:val="24"/>
          <w:szCs w:val="24"/>
          <w:lang w:val="ro-RO" w:eastAsia="ro-MD"/>
        </w:rPr>
        <w:t xml:space="preserve">uditoare publică </w:t>
      </w:r>
      <w:r w:rsidR="00B04116" w:rsidRPr="001C6DCE">
        <w:rPr>
          <w:rFonts w:asciiTheme="majorHAnsi" w:eastAsia="Times New Roman" w:hAnsiTheme="majorHAnsi" w:cs="Times New Roman"/>
          <w:sz w:val="24"/>
          <w:szCs w:val="24"/>
          <w:lang w:val="ro-RO" w:eastAsia="ro-MD"/>
        </w:rPr>
        <w:t>principală</w:t>
      </w:r>
      <w:r w:rsidR="006772FE" w:rsidRPr="001C6DCE">
        <w:rPr>
          <w:rFonts w:asciiTheme="majorHAnsi" w:hAnsiTheme="majorHAnsi" w:cs="Times New Roman"/>
          <w:sz w:val="24"/>
          <w:szCs w:val="24"/>
          <w:lang w:val="ro-RO"/>
        </w:rPr>
        <w:t>,</w:t>
      </w:r>
      <w:r w:rsidR="00721AC1">
        <w:rPr>
          <w:rFonts w:asciiTheme="majorHAnsi" w:hAnsiTheme="majorHAnsi" w:cs="Times New Roman"/>
          <w:sz w:val="24"/>
          <w:szCs w:val="24"/>
          <w:lang w:val="ro-RO"/>
        </w:rPr>
        <w:t xml:space="preserve">                                   </w:t>
      </w:r>
      <w:r w:rsidR="006772FE" w:rsidRPr="001C6DCE">
        <w:rPr>
          <w:rFonts w:asciiTheme="majorHAnsi" w:hAnsiTheme="majorHAnsi" w:cs="Times New Roman"/>
          <w:sz w:val="24"/>
          <w:szCs w:val="24"/>
          <w:lang w:val="ro-RO"/>
        </w:rPr>
        <w:tab/>
      </w:r>
      <w:r w:rsidR="00721AC1">
        <w:rPr>
          <w:rFonts w:asciiTheme="majorHAnsi" w:hAnsiTheme="majorHAnsi" w:cs="Times New Roman"/>
          <w:sz w:val="24"/>
          <w:szCs w:val="24"/>
          <w:lang w:val="ro-RO"/>
        </w:rPr>
        <w:t xml:space="preserve">                                                </w:t>
      </w:r>
      <w:r w:rsidR="006772FE" w:rsidRPr="001C6DCE">
        <w:rPr>
          <w:rFonts w:asciiTheme="majorHAnsi" w:hAnsiTheme="majorHAnsi" w:cs="Times New Roman"/>
          <w:sz w:val="24"/>
          <w:szCs w:val="24"/>
          <w:lang w:val="ro-RO"/>
        </w:rPr>
        <w:t xml:space="preserve">Ana </w:t>
      </w:r>
      <w:r w:rsidR="006772FE" w:rsidRPr="001C6DCE">
        <w:rPr>
          <w:rFonts w:asciiTheme="majorHAnsi" w:hAnsiTheme="majorHAnsi" w:cs="Times New Roman"/>
          <w:b/>
          <w:sz w:val="24"/>
          <w:szCs w:val="24"/>
          <w:lang w:val="ro-RO"/>
        </w:rPr>
        <w:t>DIACONU</w:t>
      </w:r>
      <w:r w:rsidR="006772FE" w:rsidRPr="001C6DCE">
        <w:rPr>
          <w:rFonts w:asciiTheme="majorHAnsi" w:hAnsiTheme="majorHAnsi" w:cs="Times New Roman"/>
          <w:sz w:val="24"/>
          <w:szCs w:val="24"/>
          <w:lang w:val="ro-RO"/>
        </w:rPr>
        <w:t xml:space="preserve"> </w:t>
      </w:r>
    </w:p>
    <w:p w14:paraId="46E6B2AA" w14:textId="77777777" w:rsidR="006772FE" w:rsidRPr="001C6DCE" w:rsidRDefault="006772FE" w:rsidP="008C4E63">
      <w:pPr>
        <w:tabs>
          <w:tab w:val="left" w:pos="7513"/>
        </w:tabs>
        <w:spacing w:after="0" w:line="276" w:lineRule="auto"/>
        <w:rPr>
          <w:rFonts w:asciiTheme="majorHAnsi" w:eastAsia="Times New Roman" w:hAnsiTheme="majorHAnsi" w:cstheme="majorHAnsi"/>
          <w:b/>
          <w:i/>
          <w:iCs/>
          <w:sz w:val="24"/>
          <w:szCs w:val="24"/>
          <w:lang w:val="ro-RO"/>
        </w:rPr>
      </w:pPr>
    </w:p>
    <w:p w14:paraId="1B60F79B" w14:textId="3ECEA0CB" w:rsidR="006772FE" w:rsidRPr="001C6DCE" w:rsidRDefault="006772FE" w:rsidP="008C4E63">
      <w:pPr>
        <w:tabs>
          <w:tab w:val="left" w:pos="7513"/>
        </w:tabs>
        <w:spacing w:after="0" w:line="276" w:lineRule="auto"/>
        <w:rPr>
          <w:rFonts w:asciiTheme="majorHAnsi" w:eastAsia="Times New Roman" w:hAnsiTheme="majorHAnsi" w:cstheme="majorHAnsi"/>
          <w:b/>
          <w:i/>
          <w:iCs/>
          <w:sz w:val="24"/>
          <w:szCs w:val="24"/>
          <w:lang w:val="ro-RO"/>
        </w:rPr>
      </w:pPr>
      <w:r w:rsidRPr="001C6DCE">
        <w:rPr>
          <w:rFonts w:asciiTheme="majorHAnsi" w:eastAsia="Times New Roman" w:hAnsiTheme="majorHAnsi" w:cstheme="majorHAnsi"/>
          <w:b/>
          <w:i/>
          <w:iCs/>
          <w:sz w:val="24"/>
          <w:szCs w:val="24"/>
          <w:lang w:val="ro-RO"/>
        </w:rPr>
        <w:t xml:space="preserve">Responsabil de audit: </w:t>
      </w:r>
    </w:p>
    <w:p w14:paraId="7207B299" w14:textId="45B34BA1" w:rsidR="006772FE" w:rsidRPr="001C6DCE" w:rsidRDefault="006772FE" w:rsidP="008C4E63">
      <w:pPr>
        <w:tabs>
          <w:tab w:val="left" w:pos="7513"/>
        </w:tabs>
        <w:spacing w:after="0" w:line="276" w:lineRule="auto"/>
        <w:rPr>
          <w:rFonts w:asciiTheme="majorHAnsi" w:eastAsia="Times New Roman" w:hAnsiTheme="majorHAnsi" w:cstheme="majorHAnsi"/>
          <w:b/>
          <w:bCs/>
          <w:iCs/>
          <w:sz w:val="24"/>
          <w:szCs w:val="24"/>
          <w:lang w:val="ro-RO"/>
        </w:rPr>
      </w:pPr>
      <w:r w:rsidRPr="001C6DCE">
        <w:rPr>
          <w:rFonts w:asciiTheme="majorHAnsi" w:eastAsia="Times New Roman" w:hAnsiTheme="majorHAnsi" w:cstheme="majorHAnsi"/>
          <w:bCs/>
          <w:sz w:val="24"/>
          <w:szCs w:val="24"/>
          <w:lang w:val="ro-RO"/>
        </w:rPr>
        <w:t>Șef</w:t>
      </w:r>
      <w:r w:rsidR="00357801" w:rsidRPr="001C6DCE">
        <w:rPr>
          <w:rFonts w:asciiTheme="majorHAnsi" w:eastAsia="Times New Roman" w:hAnsiTheme="majorHAnsi" w:cstheme="majorHAnsi"/>
          <w:bCs/>
          <w:sz w:val="24"/>
          <w:szCs w:val="24"/>
          <w:lang w:val="ro-RO"/>
        </w:rPr>
        <w:t>a</w:t>
      </w:r>
      <w:r w:rsidRPr="001C6DCE">
        <w:rPr>
          <w:rFonts w:asciiTheme="majorHAnsi" w:eastAsia="Times New Roman" w:hAnsiTheme="majorHAnsi" w:cstheme="majorHAnsi"/>
          <w:bCs/>
          <w:sz w:val="24"/>
          <w:szCs w:val="24"/>
          <w:lang w:val="ro-RO"/>
        </w:rPr>
        <w:t xml:space="preserve"> interimară a Direcției generale de audit </w:t>
      </w:r>
      <w:r w:rsidR="00EC7DF2" w:rsidRPr="001C6DCE">
        <w:rPr>
          <w:rFonts w:asciiTheme="majorHAnsi" w:eastAsia="Times New Roman" w:hAnsiTheme="majorHAnsi" w:cstheme="majorHAnsi"/>
          <w:bCs/>
          <w:sz w:val="24"/>
          <w:szCs w:val="24"/>
          <w:lang w:val="ro-RO"/>
        </w:rPr>
        <w:t>III</w:t>
      </w:r>
      <w:r w:rsidRPr="001C6DCE">
        <w:rPr>
          <w:rFonts w:asciiTheme="majorHAnsi" w:eastAsia="Times New Roman" w:hAnsiTheme="majorHAnsi" w:cstheme="majorHAnsi"/>
          <w:bCs/>
          <w:sz w:val="24"/>
          <w:szCs w:val="24"/>
          <w:lang w:val="ro-RO"/>
        </w:rPr>
        <w:t>,</w:t>
      </w:r>
      <w:r w:rsidR="00721AC1">
        <w:rPr>
          <w:rFonts w:asciiTheme="majorHAnsi" w:eastAsia="Times New Roman" w:hAnsiTheme="majorHAnsi" w:cstheme="majorHAnsi"/>
          <w:bCs/>
          <w:sz w:val="24"/>
          <w:szCs w:val="24"/>
          <w:lang w:val="ro-RO"/>
        </w:rPr>
        <w:t xml:space="preserve">                                                         </w:t>
      </w:r>
      <w:r w:rsidR="00EC7DF2" w:rsidRPr="001C6DCE">
        <w:rPr>
          <w:rFonts w:asciiTheme="majorHAnsi" w:eastAsia="Times New Roman" w:hAnsiTheme="majorHAnsi" w:cstheme="majorHAnsi"/>
          <w:bCs/>
          <w:sz w:val="24"/>
          <w:szCs w:val="24"/>
          <w:lang w:val="ro-RO"/>
        </w:rPr>
        <w:t xml:space="preserve"> </w:t>
      </w:r>
      <w:r w:rsidRPr="001C6DCE">
        <w:rPr>
          <w:rFonts w:asciiTheme="majorHAnsi" w:hAnsiTheme="majorHAnsi" w:cs="Times New Roman"/>
          <w:sz w:val="24"/>
          <w:szCs w:val="24"/>
          <w:lang w:val="ro-RO"/>
        </w:rPr>
        <w:t xml:space="preserve">Nadejda </w:t>
      </w:r>
      <w:r w:rsidRPr="001C6DCE">
        <w:rPr>
          <w:rFonts w:asciiTheme="majorHAnsi" w:hAnsiTheme="majorHAnsi" w:cs="Times New Roman"/>
          <w:b/>
          <w:sz w:val="24"/>
          <w:szCs w:val="24"/>
          <w:lang w:val="ro-RO"/>
        </w:rPr>
        <w:t>IONIȚĂ</w:t>
      </w:r>
    </w:p>
    <w:p w14:paraId="2C5B87C0" w14:textId="77777777" w:rsidR="00420258" w:rsidRPr="001C6DCE" w:rsidRDefault="00420258" w:rsidP="008C4E63">
      <w:pPr>
        <w:spacing w:line="276" w:lineRule="auto"/>
        <w:jc w:val="right"/>
        <w:rPr>
          <w:lang w:val="ro-RO"/>
        </w:rPr>
      </w:pPr>
    </w:p>
    <w:sectPr w:rsidR="00420258" w:rsidRPr="001C6DCE" w:rsidSect="005C57BF">
      <w:pgSz w:w="11906" w:h="16838" w:code="9"/>
      <w:pgMar w:top="851" w:right="851" w:bottom="851" w:left="170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22FF4" w14:textId="77777777" w:rsidR="00E62CFE" w:rsidRDefault="00E62CFE" w:rsidP="006772FE">
      <w:pPr>
        <w:spacing w:after="0" w:line="240" w:lineRule="auto"/>
      </w:pPr>
      <w:r>
        <w:separator/>
      </w:r>
    </w:p>
  </w:endnote>
  <w:endnote w:type="continuationSeparator" w:id="0">
    <w:p w14:paraId="17C6C67F" w14:textId="77777777" w:rsidR="00E62CFE" w:rsidRDefault="00E62CFE" w:rsidP="0067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Myanmar Text">
    <w:altName w:val="Times New Roman"/>
    <w:charset w:val="00"/>
    <w:family w:val="swiss"/>
    <w:pitch w:val="variable"/>
    <w:sig w:usb0="00000003" w:usb1="00000000" w:usb2="000004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950139"/>
      <w:docPartObj>
        <w:docPartGallery w:val="Page Numbers (Bottom of Page)"/>
        <w:docPartUnique/>
      </w:docPartObj>
    </w:sdtPr>
    <w:sdtEndPr>
      <w:rPr>
        <w:noProof/>
        <w:sz w:val="20"/>
      </w:rPr>
    </w:sdtEndPr>
    <w:sdtContent>
      <w:p w14:paraId="17667DD4" w14:textId="27E3FBB9" w:rsidR="006F26B4" w:rsidRPr="004C443F" w:rsidRDefault="006F26B4">
        <w:pPr>
          <w:pStyle w:val="a6"/>
          <w:jc w:val="right"/>
          <w:rPr>
            <w:sz w:val="20"/>
          </w:rPr>
        </w:pPr>
        <w:r w:rsidRPr="004C443F">
          <w:rPr>
            <w:sz w:val="20"/>
          </w:rPr>
          <w:fldChar w:fldCharType="begin"/>
        </w:r>
        <w:r w:rsidRPr="004C443F">
          <w:rPr>
            <w:sz w:val="20"/>
          </w:rPr>
          <w:instrText xml:space="preserve"> PAGE   \* MERGEFORMAT </w:instrText>
        </w:r>
        <w:r w:rsidRPr="004C443F">
          <w:rPr>
            <w:sz w:val="20"/>
          </w:rPr>
          <w:fldChar w:fldCharType="separate"/>
        </w:r>
        <w:r w:rsidR="007A32C1">
          <w:rPr>
            <w:noProof/>
            <w:sz w:val="20"/>
          </w:rPr>
          <w:t>16</w:t>
        </w:r>
        <w:r w:rsidRPr="004C443F">
          <w:rPr>
            <w:noProof/>
            <w:sz w:val="20"/>
          </w:rPr>
          <w:fldChar w:fldCharType="end"/>
        </w:r>
      </w:p>
    </w:sdtContent>
  </w:sdt>
  <w:p w14:paraId="51F5D9B3" w14:textId="77777777" w:rsidR="006F26B4" w:rsidRDefault="006F26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28C6A" w14:textId="77777777" w:rsidR="00E62CFE" w:rsidRDefault="00E62CFE" w:rsidP="006772FE">
      <w:pPr>
        <w:spacing w:after="0" w:line="240" w:lineRule="auto"/>
      </w:pPr>
      <w:r>
        <w:separator/>
      </w:r>
    </w:p>
  </w:footnote>
  <w:footnote w:type="continuationSeparator" w:id="0">
    <w:p w14:paraId="74D9E9E3" w14:textId="77777777" w:rsidR="00E62CFE" w:rsidRDefault="00E62CFE" w:rsidP="006772FE">
      <w:pPr>
        <w:spacing w:after="0" w:line="240" w:lineRule="auto"/>
      </w:pPr>
      <w:r>
        <w:continuationSeparator/>
      </w:r>
    </w:p>
  </w:footnote>
  <w:footnote w:id="1">
    <w:p w14:paraId="73FE7DF8" w14:textId="499DB79B" w:rsidR="006F26B4" w:rsidRPr="007C635D" w:rsidRDefault="006F26B4" w:rsidP="007C635D">
      <w:pPr>
        <w:pStyle w:val="a3"/>
        <w:jc w:val="both"/>
        <w:rPr>
          <w:rFonts w:asciiTheme="majorHAnsi" w:hAnsiTheme="majorHAnsi" w:cstheme="majorHAnsi"/>
          <w:sz w:val="16"/>
          <w:szCs w:val="16"/>
          <w:lang w:val="ro-MD"/>
        </w:rPr>
      </w:pPr>
      <w:r w:rsidRPr="007C635D">
        <w:rPr>
          <w:rStyle w:val="a5"/>
          <w:rFonts w:asciiTheme="majorHAnsi" w:hAnsiTheme="majorHAnsi" w:cstheme="majorHAnsi"/>
          <w:sz w:val="16"/>
          <w:szCs w:val="16"/>
          <w:lang w:val="ro-MD"/>
        </w:rPr>
        <w:footnoteRef/>
      </w:r>
      <w:r w:rsidRPr="007C635D">
        <w:rPr>
          <w:rFonts w:asciiTheme="majorHAnsi" w:hAnsiTheme="majorHAnsi" w:cstheme="majorHAnsi"/>
          <w:sz w:val="16"/>
          <w:szCs w:val="16"/>
          <w:lang w:val="ro-MD"/>
        </w:rPr>
        <w:t xml:space="preserve"> Legea contabilității nr.</w:t>
      </w:r>
      <w:r w:rsidRPr="007C635D">
        <w:rPr>
          <w:rFonts w:asciiTheme="majorHAnsi" w:eastAsia="Times New Roman" w:hAnsiTheme="majorHAnsi" w:cstheme="majorHAnsi"/>
          <w:sz w:val="16"/>
          <w:szCs w:val="16"/>
          <w:lang w:val="ro-MD"/>
        </w:rPr>
        <w:t>113-XVI din 27.04.2007;</w:t>
      </w:r>
      <w:r w:rsidRPr="007C635D">
        <w:rPr>
          <w:rFonts w:asciiTheme="majorHAnsi" w:hAnsiTheme="majorHAnsi" w:cstheme="majorHAnsi"/>
          <w:sz w:val="16"/>
          <w:szCs w:val="16"/>
          <w:lang w:val="ro-MD"/>
        </w:rPr>
        <w:t xml:space="preserve"> </w:t>
      </w:r>
      <w:r w:rsidRPr="007C635D">
        <w:rPr>
          <w:rFonts w:asciiTheme="majorHAnsi" w:eastAsia="Times New Roman" w:hAnsiTheme="majorHAnsi" w:cstheme="majorHAnsi"/>
          <w:sz w:val="16"/>
          <w:szCs w:val="16"/>
          <w:lang w:val="ro-MD"/>
        </w:rPr>
        <w:t>Planul de conturi contabile în sistemul bugetar și Normele metodologice privind evidența contabilă și raportarea financiară în sistemul bugetar, aprobate prin Ordinul ministrului Finanțelor nr.216 din 28.12.2015 (în continuare – Ordinul ministrului Finanțelor nr.216 din 28.12.2015); Ordinul ministrului Finanțelor nr.164 din 30.12.2016 „Cu privire la aprobarea Cerințelor la întocmirea Raportului narativ privind executarea bugetelor autorităților/instituțiilor bugetare” (în continuare – Ordinul ministrului Finanțelor nr.164 din 30.12.2016).</w:t>
      </w:r>
    </w:p>
  </w:footnote>
  <w:footnote w:id="2">
    <w:p w14:paraId="2CBFB813" w14:textId="77777777"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w:t>
      </w:r>
      <w:r w:rsidRPr="001C6DCE">
        <w:rPr>
          <w:rFonts w:asciiTheme="majorHAnsi" w:eastAsiaTheme="minorEastAsia" w:hAnsiTheme="majorHAnsi" w:cstheme="majorHAnsi"/>
          <w:sz w:val="16"/>
          <w:szCs w:val="16"/>
          <w:lang w:val="ro-MD"/>
        </w:rPr>
        <w:t>Legea privind prețul normativ și modul de vânzare-cumpărare a pământului nr.1308 din 25 iulie 1997.</w:t>
      </w:r>
    </w:p>
  </w:footnote>
  <w:footnote w:id="3">
    <w:p w14:paraId="61D9788D" w14:textId="4CB170EB" w:rsidR="006F26B4" w:rsidRPr="001C6DCE" w:rsidRDefault="006F26B4" w:rsidP="00721AC1">
      <w:pPr>
        <w:pStyle w:val="ab"/>
        <w:ind w:firstLine="0"/>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w:t>
      </w:r>
      <w:r w:rsidRPr="001C6DCE">
        <w:rPr>
          <w:rFonts w:asciiTheme="majorHAnsi" w:hAnsiTheme="majorHAnsi" w:cstheme="majorHAnsi"/>
          <w:bCs/>
          <w:sz w:val="16"/>
          <w:szCs w:val="16"/>
          <w:lang w:val="ro-MD"/>
        </w:rPr>
        <w:t xml:space="preserve">Pct. 1.4.5.2. subpct. 3) din Ordinul ministrului Finanțelor nr.216/2015: </w:t>
      </w:r>
      <w:r w:rsidRPr="001C6DCE">
        <w:rPr>
          <w:rFonts w:asciiTheme="majorHAnsi" w:hAnsiTheme="majorHAnsi" w:cstheme="majorHAnsi"/>
          <w:sz w:val="16"/>
          <w:szCs w:val="16"/>
          <w:lang w:val="ro-MD"/>
        </w:rPr>
        <w:t>Reevaluarea activelor nefinanciare (cu excepția clădirilor și construcțiilor speciale) se efectuează și se înregistrează în cazul transmiterii dreptului de folosință a mijloacelor fixe și activelor neproductive la ieșirea acestora din sistemul bugetar, și anume, în cazul transmiterii în gestiune economică întreprinderilor de stat/ întreprinderilor municipale/ instituțiilor publice la autogestiune și în gestiune delegată societăților comerciale cu capital public, privat sau mixt.</w:t>
      </w:r>
    </w:p>
    <w:p w14:paraId="6EF29229" w14:textId="77777777" w:rsidR="006F26B4" w:rsidRPr="001C6DCE" w:rsidRDefault="006F26B4" w:rsidP="001C6DCE">
      <w:pPr>
        <w:pStyle w:val="a3"/>
        <w:jc w:val="both"/>
        <w:rPr>
          <w:rFonts w:asciiTheme="majorHAnsi" w:hAnsiTheme="majorHAnsi" w:cstheme="majorHAnsi"/>
          <w:sz w:val="16"/>
          <w:szCs w:val="16"/>
          <w:lang w:val="ro-MD"/>
        </w:rPr>
      </w:pPr>
    </w:p>
  </w:footnote>
  <w:footnote w:id="4">
    <w:p w14:paraId="03501C22" w14:textId="77777777" w:rsidR="006F26B4" w:rsidRPr="001C6DCE" w:rsidRDefault="006F26B4" w:rsidP="001C6DCE">
      <w:pPr>
        <w:pStyle w:val="a3"/>
        <w:ind w:right="-2"/>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5">
    <w:p w14:paraId="0CE61958" w14:textId="4EC73331"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Hotărârea Guvernului nr. 161 din 07.03.2019 „</w:t>
      </w:r>
      <w:r w:rsidR="00CC4FF1" w:rsidRPr="001C6DCE">
        <w:rPr>
          <w:rFonts w:asciiTheme="majorHAnsi" w:hAnsiTheme="majorHAnsi" w:cstheme="majorHAnsi"/>
          <w:sz w:val="16"/>
          <w:szCs w:val="16"/>
          <w:lang w:val="ro-MD"/>
        </w:rPr>
        <w:t>C</w:t>
      </w:r>
      <w:r w:rsidRPr="001C6DCE">
        <w:rPr>
          <w:rFonts w:asciiTheme="majorHAnsi" w:hAnsiTheme="majorHAnsi" w:cstheme="majorHAnsi"/>
          <w:sz w:val="16"/>
          <w:szCs w:val="16"/>
          <w:lang w:val="ro-MD"/>
        </w:rPr>
        <w:t>u privire la aprobarea listei terenurilor proprietate publică a statului din administrarea Agenției Proprietății  Publice” (în continuare Hotărârea Guvernului nr.161/2019).</w:t>
      </w:r>
    </w:p>
  </w:footnote>
  <w:footnote w:id="6">
    <w:p w14:paraId="046AB52F" w14:textId="7CBFE225"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Legea privind administrarea și deetatizarea proprietății publice</w:t>
      </w:r>
      <w:r w:rsidR="00CC4FF1" w:rsidRPr="001C6DCE">
        <w:rPr>
          <w:rFonts w:asciiTheme="majorHAnsi" w:hAnsiTheme="majorHAnsi" w:cstheme="majorHAnsi"/>
          <w:sz w:val="16"/>
          <w:szCs w:val="16"/>
          <w:lang w:val="ro-MD"/>
        </w:rPr>
        <w:t xml:space="preserve"> </w:t>
      </w:r>
      <w:r w:rsidR="001C6DCE" w:rsidRPr="001C6DCE">
        <w:rPr>
          <w:rFonts w:asciiTheme="majorHAnsi" w:hAnsiTheme="majorHAnsi" w:cstheme="majorHAnsi"/>
          <w:sz w:val="16"/>
          <w:szCs w:val="16"/>
          <w:lang w:val="ro-MD"/>
        </w:rPr>
        <w:t xml:space="preserve">nr. 121 din 04.05.2007 </w:t>
      </w:r>
      <w:r w:rsidR="00CC4FF1" w:rsidRPr="001C6DCE">
        <w:rPr>
          <w:rFonts w:asciiTheme="majorHAnsi" w:hAnsiTheme="majorHAnsi" w:cstheme="majorHAnsi"/>
          <w:sz w:val="16"/>
          <w:szCs w:val="16"/>
          <w:lang w:val="ro-MD"/>
        </w:rPr>
        <w:t>(în continuare Legea nr.121/2007)</w:t>
      </w:r>
      <w:r w:rsidRPr="001C6DCE">
        <w:rPr>
          <w:rFonts w:asciiTheme="majorHAnsi" w:hAnsiTheme="majorHAnsi" w:cstheme="majorHAnsi"/>
          <w:sz w:val="16"/>
          <w:szCs w:val="16"/>
          <w:lang w:val="ro-MD"/>
        </w:rPr>
        <w:t>.</w:t>
      </w:r>
    </w:p>
  </w:footnote>
  <w:footnote w:id="7">
    <w:p w14:paraId="52BDB56A" w14:textId="138ABD0A"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w:t>
      </w:r>
      <w:r w:rsidRPr="001C6DCE">
        <w:rPr>
          <w:rFonts w:asciiTheme="majorHAnsi" w:eastAsia="Times New Roman" w:hAnsiTheme="majorHAnsi" w:cstheme="majorHAnsi"/>
          <w:color w:val="000000"/>
          <w:sz w:val="16"/>
          <w:szCs w:val="16"/>
          <w:lang w:val="ro-MD" w:eastAsia="ro-RO"/>
        </w:rPr>
        <w:t xml:space="preserve">Liceul Republican de Muzică „Ciprian Porumbescu”, Instituția Publică Centrul de Excelență în Educație Artistică „Ștefan Neaga” din Chișinău, Instituția Publică Colegiul Tehnic Feroviar din </w:t>
      </w:r>
      <w:r w:rsidR="001C6DCE" w:rsidRPr="001C6DCE">
        <w:rPr>
          <w:rFonts w:asciiTheme="majorHAnsi" w:eastAsia="Times New Roman" w:hAnsiTheme="majorHAnsi" w:cstheme="majorHAnsi"/>
          <w:color w:val="000000"/>
          <w:sz w:val="16"/>
          <w:szCs w:val="16"/>
          <w:lang w:val="ro-MD" w:eastAsia="ro-RO"/>
        </w:rPr>
        <w:t>Bălți</w:t>
      </w:r>
      <w:r w:rsidRPr="001C6DCE">
        <w:rPr>
          <w:rFonts w:asciiTheme="majorHAnsi" w:eastAsia="Times New Roman" w:hAnsiTheme="majorHAnsi" w:cstheme="majorHAnsi"/>
          <w:color w:val="000000"/>
          <w:sz w:val="16"/>
          <w:szCs w:val="16"/>
          <w:lang w:val="ro-MD" w:eastAsia="ro-RO"/>
        </w:rPr>
        <w:t xml:space="preserve">, Instituția Publică </w:t>
      </w:r>
      <w:r w:rsidR="001C6DCE" w:rsidRPr="001C6DCE">
        <w:rPr>
          <w:rFonts w:asciiTheme="majorHAnsi" w:eastAsia="Times New Roman" w:hAnsiTheme="majorHAnsi" w:cstheme="majorHAnsi"/>
          <w:color w:val="000000"/>
          <w:sz w:val="16"/>
          <w:szCs w:val="16"/>
          <w:lang w:val="ro-MD" w:eastAsia="ro-RO"/>
        </w:rPr>
        <w:t>Școala</w:t>
      </w:r>
      <w:r w:rsidRPr="001C6DCE">
        <w:rPr>
          <w:rFonts w:asciiTheme="majorHAnsi" w:eastAsia="Times New Roman" w:hAnsiTheme="majorHAnsi" w:cstheme="majorHAnsi"/>
          <w:color w:val="000000"/>
          <w:sz w:val="16"/>
          <w:szCs w:val="16"/>
          <w:lang w:val="ro-MD" w:eastAsia="ro-RO"/>
        </w:rPr>
        <w:t xml:space="preserve"> Profesională nr. 5 din </w:t>
      </w:r>
      <w:r w:rsidR="001C6DCE" w:rsidRPr="001C6DCE">
        <w:rPr>
          <w:rFonts w:asciiTheme="majorHAnsi" w:eastAsia="Times New Roman" w:hAnsiTheme="majorHAnsi" w:cstheme="majorHAnsi"/>
          <w:color w:val="000000"/>
          <w:sz w:val="16"/>
          <w:szCs w:val="16"/>
          <w:lang w:val="ro-MD" w:eastAsia="ro-RO"/>
        </w:rPr>
        <w:t>Bălți</w:t>
      </w:r>
      <w:r w:rsidRPr="001C6DCE">
        <w:rPr>
          <w:rFonts w:asciiTheme="majorHAnsi" w:eastAsia="Times New Roman" w:hAnsiTheme="majorHAnsi" w:cstheme="majorHAnsi"/>
          <w:color w:val="000000"/>
          <w:sz w:val="16"/>
          <w:szCs w:val="16"/>
          <w:lang w:val="ro-MD" w:eastAsia="ro-RO"/>
        </w:rPr>
        <w:t xml:space="preserve">, Instituția Publică Școala Profesională din Briceni, Instituția Publică </w:t>
      </w:r>
      <w:r w:rsidR="001C6DCE" w:rsidRPr="001C6DCE">
        <w:rPr>
          <w:rFonts w:asciiTheme="majorHAnsi" w:eastAsia="Times New Roman" w:hAnsiTheme="majorHAnsi" w:cstheme="majorHAnsi"/>
          <w:color w:val="000000"/>
          <w:sz w:val="16"/>
          <w:szCs w:val="16"/>
          <w:lang w:val="ro-MD" w:eastAsia="ro-RO"/>
        </w:rPr>
        <w:t>Școala</w:t>
      </w:r>
      <w:r w:rsidRPr="001C6DCE">
        <w:rPr>
          <w:rFonts w:asciiTheme="majorHAnsi" w:eastAsia="Times New Roman" w:hAnsiTheme="majorHAnsi" w:cstheme="majorHAnsi"/>
          <w:color w:val="000000"/>
          <w:sz w:val="16"/>
          <w:szCs w:val="16"/>
          <w:lang w:val="ro-MD" w:eastAsia="ro-RO"/>
        </w:rPr>
        <w:t xml:space="preserve"> Profesională din Soroca, Instituția Publică Academia de Studii Economice a Moldovei, Instituția Publică Universitatea de Stat „Alecu Russo” din </w:t>
      </w:r>
      <w:r w:rsidR="001C6DCE" w:rsidRPr="001C6DCE">
        <w:rPr>
          <w:rFonts w:asciiTheme="majorHAnsi" w:eastAsia="Times New Roman" w:hAnsiTheme="majorHAnsi" w:cstheme="majorHAnsi"/>
          <w:color w:val="000000"/>
          <w:sz w:val="16"/>
          <w:szCs w:val="16"/>
          <w:lang w:val="ro-MD" w:eastAsia="ro-RO"/>
        </w:rPr>
        <w:t>Bălți</w:t>
      </w:r>
      <w:r w:rsidRPr="001C6DCE">
        <w:rPr>
          <w:rFonts w:asciiTheme="majorHAnsi" w:eastAsia="Times New Roman" w:hAnsiTheme="majorHAnsi" w:cstheme="majorHAnsi"/>
          <w:color w:val="000000"/>
          <w:sz w:val="16"/>
          <w:szCs w:val="16"/>
          <w:lang w:val="ro-MD" w:eastAsia="ro-RO"/>
        </w:rPr>
        <w:t xml:space="preserve">, Instituția Publică Universitatea de Stat de </w:t>
      </w:r>
      <w:r w:rsidR="001C6DCE" w:rsidRPr="001C6DCE">
        <w:rPr>
          <w:rFonts w:asciiTheme="majorHAnsi" w:eastAsia="Times New Roman" w:hAnsiTheme="majorHAnsi" w:cstheme="majorHAnsi"/>
          <w:color w:val="000000"/>
          <w:sz w:val="16"/>
          <w:szCs w:val="16"/>
          <w:lang w:val="ro-MD" w:eastAsia="ro-RO"/>
        </w:rPr>
        <w:t>Educație</w:t>
      </w:r>
      <w:r w:rsidRPr="001C6DCE">
        <w:rPr>
          <w:rFonts w:asciiTheme="majorHAnsi" w:eastAsia="Times New Roman" w:hAnsiTheme="majorHAnsi" w:cstheme="majorHAnsi"/>
          <w:color w:val="000000"/>
          <w:sz w:val="16"/>
          <w:szCs w:val="16"/>
          <w:lang w:val="ro-MD" w:eastAsia="ro-RO"/>
        </w:rPr>
        <w:t xml:space="preserve"> Fizică </w:t>
      </w:r>
      <w:r w:rsidR="001C6DCE" w:rsidRPr="001C6DCE">
        <w:rPr>
          <w:rFonts w:asciiTheme="majorHAnsi" w:eastAsia="Times New Roman" w:hAnsiTheme="majorHAnsi" w:cstheme="majorHAnsi"/>
          <w:color w:val="000000"/>
          <w:sz w:val="16"/>
          <w:szCs w:val="16"/>
          <w:lang w:val="ro-MD" w:eastAsia="ro-RO"/>
        </w:rPr>
        <w:t>și</w:t>
      </w:r>
      <w:r w:rsidRPr="001C6DCE">
        <w:rPr>
          <w:rFonts w:asciiTheme="majorHAnsi" w:eastAsia="Times New Roman" w:hAnsiTheme="majorHAnsi" w:cstheme="majorHAnsi"/>
          <w:color w:val="000000"/>
          <w:sz w:val="16"/>
          <w:szCs w:val="16"/>
          <w:lang w:val="ro-MD" w:eastAsia="ro-RO"/>
        </w:rPr>
        <w:t xml:space="preserve"> Sport.</w:t>
      </w:r>
    </w:p>
  </w:footnote>
  <w:footnote w:id="8">
    <w:p w14:paraId="6A4002BD" w14:textId="7EC725CC" w:rsidR="006F26B4" w:rsidRPr="001C6DCE" w:rsidRDefault="006F26B4" w:rsidP="001C6DCE">
      <w:pPr>
        <w:pStyle w:val="a3"/>
        <w:ind w:right="-2"/>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Pct. 3.4.21</w:t>
      </w:r>
      <w:r w:rsidRPr="001C6DCE">
        <w:rPr>
          <w:rFonts w:asciiTheme="majorHAnsi" w:hAnsiTheme="majorHAnsi" w:cstheme="majorHAnsi"/>
          <w:sz w:val="16"/>
          <w:szCs w:val="16"/>
          <w:vertAlign w:val="superscript"/>
          <w:lang w:val="ro-MD"/>
        </w:rPr>
        <w:t>1</w:t>
      </w:r>
      <w:r w:rsidRPr="001C6DCE">
        <w:rPr>
          <w:rFonts w:asciiTheme="majorHAnsi" w:hAnsiTheme="majorHAnsi" w:cstheme="majorHAnsi"/>
          <w:sz w:val="16"/>
          <w:szCs w:val="16"/>
          <w:lang w:val="ro-MD"/>
        </w:rPr>
        <w:t xml:space="preserve"> din Ordinul ministrului Finanțelor nr.216 din 28.12.2015: Autoritatea publică va ține evidența analitică a bunurilor transmise în gestiune economică la nivel de entitate. Entitatea va înregistra bunurile în patrimoniul său și va calcula uzura mijloacelor fixe și amortizarea activelor nemateriale primite în gestiune economică. În condițiile casării și/sau comercializării bunurilor transmise în gestiune economică, mărimea investițiilor statului nu se modifică.</w:t>
      </w:r>
      <w:r w:rsidRPr="001C6DCE">
        <w:rPr>
          <w:rFonts w:asciiTheme="majorHAnsi" w:hAnsiTheme="majorHAnsi" w:cstheme="majorHAnsi"/>
          <w:bCs/>
          <w:kern w:val="36"/>
          <w:sz w:val="16"/>
          <w:szCs w:val="16"/>
          <w:lang w:val="ro-MD" w:eastAsia="ro-RO"/>
        </w:rPr>
        <w:t xml:space="preserve"> Pct.3.3.48</w:t>
      </w:r>
      <w:r w:rsidRPr="001C6DCE">
        <w:rPr>
          <w:rFonts w:asciiTheme="majorHAnsi" w:hAnsiTheme="majorHAnsi" w:cstheme="majorHAnsi"/>
          <w:bCs/>
          <w:kern w:val="36"/>
          <w:sz w:val="16"/>
          <w:szCs w:val="16"/>
          <w:vertAlign w:val="superscript"/>
          <w:lang w:val="ro-MD" w:eastAsia="ro-RO"/>
        </w:rPr>
        <w:t xml:space="preserve">2 </w:t>
      </w:r>
      <w:r w:rsidRPr="001C6DCE">
        <w:rPr>
          <w:rFonts w:asciiTheme="majorHAnsi" w:hAnsiTheme="majorHAnsi" w:cstheme="majorHAnsi"/>
          <w:sz w:val="16"/>
          <w:szCs w:val="16"/>
          <w:lang w:val="ro-MD"/>
        </w:rPr>
        <w:t>din Ordinul ministrului Finanțelor nr.216 din 28.12.2015</w:t>
      </w:r>
      <w:r w:rsidRPr="001C6DCE">
        <w:rPr>
          <w:rFonts w:asciiTheme="majorHAnsi" w:hAnsiTheme="majorHAnsi" w:cstheme="majorHAnsi"/>
          <w:bCs/>
          <w:kern w:val="36"/>
          <w:sz w:val="16"/>
          <w:szCs w:val="16"/>
          <w:lang w:val="ro-MD" w:eastAsia="ro-RO"/>
        </w:rPr>
        <w:t xml:space="preserve">: </w:t>
      </w:r>
      <w:r w:rsidRPr="001C6DCE">
        <w:rPr>
          <w:rFonts w:asciiTheme="majorHAnsi" w:hAnsiTheme="majorHAnsi" w:cstheme="majorHAnsi"/>
          <w:sz w:val="16"/>
          <w:szCs w:val="16"/>
          <w:lang w:val="ro-MD"/>
        </w:rPr>
        <w:t>Operațiunile aferente gestiunii delegate se înregistrează în evidența contabilă după cum urmează: - autoritatea/instituția bugetară care transmite bunurile în gestiune delegată menține bunurile în contabilitate și calculează uzura acestora; - entitatea care primește bunurile în gestiune delegată înregistrează valoarea acestora la conturi extrabilanţiere și transmite până la sfârșitul anului de gestiune autorității/instituției bugetare sumele investițiilor efectuate impuse prin contract.</w:t>
      </w:r>
    </w:p>
  </w:footnote>
  <w:footnote w:id="9">
    <w:p w14:paraId="7D5BA8B2" w14:textId="5CB6E1C3"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Pct. 3.4.18 din Ordinul ministrului Finanțelor nr. 216 din 28.12.2015.</w:t>
      </w:r>
    </w:p>
  </w:footnote>
  <w:footnote w:id="10">
    <w:p w14:paraId="54DCC930" w14:textId="6EDF3985" w:rsidR="00CC4FF1" w:rsidRPr="001C6DCE" w:rsidRDefault="00CC4FF1"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Legea privind delimitarea proprietății publice </w:t>
      </w:r>
      <w:r w:rsidR="001C6DCE" w:rsidRPr="001C6DCE">
        <w:rPr>
          <w:rFonts w:asciiTheme="majorHAnsi" w:hAnsiTheme="majorHAnsi" w:cstheme="majorHAnsi"/>
          <w:sz w:val="16"/>
          <w:szCs w:val="16"/>
          <w:lang w:val="ro-MD"/>
        </w:rPr>
        <w:t xml:space="preserve">nr.29 din 05.04.2018 </w:t>
      </w:r>
      <w:r w:rsidRPr="001C6DCE">
        <w:rPr>
          <w:rFonts w:asciiTheme="majorHAnsi" w:hAnsiTheme="majorHAnsi" w:cstheme="majorHAnsi"/>
          <w:sz w:val="16"/>
          <w:szCs w:val="16"/>
          <w:lang w:val="ro-MD"/>
        </w:rPr>
        <w:t>(în continuare Legea nr.29 din 05.04.2018).</w:t>
      </w:r>
    </w:p>
  </w:footnote>
  <w:footnote w:id="11">
    <w:p w14:paraId="3D8B378E" w14:textId="4F369700"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Universitatea Tehnică a Moldovei (UTM), Academia de Studii Economice a Moldovei (ASEM), Universitatea Pedagogică de Stat „Ion Creangă” din Chișinău (UPSIC), Universitatea de Stat „ Bogdan Petriceicu- Hașdeu” din Cahul, Universitatea de Stat din  Comrat, Universitatea de Stat „</w:t>
      </w:r>
      <w:r w:rsidR="0014342D" w:rsidRPr="001C6DCE">
        <w:rPr>
          <w:rFonts w:asciiTheme="majorHAnsi" w:hAnsiTheme="majorHAnsi" w:cstheme="majorHAnsi"/>
          <w:sz w:val="16"/>
          <w:szCs w:val="16"/>
          <w:lang w:val="ro-MD"/>
        </w:rPr>
        <w:t>Grigorie</w:t>
      </w:r>
      <w:r w:rsidRPr="001C6DCE">
        <w:rPr>
          <w:rFonts w:asciiTheme="majorHAnsi" w:hAnsiTheme="majorHAnsi" w:cstheme="majorHAnsi"/>
          <w:sz w:val="16"/>
          <w:szCs w:val="16"/>
          <w:lang w:val="ro-MD"/>
        </w:rPr>
        <w:t xml:space="preserve"> Țamblac” din  Taraclia, Universitatea de Stat „Alecu Russo” din  Bălți.</w:t>
      </w:r>
    </w:p>
  </w:footnote>
  <w:footnote w:id="12">
    <w:p w14:paraId="1E8127CF" w14:textId="33B3C722"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Universitatea Tehnică a Moldovei, Universitatea de Stat de Educație Fizică și Sport, Universitatea de Stat din Comrat.</w:t>
      </w:r>
    </w:p>
  </w:footnote>
  <w:footnote w:id="13">
    <w:p w14:paraId="2AE15105" w14:textId="7C4BC1B9"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ASEM, Universitatea de Stat din Moldova (USM), UPSIC.</w:t>
      </w:r>
    </w:p>
  </w:footnote>
  <w:footnote w:id="14">
    <w:p w14:paraId="12780AC1" w14:textId="77777777"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Pct. 1 lit. e) din Anexa nr.9 la Legea bugetului de stat pentru anul 2022.</w:t>
      </w:r>
    </w:p>
  </w:footnote>
  <w:footnote w:id="15">
    <w:p w14:paraId="22414590" w14:textId="66285F62"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w:t>
      </w:r>
      <w:r w:rsidRPr="001C6DCE">
        <w:rPr>
          <w:rFonts w:asciiTheme="majorHAnsi" w:eastAsia="Times New Roman" w:hAnsiTheme="majorHAnsi" w:cstheme="majorHAnsi"/>
          <w:bCs/>
          <w:sz w:val="16"/>
          <w:szCs w:val="16"/>
          <w:lang w:val="ro-MD"/>
        </w:rPr>
        <w:t>Institutul de Inginerie Electronică și Nanotehnologii „D. GHIŢU" , Institutul de Chimie și Institutul de Fizică Aplicată.</w:t>
      </w:r>
    </w:p>
  </w:footnote>
  <w:footnote w:id="16">
    <w:p w14:paraId="389DB24B" w14:textId="0153D78A"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Centrul Tehnologii Informaționale și Comunicaționale în Educație – 90,4 mii lei, Școala de tip internat pentru copii rămași fără ocrotire părintească din Cărpineni ,Hâncești – 130,53 mii lei, Agenția Națională de Asigurare а Calității în Educație și</w:t>
      </w:r>
      <w:r w:rsidR="0014342D" w:rsidRPr="001C6DCE">
        <w:rPr>
          <w:rFonts w:asciiTheme="majorHAnsi" w:hAnsiTheme="majorHAnsi" w:cstheme="majorHAnsi"/>
          <w:sz w:val="16"/>
          <w:szCs w:val="16"/>
          <w:lang w:val="ro-MD"/>
        </w:rPr>
        <w:t xml:space="preserve"> Cercetare</w:t>
      </w:r>
      <w:r w:rsidRPr="001C6DCE">
        <w:rPr>
          <w:rFonts w:asciiTheme="majorHAnsi" w:hAnsiTheme="majorHAnsi" w:cstheme="majorHAnsi"/>
          <w:sz w:val="16"/>
          <w:szCs w:val="16"/>
          <w:lang w:val="ro-MD"/>
        </w:rPr>
        <w:t xml:space="preserve"> - 67,5 mii lei, Institutul de Fizică Aplicată - 4,6 mii lei, Școala de tip internat pentru copii rămași fără ocrotire părintească din Bender - 9.95 mii lei,  Școala Republicană Specializată de Hipism și Pentatlon Modern -175,7 mii lei,  37,7 mii lei, 194.3 mii lei,  Liceul Teoretic Republican „Aristotel’’- 192,2 mii lei,  Liceul Teoretic ,,Alexandru cel Bun” din Bender - 581,4 mii lei,  Institutul de Zoologie - 90,7 mii lei, 193,7 mii lei,  Liceul Republican de Muzică „Ciprian Porumbescu” - 181,8 mii lei.</w:t>
      </w:r>
    </w:p>
  </w:footnote>
  <w:footnote w:id="17">
    <w:p w14:paraId="14CDBB9E" w14:textId="27D12A98" w:rsidR="006F26B4" w:rsidRPr="001C6DCE" w:rsidRDefault="006F26B4" w:rsidP="001C6DCE">
      <w:pPr>
        <w:spacing w:after="0" w:line="240" w:lineRule="auto"/>
        <w:jc w:val="both"/>
        <w:rPr>
          <w:rFonts w:asciiTheme="majorHAnsi" w:eastAsia="Times New Roman"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w:t>
      </w:r>
      <w:r w:rsidRPr="001C6DCE">
        <w:rPr>
          <w:rFonts w:asciiTheme="majorHAnsi" w:eastAsia="Times New Roman" w:hAnsiTheme="majorHAnsi" w:cstheme="majorHAnsi"/>
          <w:sz w:val="16"/>
          <w:szCs w:val="16"/>
          <w:lang w:val="ro-MD"/>
        </w:rPr>
        <w:t xml:space="preserve">Școala de tip internat pentru copii rămași fără ocrotire părintească din Bender – 150,8 mii lei,  </w:t>
      </w:r>
      <w:r w:rsidRPr="001C6DCE">
        <w:rPr>
          <w:rFonts w:asciiTheme="majorHAnsi" w:hAnsiTheme="majorHAnsi" w:cstheme="majorHAnsi"/>
          <w:sz w:val="16"/>
          <w:szCs w:val="16"/>
          <w:lang w:val="ro-MD"/>
        </w:rPr>
        <w:t xml:space="preserve">Școala Republicană Specializată de Hipism și Pentatlon Modern - 111,4 mii lei, Liceul Teoretic „Alexandru cel Bun” din Bender - 100,0 mii lei. </w:t>
      </w:r>
    </w:p>
  </w:footnote>
  <w:footnote w:id="18">
    <w:p w14:paraId="33A3641B" w14:textId="7E82D076"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Centrul Sportiv de Pregătire a Loturilor Naționale - 4,5 mii lei.</w:t>
      </w:r>
    </w:p>
  </w:footnote>
  <w:footnote w:id="19">
    <w:p w14:paraId="032FCF0F" w14:textId="159B0B8A" w:rsidR="006F26B4" w:rsidRPr="001C6DCE" w:rsidRDefault="006F26B4" w:rsidP="001C6DCE">
      <w:pPr>
        <w:spacing w:after="0" w:line="240" w:lineRule="auto"/>
        <w:jc w:val="both"/>
        <w:rPr>
          <w:rFonts w:asciiTheme="majorHAnsi" w:eastAsia="Times New Roman"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Anexa nr.3 </w:t>
      </w:r>
      <w:r w:rsidRPr="001C6DCE">
        <w:rPr>
          <w:rFonts w:asciiTheme="majorHAnsi" w:eastAsia="Times New Roman" w:hAnsiTheme="majorHAnsi" w:cstheme="majorHAnsi"/>
          <w:bCs/>
          <w:sz w:val="16"/>
          <w:szCs w:val="16"/>
          <w:lang w:val="ro-MD"/>
        </w:rPr>
        <w:t>„Descifrarea creanțelor și datoriilor”</w:t>
      </w:r>
      <w:r w:rsidRPr="001C6DCE">
        <w:rPr>
          <w:rFonts w:asciiTheme="majorHAnsi" w:eastAsia="Times New Roman" w:hAnsiTheme="majorHAnsi" w:cstheme="majorHAnsi"/>
          <w:sz w:val="16"/>
          <w:szCs w:val="16"/>
          <w:lang w:val="ro-MD"/>
        </w:rPr>
        <w:t xml:space="preserve"> </w:t>
      </w:r>
      <w:r w:rsidRPr="001C6DCE">
        <w:rPr>
          <w:rFonts w:asciiTheme="majorHAnsi" w:hAnsiTheme="majorHAnsi" w:cstheme="majorHAnsi"/>
          <w:sz w:val="16"/>
          <w:szCs w:val="16"/>
          <w:lang w:val="ro-MD"/>
        </w:rPr>
        <w:t>și Anexa nr.4 „</w:t>
      </w:r>
      <w:r w:rsidRPr="001C6DCE">
        <w:rPr>
          <w:rFonts w:asciiTheme="majorHAnsi" w:eastAsia="Times New Roman" w:hAnsiTheme="majorHAnsi" w:cstheme="majorHAnsi"/>
          <w:bCs/>
          <w:sz w:val="16"/>
          <w:szCs w:val="16"/>
          <w:lang w:val="ro-MD"/>
        </w:rPr>
        <w:t>Descifrarea creanțelor cu termenul expirat și a datoriilor cu termenul de achitare expirat (arierate) transmise organelor de anchetă</w:t>
      </w:r>
      <w:r w:rsidRPr="001C6DCE">
        <w:rPr>
          <w:rFonts w:asciiTheme="majorHAnsi" w:hAnsiTheme="majorHAnsi" w:cstheme="majorHAnsi"/>
          <w:sz w:val="16"/>
          <w:szCs w:val="16"/>
          <w:lang w:val="ro-MD"/>
        </w:rPr>
        <w:t xml:space="preserve">”. </w:t>
      </w:r>
    </w:p>
  </w:footnote>
  <w:footnote w:id="20">
    <w:p w14:paraId="156ECA2D" w14:textId="568616CD" w:rsidR="00CC4FF1" w:rsidRPr="001C6DCE" w:rsidRDefault="00CC4FF1"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Hotărârea Guvernului nr.485 din 13.07.2022 „Cu privire la reorganizarea prin fuziune (absorbție) a unor instituții din domeniile educației, cercetării și inovării și modificarea unor hotărâri ale Guvernului” (în continuare Hotărârea Guvernului nr.485/2022).</w:t>
      </w:r>
    </w:p>
  </w:footnote>
  <w:footnote w:id="21">
    <w:p w14:paraId="117F76B3" w14:textId="16F98A0B"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Cancelaria de Stat și Ministerul Agriculturii și Industriei Alimentare.</w:t>
      </w:r>
    </w:p>
  </w:footnote>
  <w:footnote w:id="22">
    <w:p w14:paraId="37726A58" w14:textId="61E1778F"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41,96 mil.lei – contul 536, și 1,34 mil.lei – contul 316.</w:t>
      </w:r>
    </w:p>
  </w:footnote>
  <w:footnote w:id="23">
    <w:p w14:paraId="343C1F8C" w14:textId="4BA23B99"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37.899,81 mii lei (total active) - 557,13 mii lei (datorii curente fără datorii față de proprietari).</w:t>
      </w:r>
    </w:p>
  </w:footnote>
  <w:footnote w:id="24">
    <w:p w14:paraId="61F97B5B" w14:textId="08806A08"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UPSIC a înregistrat la contul </w:t>
      </w:r>
      <w:r w:rsidRPr="001C6DCE">
        <w:rPr>
          <w:rFonts w:asciiTheme="majorHAnsi" w:hAnsiTheme="majorHAnsi" w:cstheme="majorHAnsi"/>
          <w:sz w:val="16"/>
          <w:szCs w:val="16"/>
          <w:shd w:val="clear" w:color="auto" w:fill="FFFFFF"/>
          <w:lang w:val="ro-MD"/>
        </w:rPr>
        <w:t>316 „Patrimoniul primit de la stat cu drept de proprietate” suma de 320,64 mii lei și la contul 427 „Datorii pe termen lung privind bunurile primite în gestiune economică” -</w:t>
      </w:r>
      <w:r w:rsidRPr="001C6DCE">
        <w:rPr>
          <w:rFonts w:asciiTheme="majorHAnsi" w:hAnsiTheme="majorHAnsi" w:cstheme="majorHAnsi"/>
          <w:sz w:val="16"/>
          <w:szCs w:val="16"/>
          <w:lang w:val="ro-MD"/>
        </w:rPr>
        <w:t xml:space="preserve"> 84,32 mii lei, ceea ce reprezintă valoarea de bilanț a clădirilor.</w:t>
      </w:r>
    </w:p>
  </w:footnote>
  <w:footnote w:id="25">
    <w:p w14:paraId="4A21480B" w14:textId="005ABA42"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Valoarea patrimoniului primit în gestiune economică – 438.709,17 mii lei, total active – 559.467,91 mii lei, și datorii curente - 3866,63 mii lei (active nete -555.601,28 mii lei). </w:t>
      </w:r>
    </w:p>
  </w:footnote>
  <w:footnote w:id="26">
    <w:p w14:paraId="44FADBD0" w14:textId="2A805316"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Scrisoarea nr. 20-521 din 22.04.2019; Scrisoarea nr. 20-592 din 20.05.2019; Scrisoarea nr. 20-110 din 29.01.2021.</w:t>
      </w:r>
    </w:p>
  </w:footnote>
  <w:footnote w:id="27">
    <w:p w14:paraId="66CF87F6" w14:textId="12570E38"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w:t>
      </w:r>
      <w:r w:rsidRPr="001C6DCE">
        <w:rPr>
          <w:rFonts w:asciiTheme="majorHAnsi" w:hAnsiTheme="majorHAnsi" w:cstheme="majorHAnsi"/>
          <w:sz w:val="16"/>
          <w:szCs w:val="16"/>
          <w:shd w:val="clear" w:color="auto" w:fill="FFFFFF"/>
          <w:lang w:val="ro-MD"/>
        </w:rPr>
        <w:t>Nr. cadastral 0100419.006.01</w:t>
      </w:r>
      <w:r w:rsidRPr="001C6DCE">
        <w:rPr>
          <w:rFonts w:asciiTheme="majorHAnsi" w:hAnsiTheme="majorHAnsi" w:cstheme="majorHAnsi"/>
          <w:sz w:val="16"/>
          <w:szCs w:val="16"/>
          <w:lang w:val="ro-MD"/>
        </w:rPr>
        <w:t xml:space="preserve">, </w:t>
      </w:r>
      <w:r w:rsidRPr="001C6DCE">
        <w:rPr>
          <w:rFonts w:asciiTheme="majorHAnsi" w:hAnsiTheme="majorHAnsi" w:cstheme="majorHAnsi"/>
          <w:sz w:val="16"/>
          <w:szCs w:val="16"/>
          <w:shd w:val="clear" w:color="auto" w:fill="FFFFFF"/>
          <w:lang w:val="ro-MD"/>
        </w:rPr>
        <w:t>situat în mun. Chișinău, bd. Grigore Vieru, 6, în temeiul Ordinului  MADRM nr. 265 din 22.11.2018.</w:t>
      </w:r>
    </w:p>
  </w:footnote>
  <w:footnote w:id="28">
    <w:p w14:paraId="429FDA8F" w14:textId="080B280A"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w:t>
      </w:r>
      <w:r w:rsidRPr="001C6DCE">
        <w:rPr>
          <w:rFonts w:asciiTheme="majorHAnsi" w:hAnsiTheme="majorHAnsi" w:cstheme="majorHAnsi"/>
          <w:sz w:val="16"/>
          <w:szCs w:val="16"/>
          <w:shd w:val="clear" w:color="auto" w:fill="FFFFFF"/>
          <w:lang w:val="ro-MD"/>
        </w:rPr>
        <w:t>În temeiul Ordinului  MADRM nr. 265 din 22.11.2018.</w:t>
      </w:r>
    </w:p>
  </w:footnote>
  <w:footnote w:id="29">
    <w:p w14:paraId="099072E6" w14:textId="2F0BCA9F"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MEC, MAIA și Cancelaria de Stat.</w:t>
      </w:r>
    </w:p>
  </w:footnote>
  <w:footnote w:id="30">
    <w:p w14:paraId="4E7AF62A" w14:textId="6F638A33" w:rsidR="00CC4FF1" w:rsidRPr="001C6DCE" w:rsidRDefault="00CC4FF1"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Hotărârea Guvernului nr.146 din 25.08.2021 „Cu privire la organizarea și funcționarea Ministerului educației și Cercetării”.</w:t>
      </w:r>
    </w:p>
  </w:footnote>
  <w:footnote w:id="31">
    <w:p w14:paraId="6636F153" w14:textId="77777777" w:rsidR="006F26B4" w:rsidRPr="001C6DCE" w:rsidRDefault="006F26B4" w:rsidP="001C6DCE">
      <w:pPr>
        <w:pStyle w:val="a3"/>
        <w:ind w:right="-2"/>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Codul educației nr.152 din 17.07.2014.</w:t>
      </w:r>
    </w:p>
  </w:footnote>
  <w:footnote w:id="32">
    <w:p w14:paraId="64D4DE42" w14:textId="7268F812"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Datele din Forma -2 Ag, Colegiul de construcții din Hîncești.</w:t>
      </w:r>
    </w:p>
  </w:footnote>
  <w:footnote w:id="33">
    <w:p w14:paraId="555F7366" w14:textId="4001C13A"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Datele din Forma -2 Ag, Centrul de excelență în construcții.</w:t>
      </w:r>
    </w:p>
  </w:footnote>
  <w:footnote w:id="34">
    <w:p w14:paraId="49DAFFB3" w14:textId="55905FB2" w:rsidR="006F26B4" w:rsidRPr="001C6DCE" w:rsidRDefault="006F26B4" w:rsidP="001C6DCE">
      <w:pPr>
        <w:spacing w:after="0" w:line="240" w:lineRule="auto"/>
        <w:ind w:right="-2"/>
        <w:jc w:val="both"/>
        <w:rPr>
          <w:rFonts w:asciiTheme="majorHAnsi" w:eastAsia="Times New Roman" w:hAnsiTheme="majorHAnsi" w:cstheme="majorHAnsi"/>
          <w:bCs/>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Hotărârea Guvernului nr.465 din 16.07.2022 „C</w:t>
      </w:r>
      <w:r w:rsidRPr="001C6DCE">
        <w:rPr>
          <w:rFonts w:asciiTheme="majorHAnsi" w:eastAsia="Times New Roman" w:hAnsiTheme="majorHAnsi" w:cstheme="majorHAnsi"/>
          <w:bCs/>
          <w:sz w:val="16"/>
          <w:szCs w:val="16"/>
          <w:lang w:val="ro-MD"/>
        </w:rPr>
        <w:t>u privire la planurile (comanda de stat) de pregătire a cadrelor de specialitate pe meserii, specialități în instituțiile de învățământ profesional tehnic pentru anul de studii 2021-2022 și modificarea unor hotărâri ale Guvernului”.</w:t>
      </w:r>
    </w:p>
  </w:footnote>
  <w:footnote w:id="35">
    <w:p w14:paraId="3CB171B3" w14:textId="1E5E9D1F" w:rsidR="006F26B4" w:rsidRPr="001C6DCE" w:rsidRDefault="006F26B4" w:rsidP="001C6DCE">
      <w:pPr>
        <w:pStyle w:val="a3"/>
        <w:ind w:right="-2"/>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Instituții de învățământ profesional tehnic: secundar – 51439,9 mii lei, și postsecundar – 28567,0 mii lei.</w:t>
      </w:r>
    </w:p>
  </w:footnote>
  <w:footnote w:id="36">
    <w:p w14:paraId="18165A25" w14:textId="1050FDCA"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20 de instituții de învățământ profesional tehnic secundar și 3 instituții de învățământ profesional postsecundar.</w:t>
      </w:r>
    </w:p>
  </w:footnote>
  <w:footnote w:id="37">
    <w:p w14:paraId="2C8CF33E" w14:textId="37DFA7C2"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993 de elevi - la instituțiile de învățământ profesional tehnic secundar, și 30 de elevi - la instituțiile de învățământ profesional postsecundar.</w:t>
      </w:r>
    </w:p>
  </w:footnote>
  <w:footnote w:id="38">
    <w:p w14:paraId="19C19E01" w14:textId="1A339598"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268.142,41 mii lei - instituțiile de învățământ superior, și 115011,72 mii lei - instituțiile de învățământ profesional tehnic.</w:t>
      </w:r>
    </w:p>
  </w:footnote>
  <w:footnote w:id="39">
    <w:p w14:paraId="33D75B1D" w14:textId="47FEB312"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112916,34 mii lei - instituțiile de învățământ superior, și 116257,82 mii lei - instituțiile de învățământ profesional tehnic.</w:t>
      </w:r>
    </w:p>
  </w:footnote>
  <w:footnote w:id="40">
    <w:p w14:paraId="67CF3DB3" w14:textId="77777777"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Art. 20 din Legea contabilității și raportării financiare nr.287 din 15.12.2017.</w:t>
      </w:r>
    </w:p>
  </w:footnote>
  <w:footnote w:id="41">
    <w:p w14:paraId="147EF7E3" w14:textId="1128A4FD"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ASEM – 11.940,0 mi lei; UPSIC – 9.023,38 mii lei; Universitatea de Stat „Alecu Russo” din Bălți – 29385,95 mii lei; USM – 18.000.07 mii lei.</w:t>
      </w:r>
    </w:p>
  </w:footnote>
  <w:footnote w:id="42">
    <w:p w14:paraId="113EC5CC" w14:textId="428AD5EE" w:rsidR="0014342D" w:rsidRPr="001C6DCE" w:rsidRDefault="0014342D"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Hotărârea Guvernului nr.343 din 10.06.2020 „Cu privire la aprobarea Metodologiei de finanțare bugetară a instituțiilor publice de învățământ superior” (în continuare Hotărârea Guvernului nr.343 din 10.06.2020)</w:t>
      </w:r>
    </w:p>
  </w:footnote>
  <w:footnote w:id="43">
    <w:p w14:paraId="1677404D" w14:textId="4912293D"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Universitatea de Stat „Alecu Russo” din Bălți – 110,64 mii lei; Colegiul Tehnic Feroviar din Bălți – 109,79 mii lei; Colegiul de Construcții din Hâncești – 13,85 mii lei; Centrul de Excelență în Construcții din Chișinău -15,51 mii lei; Colegiul de Industrie Ușoară din Bălți – 32,89 mii lei; Colegiul de Ecologie din Chișinău– 19,61 mii lei.</w:t>
      </w:r>
    </w:p>
  </w:footnote>
  <w:footnote w:id="44">
    <w:p w14:paraId="10CF28EF" w14:textId="27ACA183"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În instituții de învățământ profesional tehnic secundar – 1717 studenți; în instituții de învățământ profesional tehnic postsecundar – 1647 de studenți; în instituții de învățământ superior – 1796 de studenți.</w:t>
      </w:r>
    </w:p>
  </w:footnote>
  <w:footnote w:id="45">
    <w:p w14:paraId="766225C6" w14:textId="6AC85E35"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Instituții de învățământ profesional tehnic secundar – 31745,09 mii lei (1717 st. x 18.488,0 lei), instituții de învățământ profesional tehnic postsecundar - 44.951,57 mii lei (1647 st x 27.293,0 lei), instituții de învățământ superior – 23.452,28 mii lei (1796 st. x 13.058,07 lei).</w:t>
      </w:r>
    </w:p>
  </w:footnote>
  <w:footnote w:id="46">
    <w:p w14:paraId="26440121" w14:textId="15E8345E"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w:t>
      </w:r>
      <w:r w:rsidRPr="001C6DCE">
        <w:rPr>
          <w:rFonts w:asciiTheme="majorHAnsi" w:eastAsia="Times New Roman" w:hAnsiTheme="majorHAnsi" w:cstheme="majorHAnsi"/>
          <w:sz w:val="16"/>
          <w:szCs w:val="16"/>
          <w:lang w:val="ro-MD" w:eastAsia="ru-RU"/>
        </w:rPr>
        <w:t>Pct.4 din Hotărârea Guvernului nr.923 din 04.09.2001 „Cu privire la plasarea în câmpul muncii a absolvenților instituțiilor de învățământ superior și profesional tehnic postsecundar și postsecundar nonterțiar de stat”.</w:t>
      </w:r>
    </w:p>
  </w:footnote>
  <w:footnote w:id="47">
    <w:p w14:paraId="09A93904" w14:textId="77777777" w:rsidR="00A76A25" w:rsidRPr="008C4E63" w:rsidRDefault="00A76A25" w:rsidP="00A76A25">
      <w:pPr>
        <w:pStyle w:val="a3"/>
        <w:jc w:val="both"/>
        <w:rPr>
          <w:rFonts w:asciiTheme="majorHAnsi" w:hAnsiTheme="majorHAnsi" w:cstheme="majorHAnsi"/>
          <w:sz w:val="16"/>
          <w:szCs w:val="16"/>
        </w:rPr>
      </w:pPr>
      <w:r w:rsidRPr="008C4E63">
        <w:rPr>
          <w:rStyle w:val="a5"/>
          <w:rFonts w:asciiTheme="majorHAnsi" w:hAnsiTheme="majorHAnsi" w:cstheme="majorHAnsi"/>
          <w:sz w:val="16"/>
          <w:szCs w:val="16"/>
        </w:rPr>
        <w:footnoteRef/>
      </w:r>
      <w:r w:rsidRPr="008C4E63">
        <w:rPr>
          <w:rFonts w:asciiTheme="majorHAnsi" w:hAnsiTheme="majorHAnsi" w:cstheme="majorHAnsi"/>
          <w:sz w:val="16"/>
          <w:szCs w:val="16"/>
        </w:rPr>
        <w:t xml:space="preserve"> </w:t>
      </w:r>
      <w:r w:rsidRPr="008C4E63">
        <w:rPr>
          <w:rFonts w:asciiTheme="majorHAnsi" w:eastAsia="Times New Roman" w:hAnsiTheme="majorHAnsi" w:cstheme="majorHAnsi"/>
          <w:color w:val="000000" w:themeColor="text1"/>
          <w:sz w:val="16"/>
          <w:szCs w:val="16"/>
        </w:rPr>
        <w:t>Școala din or. Rezina – 4,4 mil. lei; Școala din s. Brătușeni, r-nul Edineț – 2,6 mil. lei; Școala din, s. Cerlina, r-nul Soroca – 0,25 mil. lei; Școala din s. Merenii, r-nul Cimișlia – 0,3 mil. lei;  Școala din s. Voroteț, r-nul Orhei – 0,37 mil. lei; Școala din s. Bălășești, r-nul Sîngerei – 0,31 mil. lei; Școala din s. Lalova, r-nul Rezina – 0,3 mil. lei; Școala din s. Bravicea, r-nul Călărași – 1,0 mil. lei; Școala din or. Dondușeni, r-nul Dondușeni – 2,2 mil. lei; Școala din s. Carabetovca, r-nul Basarabeasca – 1,0 mil. lei; Școala din s. Recea, r-nul Strășeni – 0,2 mil. lei; - Școala din s. Hirova, r-nul Călărași – 1,6 mil. lei; Școala din s. Cucoara, r-nul Cahul – 0,33 mil lei; Școala din  s. Pohoarna, r-nul Șoldănești – 0,48 mil. lei.</w:t>
      </w:r>
    </w:p>
  </w:footnote>
  <w:footnote w:id="48">
    <w:p w14:paraId="63BF7B22" w14:textId="387A0F6E" w:rsidR="00A76A25" w:rsidRPr="00A76A25" w:rsidRDefault="00A76A25" w:rsidP="00A76A25">
      <w:pPr>
        <w:pStyle w:val="a3"/>
        <w:rPr>
          <w:rFonts w:asciiTheme="majorHAnsi" w:hAnsiTheme="majorHAnsi" w:cstheme="majorHAnsi"/>
          <w:sz w:val="16"/>
          <w:szCs w:val="16"/>
          <w:lang w:val="ro-RO"/>
        </w:rPr>
      </w:pPr>
      <w:r w:rsidRPr="00A76A25">
        <w:rPr>
          <w:rStyle w:val="a5"/>
          <w:rFonts w:asciiTheme="majorHAnsi" w:hAnsiTheme="majorHAnsi" w:cstheme="majorHAnsi"/>
          <w:sz w:val="16"/>
          <w:szCs w:val="16"/>
        </w:rPr>
        <w:footnoteRef/>
      </w:r>
      <w:r w:rsidRPr="00A76A25">
        <w:rPr>
          <w:rFonts w:asciiTheme="majorHAnsi" w:hAnsiTheme="majorHAnsi" w:cstheme="majorHAnsi"/>
          <w:sz w:val="16"/>
          <w:szCs w:val="16"/>
          <w:lang w:val="ro-MD"/>
        </w:rPr>
        <w:t xml:space="preserve"> H</w:t>
      </w:r>
      <w:r>
        <w:rPr>
          <w:rFonts w:asciiTheme="majorHAnsi" w:hAnsiTheme="majorHAnsi" w:cstheme="majorHAnsi"/>
          <w:sz w:val="16"/>
          <w:szCs w:val="16"/>
          <w:lang w:val="ro-MD"/>
        </w:rPr>
        <w:t xml:space="preserve">otărârea </w:t>
      </w:r>
      <w:r w:rsidRPr="00A76A25">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A76A25">
        <w:rPr>
          <w:rFonts w:asciiTheme="majorHAnsi" w:hAnsiTheme="majorHAnsi" w:cstheme="majorHAnsi"/>
          <w:sz w:val="16"/>
          <w:szCs w:val="16"/>
          <w:lang w:val="ro-MD"/>
        </w:rPr>
        <w:t xml:space="preserve"> nr.</w:t>
      </w:r>
      <w:r>
        <w:rPr>
          <w:rFonts w:asciiTheme="majorHAnsi" w:hAnsiTheme="majorHAnsi" w:cstheme="majorHAnsi"/>
          <w:sz w:val="16"/>
          <w:szCs w:val="16"/>
          <w:lang w:val="ro-MD"/>
        </w:rPr>
        <w:t>875 din 27.09.</w:t>
      </w:r>
      <w:r w:rsidRPr="00A76A25">
        <w:rPr>
          <w:rFonts w:asciiTheme="majorHAnsi" w:hAnsiTheme="majorHAnsi" w:cstheme="majorHAnsi"/>
          <w:sz w:val="16"/>
          <w:szCs w:val="16"/>
          <w:lang w:val="ro-MD"/>
        </w:rPr>
        <w:t>1999</w:t>
      </w:r>
      <w:r w:rsidRPr="00A76A25">
        <w:rPr>
          <w:rFonts w:asciiTheme="majorHAnsi" w:hAnsiTheme="majorHAnsi" w:cstheme="majorHAnsi"/>
          <w:sz w:val="16"/>
          <w:szCs w:val="16"/>
        </w:rPr>
        <w:t xml:space="preserve"> </w:t>
      </w:r>
      <w:r>
        <w:rPr>
          <w:rFonts w:asciiTheme="majorHAnsi" w:hAnsiTheme="majorHAnsi" w:cstheme="majorHAnsi"/>
          <w:sz w:val="16"/>
          <w:szCs w:val="16"/>
        </w:rPr>
        <w:t>„C</w:t>
      </w:r>
      <w:r w:rsidRPr="00A76A25">
        <w:rPr>
          <w:rFonts w:asciiTheme="majorHAnsi" w:hAnsiTheme="majorHAnsi" w:cstheme="majorHAnsi"/>
          <w:sz w:val="16"/>
          <w:szCs w:val="16"/>
        </w:rPr>
        <w:t>u privire la obiectele de construcţie nefinalizate</w:t>
      </w:r>
      <w:r>
        <w:rPr>
          <w:rFonts w:asciiTheme="majorHAnsi" w:hAnsiTheme="majorHAnsi" w:cstheme="majorHAnsi"/>
          <w:sz w:val="16"/>
          <w:szCs w:val="16"/>
        </w:rPr>
        <w:t>”.</w:t>
      </w:r>
    </w:p>
  </w:footnote>
  <w:footnote w:id="49">
    <w:p w14:paraId="16A4D314" w14:textId="7DE5DD3B" w:rsidR="006F26B4" w:rsidRPr="001C6DCE" w:rsidRDefault="006F26B4" w:rsidP="001C6DCE">
      <w:pPr>
        <w:pStyle w:val="a3"/>
        <w:ind w:right="-2"/>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Centrul de Excelență în Construcții din Chișinău – 29,43 mil. lei; Centrul de Excelență în Energetică și Electronică din Chișinău – 58,96 mil. lei; </w:t>
      </w:r>
      <w:r w:rsidRPr="001C6DCE">
        <w:rPr>
          <w:rFonts w:asciiTheme="majorHAnsi" w:eastAsia="Times New Roman" w:hAnsiTheme="majorHAnsi" w:cstheme="majorHAnsi"/>
          <w:sz w:val="16"/>
          <w:szCs w:val="16"/>
          <w:lang w:val="ro-MD"/>
        </w:rPr>
        <w:t>Centrul de Excelență în Educație Artistică „Ștefan Neaga" din Chișinău – 43,76 mil. lei</w:t>
      </w:r>
      <w:r w:rsidRPr="001C6DCE">
        <w:rPr>
          <w:rFonts w:asciiTheme="majorHAnsi" w:hAnsiTheme="majorHAnsi" w:cstheme="majorHAnsi"/>
          <w:sz w:val="16"/>
          <w:szCs w:val="16"/>
          <w:lang w:val="ro-MD"/>
        </w:rPr>
        <w:t>.</w:t>
      </w:r>
    </w:p>
  </w:footnote>
  <w:footnote w:id="50">
    <w:p w14:paraId="69BDF8C7" w14:textId="19EB51C5"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w:t>
      </w:r>
      <w:r w:rsidR="007C635D" w:rsidRPr="001C6DCE">
        <w:rPr>
          <w:rFonts w:asciiTheme="majorHAnsi" w:hAnsiTheme="majorHAnsi" w:cstheme="majorHAnsi"/>
          <w:color w:val="333333"/>
          <w:sz w:val="16"/>
          <w:szCs w:val="16"/>
          <w:lang w:val="ro-MD"/>
        </w:rPr>
        <w:t>P</w:t>
      </w:r>
      <w:r w:rsidRPr="001C6DCE">
        <w:rPr>
          <w:rFonts w:asciiTheme="majorHAnsi" w:hAnsiTheme="majorHAnsi" w:cstheme="majorHAnsi"/>
          <w:color w:val="333333"/>
          <w:sz w:val="16"/>
          <w:szCs w:val="16"/>
          <w:lang w:val="ro-MD"/>
        </w:rPr>
        <w:t xml:space="preserve">ct.3. </w:t>
      </w:r>
      <w:r w:rsidR="007C635D" w:rsidRPr="001C6DCE">
        <w:rPr>
          <w:rFonts w:asciiTheme="majorHAnsi" w:hAnsiTheme="majorHAnsi" w:cstheme="majorHAnsi"/>
          <w:sz w:val="16"/>
          <w:szCs w:val="16"/>
          <w:lang w:val="ro-MD"/>
        </w:rPr>
        <w:t xml:space="preserve">din Anexa nr.2 la </w:t>
      </w:r>
      <w:r w:rsidRPr="001C6DCE">
        <w:rPr>
          <w:rFonts w:asciiTheme="majorHAnsi" w:hAnsiTheme="majorHAnsi" w:cstheme="majorHAnsi"/>
          <w:sz w:val="16"/>
          <w:szCs w:val="16"/>
          <w:lang w:val="ro-MD"/>
        </w:rPr>
        <w:t xml:space="preserve"> Hotărârea Guvernului nr. 1213: </w:t>
      </w:r>
      <w:r w:rsidRPr="001C6DCE">
        <w:rPr>
          <w:rFonts w:asciiTheme="majorHAnsi" w:hAnsiTheme="majorHAnsi" w:cstheme="majorHAnsi"/>
          <w:color w:val="333333"/>
          <w:sz w:val="16"/>
          <w:szCs w:val="16"/>
          <w:lang w:val="ro-MD"/>
        </w:rPr>
        <w:t>cheltuielile pentru alimentare se acordă pentru fiecare zi de activitate, stabilită prin programul de desfășurare a acesteia. În cazul în care activitatea nu se desfășoară pe parcursul întregii zile, cheltuielile pentru alimentare se achită parțial, conform următoarelor calcule: 15% -dejunul, 50% - prânzul, și 35 % - cina.</w:t>
      </w:r>
    </w:p>
  </w:footnote>
  <w:footnote w:id="51">
    <w:p w14:paraId="5A5486C7" w14:textId="4E8FB4E6"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Conform pct. 6 din</w:t>
      </w:r>
      <w:r w:rsidR="007C635D" w:rsidRPr="001C6DCE">
        <w:rPr>
          <w:rFonts w:asciiTheme="majorHAnsi" w:hAnsiTheme="majorHAnsi" w:cstheme="majorHAnsi"/>
          <w:sz w:val="16"/>
          <w:szCs w:val="16"/>
          <w:lang w:val="ro-MD"/>
        </w:rPr>
        <w:t xml:space="preserve"> Anexa nr.2 la</w:t>
      </w:r>
      <w:r w:rsidRPr="001C6DCE">
        <w:rPr>
          <w:rFonts w:asciiTheme="majorHAnsi" w:hAnsiTheme="majorHAnsi" w:cstheme="majorHAnsi"/>
          <w:sz w:val="16"/>
          <w:szCs w:val="16"/>
          <w:lang w:val="ro-MD"/>
        </w:rPr>
        <w:t xml:space="preserve"> Hotărârea Guvernului </w:t>
      </w:r>
      <w:r w:rsidR="007C635D" w:rsidRPr="001C6DCE">
        <w:rPr>
          <w:rFonts w:asciiTheme="majorHAnsi" w:hAnsiTheme="majorHAnsi" w:cstheme="majorHAnsi"/>
          <w:sz w:val="16"/>
          <w:szCs w:val="16"/>
          <w:lang w:val="ro-MD"/>
        </w:rPr>
        <w:t xml:space="preserve"> nr.</w:t>
      </w:r>
      <w:r w:rsidRPr="001C6DCE">
        <w:rPr>
          <w:rFonts w:asciiTheme="majorHAnsi" w:hAnsiTheme="majorHAnsi" w:cstheme="majorHAnsi"/>
          <w:sz w:val="16"/>
          <w:szCs w:val="16"/>
          <w:lang w:val="ro-MD"/>
        </w:rPr>
        <w:t xml:space="preserve"> 1213</w:t>
      </w:r>
      <w:r w:rsidR="007C635D" w:rsidRPr="001C6DCE">
        <w:rPr>
          <w:rFonts w:asciiTheme="majorHAnsi" w:hAnsiTheme="majorHAnsi" w:cstheme="majorHAnsi"/>
          <w:sz w:val="16"/>
          <w:szCs w:val="16"/>
          <w:lang w:val="ro-MD"/>
        </w:rPr>
        <w:t xml:space="preserve"> „”</w:t>
      </w:r>
      <w:r w:rsidRPr="001C6DCE">
        <w:rPr>
          <w:rFonts w:asciiTheme="majorHAnsi" w:hAnsiTheme="majorHAnsi" w:cstheme="majorHAnsi"/>
          <w:sz w:val="16"/>
          <w:szCs w:val="16"/>
          <w:lang w:val="ro-MD"/>
        </w:rPr>
        <w:t>, c</w:t>
      </w:r>
      <w:r w:rsidRPr="001C6DCE">
        <w:rPr>
          <w:rFonts w:asciiTheme="majorHAnsi" w:hAnsiTheme="majorHAnsi" w:cstheme="majorHAnsi"/>
          <w:color w:val="333333"/>
          <w:sz w:val="16"/>
          <w:szCs w:val="16"/>
          <w:lang w:val="ro-MD"/>
        </w:rPr>
        <w:t>heltuielile pentru transport se achită în baza documentelor confirmative (tur-retur).</w:t>
      </w:r>
    </w:p>
  </w:footnote>
  <w:footnote w:id="52">
    <w:p w14:paraId="77C3540F" w14:textId="39C55067" w:rsidR="006F26B4" w:rsidRPr="001C6DCE" w:rsidRDefault="006F26B4" w:rsidP="001C6DCE">
      <w:pPr>
        <w:spacing w:after="0" w:line="240" w:lineRule="auto"/>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AO Asociația Femeilor de Afaceri din mun. Bălți - în sumă de 1941 lei; AO Asociația pentru Inovare, Educație și Dezvoltarea Tineretului - în sumă de 4506 lei; AO Centrul Regional pentru Inițiative Sociale și Dezvoltare Durabilă - în sumă de 4557,84 lei; AO Clubul Studenților - în sumă de 4662,68 lei;  AO Centrul de Instruire și Dezvoltare Personală „ANIMA” - în sumă de 2510 lei; AO „SuperLike” - în sumă de 9443,82 lei; AO Mișcarea Ecologistă „Ștefan Vodă” - în sumă de 1626 lei și 409,56 lei; AO Asociația de Dezvoltare Durabilă „Generaţia Pro”-  în sumă de 2747 lei și 1099,96 lei.</w:t>
      </w:r>
    </w:p>
  </w:footnote>
  <w:footnote w:id="53">
    <w:p w14:paraId="5F6633BC" w14:textId="15D6BD55" w:rsidR="007C635D" w:rsidRPr="001C6DCE" w:rsidRDefault="007C635D"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Hotărârea Guvernului nr.10 din 05.01.2012 „Pentru aprobarea Regulamentului cu privire la delegarea salariaților entităților din Republica Moldova (în continuare  Hotărârea Guvernului nr.10/2012)”</w:t>
      </w:r>
    </w:p>
  </w:footnote>
  <w:footnote w:id="54">
    <w:p w14:paraId="3C5F80CF" w14:textId="61AA495F"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Federația Judo – 31305 EUR; Federația Rugby – 30509,8 lei; Federația Dizabilități Locomotorii – 3940 EUR; Federația Tir cu arcul – 2264 EUR; Federația Lupte – 14140 EUR.</w:t>
      </w:r>
    </w:p>
  </w:footnote>
  <w:footnote w:id="55">
    <w:p w14:paraId="5809C04C" w14:textId="2130645B"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AO „GEN Moldova” – raportat la MEC 267,83 mii lei, iar în Forma ONG 17 -  0,0 mii lei; AO „Baștina Frăsinești” - raportat la MEC 199,48 mii lei, iar în Forma ONG 17 – 196,67 mii lei; AO „FENEDU” – raportat la MEC 127,31 mii lei, iar în Forma ONG 17 - 131,53 mii lei; AO „Lingureni cu suflet mare" – raportat la MEC 32,66 mii lei, iar în ONG 17- 0,42 mii lei.</w:t>
      </w:r>
    </w:p>
  </w:footnote>
  <w:footnote w:id="56">
    <w:p w14:paraId="0922FFA0" w14:textId="28071FD1"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AO Federația de Haltere din Republica Moldova – 2112,97 mii lei, și AO Federația de Judo din Republica Moldova – 664,08 mii lei.</w:t>
      </w:r>
    </w:p>
  </w:footnote>
  <w:footnote w:id="57">
    <w:p w14:paraId="1EB552B3" w14:textId="242B01E7"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AO Federația de Haltere din Republica Moldova – 3838,93 mii lei, și AO Federația de Judo din Republica Moldova – 9396,87 mii lei.</w:t>
      </w:r>
    </w:p>
  </w:footnote>
  <w:footnote w:id="58">
    <w:p w14:paraId="14D9DFFF" w14:textId="4480495C"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Legea privind delimitarea proprietății publice nr.29/2018, art.9 alin.(2), lit.m) și lit.o) - „De domeniul public al statului țin: m) clădirile, inclusiv încăperile izolate, și terenurile proprietate publică de stat în/pe care își desfășoară activitatea instituțiile publice din sfera științei și inovării, instituțiile publice de învățământ, inclusiv căminele studențești ale acestora”.</w:t>
      </w:r>
    </w:p>
  </w:footnote>
  <w:footnote w:id="59">
    <w:p w14:paraId="42DE1D31" w14:textId="73ACA6DD" w:rsidR="006F26B4" w:rsidRPr="001C6DCE" w:rsidRDefault="006F26B4" w:rsidP="001C6DCE">
      <w:pPr>
        <w:pStyle w:val="a3"/>
        <w:ind w:right="-22"/>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Art.211 alin.(1) din Codul Muncii: „</w:t>
      </w:r>
      <w:r w:rsidRPr="001C6DCE">
        <w:rPr>
          <w:rFonts w:asciiTheme="majorHAnsi" w:hAnsiTheme="majorHAnsi" w:cstheme="majorHAnsi"/>
          <w:color w:val="000000"/>
          <w:sz w:val="16"/>
          <w:szCs w:val="16"/>
          <w:shd w:val="clear" w:color="auto" w:fill="FFFFFF"/>
          <w:lang w:val="ro-MD"/>
        </w:rPr>
        <w:t>Rezultatele evaluării performanței individuale, inclusiv calificativul acordat și motivarea acordării acestuia, se aduc la cunoștința salariatului, în formă scrisă, și pot fi contestate de cel din urmă la angajator în decurs de 5 zile lucrătoare din momentul aducerii la cunoștință a rezultatelor evaluării.”</w:t>
      </w:r>
    </w:p>
  </w:footnote>
  <w:footnote w:id="60">
    <w:p w14:paraId="3D19B77E" w14:textId="1441EEA7" w:rsidR="001C6DCE" w:rsidRPr="001C6DCE" w:rsidRDefault="001C6DCE">
      <w:pPr>
        <w:pStyle w:val="a3"/>
        <w:rPr>
          <w:rFonts w:asciiTheme="majorHAnsi" w:hAnsiTheme="majorHAnsi" w:cstheme="majorHAnsi"/>
          <w:sz w:val="16"/>
          <w:szCs w:val="16"/>
          <w:lang w:val="ro-MD"/>
        </w:rPr>
      </w:pPr>
      <w:r w:rsidRPr="001C6DCE">
        <w:rPr>
          <w:rStyle w:val="a5"/>
          <w:rFonts w:asciiTheme="majorHAnsi" w:hAnsiTheme="majorHAnsi" w:cstheme="majorHAnsi"/>
          <w:sz w:val="16"/>
          <w:szCs w:val="16"/>
        </w:rPr>
        <w:footnoteRef/>
      </w:r>
      <w:r w:rsidRPr="001C6DCE">
        <w:rPr>
          <w:rFonts w:asciiTheme="majorHAnsi" w:hAnsiTheme="majorHAnsi" w:cstheme="majorHAnsi"/>
          <w:sz w:val="16"/>
          <w:szCs w:val="16"/>
        </w:rPr>
        <w:t xml:space="preserve"> </w:t>
      </w:r>
      <w:r w:rsidRPr="001C6DCE">
        <w:rPr>
          <w:rFonts w:asciiTheme="majorHAnsi" w:hAnsiTheme="majorHAnsi" w:cstheme="majorHAnsi"/>
          <w:sz w:val="16"/>
          <w:szCs w:val="16"/>
          <w:lang w:val="ro-MD"/>
        </w:rPr>
        <w:t>Legea privind sistemul unitar de salarizare în sectorul bugetar nr.270 din 23.11.2018 (în continuare Legea nr.270/2018).</w:t>
      </w:r>
    </w:p>
  </w:footnote>
  <w:footnote w:id="61">
    <w:p w14:paraId="439F61F2" w14:textId="19737985" w:rsidR="001C6DCE" w:rsidRPr="001C6DCE" w:rsidRDefault="001C6DCE">
      <w:pPr>
        <w:pStyle w:val="a3"/>
        <w:rPr>
          <w:lang w:val="ro-MD"/>
        </w:rPr>
      </w:pPr>
      <w:r w:rsidRPr="001C6DCE">
        <w:rPr>
          <w:rStyle w:val="a5"/>
          <w:rFonts w:asciiTheme="majorHAnsi" w:hAnsiTheme="majorHAnsi" w:cstheme="majorHAnsi"/>
          <w:sz w:val="16"/>
          <w:szCs w:val="16"/>
        </w:rPr>
        <w:footnoteRef/>
      </w:r>
      <w:r w:rsidRPr="001C6DCE">
        <w:rPr>
          <w:rFonts w:asciiTheme="majorHAnsi" w:hAnsiTheme="majorHAnsi" w:cstheme="majorHAnsi"/>
          <w:sz w:val="16"/>
          <w:szCs w:val="16"/>
        </w:rPr>
        <w:t xml:space="preserve"> </w:t>
      </w:r>
      <w:r w:rsidRPr="001C6DCE">
        <w:rPr>
          <w:rFonts w:asciiTheme="majorHAnsi" w:hAnsiTheme="majorHAnsi" w:cstheme="majorHAnsi"/>
          <w:sz w:val="16"/>
          <w:szCs w:val="16"/>
          <w:lang w:val="ro-MD"/>
        </w:rPr>
        <w:t>Hotărârea Guvernului nr.1234 din 12.12.2018 „Privind condițiile de salarizar4e a personalului din instituțiile de învățământ care funcționează în regim de autogestiune financiar-economică” (în continuarea Hotărârea Guvernului nr.1234 din 12.12.2018)</w:t>
      </w:r>
    </w:p>
  </w:footnote>
  <w:footnote w:id="62">
    <w:p w14:paraId="48C18736" w14:textId="59C9A6F1"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Art.13 alin.(2) din Legea contabilității nr.113-XVI din 27.04.2007; pct.1.4.1.3. din Anexa nr.1 la </w:t>
      </w:r>
      <w:r w:rsidRPr="001C6DCE">
        <w:rPr>
          <w:rFonts w:asciiTheme="majorHAnsi" w:eastAsia="Times New Roman" w:hAnsiTheme="majorHAnsi" w:cstheme="majorHAnsi"/>
          <w:sz w:val="16"/>
          <w:szCs w:val="16"/>
          <w:lang w:val="ro-MD"/>
        </w:rPr>
        <w:t>Ordinul ministrului Finanțelor nr.216 din 28.12.2015 „Cu privire la aprobarea Planului de conturi contabile în sistemul bugetar și a Normelor metodologice privind evidența contabilă și raportarea financiară în sistemul bugetar”.</w:t>
      </w:r>
    </w:p>
  </w:footnote>
  <w:footnote w:id="63">
    <w:p w14:paraId="436CFFFA" w14:textId="418A643F" w:rsidR="006F26B4" w:rsidRPr="001C6DCE" w:rsidRDefault="006F26B4" w:rsidP="001C6DCE">
      <w:pPr>
        <w:pStyle w:val="a3"/>
        <w:jc w:val="both"/>
        <w:rPr>
          <w:rFonts w:asciiTheme="majorHAnsi" w:hAnsiTheme="majorHAnsi" w:cstheme="majorHAnsi"/>
          <w:sz w:val="16"/>
          <w:szCs w:val="16"/>
          <w:lang w:val="ro-MD"/>
        </w:rPr>
      </w:pPr>
      <w:r w:rsidRPr="001C6DCE">
        <w:rPr>
          <w:rStyle w:val="a5"/>
          <w:rFonts w:asciiTheme="majorHAnsi" w:hAnsiTheme="majorHAnsi" w:cstheme="majorHAnsi"/>
          <w:sz w:val="16"/>
          <w:szCs w:val="16"/>
          <w:lang w:val="ro-MD"/>
        </w:rPr>
        <w:footnoteRef/>
      </w:r>
      <w:r w:rsidRPr="001C6DCE">
        <w:rPr>
          <w:rFonts w:asciiTheme="majorHAnsi" w:hAnsiTheme="majorHAnsi" w:cstheme="majorHAnsi"/>
          <w:sz w:val="16"/>
          <w:szCs w:val="16"/>
          <w:lang w:val="ro-MD"/>
        </w:rPr>
        <w:t xml:space="preserve"> Legea contabilității nr.</w:t>
      </w:r>
      <w:r w:rsidRPr="001C6DCE">
        <w:rPr>
          <w:rFonts w:asciiTheme="majorHAnsi" w:eastAsia="Times New Roman" w:hAnsiTheme="majorHAnsi" w:cstheme="majorHAnsi"/>
          <w:sz w:val="16"/>
          <w:szCs w:val="16"/>
          <w:lang w:val="ro-MD"/>
        </w:rPr>
        <w:t>113 din 27.04.2007;</w:t>
      </w:r>
      <w:r w:rsidRPr="001C6DCE">
        <w:rPr>
          <w:rFonts w:asciiTheme="majorHAnsi" w:hAnsiTheme="majorHAnsi" w:cstheme="majorHAnsi"/>
          <w:sz w:val="16"/>
          <w:szCs w:val="16"/>
          <w:lang w:val="ro-MD"/>
        </w:rPr>
        <w:t xml:space="preserve"> </w:t>
      </w:r>
      <w:r w:rsidRPr="001C6DCE">
        <w:rPr>
          <w:rFonts w:asciiTheme="majorHAnsi" w:eastAsia="Times New Roman" w:hAnsiTheme="majorHAnsi" w:cstheme="majorHAnsi"/>
          <w:sz w:val="16"/>
          <w:szCs w:val="16"/>
          <w:lang w:val="ro-MD"/>
        </w:rPr>
        <w:t>Ordinul ministrului Finanțelor nr.216 din 28.12.2015 „Cu privire la aprobarea Planului de conturi contabile în sistemul bugetar și a Normelor metodologice privind evidența contabilă și raportarea financiară în sistemul bugetar”; Ordinul ministrului Finanțelor nr.164 din 30.12.2016 „Cu privire la aprobarea Cerințelor la întocmirea Raportului narativ privind executarea bugetelor autorităților/instituțiilor bugetare”.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31F"/>
    <w:multiLevelType w:val="multilevel"/>
    <w:tmpl w:val="5AB07B56"/>
    <w:lvl w:ilvl="0">
      <w:start w:val="1"/>
      <w:numFmt w:val="upperRoman"/>
      <w:lvlText w:val="%1."/>
      <w:lvlJc w:val="left"/>
      <w:pPr>
        <w:ind w:left="3414" w:hanging="720"/>
      </w:pPr>
      <w:rPr>
        <w:rFonts w:hint="default"/>
      </w:rPr>
    </w:lvl>
    <w:lvl w:ilvl="1">
      <w:start w:val="5"/>
      <w:numFmt w:val="decimal"/>
      <w:isLgl/>
      <w:lvlText w:val="%1.%2."/>
      <w:lvlJc w:val="left"/>
      <w:pPr>
        <w:ind w:left="3954" w:hanging="720"/>
      </w:pPr>
      <w:rPr>
        <w:rFonts w:hint="default"/>
      </w:rPr>
    </w:lvl>
    <w:lvl w:ilvl="2">
      <w:start w:val="2"/>
      <w:numFmt w:val="decimal"/>
      <w:isLgl/>
      <w:lvlText w:val="%1.%2.%3."/>
      <w:lvlJc w:val="left"/>
      <w:pPr>
        <w:ind w:left="4134"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4854" w:hanging="1080"/>
      </w:pPr>
      <w:rPr>
        <w:rFonts w:hint="default"/>
      </w:rPr>
    </w:lvl>
    <w:lvl w:ilvl="5">
      <w:start w:val="1"/>
      <w:numFmt w:val="decimal"/>
      <w:isLgl/>
      <w:lvlText w:val="%1.%2.%3.%4.%5.%6."/>
      <w:lvlJc w:val="left"/>
      <w:pPr>
        <w:ind w:left="5394" w:hanging="1440"/>
      </w:pPr>
      <w:rPr>
        <w:rFonts w:hint="default"/>
      </w:rPr>
    </w:lvl>
    <w:lvl w:ilvl="6">
      <w:start w:val="1"/>
      <w:numFmt w:val="decimal"/>
      <w:isLgl/>
      <w:lvlText w:val="%1.%2.%3.%4.%5.%6.%7."/>
      <w:lvlJc w:val="left"/>
      <w:pPr>
        <w:ind w:left="5934" w:hanging="1800"/>
      </w:pPr>
      <w:rPr>
        <w:rFonts w:hint="default"/>
      </w:rPr>
    </w:lvl>
    <w:lvl w:ilvl="7">
      <w:start w:val="1"/>
      <w:numFmt w:val="decimal"/>
      <w:isLgl/>
      <w:lvlText w:val="%1.%2.%3.%4.%5.%6.%7.%8."/>
      <w:lvlJc w:val="left"/>
      <w:pPr>
        <w:ind w:left="6114" w:hanging="1800"/>
      </w:pPr>
      <w:rPr>
        <w:rFonts w:hint="default"/>
      </w:rPr>
    </w:lvl>
    <w:lvl w:ilvl="8">
      <w:start w:val="1"/>
      <w:numFmt w:val="decimal"/>
      <w:isLgl/>
      <w:lvlText w:val="%1.%2.%3.%4.%5.%6.%7.%8.%9."/>
      <w:lvlJc w:val="left"/>
      <w:pPr>
        <w:ind w:left="6654" w:hanging="2160"/>
      </w:pPr>
      <w:rPr>
        <w:rFonts w:hint="default"/>
      </w:rPr>
    </w:lvl>
  </w:abstractNum>
  <w:abstractNum w:abstractNumId="1" w15:restartNumberingAfterBreak="0">
    <w:nsid w:val="07154F2F"/>
    <w:multiLevelType w:val="hybridMultilevel"/>
    <w:tmpl w:val="FB96524E"/>
    <w:lvl w:ilvl="0" w:tplc="040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075B6F84"/>
    <w:multiLevelType w:val="hybridMultilevel"/>
    <w:tmpl w:val="A7E21396"/>
    <w:lvl w:ilvl="0" w:tplc="24B460F8">
      <w:start w:val="12"/>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4" w15:restartNumberingAfterBreak="0">
    <w:nsid w:val="12E0459B"/>
    <w:multiLevelType w:val="hybridMultilevel"/>
    <w:tmpl w:val="B3EA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2DAB"/>
    <w:multiLevelType w:val="hybridMultilevel"/>
    <w:tmpl w:val="D4543B58"/>
    <w:lvl w:ilvl="0" w:tplc="9E2C7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93E5B"/>
    <w:multiLevelType w:val="hybridMultilevel"/>
    <w:tmpl w:val="1690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A6A7F"/>
    <w:multiLevelType w:val="hybridMultilevel"/>
    <w:tmpl w:val="B818E68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15:restartNumberingAfterBreak="0">
    <w:nsid w:val="1C6B769C"/>
    <w:multiLevelType w:val="multilevel"/>
    <w:tmpl w:val="110AFF7A"/>
    <w:lvl w:ilvl="0">
      <w:start w:val="2"/>
      <w:numFmt w:val="decimal"/>
      <w:lvlText w:val="%1"/>
      <w:lvlJc w:val="left"/>
      <w:pPr>
        <w:ind w:left="360" w:hanging="360"/>
      </w:pPr>
      <w:rPr>
        <w:rFonts w:eastAsiaTheme="minorEastAsia" w:hint="default"/>
        <w:b/>
        <w:i/>
        <w:sz w:val="22"/>
      </w:rPr>
    </w:lvl>
    <w:lvl w:ilvl="1">
      <w:start w:val="3"/>
      <w:numFmt w:val="decimal"/>
      <w:lvlText w:val="%1.%2"/>
      <w:lvlJc w:val="left"/>
      <w:pPr>
        <w:ind w:left="360" w:hanging="360"/>
      </w:pPr>
      <w:rPr>
        <w:rFonts w:eastAsiaTheme="minorEastAsia" w:hint="default"/>
        <w:b/>
        <w:i/>
        <w:sz w:val="22"/>
      </w:rPr>
    </w:lvl>
    <w:lvl w:ilvl="2">
      <w:start w:val="1"/>
      <w:numFmt w:val="decimal"/>
      <w:lvlText w:val="%1.%2.%3"/>
      <w:lvlJc w:val="left"/>
      <w:pPr>
        <w:ind w:left="720" w:hanging="720"/>
      </w:pPr>
      <w:rPr>
        <w:rFonts w:eastAsiaTheme="minorEastAsia" w:hint="default"/>
        <w:b/>
        <w:i/>
        <w:sz w:val="22"/>
      </w:rPr>
    </w:lvl>
    <w:lvl w:ilvl="3">
      <w:start w:val="1"/>
      <w:numFmt w:val="decimal"/>
      <w:lvlText w:val="%1.%2.%3.%4"/>
      <w:lvlJc w:val="left"/>
      <w:pPr>
        <w:ind w:left="720" w:hanging="720"/>
      </w:pPr>
      <w:rPr>
        <w:rFonts w:eastAsiaTheme="minorEastAsia" w:hint="default"/>
        <w:b/>
        <w:i/>
        <w:sz w:val="22"/>
      </w:rPr>
    </w:lvl>
    <w:lvl w:ilvl="4">
      <w:start w:val="1"/>
      <w:numFmt w:val="decimal"/>
      <w:lvlText w:val="%1.%2.%3.%4.%5"/>
      <w:lvlJc w:val="left"/>
      <w:pPr>
        <w:ind w:left="1080" w:hanging="1080"/>
      </w:pPr>
      <w:rPr>
        <w:rFonts w:eastAsiaTheme="minorEastAsia" w:hint="default"/>
        <w:b/>
        <w:i/>
        <w:sz w:val="22"/>
      </w:rPr>
    </w:lvl>
    <w:lvl w:ilvl="5">
      <w:start w:val="1"/>
      <w:numFmt w:val="decimal"/>
      <w:lvlText w:val="%1.%2.%3.%4.%5.%6"/>
      <w:lvlJc w:val="left"/>
      <w:pPr>
        <w:ind w:left="1080" w:hanging="1080"/>
      </w:pPr>
      <w:rPr>
        <w:rFonts w:eastAsiaTheme="minorEastAsia" w:hint="default"/>
        <w:b/>
        <w:i/>
        <w:sz w:val="22"/>
      </w:rPr>
    </w:lvl>
    <w:lvl w:ilvl="6">
      <w:start w:val="1"/>
      <w:numFmt w:val="decimal"/>
      <w:lvlText w:val="%1.%2.%3.%4.%5.%6.%7"/>
      <w:lvlJc w:val="left"/>
      <w:pPr>
        <w:ind w:left="1440" w:hanging="1440"/>
      </w:pPr>
      <w:rPr>
        <w:rFonts w:eastAsiaTheme="minorEastAsia" w:hint="default"/>
        <w:b/>
        <w:i/>
        <w:sz w:val="22"/>
      </w:rPr>
    </w:lvl>
    <w:lvl w:ilvl="7">
      <w:start w:val="1"/>
      <w:numFmt w:val="decimal"/>
      <w:lvlText w:val="%1.%2.%3.%4.%5.%6.%7.%8"/>
      <w:lvlJc w:val="left"/>
      <w:pPr>
        <w:ind w:left="1440" w:hanging="1440"/>
      </w:pPr>
      <w:rPr>
        <w:rFonts w:eastAsiaTheme="minorEastAsia" w:hint="default"/>
        <w:b/>
        <w:i/>
        <w:sz w:val="22"/>
      </w:rPr>
    </w:lvl>
    <w:lvl w:ilvl="8">
      <w:start w:val="1"/>
      <w:numFmt w:val="decimal"/>
      <w:lvlText w:val="%1.%2.%3.%4.%5.%6.%7.%8.%9"/>
      <w:lvlJc w:val="left"/>
      <w:pPr>
        <w:ind w:left="1800" w:hanging="1800"/>
      </w:pPr>
      <w:rPr>
        <w:rFonts w:eastAsiaTheme="minorEastAsia" w:hint="default"/>
        <w:b/>
        <w:i/>
        <w:sz w:val="22"/>
      </w:rPr>
    </w:lvl>
  </w:abstractNum>
  <w:abstractNum w:abstractNumId="9" w15:restartNumberingAfterBreak="0">
    <w:nsid w:val="2D3F7397"/>
    <w:multiLevelType w:val="hybridMultilevel"/>
    <w:tmpl w:val="6FD818FC"/>
    <w:lvl w:ilvl="0" w:tplc="0409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0" w15:restartNumberingAfterBreak="0">
    <w:nsid w:val="31C466DC"/>
    <w:multiLevelType w:val="hybridMultilevel"/>
    <w:tmpl w:val="65DAB71E"/>
    <w:lvl w:ilvl="0" w:tplc="04090001">
      <w:start w:val="1"/>
      <w:numFmt w:val="bullet"/>
      <w:lvlText w:val=""/>
      <w:lvlJc w:val="left"/>
      <w:pPr>
        <w:ind w:left="2344" w:hanging="360"/>
      </w:pPr>
      <w:rPr>
        <w:rFonts w:ascii="Symbol" w:hAnsi="Symbol"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11" w15:restartNumberingAfterBreak="0">
    <w:nsid w:val="33CA0C73"/>
    <w:multiLevelType w:val="hybridMultilevel"/>
    <w:tmpl w:val="B1C44F42"/>
    <w:lvl w:ilvl="0" w:tplc="1D6E6724">
      <w:start w:val="1"/>
      <w:numFmt w:val="bullet"/>
      <w:lvlText w:val=""/>
      <w:lvlJc w:val="left"/>
      <w:pPr>
        <w:ind w:left="501" w:hanging="360"/>
      </w:pPr>
      <w:rPr>
        <w:rFonts w:ascii="Symbol" w:hAnsi="Symbol" w:hint="default"/>
        <w:lang w:val="ro-MD"/>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2" w15:restartNumberingAfterBreak="0">
    <w:nsid w:val="40A84024"/>
    <w:multiLevelType w:val="hybridMultilevel"/>
    <w:tmpl w:val="DCC6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778D5"/>
    <w:multiLevelType w:val="hybridMultilevel"/>
    <w:tmpl w:val="9EF4867C"/>
    <w:lvl w:ilvl="0" w:tplc="04090001">
      <w:start w:val="1"/>
      <w:numFmt w:val="bullet"/>
      <w:lvlText w:val=""/>
      <w:lvlJc w:val="left"/>
      <w:pPr>
        <w:ind w:left="668" w:hanging="360"/>
      </w:pPr>
      <w:rPr>
        <w:rFonts w:ascii="Symbol" w:hAnsi="Symbol"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abstractNum w:abstractNumId="14" w15:restartNumberingAfterBreak="0">
    <w:nsid w:val="447D3C37"/>
    <w:multiLevelType w:val="hybridMultilevel"/>
    <w:tmpl w:val="7680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F7184"/>
    <w:multiLevelType w:val="hybridMultilevel"/>
    <w:tmpl w:val="5D9ED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826C2"/>
    <w:multiLevelType w:val="hybridMultilevel"/>
    <w:tmpl w:val="2ED0382C"/>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7" w15:restartNumberingAfterBreak="0">
    <w:nsid w:val="51FB4CA8"/>
    <w:multiLevelType w:val="multilevel"/>
    <w:tmpl w:val="EDD2142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AE2F77"/>
    <w:multiLevelType w:val="multilevel"/>
    <w:tmpl w:val="79DEDFF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CB7E45"/>
    <w:multiLevelType w:val="hybridMultilevel"/>
    <w:tmpl w:val="A11A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4221A"/>
    <w:multiLevelType w:val="multilevel"/>
    <w:tmpl w:val="F3B62A8E"/>
    <w:lvl w:ilvl="0">
      <w:start w:val="3"/>
      <w:numFmt w:val="upperRoman"/>
      <w:lvlText w:val="%1."/>
      <w:lvlJc w:val="left"/>
      <w:pPr>
        <w:ind w:left="1080" w:hanging="720"/>
      </w:pPr>
      <w:rPr>
        <w:rFonts w:eastAsiaTheme="minorHAnsi" w:cstheme="minorHAnsi" w:hint="default"/>
        <w:i w:val="0"/>
        <w:color w:val="auto"/>
      </w:rPr>
    </w:lvl>
    <w:lvl w:ilvl="1">
      <w:start w:val="2"/>
      <w:numFmt w:val="decimal"/>
      <w:isLgl/>
      <w:lvlText w:val="%1.%2"/>
      <w:lvlJc w:val="left"/>
      <w:pPr>
        <w:ind w:left="820" w:hanging="3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73EE4B46"/>
    <w:multiLevelType w:val="hybridMultilevel"/>
    <w:tmpl w:val="7D90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211CF"/>
    <w:multiLevelType w:val="hybridMultilevel"/>
    <w:tmpl w:val="C7B02ECA"/>
    <w:lvl w:ilvl="0" w:tplc="598E02AA">
      <w:numFmt w:val="bullet"/>
      <w:lvlText w:val="-"/>
      <w:lvlJc w:val="left"/>
      <w:pPr>
        <w:ind w:left="360" w:hanging="360"/>
      </w:pPr>
      <w:rPr>
        <w:rFonts w:ascii="Times New Roman" w:eastAsiaTheme="minorHAnsi" w:hAnsi="Times New Roman" w:cs="Times New Roman" w:hint="default"/>
      </w:rPr>
    </w:lvl>
    <w:lvl w:ilvl="1" w:tplc="04180003" w:tentative="1">
      <w:start w:val="1"/>
      <w:numFmt w:val="bullet"/>
      <w:lvlText w:val="o"/>
      <w:lvlJc w:val="left"/>
      <w:pPr>
        <w:ind w:left="1495" w:hanging="360"/>
      </w:pPr>
      <w:rPr>
        <w:rFonts w:ascii="Courier New" w:hAnsi="Courier New" w:cs="Courier New" w:hint="default"/>
      </w:rPr>
    </w:lvl>
    <w:lvl w:ilvl="2" w:tplc="04180005" w:tentative="1">
      <w:start w:val="1"/>
      <w:numFmt w:val="bullet"/>
      <w:lvlText w:val=""/>
      <w:lvlJc w:val="left"/>
      <w:pPr>
        <w:ind w:left="2215" w:hanging="360"/>
      </w:pPr>
      <w:rPr>
        <w:rFonts w:ascii="Wingdings" w:hAnsi="Wingdings" w:hint="default"/>
      </w:rPr>
    </w:lvl>
    <w:lvl w:ilvl="3" w:tplc="04180001" w:tentative="1">
      <w:start w:val="1"/>
      <w:numFmt w:val="bullet"/>
      <w:lvlText w:val=""/>
      <w:lvlJc w:val="left"/>
      <w:pPr>
        <w:ind w:left="2935" w:hanging="360"/>
      </w:pPr>
      <w:rPr>
        <w:rFonts w:ascii="Symbol" w:hAnsi="Symbol" w:hint="default"/>
      </w:rPr>
    </w:lvl>
    <w:lvl w:ilvl="4" w:tplc="04180003" w:tentative="1">
      <w:start w:val="1"/>
      <w:numFmt w:val="bullet"/>
      <w:lvlText w:val="o"/>
      <w:lvlJc w:val="left"/>
      <w:pPr>
        <w:ind w:left="3655" w:hanging="360"/>
      </w:pPr>
      <w:rPr>
        <w:rFonts w:ascii="Courier New" w:hAnsi="Courier New" w:cs="Courier New" w:hint="default"/>
      </w:rPr>
    </w:lvl>
    <w:lvl w:ilvl="5" w:tplc="04180005" w:tentative="1">
      <w:start w:val="1"/>
      <w:numFmt w:val="bullet"/>
      <w:lvlText w:val=""/>
      <w:lvlJc w:val="left"/>
      <w:pPr>
        <w:ind w:left="4375" w:hanging="360"/>
      </w:pPr>
      <w:rPr>
        <w:rFonts w:ascii="Wingdings" w:hAnsi="Wingdings" w:hint="default"/>
      </w:rPr>
    </w:lvl>
    <w:lvl w:ilvl="6" w:tplc="04180001" w:tentative="1">
      <w:start w:val="1"/>
      <w:numFmt w:val="bullet"/>
      <w:lvlText w:val=""/>
      <w:lvlJc w:val="left"/>
      <w:pPr>
        <w:ind w:left="5095" w:hanging="360"/>
      </w:pPr>
      <w:rPr>
        <w:rFonts w:ascii="Symbol" w:hAnsi="Symbol" w:hint="default"/>
      </w:rPr>
    </w:lvl>
    <w:lvl w:ilvl="7" w:tplc="04180003" w:tentative="1">
      <w:start w:val="1"/>
      <w:numFmt w:val="bullet"/>
      <w:lvlText w:val="o"/>
      <w:lvlJc w:val="left"/>
      <w:pPr>
        <w:ind w:left="5815" w:hanging="360"/>
      </w:pPr>
      <w:rPr>
        <w:rFonts w:ascii="Courier New" w:hAnsi="Courier New" w:cs="Courier New" w:hint="default"/>
      </w:rPr>
    </w:lvl>
    <w:lvl w:ilvl="8" w:tplc="04180005" w:tentative="1">
      <w:start w:val="1"/>
      <w:numFmt w:val="bullet"/>
      <w:lvlText w:val=""/>
      <w:lvlJc w:val="left"/>
      <w:pPr>
        <w:ind w:left="6535" w:hanging="360"/>
      </w:pPr>
      <w:rPr>
        <w:rFonts w:ascii="Wingdings" w:hAnsi="Wingdings" w:hint="default"/>
      </w:rPr>
    </w:lvl>
  </w:abstractNum>
  <w:num w:numId="1">
    <w:abstractNumId w:val="3"/>
  </w:num>
  <w:num w:numId="2">
    <w:abstractNumId w:val="0"/>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5"/>
  </w:num>
  <w:num w:numId="5">
    <w:abstractNumId w:val="4"/>
  </w:num>
  <w:num w:numId="6">
    <w:abstractNumId w:val="7"/>
  </w:num>
  <w:num w:numId="7">
    <w:abstractNumId w:val="12"/>
  </w:num>
  <w:num w:numId="8">
    <w:abstractNumId w:val="14"/>
  </w:num>
  <w:num w:numId="9">
    <w:abstractNumId w:val="6"/>
  </w:num>
  <w:num w:numId="10">
    <w:abstractNumId w:val="20"/>
  </w:num>
  <w:num w:numId="11">
    <w:abstractNumId w:val="21"/>
  </w:num>
  <w:num w:numId="12">
    <w:abstractNumId w:val="22"/>
  </w:num>
  <w:num w:numId="13">
    <w:abstractNumId w:val="8"/>
  </w:num>
  <w:num w:numId="14">
    <w:abstractNumId w:val="18"/>
  </w:num>
  <w:num w:numId="15">
    <w:abstractNumId w:val="17"/>
  </w:num>
  <w:num w:numId="16">
    <w:abstractNumId w:val="2"/>
  </w:num>
  <w:num w:numId="17">
    <w:abstractNumId w:val="10"/>
  </w:num>
  <w:num w:numId="18">
    <w:abstractNumId w:val="1"/>
  </w:num>
  <w:num w:numId="19">
    <w:abstractNumId w:val="9"/>
  </w:num>
  <w:num w:numId="20">
    <w:abstractNumId w:val="19"/>
  </w:num>
  <w:num w:numId="21">
    <w:abstractNumId w:val="11"/>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6A"/>
    <w:rsid w:val="00000B92"/>
    <w:rsid w:val="00001020"/>
    <w:rsid w:val="0000196E"/>
    <w:rsid w:val="00007CA3"/>
    <w:rsid w:val="00012671"/>
    <w:rsid w:val="000208BC"/>
    <w:rsid w:val="000223CD"/>
    <w:rsid w:val="00023A33"/>
    <w:rsid w:val="00026330"/>
    <w:rsid w:val="00031B47"/>
    <w:rsid w:val="000367B2"/>
    <w:rsid w:val="00061FB3"/>
    <w:rsid w:val="00065008"/>
    <w:rsid w:val="00086623"/>
    <w:rsid w:val="000964E5"/>
    <w:rsid w:val="000A3C30"/>
    <w:rsid w:val="000B4AB8"/>
    <w:rsid w:val="000C2AB9"/>
    <w:rsid w:val="000E6AB2"/>
    <w:rsid w:val="00114048"/>
    <w:rsid w:val="00117E32"/>
    <w:rsid w:val="00124864"/>
    <w:rsid w:val="00131197"/>
    <w:rsid w:val="0014342D"/>
    <w:rsid w:val="00157C16"/>
    <w:rsid w:val="001633EE"/>
    <w:rsid w:val="00172E4A"/>
    <w:rsid w:val="00174F56"/>
    <w:rsid w:val="00182FE9"/>
    <w:rsid w:val="00185354"/>
    <w:rsid w:val="00186485"/>
    <w:rsid w:val="00197E85"/>
    <w:rsid w:val="001A1EA2"/>
    <w:rsid w:val="001B2007"/>
    <w:rsid w:val="001B7E37"/>
    <w:rsid w:val="001C2E28"/>
    <w:rsid w:val="001C5871"/>
    <w:rsid w:val="001C6DCE"/>
    <w:rsid w:val="001D1335"/>
    <w:rsid w:val="001D1CCE"/>
    <w:rsid w:val="001D1FE9"/>
    <w:rsid w:val="001E6F85"/>
    <w:rsid w:val="001F0BA4"/>
    <w:rsid w:val="001F6B2D"/>
    <w:rsid w:val="00206871"/>
    <w:rsid w:val="002114F4"/>
    <w:rsid w:val="002207F4"/>
    <w:rsid w:val="00224CCF"/>
    <w:rsid w:val="00226967"/>
    <w:rsid w:val="00236AC9"/>
    <w:rsid w:val="00241E0E"/>
    <w:rsid w:val="00253177"/>
    <w:rsid w:val="00255A48"/>
    <w:rsid w:val="0027107C"/>
    <w:rsid w:val="002763B9"/>
    <w:rsid w:val="00277AF2"/>
    <w:rsid w:val="00282186"/>
    <w:rsid w:val="0028351C"/>
    <w:rsid w:val="002862E6"/>
    <w:rsid w:val="00292F48"/>
    <w:rsid w:val="002A15B4"/>
    <w:rsid w:val="002B4296"/>
    <w:rsid w:val="002B52D7"/>
    <w:rsid w:val="002C080C"/>
    <w:rsid w:val="002C49E3"/>
    <w:rsid w:val="002D46CB"/>
    <w:rsid w:val="002D592E"/>
    <w:rsid w:val="002E0A2B"/>
    <w:rsid w:val="002E7AE7"/>
    <w:rsid w:val="003000B5"/>
    <w:rsid w:val="0032146C"/>
    <w:rsid w:val="0033665F"/>
    <w:rsid w:val="00336F8B"/>
    <w:rsid w:val="00351F60"/>
    <w:rsid w:val="00357801"/>
    <w:rsid w:val="00386F0A"/>
    <w:rsid w:val="003A26E6"/>
    <w:rsid w:val="003B0C75"/>
    <w:rsid w:val="003B6C7D"/>
    <w:rsid w:val="003B7DAF"/>
    <w:rsid w:val="003C03BF"/>
    <w:rsid w:val="003C1DC0"/>
    <w:rsid w:val="003C57FF"/>
    <w:rsid w:val="003F1F05"/>
    <w:rsid w:val="004014F7"/>
    <w:rsid w:val="00404882"/>
    <w:rsid w:val="00420258"/>
    <w:rsid w:val="00421941"/>
    <w:rsid w:val="00431189"/>
    <w:rsid w:val="00441EB1"/>
    <w:rsid w:val="00450ECE"/>
    <w:rsid w:val="00454E58"/>
    <w:rsid w:val="00466AF4"/>
    <w:rsid w:val="00475C77"/>
    <w:rsid w:val="00490A7B"/>
    <w:rsid w:val="004976EA"/>
    <w:rsid w:val="004A6113"/>
    <w:rsid w:val="004B0146"/>
    <w:rsid w:val="004C07DA"/>
    <w:rsid w:val="004C089E"/>
    <w:rsid w:val="004C15A5"/>
    <w:rsid w:val="004C531B"/>
    <w:rsid w:val="004C64A3"/>
    <w:rsid w:val="004D0499"/>
    <w:rsid w:val="004D13F5"/>
    <w:rsid w:val="004D5CBC"/>
    <w:rsid w:val="004E4DAC"/>
    <w:rsid w:val="004E733E"/>
    <w:rsid w:val="0051236C"/>
    <w:rsid w:val="00533DA2"/>
    <w:rsid w:val="00535316"/>
    <w:rsid w:val="00541D2A"/>
    <w:rsid w:val="00553FB1"/>
    <w:rsid w:val="005573F8"/>
    <w:rsid w:val="005614F2"/>
    <w:rsid w:val="00561FBB"/>
    <w:rsid w:val="005621C6"/>
    <w:rsid w:val="00564017"/>
    <w:rsid w:val="00576AD0"/>
    <w:rsid w:val="00584C73"/>
    <w:rsid w:val="005A08C6"/>
    <w:rsid w:val="005A5B28"/>
    <w:rsid w:val="005C3865"/>
    <w:rsid w:val="005C57BF"/>
    <w:rsid w:val="005C6307"/>
    <w:rsid w:val="005D119F"/>
    <w:rsid w:val="005F1CE2"/>
    <w:rsid w:val="005F45A0"/>
    <w:rsid w:val="006055F8"/>
    <w:rsid w:val="00607610"/>
    <w:rsid w:val="00610E14"/>
    <w:rsid w:val="00614CB7"/>
    <w:rsid w:val="006210A0"/>
    <w:rsid w:val="00621598"/>
    <w:rsid w:val="00621D1E"/>
    <w:rsid w:val="00626202"/>
    <w:rsid w:val="00636644"/>
    <w:rsid w:val="006440B2"/>
    <w:rsid w:val="00657295"/>
    <w:rsid w:val="006664F9"/>
    <w:rsid w:val="006718FF"/>
    <w:rsid w:val="006729F6"/>
    <w:rsid w:val="006772FE"/>
    <w:rsid w:val="006A0DCA"/>
    <w:rsid w:val="006B4297"/>
    <w:rsid w:val="006D2A15"/>
    <w:rsid w:val="006D3884"/>
    <w:rsid w:val="006D65DF"/>
    <w:rsid w:val="006E0885"/>
    <w:rsid w:val="006E5E6A"/>
    <w:rsid w:val="006F0607"/>
    <w:rsid w:val="006F26B4"/>
    <w:rsid w:val="00711EF9"/>
    <w:rsid w:val="00713A0A"/>
    <w:rsid w:val="00721AC1"/>
    <w:rsid w:val="0074487F"/>
    <w:rsid w:val="007555FC"/>
    <w:rsid w:val="00756664"/>
    <w:rsid w:val="007632F9"/>
    <w:rsid w:val="007678A1"/>
    <w:rsid w:val="00774DAE"/>
    <w:rsid w:val="00775A3A"/>
    <w:rsid w:val="00782C3A"/>
    <w:rsid w:val="00791627"/>
    <w:rsid w:val="0079734A"/>
    <w:rsid w:val="0079772B"/>
    <w:rsid w:val="007A32C1"/>
    <w:rsid w:val="007C278F"/>
    <w:rsid w:val="007C3DEC"/>
    <w:rsid w:val="007C635D"/>
    <w:rsid w:val="007C719D"/>
    <w:rsid w:val="007C7A9F"/>
    <w:rsid w:val="007C7FA2"/>
    <w:rsid w:val="007D3E54"/>
    <w:rsid w:val="007D76D3"/>
    <w:rsid w:val="007F1936"/>
    <w:rsid w:val="00844AC1"/>
    <w:rsid w:val="00850690"/>
    <w:rsid w:val="00850963"/>
    <w:rsid w:val="0085485B"/>
    <w:rsid w:val="00857168"/>
    <w:rsid w:val="008576A5"/>
    <w:rsid w:val="00865A4F"/>
    <w:rsid w:val="00875868"/>
    <w:rsid w:val="00882191"/>
    <w:rsid w:val="008B3436"/>
    <w:rsid w:val="008C4E63"/>
    <w:rsid w:val="008D0F1E"/>
    <w:rsid w:val="008D69CD"/>
    <w:rsid w:val="008F3487"/>
    <w:rsid w:val="008F6D5F"/>
    <w:rsid w:val="009324E5"/>
    <w:rsid w:val="00935EC2"/>
    <w:rsid w:val="009422D9"/>
    <w:rsid w:val="009440A9"/>
    <w:rsid w:val="009542F8"/>
    <w:rsid w:val="00961A65"/>
    <w:rsid w:val="00962763"/>
    <w:rsid w:val="009746F8"/>
    <w:rsid w:val="00977A02"/>
    <w:rsid w:val="00980C6E"/>
    <w:rsid w:val="009834D6"/>
    <w:rsid w:val="009B24F4"/>
    <w:rsid w:val="009B554B"/>
    <w:rsid w:val="009D265F"/>
    <w:rsid w:val="009D37BB"/>
    <w:rsid w:val="009D4247"/>
    <w:rsid w:val="00A11301"/>
    <w:rsid w:val="00A31150"/>
    <w:rsid w:val="00A52873"/>
    <w:rsid w:val="00A62BFE"/>
    <w:rsid w:val="00A74892"/>
    <w:rsid w:val="00A76A25"/>
    <w:rsid w:val="00A8410A"/>
    <w:rsid w:val="00A8553F"/>
    <w:rsid w:val="00A90084"/>
    <w:rsid w:val="00A91A5F"/>
    <w:rsid w:val="00A946AD"/>
    <w:rsid w:val="00AA0D4B"/>
    <w:rsid w:val="00AA7CAE"/>
    <w:rsid w:val="00AE61CF"/>
    <w:rsid w:val="00AF5DDD"/>
    <w:rsid w:val="00AF6419"/>
    <w:rsid w:val="00B04116"/>
    <w:rsid w:val="00B11213"/>
    <w:rsid w:val="00B147ED"/>
    <w:rsid w:val="00B15615"/>
    <w:rsid w:val="00B24CB2"/>
    <w:rsid w:val="00B37B79"/>
    <w:rsid w:val="00B41226"/>
    <w:rsid w:val="00B50EEB"/>
    <w:rsid w:val="00B51590"/>
    <w:rsid w:val="00B5365A"/>
    <w:rsid w:val="00B65E6C"/>
    <w:rsid w:val="00B72473"/>
    <w:rsid w:val="00B83E2D"/>
    <w:rsid w:val="00B85008"/>
    <w:rsid w:val="00B93751"/>
    <w:rsid w:val="00BB4051"/>
    <w:rsid w:val="00BD275D"/>
    <w:rsid w:val="00BD6A39"/>
    <w:rsid w:val="00BD7960"/>
    <w:rsid w:val="00BE292C"/>
    <w:rsid w:val="00C028C1"/>
    <w:rsid w:val="00C168D1"/>
    <w:rsid w:val="00C17541"/>
    <w:rsid w:val="00C245CC"/>
    <w:rsid w:val="00C43F3C"/>
    <w:rsid w:val="00C6445D"/>
    <w:rsid w:val="00C646E7"/>
    <w:rsid w:val="00C73F08"/>
    <w:rsid w:val="00C7610C"/>
    <w:rsid w:val="00C82925"/>
    <w:rsid w:val="00C83AB8"/>
    <w:rsid w:val="00C95171"/>
    <w:rsid w:val="00CA126F"/>
    <w:rsid w:val="00CA2F39"/>
    <w:rsid w:val="00CB16BC"/>
    <w:rsid w:val="00CC0E21"/>
    <w:rsid w:val="00CC4FF1"/>
    <w:rsid w:val="00CD011A"/>
    <w:rsid w:val="00CD09D8"/>
    <w:rsid w:val="00CD5988"/>
    <w:rsid w:val="00CD6B07"/>
    <w:rsid w:val="00CE0F3B"/>
    <w:rsid w:val="00CE59BC"/>
    <w:rsid w:val="00CE7EF1"/>
    <w:rsid w:val="00D04C61"/>
    <w:rsid w:val="00D153AB"/>
    <w:rsid w:val="00D255E7"/>
    <w:rsid w:val="00D35A7C"/>
    <w:rsid w:val="00D41C8E"/>
    <w:rsid w:val="00D42237"/>
    <w:rsid w:val="00D5520F"/>
    <w:rsid w:val="00D55368"/>
    <w:rsid w:val="00D648BF"/>
    <w:rsid w:val="00D678A4"/>
    <w:rsid w:val="00D73F96"/>
    <w:rsid w:val="00DA2EE1"/>
    <w:rsid w:val="00DC0032"/>
    <w:rsid w:val="00DC7BED"/>
    <w:rsid w:val="00DE2558"/>
    <w:rsid w:val="00DE6B35"/>
    <w:rsid w:val="00E13FEB"/>
    <w:rsid w:val="00E15825"/>
    <w:rsid w:val="00E2427E"/>
    <w:rsid w:val="00E27529"/>
    <w:rsid w:val="00E358C0"/>
    <w:rsid w:val="00E46A66"/>
    <w:rsid w:val="00E56A11"/>
    <w:rsid w:val="00E62CFE"/>
    <w:rsid w:val="00E70686"/>
    <w:rsid w:val="00E71D74"/>
    <w:rsid w:val="00E76C69"/>
    <w:rsid w:val="00E776D8"/>
    <w:rsid w:val="00E7777F"/>
    <w:rsid w:val="00E80065"/>
    <w:rsid w:val="00EA0823"/>
    <w:rsid w:val="00EA462A"/>
    <w:rsid w:val="00EB5234"/>
    <w:rsid w:val="00EC13B2"/>
    <w:rsid w:val="00EC27B0"/>
    <w:rsid w:val="00EC2FF1"/>
    <w:rsid w:val="00EC5968"/>
    <w:rsid w:val="00EC797F"/>
    <w:rsid w:val="00EC7DF2"/>
    <w:rsid w:val="00ED1A74"/>
    <w:rsid w:val="00ED4053"/>
    <w:rsid w:val="00ED795C"/>
    <w:rsid w:val="00EE10EB"/>
    <w:rsid w:val="00EF52F1"/>
    <w:rsid w:val="00F06140"/>
    <w:rsid w:val="00F07440"/>
    <w:rsid w:val="00F177E0"/>
    <w:rsid w:val="00F225EE"/>
    <w:rsid w:val="00F37779"/>
    <w:rsid w:val="00F65259"/>
    <w:rsid w:val="00F662FE"/>
    <w:rsid w:val="00F85526"/>
    <w:rsid w:val="00F87813"/>
    <w:rsid w:val="00F94E6E"/>
    <w:rsid w:val="00F9629D"/>
    <w:rsid w:val="00F97E76"/>
    <w:rsid w:val="00FA2CF5"/>
    <w:rsid w:val="00FA3AB5"/>
    <w:rsid w:val="00FA4A76"/>
    <w:rsid w:val="00FB3E01"/>
    <w:rsid w:val="00FB7079"/>
    <w:rsid w:val="00FE7442"/>
    <w:rsid w:val="00FF6F12"/>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4B6A"/>
  <w15:chartTrackingRefBased/>
  <w15:docId w15:val="{94ECC0F5-73D6-4414-A239-8C38DD6F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2FE"/>
    <w:rPr>
      <w:rFonts w:ascii="Times New Roman" w:hAnsi="Times New Roman"/>
      <w:sz w:val="28"/>
    </w:rPr>
  </w:style>
  <w:style w:type="paragraph" w:styleId="1">
    <w:name w:val="heading 1"/>
    <w:basedOn w:val="a"/>
    <w:next w:val="a"/>
    <w:link w:val="10"/>
    <w:uiPriority w:val="9"/>
    <w:qFormat/>
    <w:rsid w:val="006772FE"/>
    <w:pPr>
      <w:keepNext/>
      <w:keepLines/>
      <w:spacing w:before="240" w:after="0"/>
      <w:jc w:val="center"/>
      <w:outlineLvl w:val="0"/>
    </w:pPr>
    <w:rPr>
      <w:rFonts w:eastAsiaTheme="majorEastAsia" w:cstheme="majorBidi"/>
      <w:b/>
      <w:szCs w:val="32"/>
    </w:rPr>
  </w:style>
  <w:style w:type="paragraph" w:styleId="2">
    <w:name w:val="heading 2"/>
    <w:basedOn w:val="a"/>
    <w:next w:val="a"/>
    <w:link w:val="20"/>
    <w:uiPriority w:val="9"/>
    <w:unhideWhenUsed/>
    <w:qFormat/>
    <w:rsid w:val="006772FE"/>
    <w:pPr>
      <w:keepNext/>
      <w:keepLines/>
      <w:spacing w:before="40" w:after="0" w:line="240" w:lineRule="auto"/>
      <w:ind w:firstLine="706"/>
      <w:jc w:val="both"/>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2FE"/>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6772FE"/>
    <w:rPr>
      <w:rFonts w:ascii="Times New Roman" w:eastAsiaTheme="majorEastAsia" w:hAnsi="Times New Roman" w:cstheme="majorBidi"/>
      <w:b/>
      <w:sz w:val="28"/>
      <w:szCs w:val="26"/>
    </w:rPr>
  </w:style>
  <w:style w:type="paragraph" w:styleId="a3">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a"/>
    <w:link w:val="a4"/>
    <w:uiPriority w:val="99"/>
    <w:unhideWhenUsed/>
    <w:qFormat/>
    <w:rsid w:val="006772FE"/>
    <w:pPr>
      <w:spacing w:after="0" w:line="240" w:lineRule="auto"/>
    </w:pPr>
    <w:rPr>
      <w:sz w:val="20"/>
      <w:szCs w:val="20"/>
    </w:rPr>
  </w:style>
  <w:style w:type="character" w:customStyle="1" w:styleId="a4">
    <w:name w:val="Текст сноски Знак"/>
    <w:aliases w:val="Char Знак,Знак1 Знак,Знак Знак, Char Знак, Знак1 Знак, Знак Знак,single space Знак,footnote text Знак,FOOTNOTES Знак,fn Знак,Footnote Text Char1 Знак,Footnote Text Char2 Char Знак,Footnote Text Char1 Char Char Знак, Cha Знак,Cha Знак"/>
    <w:basedOn w:val="a0"/>
    <w:link w:val="a3"/>
    <w:uiPriority w:val="99"/>
    <w:rsid w:val="006772FE"/>
    <w:rPr>
      <w:rFonts w:ascii="Times New Roman" w:hAnsi="Times New Roman"/>
      <w:sz w:val="20"/>
      <w:szCs w:val="20"/>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r,FR"/>
    <w:basedOn w:val="a0"/>
    <w:link w:val="FNRefeCharChar"/>
    <w:uiPriority w:val="99"/>
    <w:unhideWhenUsed/>
    <w:qFormat/>
    <w:rsid w:val="006772FE"/>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6772FE"/>
    <w:pPr>
      <w:spacing w:after="0" w:line="240" w:lineRule="exact"/>
      <w:jc w:val="both"/>
    </w:pPr>
    <w:rPr>
      <w:rFonts w:asciiTheme="minorHAnsi" w:hAnsiTheme="minorHAnsi"/>
      <w:sz w:val="22"/>
      <w:vertAlign w:val="superscript"/>
    </w:rPr>
  </w:style>
  <w:style w:type="paragraph" w:styleId="a6">
    <w:name w:val="footer"/>
    <w:basedOn w:val="a"/>
    <w:link w:val="a7"/>
    <w:uiPriority w:val="99"/>
    <w:unhideWhenUsed/>
    <w:rsid w:val="006772FE"/>
    <w:pPr>
      <w:tabs>
        <w:tab w:val="center" w:pos="4844"/>
        <w:tab w:val="right" w:pos="9689"/>
      </w:tabs>
      <w:spacing w:after="0" w:line="240" w:lineRule="auto"/>
    </w:pPr>
  </w:style>
  <w:style w:type="character" w:customStyle="1" w:styleId="a7">
    <w:name w:val="Нижний колонтитул Знак"/>
    <w:basedOn w:val="a0"/>
    <w:link w:val="a6"/>
    <w:uiPriority w:val="99"/>
    <w:rsid w:val="006772FE"/>
    <w:rPr>
      <w:rFonts w:ascii="Times New Roman" w:hAnsi="Times New Roman"/>
      <w:sz w:val="28"/>
    </w:rPr>
  </w:style>
  <w:style w:type="paragraph" w:styleId="a8">
    <w:name w:val="List Paragraph"/>
    <w:aliases w:val="Scriptoria bullet points,List Paragraph 1,Абзац списка1,strikethrough,standaard met opsomming,Bullets,References,Liste 1,List Paragraph nowy,Numbered List Paragraph,List Paragraph (numbered (a)),Medium Grid 1 - Accent 21,Dot pt,Stil3"/>
    <w:basedOn w:val="a"/>
    <w:link w:val="a9"/>
    <w:uiPriority w:val="34"/>
    <w:qFormat/>
    <w:rsid w:val="006772FE"/>
    <w:pPr>
      <w:spacing w:after="0"/>
      <w:ind w:left="720"/>
      <w:contextualSpacing/>
      <w:jc w:val="both"/>
    </w:pPr>
  </w:style>
  <w:style w:type="character" w:customStyle="1" w:styleId="a9">
    <w:name w:val="Абзац списка Знак"/>
    <w:aliases w:val="Scriptoria bullet points Знак,List Paragraph 1 Знак,Абзац списка1 Знак,strikethrough Знак,standaard met opsomming Знак,Bullets Знак,References Знак,Liste 1 Знак,List Paragraph nowy Знак,Numbered List Paragraph Знак,Dot pt Знак"/>
    <w:link w:val="a8"/>
    <w:uiPriority w:val="34"/>
    <w:qFormat/>
    <w:locked/>
    <w:rsid w:val="006772FE"/>
    <w:rPr>
      <w:rFonts w:ascii="Times New Roman" w:hAnsi="Times New Roman"/>
      <w:sz w:val="28"/>
    </w:rPr>
  </w:style>
  <w:style w:type="character" w:customStyle="1" w:styleId="a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b"/>
    <w:uiPriority w:val="99"/>
    <w:locked/>
    <w:rsid w:val="006772FE"/>
    <w:rPr>
      <w:rFonts w:ascii="Times New Roman" w:eastAsia="Times New Roman" w:hAnsi="Times New Roman" w:cs="Times New Roman"/>
      <w:sz w:val="24"/>
      <w:szCs w:val="24"/>
    </w:rPr>
  </w:style>
  <w:style w:type="paragraph" w:styleId="a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w:basedOn w:val="a"/>
    <w:link w:val="aa"/>
    <w:uiPriority w:val="99"/>
    <w:unhideWhenUsed/>
    <w:qFormat/>
    <w:rsid w:val="006772FE"/>
    <w:pPr>
      <w:spacing w:after="0" w:line="240" w:lineRule="auto"/>
      <w:ind w:firstLine="567"/>
      <w:jc w:val="both"/>
    </w:pPr>
    <w:rPr>
      <w:rFonts w:eastAsia="Times New Roman" w:cs="Times New Roman"/>
      <w:sz w:val="24"/>
      <w:szCs w:val="24"/>
    </w:rPr>
  </w:style>
  <w:style w:type="character" w:styleId="ac">
    <w:name w:val="Hyperlink"/>
    <w:basedOn w:val="a0"/>
    <w:uiPriority w:val="99"/>
    <w:unhideWhenUsed/>
    <w:rsid w:val="006772FE"/>
    <w:rPr>
      <w:color w:val="0563C1" w:themeColor="hyperlink"/>
      <w:u w:val="single"/>
    </w:rPr>
  </w:style>
  <w:style w:type="paragraph" w:styleId="HTML">
    <w:name w:val="HTML Preformatted"/>
    <w:basedOn w:val="a"/>
    <w:link w:val="HTML0"/>
    <w:uiPriority w:val="99"/>
    <w:unhideWhenUsed/>
    <w:rsid w:val="00932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324E5"/>
    <w:rPr>
      <w:rFonts w:ascii="Courier New" w:eastAsia="Times New Roman" w:hAnsi="Courier New" w:cs="Courier New"/>
      <w:sz w:val="20"/>
      <w:szCs w:val="20"/>
    </w:rPr>
  </w:style>
  <w:style w:type="table" w:styleId="ad">
    <w:name w:val="Table Grid"/>
    <w:basedOn w:val="a1"/>
    <w:uiPriority w:val="39"/>
    <w:rsid w:val="00EC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882"/>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iPriority w:val="99"/>
    <w:semiHidden/>
    <w:unhideWhenUsed/>
    <w:rsid w:val="00E56A1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56A11"/>
    <w:rPr>
      <w:rFonts w:ascii="Segoe UI" w:hAnsi="Segoe UI" w:cs="Segoe UI"/>
      <w:sz w:val="18"/>
      <w:szCs w:val="18"/>
    </w:rPr>
  </w:style>
  <w:style w:type="character" w:styleId="af0">
    <w:name w:val="annotation reference"/>
    <w:basedOn w:val="a0"/>
    <w:uiPriority w:val="99"/>
    <w:semiHidden/>
    <w:unhideWhenUsed/>
    <w:rsid w:val="00206871"/>
    <w:rPr>
      <w:sz w:val="16"/>
      <w:szCs w:val="16"/>
    </w:rPr>
  </w:style>
  <w:style w:type="paragraph" w:styleId="af1">
    <w:name w:val="annotation text"/>
    <w:basedOn w:val="a"/>
    <w:link w:val="af2"/>
    <w:uiPriority w:val="99"/>
    <w:semiHidden/>
    <w:unhideWhenUsed/>
    <w:rsid w:val="00206871"/>
    <w:pPr>
      <w:spacing w:line="240" w:lineRule="auto"/>
    </w:pPr>
    <w:rPr>
      <w:sz w:val="20"/>
      <w:szCs w:val="20"/>
    </w:rPr>
  </w:style>
  <w:style w:type="character" w:customStyle="1" w:styleId="af2">
    <w:name w:val="Текст примечания Знак"/>
    <w:basedOn w:val="a0"/>
    <w:link w:val="af1"/>
    <w:uiPriority w:val="99"/>
    <w:semiHidden/>
    <w:rsid w:val="00206871"/>
    <w:rPr>
      <w:rFonts w:ascii="Times New Roman" w:hAnsi="Times New Roman"/>
      <w:sz w:val="20"/>
      <w:szCs w:val="20"/>
    </w:rPr>
  </w:style>
  <w:style w:type="paragraph" w:styleId="af3">
    <w:name w:val="annotation subject"/>
    <w:basedOn w:val="af1"/>
    <w:next w:val="af1"/>
    <w:link w:val="af4"/>
    <w:uiPriority w:val="99"/>
    <w:semiHidden/>
    <w:unhideWhenUsed/>
    <w:rsid w:val="00206871"/>
    <w:rPr>
      <w:b/>
      <w:bCs/>
    </w:rPr>
  </w:style>
  <w:style w:type="character" w:customStyle="1" w:styleId="af4">
    <w:name w:val="Тема примечания Знак"/>
    <w:basedOn w:val="af2"/>
    <w:link w:val="af3"/>
    <w:uiPriority w:val="99"/>
    <w:semiHidden/>
    <w:rsid w:val="00206871"/>
    <w:rPr>
      <w:rFonts w:ascii="Times New Roman" w:hAnsi="Times New Roman"/>
      <w:b/>
      <w:bCs/>
      <w:sz w:val="20"/>
      <w:szCs w:val="20"/>
    </w:rPr>
  </w:style>
  <w:style w:type="paragraph" w:styleId="af5">
    <w:name w:val="Revision"/>
    <w:hidden/>
    <w:uiPriority w:val="99"/>
    <w:semiHidden/>
    <w:rsid w:val="00226967"/>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7410">
      <w:bodyDiv w:val="1"/>
      <w:marLeft w:val="0"/>
      <w:marRight w:val="0"/>
      <w:marTop w:val="0"/>
      <w:marBottom w:val="0"/>
      <w:divBdr>
        <w:top w:val="none" w:sz="0" w:space="0" w:color="auto"/>
        <w:left w:val="none" w:sz="0" w:space="0" w:color="auto"/>
        <w:bottom w:val="none" w:sz="0" w:space="0" w:color="auto"/>
        <w:right w:val="none" w:sz="0" w:space="0" w:color="auto"/>
      </w:divBdr>
    </w:div>
    <w:div w:id="425422888">
      <w:bodyDiv w:val="1"/>
      <w:marLeft w:val="0"/>
      <w:marRight w:val="0"/>
      <w:marTop w:val="0"/>
      <w:marBottom w:val="0"/>
      <w:divBdr>
        <w:top w:val="none" w:sz="0" w:space="0" w:color="auto"/>
        <w:left w:val="none" w:sz="0" w:space="0" w:color="auto"/>
        <w:bottom w:val="none" w:sz="0" w:space="0" w:color="auto"/>
        <w:right w:val="none" w:sz="0" w:space="0" w:color="auto"/>
      </w:divBdr>
    </w:div>
    <w:div w:id="685326513">
      <w:bodyDiv w:val="1"/>
      <w:marLeft w:val="0"/>
      <w:marRight w:val="0"/>
      <w:marTop w:val="0"/>
      <w:marBottom w:val="0"/>
      <w:divBdr>
        <w:top w:val="none" w:sz="0" w:space="0" w:color="auto"/>
        <w:left w:val="none" w:sz="0" w:space="0" w:color="auto"/>
        <w:bottom w:val="none" w:sz="0" w:space="0" w:color="auto"/>
        <w:right w:val="none" w:sz="0" w:space="0" w:color="auto"/>
      </w:divBdr>
    </w:div>
    <w:div w:id="732389765">
      <w:bodyDiv w:val="1"/>
      <w:marLeft w:val="0"/>
      <w:marRight w:val="0"/>
      <w:marTop w:val="0"/>
      <w:marBottom w:val="0"/>
      <w:divBdr>
        <w:top w:val="none" w:sz="0" w:space="0" w:color="auto"/>
        <w:left w:val="none" w:sz="0" w:space="0" w:color="auto"/>
        <w:bottom w:val="none" w:sz="0" w:space="0" w:color="auto"/>
        <w:right w:val="none" w:sz="0" w:space="0" w:color="auto"/>
      </w:divBdr>
    </w:div>
    <w:div w:id="1599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crm.md/ro/responsabilitati-in-auditul-financiar-359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56FAB-8DC8-47FB-9FAA-C6AC7F6A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7585</Words>
  <Characters>43237</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Diaconu Ana</dc:creator>
  <cp:keywords/>
  <dc:description/>
  <cp:lastModifiedBy>Paiu Eugenia</cp:lastModifiedBy>
  <cp:revision>2</cp:revision>
  <cp:lastPrinted>2023-08-02T09:01:00Z</cp:lastPrinted>
  <dcterms:created xsi:type="dcterms:W3CDTF">2023-08-11T07:07:00Z</dcterms:created>
  <dcterms:modified xsi:type="dcterms:W3CDTF">2023-08-11T07:07:00Z</dcterms:modified>
</cp:coreProperties>
</file>