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5C4E69" w:rsidRDefault="009E4B84" w:rsidP="009E4B84">
      <w:pPr>
        <w:pStyle w:val="cn"/>
        <w:spacing w:line="276" w:lineRule="auto"/>
        <w:rPr>
          <w:lang w:val="ro-MD"/>
        </w:rPr>
      </w:pPr>
      <w:r w:rsidRPr="005C4E6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5C4E69" w:rsidRDefault="009E4B84" w:rsidP="009E4B84">
      <w:pPr>
        <w:spacing w:after="0" w:line="276" w:lineRule="auto"/>
        <w:jc w:val="center"/>
        <w:rPr>
          <w:rFonts w:ascii="Times New Roman" w:eastAsia="Times New Roman" w:hAnsi="Times New Roman" w:cs="Times New Roman"/>
          <w:b/>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CURTEA DE CONTURI A REPUBLICII MOLDOVA</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
          <w:bCs/>
          <w:sz w:val="24"/>
          <w:szCs w:val="24"/>
          <w:lang w:val="ro-MD"/>
        </w:rPr>
      </w:pPr>
      <w:bookmarkStart w:id="0" w:name="_Toc450123757"/>
      <w:r w:rsidRPr="005C4E69">
        <w:rPr>
          <w:rFonts w:ascii="Calibri Light" w:eastAsia="Times New Roman" w:hAnsi="Calibri Light" w:cs="Calibri Light"/>
          <w:b/>
          <w:bCs/>
          <w:sz w:val="24"/>
          <w:szCs w:val="24"/>
          <w:lang w:val="ro-MD"/>
        </w:rPr>
        <w:t>H O T Ă R Â R E A nr.</w:t>
      </w:r>
      <w:bookmarkEnd w:id="0"/>
      <w:r w:rsidR="00037BF5">
        <w:rPr>
          <w:rFonts w:ascii="Calibri Light" w:eastAsia="Times New Roman" w:hAnsi="Calibri Light" w:cs="Calibri Light"/>
          <w:b/>
          <w:bCs/>
          <w:sz w:val="24"/>
          <w:szCs w:val="24"/>
          <w:lang w:val="ro-MD"/>
        </w:rPr>
        <w:t xml:space="preserve"> </w:t>
      </w:r>
      <w:r w:rsidR="00B9317D">
        <w:rPr>
          <w:rFonts w:ascii="Calibri Light" w:eastAsia="Times New Roman" w:hAnsi="Calibri Light" w:cs="Calibri Light"/>
          <w:b/>
          <w:bCs/>
          <w:sz w:val="24"/>
          <w:szCs w:val="24"/>
          <w:lang w:val="ro-MD"/>
        </w:rPr>
        <w:t>24</w:t>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p>
    <w:p w:rsidR="009E4B84"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 xml:space="preserve">din </w:t>
      </w:r>
      <w:r w:rsidR="00595657">
        <w:rPr>
          <w:rFonts w:ascii="Calibri Light" w:eastAsia="Times New Roman" w:hAnsi="Calibri Light" w:cs="Calibri Light"/>
          <w:bCs/>
          <w:sz w:val="24"/>
          <w:szCs w:val="24"/>
          <w:lang w:val="ro-MD"/>
        </w:rPr>
        <w:t>30</w:t>
      </w:r>
      <w:r w:rsidRPr="005C4E69">
        <w:rPr>
          <w:rFonts w:ascii="Calibri Light" w:eastAsia="Times New Roman" w:hAnsi="Calibri Light" w:cs="Calibri Light"/>
          <w:bCs/>
          <w:sz w:val="24"/>
          <w:szCs w:val="24"/>
          <w:lang w:val="ro-MD"/>
        </w:rPr>
        <w:t xml:space="preserve"> </w:t>
      </w:r>
      <w:r w:rsidR="00595657">
        <w:rPr>
          <w:rFonts w:ascii="Calibri Light" w:eastAsia="Times New Roman" w:hAnsi="Calibri Light" w:cs="Calibri Light"/>
          <w:bCs/>
          <w:sz w:val="24"/>
          <w:szCs w:val="24"/>
          <w:lang w:val="ro-MD"/>
        </w:rPr>
        <w:t>mai 2023</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eastAsia="ru-RU"/>
        </w:rPr>
      </w:pPr>
      <w:r w:rsidRPr="005C4E69">
        <w:rPr>
          <w:rFonts w:asciiTheme="majorHAnsi" w:eastAsia="Times New Roman" w:hAnsiTheme="majorHAnsi" w:cs="Times New Roman"/>
          <w:b/>
          <w:bCs/>
          <w:sz w:val="24"/>
          <w:szCs w:val="24"/>
          <w:lang w:val="ro-MD" w:eastAsia="ru-RU"/>
        </w:rPr>
        <w:t xml:space="preserve">cu privire la Raportul auditului asupra rapoartelor financiare </w:t>
      </w:r>
      <w:r w:rsidR="00B767E2">
        <w:rPr>
          <w:rFonts w:asciiTheme="majorHAnsi" w:eastAsia="Times New Roman" w:hAnsiTheme="majorHAnsi" w:cs="Times New Roman"/>
          <w:b/>
          <w:bCs/>
          <w:sz w:val="24"/>
          <w:szCs w:val="24"/>
          <w:lang w:val="ro-MD" w:eastAsia="ru-RU"/>
        </w:rPr>
        <w:t>consolidate</w:t>
      </w:r>
    </w:p>
    <w:p w:rsidR="009E4B84" w:rsidRDefault="00B767E2" w:rsidP="009E4B84">
      <w:pPr>
        <w:spacing w:after="0" w:line="276" w:lineRule="auto"/>
        <w:jc w:val="center"/>
        <w:rPr>
          <w:rFonts w:asciiTheme="majorHAnsi" w:eastAsia="Times New Roman" w:hAnsiTheme="majorHAnsi" w:cs="Times New Roman"/>
          <w:b/>
          <w:bCs/>
          <w:sz w:val="24"/>
          <w:szCs w:val="24"/>
          <w:lang w:val="ro-MD" w:eastAsia="ru-RU"/>
        </w:rPr>
      </w:pPr>
      <w:r>
        <w:rPr>
          <w:rFonts w:asciiTheme="majorHAnsi" w:eastAsia="Times New Roman" w:hAnsiTheme="majorHAnsi" w:cs="Times New Roman"/>
          <w:b/>
          <w:bCs/>
          <w:sz w:val="24"/>
          <w:szCs w:val="24"/>
          <w:lang w:val="ro-MD" w:eastAsia="ru-RU"/>
        </w:rPr>
        <w:t>ale Ministeru</w:t>
      </w:r>
      <w:r w:rsidR="00C21EB8">
        <w:rPr>
          <w:rFonts w:asciiTheme="majorHAnsi" w:eastAsia="Times New Roman" w:hAnsiTheme="majorHAnsi" w:cs="Times New Roman"/>
          <w:b/>
          <w:bCs/>
          <w:sz w:val="24"/>
          <w:szCs w:val="24"/>
          <w:lang w:val="ro-MD" w:eastAsia="ru-RU"/>
        </w:rPr>
        <w:t xml:space="preserve">lui Economiei </w:t>
      </w:r>
      <w:r w:rsidR="00457344">
        <w:rPr>
          <w:rFonts w:asciiTheme="majorHAnsi" w:eastAsia="Times New Roman" w:hAnsiTheme="majorHAnsi" w:cs="Times New Roman"/>
          <w:b/>
          <w:bCs/>
          <w:sz w:val="24"/>
          <w:szCs w:val="24"/>
          <w:lang w:val="ro-MD" w:eastAsia="ru-RU"/>
        </w:rPr>
        <w:t>încheiate la 31 decembrie 2022</w:t>
      </w:r>
    </w:p>
    <w:p w:rsidR="009E4B84" w:rsidRPr="00D36E9E" w:rsidRDefault="009E4B84" w:rsidP="009E4B84">
      <w:pPr>
        <w:spacing w:after="0" w:line="276" w:lineRule="auto"/>
        <w:jc w:val="center"/>
        <w:rPr>
          <w:rFonts w:asciiTheme="majorHAnsi" w:eastAsia="Times New Roman" w:hAnsiTheme="majorHAnsi" w:cs="Times New Roman"/>
          <w:b/>
          <w:bCs/>
          <w:sz w:val="24"/>
          <w:szCs w:val="24"/>
          <w:lang w:eastAsia="ru-RU"/>
        </w:rPr>
      </w:pPr>
    </w:p>
    <w:p w:rsidR="009E4B84" w:rsidRPr="00F00C85" w:rsidRDefault="009E4B84" w:rsidP="009E4B84">
      <w:pPr>
        <w:spacing w:after="0" w:line="276" w:lineRule="auto"/>
        <w:ind w:firstLine="567"/>
        <w:jc w:val="both"/>
        <w:rPr>
          <w:rFonts w:asciiTheme="majorHAnsi" w:eastAsia="Times New Roman" w:hAnsiTheme="majorHAnsi" w:cstheme="majorHAnsi"/>
          <w:bCs/>
          <w:sz w:val="24"/>
          <w:szCs w:val="24"/>
          <w:lang w:val="ro-MD" w:eastAsia="ru-RU"/>
        </w:rPr>
      </w:pPr>
      <w:r w:rsidRPr="00F00C85">
        <w:rPr>
          <w:rFonts w:asciiTheme="majorHAnsi" w:hAnsiTheme="majorHAnsi" w:cstheme="majorHAnsi"/>
          <w:sz w:val="24"/>
          <w:szCs w:val="24"/>
          <w:lang w:val="ro-MD"/>
        </w:rPr>
        <w:t>Curtea de Conturi</w:t>
      </w:r>
      <w:r w:rsidR="00F34661">
        <w:rPr>
          <w:rFonts w:asciiTheme="majorHAnsi" w:hAnsiTheme="majorHAnsi" w:cstheme="majorHAnsi"/>
          <w:sz w:val="24"/>
          <w:szCs w:val="24"/>
          <w:lang w:val="ro-MD"/>
        </w:rPr>
        <w:t xml:space="preserve">, cu participarea </w:t>
      </w:r>
      <w:r w:rsidR="005F1D9D">
        <w:rPr>
          <w:rFonts w:asciiTheme="majorHAnsi" w:hAnsiTheme="majorHAnsi" w:cstheme="majorHAnsi"/>
          <w:sz w:val="24"/>
          <w:szCs w:val="24"/>
          <w:lang w:val="ro-MD"/>
        </w:rPr>
        <w:t>dnei Ina Voicu, secretar</w:t>
      </w:r>
      <w:r w:rsidR="00546780">
        <w:rPr>
          <w:rFonts w:asciiTheme="majorHAnsi" w:hAnsiTheme="majorHAnsi" w:cstheme="majorHAnsi"/>
          <w:sz w:val="24"/>
          <w:szCs w:val="24"/>
          <w:lang w:val="ro-MD"/>
        </w:rPr>
        <w:t>ă generală a</w:t>
      </w:r>
      <w:r w:rsidR="00B5535C">
        <w:rPr>
          <w:rFonts w:asciiTheme="majorHAnsi" w:hAnsiTheme="majorHAnsi" w:cstheme="majorHAnsi"/>
          <w:sz w:val="24"/>
          <w:szCs w:val="24"/>
          <w:lang w:val="ro-MD"/>
        </w:rPr>
        <w:t xml:space="preserve"> Ministerului Dezvoltării Economi</w:t>
      </w:r>
      <w:r w:rsidR="00624A55">
        <w:rPr>
          <w:rFonts w:asciiTheme="majorHAnsi" w:hAnsiTheme="majorHAnsi" w:cstheme="majorHAnsi"/>
          <w:sz w:val="24"/>
          <w:szCs w:val="24"/>
          <w:lang w:val="ro-MD"/>
        </w:rPr>
        <w:t>ce</w:t>
      </w:r>
      <w:r w:rsidR="00B5535C">
        <w:rPr>
          <w:rFonts w:asciiTheme="majorHAnsi" w:hAnsiTheme="majorHAnsi" w:cstheme="majorHAnsi"/>
          <w:sz w:val="24"/>
          <w:szCs w:val="24"/>
          <w:lang w:val="ro-MD"/>
        </w:rPr>
        <w:t xml:space="preserve"> și Digitalizării</w:t>
      </w:r>
      <w:r w:rsidR="001338EB">
        <w:rPr>
          <w:rFonts w:asciiTheme="majorHAnsi" w:hAnsiTheme="majorHAnsi" w:cstheme="majorHAnsi"/>
          <w:sz w:val="24"/>
          <w:szCs w:val="24"/>
          <w:lang w:val="ro-MD"/>
        </w:rPr>
        <w:t>;</w:t>
      </w:r>
      <w:r w:rsidR="0040202F">
        <w:rPr>
          <w:rFonts w:asciiTheme="majorHAnsi" w:hAnsiTheme="majorHAnsi" w:cstheme="majorHAnsi"/>
          <w:sz w:val="24"/>
          <w:szCs w:val="24"/>
          <w:lang w:val="ro-MD"/>
        </w:rPr>
        <w:t xml:space="preserve"> </w:t>
      </w:r>
      <w:r w:rsidR="009F482A">
        <w:rPr>
          <w:rFonts w:asciiTheme="majorHAnsi" w:hAnsiTheme="majorHAnsi" w:cstheme="majorHAnsi"/>
          <w:sz w:val="24"/>
          <w:szCs w:val="24"/>
          <w:lang w:val="ro-MD"/>
        </w:rPr>
        <w:t xml:space="preserve">dnei </w:t>
      </w:r>
      <w:r w:rsidR="000B25FB">
        <w:rPr>
          <w:rFonts w:asciiTheme="majorHAnsi" w:hAnsiTheme="majorHAnsi" w:cstheme="majorHAnsi"/>
          <w:sz w:val="24"/>
          <w:szCs w:val="24"/>
          <w:lang w:val="ro-MD"/>
        </w:rPr>
        <w:t>Ludmila Ciumac</w:t>
      </w:r>
      <w:r w:rsidR="009F482A">
        <w:rPr>
          <w:rFonts w:asciiTheme="majorHAnsi" w:hAnsiTheme="majorHAnsi" w:cstheme="majorHAnsi"/>
          <w:sz w:val="24"/>
          <w:szCs w:val="24"/>
          <w:lang w:val="ro-MD"/>
        </w:rPr>
        <w:t>, șef</w:t>
      </w:r>
      <w:r w:rsidR="009678B4">
        <w:rPr>
          <w:rFonts w:asciiTheme="majorHAnsi" w:hAnsiTheme="majorHAnsi" w:cstheme="majorHAnsi"/>
          <w:sz w:val="24"/>
          <w:szCs w:val="24"/>
          <w:lang w:val="ro-MD"/>
        </w:rPr>
        <w:t xml:space="preserve">a </w:t>
      </w:r>
      <w:r w:rsidR="00DD181F">
        <w:rPr>
          <w:rFonts w:asciiTheme="majorHAnsi" w:hAnsiTheme="majorHAnsi" w:cstheme="majorHAnsi"/>
          <w:sz w:val="24"/>
          <w:szCs w:val="24"/>
          <w:lang w:val="ro-MD"/>
        </w:rPr>
        <w:t>Serviciului</w:t>
      </w:r>
      <w:r w:rsidR="009F482A">
        <w:rPr>
          <w:rFonts w:asciiTheme="majorHAnsi" w:hAnsiTheme="majorHAnsi" w:cstheme="majorHAnsi"/>
          <w:sz w:val="24"/>
          <w:szCs w:val="24"/>
          <w:lang w:val="ro-MD"/>
        </w:rPr>
        <w:t xml:space="preserve"> </w:t>
      </w:r>
      <w:r w:rsidR="00DD181F">
        <w:rPr>
          <w:rFonts w:asciiTheme="majorHAnsi" w:hAnsiTheme="majorHAnsi" w:cstheme="majorHAnsi"/>
          <w:sz w:val="24"/>
          <w:szCs w:val="24"/>
          <w:lang w:val="ro-MD"/>
        </w:rPr>
        <w:t>financiar-administrativ</w:t>
      </w:r>
      <w:r w:rsidR="009F482A">
        <w:rPr>
          <w:rFonts w:asciiTheme="majorHAnsi" w:hAnsiTheme="majorHAnsi" w:cstheme="majorHAnsi"/>
          <w:sz w:val="24"/>
          <w:szCs w:val="24"/>
          <w:lang w:val="ro-MD"/>
        </w:rPr>
        <w:t>, contabil</w:t>
      </w:r>
      <w:r w:rsidR="009678B4">
        <w:rPr>
          <w:rFonts w:asciiTheme="majorHAnsi" w:hAnsiTheme="majorHAnsi" w:cstheme="majorHAnsi"/>
          <w:sz w:val="24"/>
          <w:szCs w:val="24"/>
          <w:lang w:val="ro-MD"/>
        </w:rPr>
        <w:t>ă</w:t>
      </w:r>
      <w:r w:rsidR="009F482A">
        <w:rPr>
          <w:rFonts w:asciiTheme="majorHAnsi" w:hAnsiTheme="majorHAnsi" w:cstheme="majorHAnsi"/>
          <w:sz w:val="24"/>
          <w:szCs w:val="24"/>
          <w:lang w:val="ro-MD"/>
        </w:rPr>
        <w:t>-șef</w:t>
      </w:r>
      <w:r w:rsidR="009678B4">
        <w:rPr>
          <w:rFonts w:asciiTheme="majorHAnsi" w:hAnsiTheme="majorHAnsi" w:cstheme="majorHAnsi"/>
          <w:sz w:val="24"/>
          <w:szCs w:val="24"/>
          <w:lang w:val="ro-MD"/>
        </w:rPr>
        <w:t>ă</w:t>
      </w:r>
      <w:r w:rsidR="00802D4C">
        <w:rPr>
          <w:rFonts w:asciiTheme="majorHAnsi" w:hAnsiTheme="majorHAnsi" w:cstheme="majorHAnsi"/>
          <w:sz w:val="24"/>
          <w:szCs w:val="24"/>
          <w:lang w:val="ro-MD"/>
        </w:rPr>
        <w:t xml:space="preserve"> a</w:t>
      </w:r>
      <w:r w:rsidR="009F482A">
        <w:rPr>
          <w:rFonts w:asciiTheme="majorHAnsi" w:hAnsiTheme="majorHAnsi" w:cstheme="majorHAnsi"/>
          <w:sz w:val="24"/>
          <w:szCs w:val="24"/>
          <w:lang w:val="ro-MD"/>
        </w:rPr>
        <w:t xml:space="preserve"> Ministerului </w:t>
      </w:r>
      <w:r w:rsidR="0040202F">
        <w:rPr>
          <w:rFonts w:asciiTheme="majorHAnsi" w:hAnsiTheme="majorHAnsi" w:cstheme="majorHAnsi"/>
          <w:sz w:val="24"/>
          <w:szCs w:val="24"/>
          <w:lang w:val="ro-MD"/>
        </w:rPr>
        <w:t xml:space="preserve">Dezvoltării </w:t>
      </w:r>
      <w:r w:rsidR="009F482A">
        <w:rPr>
          <w:rFonts w:asciiTheme="majorHAnsi" w:hAnsiTheme="majorHAnsi" w:cstheme="majorHAnsi"/>
          <w:sz w:val="24"/>
          <w:szCs w:val="24"/>
          <w:lang w:val="ro-MD"/>
        </w:rPr>
        <w:t>Economi</w:t>
      </w:r>
      <w:r w:rsidR="00624A55">
        <w:rPr>
          <w:rFonts w:asciiTheme="majorHAnsi" w:hAnsiTheme="majorHAnsi" w:cstheme="majorHAnsi"/>
          <w:sz w:val="24"/>
          <w:szCs w:val="24"/>
          <w:lang w:val="ro-MD"/>
        </w:rPr>
        <w:t>ce</w:t>
      </w:r>
      <w:r w:rsidR="0040202F">
        <w:rPr>
          <w:rFonts w:asciiTheme="majorHAnsi" w:hAnsiTheme="majorHAnsi" w:cstheme="majorHAnsi"/>
          <w:sz w:val="24"/>
          <w:szCs w:val="24"/>
          <w:lang w:val="ro-MD"/>
        </w:rPr>
        <w:t xml:space="preserve"> și Digitalizării</w:t>
      </w:r>
      <w:r w:rsidR="00DD181F">
        <w:rPr>
          <w:rFonts w:asciiTheme="majorHAnsi" w:hAnsiTheme="majorHAnsi" w:cstheme="majorHAnsi"/>
          <w:sz w:val="24"/>
          <w:szCs w:val="24"/>
          <w:lang w:val="ro-MD"/>
        </w:rPr>
        <w:t>; dnei Ana Nicov, audito</w:t>
      </w:r>
      <w:r w:rsidR="00E732D2">
        <w:rPr>
          <w:rFonts w:asciiTheme="majorHAnsi" w:hAnsiTheme="majorHAnsi" w:cstheme="majorHAnsi"/>
          <w:sz w:val="24"/>
          <w:szCs w:val="24"/>
          <w:lang w:val="ro-MD"/>
        </w:rPr>
        <w:t>are</w:t>
      </w:r>
      <w:r w:rsidR="00DD181F">
        <w:rPr>
          <w:rFonts w:asciiTheme="majorHAnsi" w:hAnsiTheme="majorHAnsi" w:cstheme="majorHAnsi"/>
          <w:sz w:val="24"/>
          <w:szCs w:val="24"/>
          <w:lang w:val="ro-MD"/>
        </w:rPr>
        <w:t xml:space="preserve"> intern</w:t>
      </w:r>
      <w:r w:rsidR="00E732D2">
        <w:rPr>
          <w:rFonts w:asciiTheme="majorHAnsi" w:hAnsiTheme="majorHAnsi" w:cstheme="majorHAnsi"/>
          <w:sz w:val="24"/>
          <w:szCs w:val="24"/>
          <w:lang w:val="ro-MD"/>
        </w:rPr>
        <w:t>ă</w:t>
      </w:r>
      <w:r w:rsidR="00DD181F">
        <w:rPr>
          <w:rFonts w:asciiTheme="majorHAnsi" w:hAnsiTheme="majorHAnsi" w:cstheme="majorHAnsi"/>
          <w:sz w:val="24"/>
          <w:szCs w:val="24"/>
          <w:lang w:val="ro-MD"/>
        </w:rPr>
        <w:t xml:space="preserve"> principal</w:t>
      </w:r>
      <w:r w:rsidR="00E732D2">
        <w:rPr>
          <w:rFonts w:asciiTheme="majorHAnsi" w:hAnsiTheme="majorHAnsi" w:cstheme="majorHAnsi"/>
          <w:sz w:val="24"/>
          <w:szCs w:val="24"/>
          <w:lang w:val="ro-MD"/>
        </w:rPr>
        <w:t>ă</w:t>
      </w:r>
      <w:r w:rsidR="00DF41B2">
        <w:rPr>
          <w:rFonts w:asciiTheme="majorHAnsi" w:hAnsiTheme="majorHAnsi" w:cstheme="majorHAnsi"/>
          <w:sz w:val="24"/>
          <w:szCs w:val="24"/>
          <w:lang w:val="ro-MD"/>
        </w:rPr>
        <w:t xml:space="preserve"> </w:t>
      </w:r>
      <w:r w:rsidR="00E732D2">
        <w:rPr>
          <w:rFonts w:asciiTheme="majorHAnsi" w:hAnsiTheme="majorHAnsi" w:cstheme="majorHAnsi"/>
          <w:sz w:val="24"/>
          <w:szCs w:val="24"/>
          <w:lang w:val="ro-MD"/>
        </w:rPr>
        <w:t xml:space="preserve"> în</w:t>
      </w:r>
      <w:r w:rsidR="00DD181F">
        <w:rPr>
          <w:rFonts w:asciiTheme="majorHAnsi" w:hAnsiTheme="majorHAnsi" w:cstheme="majorHAnsi"/>
          <w:sz w:val="24"/>
          <w:szCs w:val="24"/>
          <w:lang w:val="ro-MD"/>
        </w:rPr>
        <w:t xml:space="preserve"> Serviciul audit intern a</w:t>
      </w:r>
      <w:r w:rsidR="00E732D2">
        <w:rPr>
          <w:rFonts w:asciiTheme="majorHAnsi" w:hAnsiTheme="majorHAnsi" w:cstheme="majorHAnsi"/>
          <w:sz w:val="24"/>
          <w:szCs w:val="24"/>
          <w:lang w:val="ro-MD"/>
        </w:rPr>
        <w:t xml:space="preserve">l </w:t>
      </w:r>
      <w:r w:rsidR="00DD181F" w:rsidRPr="00DD181F">
        <w:rPr>
          <w:rFonts w:asciiTheme="majorHAnsi" w:hAnsiTheme="majorHAnsi" w:cstheme="majorHAnsi"/>
          <w:sz w:val="24"/>
          <w:szCs w:val="24"/>
          <w:lang w:val="ro-MD"/>
        </w:rPr>
        <w:t>Ministerului Dezvoltă</w:t>
      </w:r>
      <w:r w:rsidR="00DD181F">
        <w:rPr>
          <w:rFonts w:asciiTheme="majorHAnsi" w:hAnsiTheme="majorHAnsi" w:cstheme="majorHAnsi"/>
          <w:sz w:val="24"/>
          <w:szCs w:val="24"/>
          <w:lang w:val="ro-MD"/>
        </w:rPr>
        <w:t xml:space="preserve">rii Economice și Digitalizării; </w:t>
      </w:r>
      <w:r w:rsidR="00E732D2">
        <w:rPr>
          <w:rFonts w:asciiTheme="majorHAnsi" w:hAnsiTheme="majorHAnsi" w:cstheme="majorHAnsi"/>
          <w:sz w:val="24"/>
          <w:szCs w:val="24"/>
          <w:lang w:val="ro-MD"/>
        </w:rPr>
        <w:t xml:space="preserve">dlui </w:t>
      </w:r>
      <w:r w:rsidR="00DD181F">
        <w:rPr>
          <w:rFonts w:asciiTheme="majorHAnsi" w:hAnsiTheme="majorHAnsi" w:cstheme="majorHAnsi"/>
          <w:sz w:val="24"/>
          <w:szCs w:val="24"/>
          <w:lang w:val="ro-MD"/>
        </w:rPr>
        <w:t xml:space="preserve"> Marin Ghenciu, vicedirector al Organizației pentru Dezvoltarea Antreprenoriatului; </w:t>
      </w:r>
      <w:r w:rsidR="00E732D2">
        <w:rPr>
          <w:rFonts w:asciiTheme="majorHAnsi" w:hAnsiTheme="majorHAnsi" w:cstheme="majorHAnsi"/>
          <w:sz w:val="24"/>
          <w:szCs w:val="24"/>
          <w:lang w:val="ro-MD"/>
        </w:rPr>
        <w:t xml:space="preserve">dlui </w:t>
      </w:r>
      <w:r w:rsidR="00DD181F">
        <w:rPr>
          <w:rFonts w:asciiTheme="majorHAnsi" w:hAnsiTheme="majorHAnsi" w:cstheme="majorHAnsi"/>
          <w:sz w:val="24"/>
          <w:szCs w:val="24"/>
          <w:lang w:val="ro-MD"/>
        </w:rPr>
        <w:t xml:space="preserve">Sergiu Dărănuță, </w:t>
      </w:r>
      <w:r w:rsidR="00247177">
        <w:rPr>
          <w:rFonts w:asciiTheme="majorHAnsi" w:hAnsiTheme="majorHAnsi" w:cstheme="majorHAnsi"/>
          <w:sz w:val="24"/>
          <w:szCs w:val="24"/>
          <w:lang w:val="ro-MD"/>
        </w:rPr>
        <w:t>ș</w:t>
      </w:r>
      <w:r w:rsidR="00DD181F">
        <w:rPr>
          <w:rFonts w:asciiTheme="majorHAnsi" w:hAnsiTheme="majorHAnsi" w:cstheme="majorHAnsi"/>
          <w:sz w:val="24"/>
          <w:szCs w:val="24"/>
          <w:lang w:val="ro-MD"/>
        </w:rPr>
        <w:t xml:space="preserve">ef al Inspectoratului de Stat pentru Supravegherea Produselor Nealimentare și Protecția Consumatorilor, </w:t>
      </w:r>
      <w:r w:rsidR="009F482A">
        <w:rPr>
          <w:rFonts w:asciiTheme="majorHAnsi" w:hAnsiTheme="majorHAnsi" w:cstheme="majorHAnsi"/>
          <w:sz w:val="24"/>
          <w:szCs w:val="24"/>
          <w:lang w:val="ro-MD"/>
        </w:rPr>
        <w:t xml:space="preserve"> î</w:t>
      </w:r>
      <w:r w:rsidRPr="009F482A">
        <w:rPr>
          <w:rFonts w:asciiTheme="majorHAnsi" w:hAnsiTheme="majorHAnsi" w:cstheme="majorHAnsi"/>
          <w:noProof/>
          <w:sz w:val="24"/>
          <w:szCs w:val="24"/>
          <w:lang w:val="ro-MD"/>
        </w:rPr>
        <w:t xml:space="preserve">n cadrul ședinței video, </w:t>
      </w:r>
      <w:r w:rsidRPr="00CB40C6">
        <w:rPr>
          <w:rFonts w:asciiTheme="majorHAnsi" w:hAnsiTheme="majorHAnsi" w:cstheme="majorHAnsi"/>
          <w:noProof/>
          <w:sz w:val="24"/>
          <w:szCs w:val="24"/>
          <w:lang w:val="ro-MD"/>
        </w:rPr>
        <w:t>călăuzindu-se de art.3 alin.(1) și art.5 alin.(1)</w:t>
      </w:r>
      <w:r w:rsidR="00247177">
        <w:rPr>
          <w:rFonts w:asciiTheme="majorHAnsi" w:hAnsiTheme="majorHAnsi" w:cstheme="majorHAnsi"/>
          <w:noProof/>
          <w:sz w:val="24"/>
          <w:szCs w:val="24"/>
          <w:lang w:val="ro-MD"/>
        </w:rPr>
        <w:t xml:space="preserve">, </w:t>
      </w:r>
      <w:r w:rsidRPr="00CB40C6">
        <w:rPr>
          <w:rFonts w:asciiTheme="majorHAnsi" w:hAnsiTheme="majorHAnsi" w:cstheme="majorHAnsi"/>
          <w:noProof/>
          <w:sz w:val="24"/>
          <w:szCs w:val="24"/>
          <w:lang w:val="ro-MD"/>
        </w:rPr>
        <w:t xml:space="preserve"> lit.a) din Legea privind organizarea și funcționarea Curții de Conturi a Republicii Moldova</w:t>
      </w:r>
      <w:r w:rsidRPr="00CB40C6">
        <w:rPr>
          <w:rStyle w:val="ac"/>
          <w:rFonts w:asciiTheme="majorHAnsi" w:hAnsiTheme="majorHAnsi" w:cstheme="majorHAnsi"/>
          <w:noProof/>
          <w:sz w:val="24"/>
          <w:szCs w:val="24"/>
          <w:lang w:val="ro-MD"/>
        </w:rPr>
        <w:footnoteReference w:id="1"/>
      </w:r>
      <w:r w:rsidRPr="00CB40C6">
        <w:rPr>
          <w:rFonts w:asciiTheme="majorHAnsi" w:hAnsiTheme="majorHAnsi" w:cstheme="majorHAnsi"/>
          <w:noProof/>
          <w:sz w:val="24"/>
          <w:szCs w:val="24"/>
          <w:lang w:val="ro-MD"/>
        </w:rPr>
        <w:t xml:space="preserve">, a examinat </w:t>
      </w:r>
      <w:r w:rsidRPr="00CB40C6">
        <w:rPr>
          <w:rFonts w:asciiTheme="majorHAnsi" w:hAnsiTheme="majorHAnsi" w:cstheme="majorHAnsi"/>
          <w:sz w:val="24"/>
          <w:szCs w:val="24"/>
          <w:lang w:val="ro-MD"/>
        </w:rPr>
        <w:t xml:space="preserve">Raportul auditului </w:t>
      </w:r>
      <w:r w:rsidRPr="00CB40C6">
        <w:rPr>
          <w:rFonts w:asciiTheme="majorHAnsi" w:eastAsia="Times New Roman" w:hAnsiTheme="majorHAnsi" w:cstheme="majorHAnsi"/>
          <w:bCs/>
          <w:sz w:val="24"/>
          <w:szCs w:val="24"/>
          <w:lang w:val="ro-MD" w:eastAsia="ru-RU"/>
        </w:rPr>
        <w:t>asupra</w:t>
      </w:r>
      <w:r w:rsidR="00EF1C27" w:rsidRPr="00CB40C6">
        <w:rPr>
          <w:rFonts w:asciiTheme="majorHAnsi" w:eastAsia="Times New Roman" w:hAnsiTheme="majorHAnsi" w:cstheme="majorHAnsi"/>
          <w:bCs/>
          <w:sz w:val="24"/>
          <w:szCs w:val="24"/>
          <w:lang w:val="ro-MD" w:eastAsia="ru-RU"/>
        </w:rPr>
        <w:t xml:space="preserve"> rapoartelor financiare consolidate ale Ministeru</w:t>
      </w:r>
      <w:r w:rsidR="00384877">
        <w:rPr>
          <w:rFonts w:asciiTheme="majorHAnsi" w:eastAsia="Times New Roman" w:hAnsiTheme="majorHAnsi" w:cstheme="majorHAnsi"/>
          <w:bCs/>
          <w:sz w:val="24"/>
          <w:szCs w:val="24"/>
          <w:lang w:val="ro-MD" w:eastAsia="ru-RU"/>
        </w:rPr>
        <w:t>lui Economiei</w:t>
      </w:r>
      <w:r w:rsidR="000B25FB">
        <w:rPr>
          <w:rFonts w:asciiTheme="majorHAnsi" w:eastAsia="Times New Roman" w:hAnsiTheme="majorHAnsi" w:cstheme="majorHAnsi"/>
          <w:bCs/>
          <w:sz w:val="24"/>
          <w:szCs w:val="24"/>
          <w:lang w:val="ro-MD" w:eastAsia="ru-RU"/>
        </w:rPr>
        <w:t xml:space="preserve"> încheiate la 31 decembrie 2022</w:t>
      </w:r>
      <w:r w:rsidRPr="00CB40C6">
        <w:rPr>
          <w:rFonts w:asciiTheme="majorHAnsi" w:eastAsia="Times New Roman" w:hAnsiTheme="majorHAnsi" w:cstheme="majorHAnsi"/>
          <w:bCs/>
          <w:sz w:val="24"/>
          <w:szCs w:val="24"/>
          <w:lang w:val="ro-MD" w:eastAsia="ru-RU"/>
        </w:rPr>
        <w:t>.</w:t>
      </w:r>
    </w:p>
    <w:p w:rsidR="009E4B84" w:rsidRPr="009E43F1" w:rsidRDefault="009E4B84" w:rsidP="009E4B84">
      <w:pPr>
        <w:spacing w:after="0" w:line="276" w:lineRule="auto"/>
        <w:ind w:firstLine="567"/>
        <w:jc w:val="both"/>
        <w:rPr>
          <w:rFonts w:asciiTheme="majorHAnsi" w:hAnsiTheme="majorHAnsi" w:cs="Times New Roman"/>
          <w:sz w:val="24"/>
          <w:szCs w:val="24"/>
          <w:lang w:val="ro-MD"/>
        </w:rPr>
      </w:pPr>
      <w:r w:rsidRPr="005C4E69">
        <w:rPr>
          <w:rFonts w:asciiTheme="majorHAnsi" w:eastAsia="Times New Roman" w:hAnsiTheme="majorHAnsi" w:cs="Times New Roman"/>
          <w:sz w:val="24"/>
          <w:szCs w:val="24"/>
          <w:lang w:val="ro-MD" w:eastAsia="ro-MD"/>
        </w:rPr>
        <w:t xml:space="preserve">Misiunea de audit public extern a fost realizată conform </w:t>
      </w:r>
      <w:r w:rsidR="00A42E43">
        <w:rPr>
          <w:rFonts w:asciiTheme="majorHAnsi" w:hAnsiTheme="majorHAnsi" w:cs="Times New Roman"/>
          <w:sz w:val="24"/>
          <w:szCs w:val="24"/>
          <w:lang w:val="ro-MD"/>
        </w:rPr>
        <w:t>Programelor</w:t>
      </w:r>
      <w:r w:rsidRPr="005C4E69">
        <w:rPr>
          <w:rFonts w:asciiTheme="majorHAnsi" w:hAnsiTheme="majorHAnsi" w:cs="Times New Roman"/>
          <w:sz w:val="24"/>
          <w:szCs w:val="24"/>
          <w:lang w:val="ro-MD"/>
        </w:rPr>
        <w:t xml:space="preserve"> activității de audit </w:t>
      </w:r>
      <w:r>
        <w:rPr>
          <w:rFonts w:asciiTheme="majorHAnsi" w:hAnsiTheme="majorHAnsi" w:cs="Times New Roman"/>
          <w:sz w:val="24"/>
          <w:szCs w:val="24"/>
          <w:lang w:val="ro-MD"/>
        </w:rPr>
        <w:t>a Curții de Conturi pe</w:t>
      </w:r>
      <w:r w:rsidR="00646163">
        <w:rPr>
          <w:rFonts w:asciiTheme="majorHAnsi" w:hAnsiTheme="majorHAnsi" w:cs="Times New Roman"/>
          <w:sz w:val="24"/>
          <w:szCs w:val="24"/>
          <w:lang w:val="ro-MD"/>
        </w:rPr>
        <w:t xml:space="preserve"> anii </w:t>
      </w:r>
      <w:r>
        <w:rPr>
          <w:rFonts w:asciiTheme="majorHAnsi" w:hAnsiTheme="majorHAnsi" w:cs="Times New Roman"/>
          <w:sz w:val="24"/>
          <w:szCs w:val="24"/>
          <w:lang w:val="ro-MD"/>
        </w:rPr>
        <w:t>2</w:t>
      </w:r>
      <w:r w:rsidR="000B25FB">
        <w:rPr>
          <w:rFonts w:asciiTheme="majorHAnsi" w:hAnsiTheme="majorHAnsi" w:cs="Times New Roman"/>
          <w:sz w:val="24"/>
          <w:szCs w:val="24"/>
          <w:lang w:val="ro-MD"/>
        </w:rPr>
        <w:t>022 și 2023</w:t>
      </w:r>
      <w:r w:rsidRPr="005C4E69">
        <w:rPr>
          <w:rStyle w:val="FootnoteReference1"/>
          <w:rFonts w:asciiTheme="majorHAnsi" w:hAnsiTheme="majorHAnsi" w:cs="Times New Roman"/>
          <w:sz w:val="24"/>
          <w:szCs w:val="24"/>
        </w:rPr>
        <w:footnoteReference w:id="2"/>
      </w:r>
      <w:r w:rsidRPr="005C4E69">
        <w:rPr>
          <w:rFonts w:asciiTheme="majorHAnsi" w:hAnsiTheme="majorHAnsi" w:cs="Times New Roman"/>
          <w:sz w:val="24"/>
          <w:szCs w:val="24"/>
          <w:lang w:val="ro-MD"/>
        </w:rPr>
        <w:t xml:space="preserve">, </w:t>
      </w:r>
      <w:r w:rsidRPr="005C4E69">
        <w:rPr>
          <w:rFonts w:asciiTheme="majorHAnsi" w:eastAsia="Times New Roman" w:hAnsiTheme="majorHAnsi" w:cs="Times New Roman"/>
          <w:sz w:val="24"/>
          <w:szCs w:val="24"/>
          <w:lang w:val="ro-MD"/>
        </w:rPr>
        <w:t xml:space="preserve">având drept scop </w:t>
      </w:r>
      <w:r w:rsidRPr="005C4E69">
        <w:rPr>
          <w:rFonts w:asciiTheme="majorHAnsi" w:hAnsiTheme="majorHAnsi" w:cs="Times New Roman"/>
          <w:sz w:val="24"/>
          <w:szCs w:val="24"/>
          <w:lang w:val="ro-MD"/>
        </w:rPr>
        <w:t>oferirea unei asigurări rezonabile cu privire la faptul că rapoartele financiare</w:t>
      </w:r>
      <w:r w:rsidR="00D36E9E">
        <w:rPr>
          <w:rFonts w:asciiTheme="majorHAnsi" w:hAnsiTheme="majorHAnsi" w:cs="Times New Roman"/>
          <w:sz w:val="24"/>
          <w:szCs w:val="24"/>
          <w:lang w:val="ro-MD"/>
        </w:rPr>
        <w:t xml:space="preserve"> consolidate  ale Ministeru</w:t>
      </w:r>
      <w:r w:rsidR="00384877">
        <w:rPr>
          <w:rFonts w:asciiTheme="majorHAnsi" w:hAnsiTheme="majorHAnsi" w:cs="Times New Roman"/>
          <w:sz w:val="24"/>
          <w:szCs w:val="24"/>
          <w:lang w:val="ro-MD"/>
        </w:rPr>
        <w:t>lui Economiei</w:t>
      </w:r>
      <w:r w:rsidRPr="005C4E69">
        <w:rPr>
          <w:rFonts w:asciiTheme="majorHAnsi" w:hAnsiTheme="majorHAnsi" w:cs="Times New Roman"/>
          <w:sz w:val="24"/>
          <w:szCs w:val="24"/>
          <w:lang w:val="ro-MD"/>
        </w:rPr>
        <w:t xml:space="preserve"> încheiate la 31 decembrie 20</w:t>
      </w:r>
      <w:r w:rsidR="00875ACD">
        <w:rPr>
          <w:rFonts w:asciiTheme="majorHAnsi" w:hAnsiTheme="majorHAnsi" w:cs="Times New Roman"/>
          <w:sz w:val="24"/>
          <w:szCs w:val="24"/>
          <w:lang w:val="ro-MD"/>
        </w:rPr>
        <w:t>22</w:t>
      </w:r>
      <w:r w:rsidRPr="005C4E69">
        <w:rPr>
          <w:rFonts w:asciiTheme="majorHAnsi" w:hAnsiTheme="majorHAnsi" w:cs="Times New Roman"/>
          <w:sz w:val="24"/>
          <w:szCs w:val="24"/>
          <w:lang w:val="ro-MD"/>
        </w:rPr>
        <w:t xml:space="preserve"> nu conțin, în ansamblul lor, denaturări semnificative</w:t>
      </w:r>
      <w:r w:rsidR="00E07628">
        <w:rPr>
          <w:rFonts w:asciiTheme="majorHAnsi" w:hAnsiTheme="majorHAnsi" w:cs="Times New Roman"/>
          <w:sz w:val="24"/>
          <w:szCs w:val="24"/>
          <w:lang w:val="ro-MD"/>
        </w:rPr>
        <w:t>,</w:t>
      </w:r>
      <w:r w:rsidRPr="005C4E69">
        <w:rPr>
          <w:rFonts w:asciiTheme="majorHAnsi" w:hAnsiTheme="majorHAnsi" w:cs="Times New Roman"/>
          <w:sz w:val="24"/>
          <w:szCs w:val="24"/>
          <w:lang w:val="ro-MD"/>
        </w:rPr>
        <w:t xml:space="preserve"> cauzate de fraude sau erori, precum și emiterea unei opinii.</w:t>
      </w:r>
      <w:r w:rsidR="009B6496">
        <w:rPr>
          <w:rFonts w:asciiTheme="majorHAnsi"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Auditul public extern s-a desfășurat în conformitate cu Standardele Internaționale ale Instituțiilor Supreme de Audit aplicate de Curtea de Conturi</w:t>
      </w:r>
      <w:r w:rsidRPr="005C4E69">
        <w:rPr>
          <w:rStyle w:val="FootnoteReference1"/>
          <w:rFonts w:asciiTheme="majorHAnsi" w:eastAsia="Times New Roman" w:hAnsiTheme="majorHAnsi" w:cs="Times New Roman"/>
          <w:sz w:val="24"/>
          <w:szCs w:val="24"/>
        </w:rPr>
        <w:footnoteReference w:id="3"/>
      </w:r>
      <w:r w:rsidRPr="005C4E69">
        <w:rPr>
          <w:rFonts w:asciiTheme="majorHAnsi" w:eastAsia="Times New Roman"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 xml:space="preserve">Examinând Raportul de audit, Curtea de Conturi </w:t>
      </w: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rPr>
      </w:pPr>
      <w:r w:rsidRPr="005C4E69">
        <w:rPr>
          <w:rFonts w:asciiTheme="majorHAnsi" w:eastAsia="Times New Roman" w:hAnsiTheme="majorHAnsi" w:cs="Times New Roman"/>
          <w:b/>
          <w:bCs/>
          <w:sz w:val="24"/>
          <w:szCs w:val="24"/>
          <w:lang w:val="ro-MD"/>
        </w:rPr>
        <w:t>A CONSTATAT:</w:t>
      </w:r>
    </w:p>
    <w:p w:rsidR="009E4B84" w:rsidRPr="00EA05B4" w:rsidRDefault="001068AF" w:rsidP="009E4B84">
      <w:pPr>
        <w:pStyle w:val="a4"/>
        <w:spacing w:line="276" w:lineRule="auto"/>
        <w:rPr>
          <w:rFonts w:asciiTheme="majorHAnsi" w:hAnsiTheme="majorHAnsi"/>
          <w:lang w:val="ro-MD"/>
        </w:rPr>
      </w:pPr>
      <w:r>
        <w:rPr>
          <w:rFonts w:asciiTheme="majorHAnsi" w:hAnsiTheme="majorHAnsi"/>
          <w:lang w:val="ro-MD"/>
        </w:rPr>
        <w:t>R</w:t>
      </w:r>
      <w:r w:rsidR="00302241">
        <w:rPr>
          <w:rFonts w:asciiTheme="majorHAnsi" w:hAnsiTheme="majorHAnsi"/>
          <w:lang w:val="ro-MD"/>
        </w:rPr>
        <w:t>apoartele financiare consolidate ale Ministeru</w:t>
      </w:r>
      <w:r w:rsidR="00384877">
        <w:rPr>
          <w:rFonts w:asciiTheme="majorHAnsi" w:hAnsiTheme="majorHAnsi"/>
          <w:lang w:val="ro-MD"/>
        </w:rPr>
        <w:t xml:space="preserve">lui Economiei </w:t>
      </w:r>
      <w:r w:rsidR="009E4B84" w:rsidRPr="00EA05B4">
        <w:rPr>
          <w:rFonts w:asciiTheme="majorHAnsi" w:hAnsiTheme="majorHAnsi"/>
          <w:lang w:val="ro-MD"/>
        </w:rPr>
        <w:t>încheiat</w:t>
      </w:r>
      <w:r>
        <w:rPr>
          <w:rFonts w:asciiTheme="majorHAnsi" w:hAnsiTheme="majorHAnsi"/>
          <w:lang w:val="ro-MD"/>
        </w:rPr>
        <w:t>e</w:t>
      </w:r>
      <w:r w:rsidR="00875ACD">
        <w:rPr>
          <w:rFonts w:asciiTheme="majorHAnsi" w:hAnsiTheme="majorHAnsi"/>
          <w:lang w:val="ro-MD"/>
        </w:rPr>
        <w:t xml:space="preserve"> la 31 decembrie 2022</w:t>
      </w:r>
      <w:r w:rsidR="009E4B84" w:rsidRPr="00EA05B4">
        <w:rPr>
          <w:rFonts w:asciiTheme="majorHAnsi" w:hAnsiTheme="majorHAnsi"/>
          <w:lang w:val="ro-MD"/>
        </w:rPr>
        <w:t xml:space="preserve">, </w:t>
      </w:r>
      <w:r w:rsidR="009E4B84">
        <w:rPr>
          <w:rFonts w:asciiTheme="majorHAnsi" w:hAnsiTheme="majorHAnsi" w:cstheme="majorHAnsi"/>
          <w:lang w:val="ro-RO"/>
        </w:rPr>
        <w:t xml:space="preserve">cu </w:t>
      </w:r>
      <w:r w:rsidR="009E4B84" w:rsidRPr="0087019C">
        <w:rPr>
          <w:rFonts w:asciiTheme="majorHAnsi" w:hAnsiTheme="majorHAnsi"/>
          <w:lang w:val="ro-MD"/>
        </w:rPr>
        <w:t xml:space="preserve">excepția efectelor </w:t>
      </w:r>
      <w:r w:rsidR="009E4B84">
        <w:rPr>
          <w:rFonts w:asciiTheme="majorHAnsi" w:hAnsiTheme="majorHAnsi"/>
          <w:lang w:val="ro-MD"/>
        </w:rPr>
        <w:t xml:space="preserve">unor </w:t>
      </w:r>
      <w:r w:rsidR="009E4B84" w:rsidRPr="0087019C">
        <w:rPr>
          <w:rFonts w:asciiTheme="majorHAnsi" w:hAnsiTheme="majorHAnsi"/>
          <w:lang w:val="ro-MD"/>
        </w:rPr>
        <w:t xml:space="preserve">aspecte descrise în secțiunea </w:t>
      </w:r>
      <w:r w:rsidR="009E4B84" w:rsidRPr="00511BB0">
        <w:rPr>
          <w:rFonts w:asciiTheme="majorHAnsi" w:hAnsiTheme="majorHAnsi"/>
          <w:i/>
          <w:lang w:val="ro-MD"/>
        </w:rPr>
        <w:t>Baza pentru opinia cu rezerve</w:t>
      </w:r>
      <w:r w:rsidR="009E4B84" w:rsidRPr="00EA05B4">
        <w:rPr>
          <w:rFonts w:asciiTheme="majorHAnsi" w:hAnsiTheme="majorHAnsi"/>
          <w:lang w:val="ro-MD"/>
        </w:rPr>
        <w:t>, oferă, sub toate aspectele semnificative, o imagine corectă și fidelă în conformitate cu cerințele normelor de contabilitate și de raportare financiară în sistemul bugetar din Republica Moldova</w:t>
      </w:r>
      <w:r w:rsidR="009E4B84" w:rsidRPr="00EA05B4">
        <w:rPr>
          <w:rStyle w:val="FootnoteReference1"/>
          <w:rFonts w:asciiTheme="majorHAnsi" w:hAnsiTheme="majorHAnsi"/>
        </w:rPr>
        <w:footnoteReference w:id="4"/>
      </w:r>
      <w:r w:rsidR="009E4B84" w:rsidRPr="00EA05B4">
        <w:rPr>
          <w:rFonts w:asciiTheme="majorHAnsi" w:hAnsiTheme="majorHAnsi"/>
          <w:lang w:val="ro-MD"/>
        </w:rPr>
        <w:t>.</w:t>
      </w:r>
    </w:p>
    <w:p w:rsidR="009E4B84" w:rsidRPr="00EA05B4" w:rsidRDefault="009E4B84" w:rsidP="009E4B84">
      <w:pPr>
        <w:pStyle w:val="a4"/>
        <w:spacing w:line="276" w:lineRule="auto"/>
        <w:rPr>
          <w:rFonts w:asciiTheme="majorHAnsi" w:hAnsiTheme="majorHAnsi"/>
          <w:lang w:val="ro-MD" w:eastAsia="ro-MD"/>
        </w:rPr>
      </w:pPr>
      <w:r w:rsidRPr="00EA05B4">
        <w:rPr>
          <w:rFonts w:asciiTheme="majorHAnsi" w:hAnsiTheme="majorHAnsi"/>
          <w:lang w:val="ro-MD" w:eastAsia="ro-MD"/>
        </w:rPr>
        <w:lastRenderedPageBreak/>
        <w:t>Observațiile de audit au servit drept bază pentru exprimarea opiniei cu rezerve asupra rapoartelor financiare</w:t>
      </w:r>
      <w:r w:rsidR="00302241">
        <w:rPr>
          <w:rFonts w:asciiTheme="majorHAnsi" w:hAnsiTheme="majorHAnsi"/>
          <w:lang w:val="ro-MD" w:eastAsia="ro-MD"/>
        </w:rPr>
        <w:t xml:space="preserve"> consolidate ale Ministeru</w:t>
      </w:r>
      <w:r w:rsidR="00384877">
        <w:rPr>
          <w:rFonts w:asciiTheme="majorHAnsi" w:hAnsiTheme="majorHAnsi"/>
          <w:lang w:val="ro-MD" w:eastAsia="ro-MD"/>
        </w:rPr>
        <w:t>lui Economiei</w:t>
      </w:r>
      <w:r w:rsidRPr="00EA05B4">
        <w:rPr>
          <w:rFonts w:asciiTheme="majorHAnsi" w:hAnsiTheme="majorHAnsi"/>
          <w:lang w:val="ro-MD" w:eastAsia="ro-MD"/>
        </w:rPr>
        <w:t xml:space="preserve"> încheiate la 31 decembrie 202</w:t>
      </w:r>
      <w:r w:rsidR="00875ACD">
        <w:rPr>
          <w:rFonts w:asciiTheme="majorHAnsi" w:hAnsiTheme="majorHAnsi"/>
          <w:lang w:val="ro-MD" w:eastAsia="ro-MD"/>
        </w:rPr>
        <w:t>2</w:t>
      </w:r>
      <w:r w:rsidRPr="00EA05B4">
        <w:rPr>
          <w:rFonts w:asciiTheme="majorHAnsi" w:hAnsiTheme="majorHAnsi"/>
          <w:lang w:val="ro-MD" w:eastAsia="ro-MD"/>
        </w:rPr>
        <w:t>.</w:t>
      </w:r>
      <w:r w:rsidR="008340AE">
        <w:rPr>
          <w:rFonts w:asciiTheme="majorHAnsi" w:hAnsiTheme="majorHAnsi"/>
          <w:lang w:val="ro-MD" w:eastAsia="ro-MD"/>
        </w:rPr>
        <w:t xml:space="preserve"> </w:t>
      </w:r>
    </w:p>
    <w:p w:rsidR="009E4B84" w:rsidRPr="00EA05B4" w:rsidRDefault="009E4B84" w:rsidP="009E4B84">
      <w:pPr>
        <w:pStyle w:val="a4"/>
        <w:spacing w:line="276" w:lineRule="auto"/>
        <w:rPr>
          <w:rFonts w:asciiTheme="majorHAnsi" w:hAnsiTheme="majorHAnsi"/>
          <w:lang w:val="ro-MD"/>
        </w:rPr>
      </w:pPr>
      <w:r w:rsidRPr="00EA05B4">
        <w:rPr>
          <w:rFonts w:asciiTheme="majorHAnsi" w:hAnsiTheme="majorHAnsi"/>
          <w:lang w:val="ro-MD"/>
        </w:rPr>
        <w:t>Reieșind din cele expuse, în temeiul art.14 alin.(2), art.15 lit.</w:t>
      </w:r>
      <w:r w:rsidR="00113129">
        <w:rPr>
          <w:rFonts w:asciiTheme="majorHAnsi" w:hAnsiTheme="majorHAnsi"/>
          <w:lang w:val="ro-MD"/>
        </w:rPr>
        <w:t xml:space="preserve"> </w:t>
      </w:r>
      <w:r w:rsidRPr="00EA05B4">
        <w:rPr>
          <w:rFonts w:asciiTheme="majorHAnsi" w:hAnsiTheme="majorHAnsi"/>
          <w:lang w:val="ro-MD"/>
        </w:rPr>
        <w:t>d) și art.37 alin.(2) din Legea nr.260 din 07.12.2017, Curtea de Conturi</w:t>
      </w:r>
      <w:r w:rsidR="008340AE">
        <w:rPr>
          <w:rFonts w:asciiTheme="majorHAnsi" w:hAnsiTheme="majorHAnsi"/>
          <w:lang w:val="ro-MD"/>
        </w:rPr>
        <w:t xml:space="preserve"> </w:t>
      </w:r>
    </w:p>
    <w:p w:rsidR="009E4B84" w:rsidRPr="00EA05B4" w:rsidRDefault="009E4B84" w:rsidP="009E4B84">
      <w:pPr>
        <w:pStyle w:val="cp"/>
        <w:spacing w:line="276" w:lineRule="auto"/>
        <w:rPr>
          <w:rFonts w:asciiTheme="majorHAnsi" w:hAnsiTheme="majorHAnsi"/>
          <w:lang w:val="ro-MD"/>
        </w:rPr>
      </w:pPr>
      <w:r w:rsidRPr="00EA05B4">
        <w:rPr>
          <w:rFonts w:asciiTheme="majorHAnsi" w:hAnsiTheme="majorHAnsi"/>
          <w:lang w:val="ro-MD"/>
        </w:rPr>
        <w:t>HOTĂRĂŞTE:</w:t>
      </w:r>
    </w:p>
    <w:p w:rsidR="009E4B84" w:rsidRPr="00EA05B4" w:rsidRDefault="009E4B84" w:rsidP="009E4B84">
      <w:pPr>
        <w:pStyle w:val="a4"/>
        <w:spacing w:after="24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sidR="002C4E43">
        <w:rPr>
          <w:rFonts w:asciiTheme="majorHAnsi" w:hAnsiTheme="majorHAnsi"/>
          <w:lang w:val="ro-MD"/>
        </w:rPr>
        <w:t xml:space="preserve"> consolidate</w:t>
      </w:r>
      <w:r w:rsidRPr="00EA05B4">
        <w:rPr>
          <w:rFonts w:asciiTheme="majorHAnsi" w:hAnsiTheme="majorHAnsi"/>
          <w:lang w:val="ro-MD"/>
        </w:rPr>
        <w:t xml:space="preserve"> ale </w:t>
      </w:r>
      <w:r w:rsidR="002C4E43">
        <w:rPr>
          <w:rFonts w:asciiTheme="majorHAnsi" w:hAnsiTheme="majorHAnsi"/>
          <w:lang w:val="ro-MD"/>
        </w:rPr>
        <w:t>Ministerul</w:t>
      </w:r>
      <w:r w:rsidR="00944FC5">
        <w:rPr>
          <w:rFonts w:asciiTheme="majorHAnsi" w:hAnsiTheme="majorHAnsi"/>
          <w:lang w:val="ro-MD"/>
        </w:rPr>
        <w:t xml:space="preserve">ui Economiei </w:t>
      </w:r>
      <w:r w:rsidRPr="00EA05B4">
        <w:rPr>
          <w:rFonts w:asciiTheme="majorHAnsi" w:hAnsiTheme="majorHAnsi"/>
          <w:lang w:val="ro-MD"/>
        </w:rPr>
        <w:t>încheiate la 31 decembrie 20</w:t>
      </w:r>
      <w:r w:rsidR="00875ACD">
        <w:rPr>
          <w:rFonts w:asciiTheme="majorHAnsi" w:hAnsiTheme="majorHAnsi"/>
          <w:lang w:val="ro-MD"/>
        </w:rPr>
        <w:t>22</w:t>
      </w:r>
      <w:r w:rsidRPr="00EA05B4">
        <w:rPr>
          <w:rFonts w:asciiTheme="majorHAnsi" w:hAnsiTheme="majorHAnsi"/>
          <w:lang w:val="ro-MD"/>
        </w:rPr>
        <w:t>, anexat la prezenta Hotărâre.</w:t>
      </w:r>
    </w:p>
    <w:p w:rsidR="009E4B84" w:rsidRDefault="009E4B84" w:rsidP="009E4B84">
      <w:pPr>
        <w:pStyle w:val="a4"/>
        <w:spacing w:after="24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AF4619" w:rsidRPr="00741DA3" w:rsidRDefault="00AF4619" w:rsidP="00AF4619">
      <w:pPr>
        <w:pStyle w:val="a4"/>
        <w:spacing w:after="240"/>
        <w:rPr>
          <w:rFonts w:ascii="Calibri Light" w:hAnsi="Calibri Light" w:cs="Calibri Light"/>
          <w:noProof/>
          <w:lang w:val="ro-MD"/>
        </w:rPr>
      </w:pPr>
      <w:r w:rsidRPr="00AF4619">
        <w:rPr>
          <w:rFonts w:ascii="Calibri Light" w:hAnsi="Calibri Light" w:cs="Calibri Light"/>
          <w:b/>
          <w:noProof/>
          <w:lang w:val="ro-MD"/>
        </w:rPr>
        <w:t>2.1.</w:t>
      </w:r>
      <w:r w:rsidRPr="00741DA3">
        <w:rPr>
          <w:rFonts w:ascii="Calibri Light" w:hAnsi="Calibri Light" w:cs="Calibri Light"/>
          <w:noProof/>
          <w:lang w:val="ro-MD"/>
        </w:rPr>
        <w:t xml:space="preserve"> </w:t>
      </w:r>
      <w:r w:rsidRPr="006255AE">
        <w:rPr>
          <w:rFonts w:ascii="Calibri Light" w:hAnsi="Calibri Light" w:cs="Calibri Light"/>
          <w:b/>
          <w:noProof/>
          <w:lang w:val="ro-MD"/>
        </w:rPr>
        <w:t xml:space="preserve">Parlamentului Republicii Moldova, </w:t>
      </w:r>
      <w:r w:rsidRPr="006255AE">
        <w:rPr>
          <w:rFonts w:ascii="Calibri Light" w:hAnsi="Calibri Light" w:cs="Calibri Light"/>
          <w:noProof/>
          <w:lang w:val="ro-MD"/>
        </w:rPr>
        <w:t>pentru informare și examinare, după caz, în cadrul Comisiei parlamentare de control al finanțelor publice</w:t>
      </w:r>
      <w:r w:rsidRPr="00741DA3">
        <w:rPr>
          <w:rFonts w:ascii="Calibri Light" w:hAnsi="Calibri Light" w:cs="Calibri Light"/>
          <w:noProof/>
          <w:lang w:val="ro-MD"/>
        </w:rPr>
        <w:t>;</w:t>
      </w:r>
    </w:p>
    <w:p w:rsidR="00AF4619" w:rsidRPr="00741DA3" w:rsidRDefault="00AF4619" w:rsidP="00AF4619">
      <w:pPr>
        <w:pStyle w:val="a4"/>
        <w:spacing w:after="240"/>
        <w:rPr>
          <w:rFonts w:ascii="Calibri Light" w:hAnsi="Calibri Light" w:cs="Calibri Light"/>
          <w:noProof/>
          <w:lang w:val="ro-MD"/>
        </w:rPr>
      </w:pPr>
      <w:r w:rsidRPr="00AF4619">
        <w:rPr>
          <w:rFonts w:ascii="Calibri Light" w:hAnsi="Calibri Light" w:cs="Calibri Light"/>
          <w:b/>
          <w:noProof/>
          <w:lang w:val="ro-MD"/>
        </w:rPr>
        <w:t>2.2.</w:t>
      </w:r>
      <w:r>
        <w:rPr>
          <w:rFonts w:ascii="Calibri Light" w:hAnsi="Calibri Light" w:cs="Calibri Light"/>
          <w:noProof/>
          <w:lang w:val="ro-MD"/>
        </w:rPr>
        <w:t xml:space="preserve"> </w:t>
      </w:r>
      <w:r w:rsidRPr="00741DA3">
        <w:rPr>
          <w:rFonts w:ascii="Calibri Light" w:hAnsi="Calibri Light" w:cs="Calibri Light"/>
          <w:noProof/>
          <w:lang w:val="ro-MD"/>
        </w:rPr>
        <w:t xml:space="preserve"> </w:t>
      </w:r>
      <w:r w:rsidRPr="00741DA3">
        <w:rPr>
          <w:rFonts w:ascii="Calibri Light" w:hAnsi="Calibri Light" w:cs="Calibri Light"/>
          <w:b/>
          <w:noProof/>
          <w:lang w:val="ro-MD"/>
        </w:rPr>
        <w:t>Președintelui Republicii Moldova</w:t>
      </w:r>
      <w:r w:rsidRPr="00511BB0">
        <w:rPr>
          <w:rFonts w:ascii="Calibri Light" w:hAnsi="Calibri Light" w:cs="Calibri Light"/>
          <w:b/>
          <w:noProof/>
          <w:lang w:val="ro-MD"/>
        </w:rPr>
        <w:t>,</w:t>
      </w:r>
      <w:r w:rsidRPr="00741DA3">
        <w:rPr>
          <w:rFonts w:ascii="Calibri Light" w:hAnsi="Calibri Light" w:cs="Calibri Light"/>
          <w:noProof/>
          <w:lang w:val="ro-MD"/>
        </w:rPr>
        <w:t xml:space="preserve"> pentru informare;</w:t>
      </w:r>
    </w:p>
    <w:p w:rsidR="00AF4619" w:rsidRPr="006255AE" w:rsidRDefault="00AF4619" w:rsidP="00AF4619">
      <w:pPr>
        <w:pStyle w:val="a4"/>
        <w:spacing w:after="240"/>
        <w:rPr>
          <w:rFonts w:ascii="Calibri Light" w:hAnsi="Calibri Light" w:cs="Calibri Light"/>
          <w:noProof/>
          <w:lang w:val="ro-MD"/>
        </w:rPr>
      </w:pPr>
      <w:r w:rsidRPr="00AF4619">
        <w:rPr>
          <w:rFonts w:ascii="Calibri Light" w:hAnsi="Calibri Light" w:cs="Calibri Light"/>
          <w:b/>
          <w:noProof/>
          <w:lang w:val="ro-MD"/>
        </w:rPr>
        <w:t>2.3.</w:t>
      </w:r>
      <w:r>
        <w:rPr>
          <w:rFonts w:ascii="Calibri Light" w:hAnsi="Calibri Light" w:cs="Calibri Light"/>
          <w:noProof/>
          <w:lang w:val="ro-MD"/>
        </w:rPr>
        <w:t xml:space="preserve"> </w:t>
      </w:r>
      <w:r w:rsidRPr="006255AE">
        <w:rPr>
          <w:rFonts w:ascii="Calibri Light" w:hAnsi="Calibri Light" w:cs="Calibri Light"/>
          <w:b/>
          <w:noProof/>
          <w:lang w:val="ro-MD"/>
        </w:rPr>
        <w:t xml:space="preserve">Guvernului Republicii Moldova, </w:t>
      </w:r>
      <w:r w:rsidRPr="006255AE">
        <w:rPr>
          <w:rFonts w:ascii="Calibri Light" w:hAnsi="Calibri Light" w:cs="Calibri Light"/>
          <w:noProof/>
          <w:lang w:val="ro-MD"/>
        </w:rPr>
        <w:t>pentru informare și luare de atitudine în vederea monitorizării asigurării implementării recomandărilor de audit;</w:t>
      </w:r>
    </w:p>
    <w:p w:rsidR="00545791" w:rsidRDefault="00AF4619" w:rsidP="00993907">
      <w:pPr>
        <w:pStyle w:val="a4"/>
        <w:spacing w:after="240"/>
        <w:rPr>
          <w:rFonts w:asciiTheme="majorHAnsi" w:hAnsiTheme="majorHAnsi"/>
          <w:lang w:val="ro-MD"/>
        </w:rPr>
      </w:pPr>
      <w:r w:rsidRPr="00AF4619">
        <w:rPr>
          <w:rFonts w:ascii="Calibri Light" w:hAnsi="Calibri Light" w:cs="Calibri Light"/>
          <w:b/>
          <w:noProof/>
          <w:lang w:val="ro-MD"/>
        </w:rPr>
        <w:t>2.4.</w:t>
      </w:r>
      <w:r>
        <w:rPr>
          <w:rFonts w:ascii="Calibri Light" w:hAnsi="Calibri Light" w:cs="Calibri Light"/>
          <w:noProof/>
          <w:lang w:val="ro-MD"/>
        </w:rPr>
        <w:t xml:space="preserve"> </w:t>
      </w:r>
      <w:r w:rsidRPr="00D364EA">
        <w:rPr>
          <w:rFonts w:ascii="Calibri Light" w:hAnsi="Calibri Light" w:cs="Calibri Light"/>
          <w:b/>
          <w:noProof/>
          <w:lang w:val="ro-MD"/>
        </w:rPr>
        <w:t xml:space="preserve">Ministerului </w:t>
      </w:r>
      <w:r w:rsidR="009B7A9A">
        <w:rPr>
          <w:rFonts w:ascii="Calibri Light" w:hAnsi="Calibri Light" w:cs="Calibri Light"/>
          <w:b/>
          <w:noProof/>
          <w:lang w:val="ro-MD"/>
        </w:rPr>
        <w:t xml:space="preserve">Dezvoltării </w:t>
      </w:r>
      <w:r w:rsidRPr="00D364EA">
        <w:rPr>
          <w:rFonts w:ascii="Calibri Light" w:hAnsi="Calibri Light" w:cs="Calibri Light"/>
          <w:b/>
          <w:noProof/>
          <w:lang w:val="ro-MD"/>
        </w:rPr>
        <w:t>Economi</w:t>
      </w:r>
      <w:r w:rsidR="00624A55">
        <w:rPr>
          <w:rFonts w:ascii="Calibri Light" w:hAnsi="Calibri Light" w:cs="Calibri Light"/>
          <w:b/>
          <w:noProof/>
          <w:lang w:val="ro-MD"/>
        </w:rPr>
        <w:t>ce</w:t>
      </w:r>
      <w:r w:rsidR="009B7A9A">
        <w:rPr>
          <w:rFonts w:ascii="Calibri Light" w:hAnsi="Calibri Light" w:cs="Calibri Light"/>
          <w:b/>
          <w:noProof/>
          <w:lang w:val="ro-MD"/>
        </w:rPr>
        <w:t xml:space="preserve"> și Digitalizării</w:t>
      </w:r>
      <w:r w:rsidRPr="00D364EA">
        <w:rPr>
          <w:rFonts w:ascii="Calibri Light" w:hAnsi="Calibri Light" w:cs="Calibri Light"/>
          <w:b/>
          <w:noProof/>
          <w:lang w:val="ro-MD"/>
        </w:rPr>
        <w:t>,</w:t>
      </w:r>
      <w:r>
        <w:rPr>
          <w:rFonts w:ascii="Calibri Light" w:hAnsi="Calibri Light" w:cs="Calibri Light"/>
          <w:noProof/>
          <w:lang w:val="ro-MD"/>
        </w:rPr>
        <w:t xml:space="preserve"> </w:t>
      </w:r>
      <w:r w:rsidR="00FF2F94" w:rsidRPr="00755D18">
        <w:rPr>
          <w:rFonts w:asciiTheme="majorHAnsi" w:hAnsiTheme="majorHAnsi"/>
          <w:lang w:val="ro-MD"/>
        </w:rPr>
        <w:t>pentru luare de atitudine</w:t>
      </w:r>
      <w:r w:rsidR="00545791">
        <w:rPr>
          <w:rFonts w:asciiTheme="majorHAnsi" w:hAnsiTheme="majorHAnsi"/>
          <w:lang w:val="ro-MD"/>
        </w:rPr>
        <w:t xml:space="preserve"> și implementarea următoarelor recomandări:</w:t>
      </w:r>
    </w:p>
    <w:p w:rsidR="0049768C" w:rsidRDefault="00545791" w:rsidP="00827690">
      <w:pPr>
        <w:pStyle w:val="a4"/>
        <w:rPr>
          <w:rFonts w:asciiTheme="majorHAnsi" w:hAnsiTheme="majorHAnsi"/>
          <w:lang w:val="ro-MD"/>
        </w:rPr>
      </w:pPr>
      <w:r w:rsidRPr="00827690">
        <w:rPr>
          <w:rFonts w:asciiTheme="majorHAnsi" w:hAnsiTheme="majorHAnsi"/>
          <w:lang w:val="ro-MD"/>
        </w:rPr>
        <w:t>2.4.1.</w:t>
      </w:r>
      <w:r w:rsidR="00FF2F94">
        <w:rPr>
          <w:rFonts w:asciiTheme="majorHAnsi" w:hAnsiTheme="majorHAnsi"/>
          <w:lang w:val="ro-MD"/>
        </w:rPr>
        <w:t xml:space="preserve"> </w:t>
      </w:r>
      <w:r w:rsidR="0049768C">
        <w:rPr>
          <w:rFonts w:asciiTheme="majorHAnsi" w:hAnsiTheme="majorHAnsi"/>
          <w:lang w:val="ro-MD"/>
        </w:rPr>
        <w:t>asigurarea</w:t>
      </w:r>
      <w:r w:rsidR="004E68C6">
        <w:rPr>
          <w:rFonts w:asciiTheme="majorHAnsi" w:hAnsiTheme="majorHAnsi"/>
          <w:lang w:val="ro-MD"/>
        </w:rPr>
        <w:t xml:space="preserve"> inventarierii, delimitării</w:t>
      </w:r>
      <w:r w:rsidR="0049768C">
        <w:rPr>
          <w:rFonts w:asciiTheme="majorHAnsi" w:hAnsiTheme="majorHAnsi"/>
          <w:lang w:val="ro-MD"/>
        </w:rPr>
        <w:t xml:space="preserve"> </w:t>
      </w:r>
      <w:r w:rsidR="004E68C6">
        <w:rPr>
          <w:rFonts w:asciiTheme="majorHAnsi" w:hAnsiTheme="majorHAnsi"/>
          <w:lang w:val="ro-MD"/>
        </w:rPr>
        <w:t xml:space="preserve"> și contabilizării conforme a patrimoniului de stat inclusiv la entitățile fondate</w:t>
      </w:r>
      <w:r w:rsidR="000F561D">
        <w:rPr>
          <w:rFonts w:asciiTheme="majorHAnsi" w:hAnsiTheme="majorHAnsi"/>
          <w:lang w:val="ro-MD"/>
        </w:rPr>
        <w:t>,</w:t>
      </w:r>
      <w:r w:rsidR="004E68C6">
        <w:rPr>
          <w:rFonts w:asciiTheme="majorHAnsi" w:hAnsiTheme="majorHAnsi"/>
          <w:lang w:val="ro-MD"/>
        </w:rPr>
        <w:t xml:space="preserve"> precum și a </w:t>
      </w:r>
      <w:r w:rsidR="0049768C">
        <w:rPr>
          <w:rFonts w:asciiTheme="majorHAnsi" w:hAnsiTheme="majorHAnsi"/>
          <w:lang w:val="ro-MD"/>
        </w:rPr>
        <w:t>inventarierii</w:t>
      </w:r>
      <w:r w:rsidR="0049768C" w:rsidRPr="0049768C">
        <w:rPr>
          <w:rFonts w:asciiTheme="majorHAnsi" w:hAnsiTheme="majorHAnsi"/>
          <w:lang w:val="ro-MD"/>
        </w:rPr>
        <w:t xml:space="preserve"> și înregistr</w:t>
      </w:r>
      <w:r w:rsidR="009B7A9A">
        <w:rPr>
          <w:rFonts w:asciiTheme="majorHAnsi" w:hAnsiTheme="majorHAnsi"/>
          <w:lang w:val="ro-MD"/>
        </w:rPr>
        <w:t>ării</w:t>
      </w:r>
      <w:r w:rsidR="0049768C" w:rsidRPr="0049768C">
        <w:rPr>
          <w:rFonts w:asciiTheme="majorHAnsi" w:hAnsiTheme="majorHAnsi"/>
          <w:lang w:val="ro-MD"/>
        </w:rPr>
        <w:t xml:space="preserve"> contabil</w:t>
      </w:r>
      <w:r w:rsidR="009B7A9A">
        <w:rPr>
          <w:rFonts w:asciiTheme="majorHAnsi" w:hAnsiTheme="majorHAnsi"/>
          <w:lang w:val="ro-MD"/>
        </w:rPr>
        <w:t>e</w:t>
      </w:r>
      <w:r w:rsidR="0049768C" w:rsidRPr="0049768C">
        <w:rPr>
          <w:rFonts w:asciiTheme="majorHAnsi" w:hAnsiTheme="majorHAnsi"/>
          <w:lang w:val="ro-MD"/>
        </w:rPr>
        <w:t xml:space="preserve"> a creanțelor compromise în conturile extrabilanțiere ale M</w:t>
      </w:r>
      <w:r w:rsidR="009B7A9A">
        <w:rPr>
          <w:rFonts w:asciiTheme="majorHAnsi" w:hAnsiTheme="majorHAnsi"/>
          <w:lang w:val="ro-MD"/>
        </w:rPr>
        <w:t xml:space="preserve">inisterului </w:t>
      </w:r>
      <w:r w:rsidR="0049768C" w:rsidRPr="0049768C">
        <w:rPr>
          <w:rFonts w:asciiTheme="majorHAnsi" w:hAnsiTheme="majorHAnsi"/>
          <w:lang w:val="ro-MD"/>
        </w:rPr>
        <w:t>D</w:t>
      </w:r>
      <w:r w:rsidR="009B7A9A">
        <w:rPr>
          <w:rFonts w:asciiTheme="majorHAnsi" w:hAnsiTheme="majorHAnsi"/>
          <w:lang w:val="ro-MD"/>
        </w:rPr>
        <w:t>ez</w:t>
      </w:r>
      <w:r w:rsidR="00624A55">
        <w:rPr>
          <w:rFonts w:asciiTheme="majorHAnsi" w:hAnsiTheme="majorHAnsi"/>
          <w:lang w:val="ro-MD"/>
        </w:rPr>
        <w:t xml:space="preserve">voltării </w:t>
      </w:r>
      <w:r w:rsidR="0049768C" w:rsidRPr="0049768C">
        <w:rPr>
          <w:rFonts w:asciiTheme="majorHAnsi" w:hAnsiTheme="majorHAnsi"/>
          <w:lang w:val="ro-MD"/>
        </w:rPr>
        <w:t>E</w:t>
      </w:r>
      <w:r w:rsidR="00624A55">
        <w:rPr>
          <w:rFonts w:asciiTheme="majorHAnsi" w:hAnsiTheme="majorHAnsi"/>
          <w:lang w:val="ro-MD"/>
        </w:rPr>
        <w:t xml:space="preserve">conomice și </w:t>
      </w:r>
      <w:r w:rsidR="0049768C" w:rsidRPr="0049768C">
        <w:rPr>
          <w:rFonts w:asciiTheme="majorHAnsi" w:hAnsiTheme="majorHAnsi"/>
          <w:lang w:val="ro-MD"/>
        </w:rPr>
        <w:t>D</w:t>
      </w:r>
      <w:r w:rsidR="00624A55">
        <w:rPr>
          <w:rFonts w:asciiTheme="majorHAnsi" w:hAnsiTheme="majorHAnsi"/>
          <w:lang w:val="ro-MD"/>
        </w:rPr>
        <w:t>igitalizării;</w:t>
      </w:r>
    </w:p>
    <w:p w:rsidR="00C819A3" w:rsidRDefault="00C819A3" w:rsidP="00827690">
      <w:pPr>
        <w:pStyle w:val="a4"/>
        <w:rPr>
          <w:rFonts w:asciiTheme="majorHAnsi" w:hAnsiTheme="majorHAnsi" w:cstheme="majorHAnsi"/>
          <w:lang w:val="ro-RO"/>
        </w:rPr>
      </w:pPr>
      <w:r w:rsidRPr="00827690">
        <w:rPr>
          <w:rFonts w:asciiTheme="majorHAnsi" w:hAnsiTheme="majorHAnsi"/>
          <w:lang w:val="ro-MD"/>
        </w:rPr>
        <w:t>2.4.2.</w:t>
      </w:r>
      <w:r w:rsidR="00DF3081" w:rsidRPr="00DF3081">
        <w:rPr>
          <w:rFonts w:asciiTheme="majorHAnsi" w:hAnsiTheme="majorHAnsi" w:cstheme="majorHAnsi"/>
        </w:rPr>
        <w:t xml:space="preserve"> </w:t>
      </w:r>
      <w:r w:rsidR="00DF3081">
        <w:rPr>
          <w:rFonts w:asciiTheme="majorHAnsi" w:hAnsiTheme="majorHAnsi" w:cstheme="majorHAnsi"/>
          <w:lang w:val="ro-RO"/>
        </w:rPr>
        <w:t>asigurarea</w:t>
      </w:r>
      <w:r w:rsidR="00DF3081" w:rsidRPr="00DF3081">
        <w:rPr>
          <w:rFonts w:asciiTheme="majorHAnsi" w:hAnsiTheme="majorHAnsi" w:cstheme="majorHAnsi"/>
          <w:lang w:val="ro-RO"/>
        </w:rPr>
        <w:t xml:space="preserve"> </w:t>
      </w:r>
      <w:r w:rsidR="00DF3081">
        <w:rPr>
          <w:rFonts w:asciiTheme="majorHAnsi" w:hAnsiTheme="majorHAnsi" w:cstheme="majorHAnsi"/>
          <w:lang w:val="ro-RO"/>
        </w:rPr>
        <w:t xml:space="preserve"> </w:t>
      </w:r>
      <w:r w:rsidR="00DF3081" w:rsidRPr="00DF3081">
        <w:rPr>
          <w:rFonts w:asciiTheme="majorHAnsi" w:hAnsiTheme="majorHAnsi" w:cstheme="majorHAnsi"/>
          <w:lang w:val="ro-RO"/>
        </w:rPr>
        <w:t>suplinir</w:t>
      </w:r>
      <w:r w:rsidR="00624A55">
        <w:rPr>
          <w:rFonts w:asciiTheme="majorHAnsi" w:hAnsiTheme="majorHAnsi" w:cstheme="majorHAnsi"/>
          <w:lang w:val="ro-RO"/>
        </w:rPr>
        <w:t>ii</w:t>
      </w:r>
      <w:r w:rsidR="00DF3081" w:rsidRPr="00DF3081">
        <w:rPr>
          <w:rFonts w:asciiTheme="majorHAnsi" w:hAnsiTheme="majorHAnsi" w:cstheme="majorHAnsi"/>
          <w:lang w:val="ro-RO"/>
        </w:rPr>
        <w:t xml:space="preserve"> resurselor financiare la conturile trezoreriale ale </w:t>
      </w:r>
      <w:r w:rsidR="000F0F8A">
        <w:rPr>
          <w:rFonts w:asciiTheme="majorHAnsi" w:hAnsiTheme="majorHAnsi" w:cstheme="majorHAnsi"/>
          <w:lang w:val="ro-RO"/>
        </w:rPr>
        <w:t>Organizaţiei</w:t>
      </w:r>
      <w:r w:rsidR="000F0F8A" w:rsidRPr="000F0F8A">
        <w:rPr>
          <w:rFonts w:asciiTheme="majorHAnsi" w:hAnsiTheme="majorHAnsi" w:cstheme="majorHAnsi"/>
          <w:lang w:val="ro-RO"/>
        </w:rPr>
        <w:t xml:space="preserve"> pentru Dezv</w:t>
      </w:r>
      <w:r w:rsidR="000F0F8A">
        <w:rPr>
          <w:rFonts w:asciiTheme="majorHAnsi" w:hAnsiTheme="majorHAnsi" w:cstheme="majorHAnsi"/>
          <w:lang w:val="ro-RO"/>
        </w:rPr>
        <w:t>oltarea Antreprenoriatului</w:t>
      </w:r>
      <w:r w:rsidR="000F0F8A" w:rsidRPr="000F0F8A">
        <w:rPr>
          <w:rFonts w:asciiTheme="majorHAnsi" w:hAnsiTheme="majorHAnsi" w:cstheme="majorHAnsi"/>
          <w:lang w:val="ro-RO"/>
        </w:rPr>
        <w:t xml:space="preserve"> </w:t>
      </w:r>
      <w:r w:rsidR="000F0F8A">
        <w:rPr>
          <w:rFonts w:asciiTheme="majorHAnsi" w:hAnsiTheme="majorHAnsi" w:cstheme="majorHAnsi"/>
          <w:lang w:val="ro-RO"/>
        </w:rPr>
        <w:t>(</w:t>
      </w:r>
      <w:r w:rsidR="000F0F8A" w:rsidRPr="00815CED">
        <w:rPr>
          <w:rFonts w:asciiTheme="majorHAnsi" w:hAnsiTheme="majorHAnsi" w:cstheme="majorHAnsi"/>
          <w:lang w:val="ro-RO"/>
        </w:rPr>
        <w:t>succeso</w:t>
      </w:r>
      <w:r w:rsidR="00815CED">
        <w:rPr>
          <w:rFonts w:asciiTheme="majorHAnsi" w:hAnsiTheme="majorHAnsi" w:cstheme="majorHAnsi"/>
          <w:lang w:val="ro-RO"/>
        </w:rPr>
        <w:t>are</w:t>
      </w:r>
      <w:r w:rsidR="000F0F8A" w:rsidRPr="00815CED">
        <w:rPr>
          <w:rFonts w:asciiTheme="majorHAnsi" w:hAnsiTheme="majorHAnsi" w:cstheme="majorHAnsi"/>
          <w:lang w:val="ro-RO"/>
        </w:rPr>
        <w:t xml:space="preserve"> de drepturi a Organiz</w:t>
      </w:r>
      <w:r w:rsidR="000F0F8A" w:rsidRPr="000F0F8A">
        <w:rPr>
          <w:rFonts w:asciiTheme="majorHAnsi" w:hAnsiTheme="majorHAnsi" w:cstheme="majorHAnsi"/>
          <w:lang w:val="ro-RO"/>
        </w:rPr>
        <w:t>aţiei pentru Dezvoltarea Sectorului Întreprinderilor Mici şi Mijlocii</w:t>
      </w:r>
      <w:r w:rsidR="000F0F8A">
        <w:rPr>
          <w:rFonts w:asciiTheme="majorHAnsi" w:hAnsiTheme="majorHAnsi" w:cstheme="majorHAnsi"/>
          <w:lang w:val="ro-RO"/>
        </w:rPr>
        <w:t>)</w:t>
      </w:r>
      <w:r w:rsidR="00DF3081" w:rsidRPr="00DF3081">
        <w:rPr>
          <w:rFonts w:asciiTheme="majorHAnsi" w:hAnsiTheme="majorHAnsi" w:cstheme="majorHAnsi"/>
          <w:lang w:val="ro-RO"/>
        </w:rPr>
        <w:t>, preconizate pentru implementarea Programului „Transformare digitală a întreprinderilor mici și mijlocii”.</w:t>
      </w:r>
    </w:p>
    <w:p w:rsidR="00827690" w:rsidRPr="00DF3081" w:rsidRDefault="00827690" w:rsidP="00827690">
      <w:pPr>
        <w:pStyle w:val="a4"/>
        <w:rPr>
          <w:rFonts w:asciiTheme="majorHAnsi" w:hAnsiTheme="majorHAnsi"/>
          <w:b/>
          <w:lang w:val="ro-RO"/>
        </w:rPr>
      </w:pPr>
    </w:p>
    <w:p w:rsidR="003D640C" w:rsidRPr="00C819A3" w:rsidRDefault="00E97F49" w:rsidP="003D640C">
      <w:pPr>
        <w:pStyle w:val="a4"/>
        <w:spacing w:after="240"/>
        <w:rPr>
          <w:rFonts w:asciiTheme="majorHAnsi" w:hAnsiTheme="majorHAnsi"/>
          <w:lang w:val="ro-MD"/>
        </w:rPr>
      </w:pPr>
      <w:r w:rsidRPr="00E97F49">
        <w:rPr>
          <w:rFonts w:asciiTheme="majorHAnsi" w:hAnsiTheme="majorHAnsi"/>
          <w:b/>
          <w:lang w:val="ro-MD"/>
        </w:rPr>
        <w:t>3.</w:t>
      </w:r>
      <w:r>
        <w:rPr>
          <w:rFonts w:asciiTheme="majorHAnsi" w:hAnsiTheme="majorHAnsi"/>
          <w:lang w:val="ro-MD"/>
        </w:rPr>
        <w:t xml:space="preserve"> </w:t>
      </w:r>
      <w:r w:rsidRPr="00E97F49">
        <w:rPr>
          <w:rFonts w:asciiTheme="majorHAnsi" w:hAnsiTheme="majorHAnsi"/>
          <w:lang w:val="ro-MD"/>
        </w:rPr>
        <w:t>Prin prezenta Hotărâre</w:t>
      </w:r>
      <w:r w:rsidR="000059EC">
        <w:rPr>
          <w:rFonts w:asciiTheme="majorHAnsi" w:hAnsiTheme="majorHAnsi"/>
          <w:lang w:val="ro-MD"/>
        </w:rPr>
        <w:t>,</w:t>
      </w:r>
      <w:r w:rsidRPr="00E97F49">
        <w:rPr>
          <w:rFonts w:asciiTheme="majorHAnsi" w:hAnsiTheme="majorHAnsi"/>
          <w:lang w:val="ro-MD"/>
        </w:rPr>
        <w:t xml:space="preserve"> se ex</w:t>
      </w:r>
      <w:r w:rsidR="00C819A3">
        <w:rPr>
          <w:rFonts w:asciiTheme="majorHAnsi" w:hAnsiTheme="majorHAnsi"/>
          <w:lang w:val="ro-MD"/>
        </w:rPr>
        <w:t>clud</w:t>
      </w:r>
      <w:r w:rsidR="000059EC">
        <w:rPr>
          <w:rFonts w:asciiTheme="majorHAnsi" w:hAnsiTheme="majorHAnsi"/>
          <w:lang w:val="ro-MD"/>
        </w:rPr>
        <w:t>e</w:t>
      </w:r>
      <w:r w:rsidR="00C819A3">
        <w:rPr>
          <w:rFonts w:asciiTheme="majorHAnsi" w:hAnsiTheme="majorHAnsi"/>
          <w:lang w:val="ro-MD"/>
        </w:rPr>
        <w:t xml:space="preserve"> din regim de monitorizare </w:t>
      </w:r>
      <w:r w:rsidR="003D640C" w:rsidRPr="00E97F49">
        <w:rPr>
          <w:rFonts w:asciiTheme="majorHAnsi" w:hAnsiTheme="majorHAnsi"/>
          <w:lang w:val="ro-MD"/>
        </w:rPr>
        <w:t xml:space="preserve"> H</w:t>
      </w:r>
      <w:r w:rsidR="003D640C">
        <w:rPr>
          <w:rFonts w:asciiTheme="majorHAnsi" w:hAnsiTheme="majorHAnsi"/>
          <w:lang w:val="ro-MD"/>
        </w:rPr>
        <w:t>otărârea Curții de Conturi nr.23</w:t>
      </w:r>
      <w:r w:rsidR="003D640C" w:rsidRPr="00E97F49">
        <w:rPr>
          <w:rFonts w:asciiTheme="majorHAnsi" w:hAnsiTheme="majorHAnsi"/>
          <w:lang w:val="ro-MD"/>
        </w:rPr>
        <w:t xml:space="preserve">  </w:t>
      </w:r>
      <w:r w:rsidR="003D640C">
        <w:rPr>
          <w:rFonts w:asciiTheme="majorHAnsi" w:hAnsiTheme="majorHAnsi"/>
          <w:lang w:val="ro-MD"/>
        </w:rPr>
        <w:t>din 27.05.2022</w:t>
      </w:r>
      <w:r w:rsidR="003D640C" w:rsidRPr="00E97F49">
        <w:rPr>
          <w:rFonts w:asciiTheme="majorHAnsi" w:hAnsiTheme="majorHAnsi"/>
          <w:lang w:val="ro-MD"/>
        </w:rPr>
        <w:t xml:space="preserve">  cu privire la Raportul auditului asupra rap</w:t>
      </w:r>
      <w:r w:rsidR="003D640C">
        <w:rPr>
          <w:rFonts w:asciiTheme="majorHAnsi" w:hAnsiTheme="majorHAnsi"/>
          <w:lang w:val="ro-MD"/>
        </w:rPr>
        <w:t xml:space="preserve">oartelor financiare consolidate </w:t>
      </w:r>
      <w:r w:rsidR="003D640C" w:rsidRPr="00E97F49">
        <w:rPr>
          <w:rFonts w:asciiTheme="majorHAnsi" w:hAnsiTheme="majorHAnsi"/>
          <w:lang w:val="ro-MD"/>
        </w:rPr>
        <w:t>ale Ministerului Economiei încheiate la 31 decembrie 2021</w:t>
      </w:r>
      <w:r w:rsidR="00E118C8">
        <w:rPr>
          <w:rFonts w:asciiTheme="majorHAnsi" w:hAnsiTheme="majorHAnsi"/>
          <w:lang w:val="ro-MD"/>
        </w:rPr>
        <w:t>, dat fiind că</w:t>
      </w:r>
      <w:r w:rsidR="003D640C">
        <w:rPr>
          <w:rFonts w:asciiTheme="majorHAnsi" w:hAnsiTheme="majorHAnsi"/>
          <w:lang w:val="ro-MD"/>
        </w:rPr>
        <w:t xml:space="preserve"> </w:t>
      </w:r>
      <w:r w:rsidR="00C819A3">
        <w:rPr>
          <w:rFonts w:asciiTheme="majorHAnsi" w:hAnsiTheme="majorHAnsi"/>
          <w:lang w:val="ro-MD"/>
        </w:rPr>
        <w:t xml:space="preserve"> recomandarea neimplementată </w:t>
      </w:r>
      <w:r w:rsidR="003D640C">
        <w:rPr>
          <w:rFonts w:asciiTheme="majorHAnsi" w:hAnsiTheme="majorHAnsi"/>
          <w:lang w:val="ro-MD"/>
        </w:rPr>
        <w:t xml:space="preserve">se reiterează în </w:t>
      </w:r>
      <w:r w:rsidR="00C819A3">
        <w:rPr>
          <w:rFonts w:asciiTheme="majorHAnsi" w:hAnsiTheme="majorHAnsi"/>
          <w:lang w:val="ro-MD"/>
        </w:rPr>
        <w:t xml:space="preserve">prezenta </w:t>
      </w:r>
      <w:r w:rsidR="000059EC">
        <w:rPr>
          <w:rFonts w:asciiTheme="majorHAnsi" w:hAnsiTheme="majorHAnsi"/>
          <w:lang w:val="ro-MD"/>
        </w:rPr>
        <w:t>H</w:t>
      </w:r>
      <w:r w:rsidR="00C819A3">
        <w:rPr>
          <w:rFonts w:asciiTheme="majorHAnsi" w:hAnsiTheme="majorHAnsi"/>
          <w:lang w:val="ro-MD"/>
        </w:rPr>
        <w:t>otărâre</w:t>
      </w:r>
      <w:r w:rsidR="003D640C">
        <w:rPr>
          <w:rFonts w:asciiTheme="majorHAnsi" w:hAnsiTheme="majorHAnsi"/>
          <w:lang w:val="ro-MD"/>
        </w:rPr>
        <w:t>.</w:t>
      </w:r>
    </w:p>
    <w:p w:rsidR="009E4B84" w:rsidRPr="00755D18" w:rsidRDefault="00E97F49" w:rsidP="00CD6716">
      <w:pPr>
        <w:pStyle w:val="a4"/>
        <w:spacing w:after="240"/>
        <w:rPr>
          <w:rFonts w:asciiTheme="majorHAnsi" w:hAnsiTheme="majorHAnsi"/>
          <w:bCs/>
          <w:lang w:val="ro-MD"/>
        </w:rPr>
      </w:pPr>
      <w:r>
        <w:rPr>
          <w:rFonts w:asciiTheme="majorHAnsi" w:hAnsiTheme="majorHAnsi"/>
          <w:b/>
          <w:lang w:val="ro-MD"/>
        </w:rPr>
        <w:t>4</w:t>
      </w:r>
      <w:r w:rsidR="009E4B84" w:rsidRPr="00CD6716">
        <w:rPr>
          <w:rFonts w:asciiTheme="majorHAnsi" w:hAnsiTheme="majorHAnsi"/>
          <w:b/>
          <w:lang w:val="ro-MD"/>
        </w:rPr>
        <w:t>.</w:t>
      </w:r>
      <w:r w:rsidR="009678B4">
        <w:rPr>
          <w:rFonts w:asciiTheme="majorHAnsi" w:hAnsiTheme="majorHAnsi"/>
          <w:lang w:val="ro-MD"/>
        </w:rPr>
        <w:t xml:space="preserve"> Se împuternicește V</w:t>
      </w:r>
      <w:r w:rsidR="009E4B84" w:rsidRPr="00CD6716">
        <w:rPr>
          <w:rFonts w:asciiTheme="majorHAnsi" w:hAnsiTheme="majorHAnsi"/>
          <w:lang w:val="ro-MD"/>
        </w:rPr>
        <w:t xml:space="preserve">icepreședintele Curții de Conturi cu dreptul de a semna Scrisoarea către conducerea </w:t>
      </w:r>
      <w:r w:rsidR="00AB12DB">
        <w:rPr>
          <w:rFonts w:asciiTheme="majorHAnsi" w:hAnsiTheme="majorHAnsi"/>
          <w:lang w:val="ro-MD"/>
        </w:rPr>
        <w:t>Ministeru</w:t>
      </w:r>
      <w:r w:rsidR="004246BB">
        <w:rPr>
          <w:rFonts w:asciiTheme="majorHAnsi" w:hAnsiTheme="majorHAnsi"/>
          <w:lang w:val="ro-MD"/>
        </w:rPr>
        <w:t>lui Economiei</w:t>
      </w:r>
      <w:r w:rsidR="009E4B84" w:rsidRPr="00CD6716">
        <w:rPr>
          <w:rFonts w:asciiTheme="majorHAnsi" w:hAnsiTheme="majorHAnsi"/>
          <w:lang w:val="ro-MD"/>
        </w:rPr>
        <w:t>.</w:t>
      </w:r>
    </w:p>
    <w:p w:rsidR="009E4B84" w:rsidRDefault="00E97F49" w:rsidP="009E4B84">
      <w:pPr>
        <w:pStyle w:val="a4"/>
        <w:spacing w:after="240" w:line="276" w:lineRule="auto"/>
        <w:rPr>
          <w:rFonts w:asciiTheme="majorHAnsi" w:hAnsiTheme="majorHAnsi" w:cstheme="majorHAnsi"/>
          <w:lang w:val="ro-MD"/>
        </w:rPr>
      </w:pPr>
      <w:r>
        <w:rPr>
          <w:rFonts w:asciiTheme="majorHAnsi" w:hAnsiTheme="majorHAnsi"/>
          <w:b/>
          <w:bCs/>
          <w:lang w:val="ro-MD"/>
        </w:rPr>
        <w:t>5</w:t>
      </w:r>
      <w:r w:rsidR="009E4B84" w:rsidRPr="00755D18">
        <w:rPr>
          <w:rFonts w:asciiTheme="majorHAnsi" w:eastAsiaTheme="minorHAnsi" w:hAnsiTheme="majorHAnsi" w:cstheme="minorBidi"/>
          <w:bCs/>
          <w:lang w:val="ro-MD"/>
        </w:rPr>
        <w:t>. Prezenta</w:t>
      </w:r>
      <w:r w:rsidR="009E4B84"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8340AE">
        <w:rPr>
          <w:rFonts w:asciiTheme="majorHAnsi" w:hAnsiTheme="majorHAnsi" w:cstheme="majorHAnsi"/>
          <w:lang w:val="ro-MD"/>
        </w:rPr>
        <w:t xml:space="preserve"> </w:t>
      </w:r>
    </w:p>
    <w:p w:rsidR="009E4B84" w:rsidRPr="00B765F9" w:rsidRDefault="00E97F49" w:rsidP="00B765F9">
      <w:pPr>
        <w:pStyle w:val="a4"/>
        <w:spacing w:after="240" w:line="276" w:lineRule="auto"/>
        <w:rPr>
          <w:rFonts w:asciiTheme="majorHAnsi" w:hAnsiTheme="majorHAnsi" w:cstheme="majorHAnsi"/>
          <w:lang w:val="ro-MD"/>
        </w:rPr>
      </w:pPr>
      <w:r>
        <w:rPr>
          <w:rFonts w:asciiTheme="majorHAnsi" w:hAnsiTheme="majorHAnsi" w:cstheme="majorHAnsi"/>
          <w:b/>
          <w:lang w:val="ro-MD"/>
        </w:rPr>
        <w:t>6</w:t>
      </w:r>
      <w:r w:rsidR="003D2BE5" w:rsidRPr="003D2BE5">
        <w:rPr>
          <w:rFonts w:asciiTheme="majorHAnsi" w:hAnsiTheme="majorHAnsi" w:cstheme="majorHAnsi"/>
          <w:b/>
          <w:lang w:val="ro-MD"/>
        </w:rPr>
        <w:t>.</w:t>
      </w:r>
      <w:r w:rsidR="003D2BE5">
        <w:rPr>
          <w:rFonts w:asciiTheme="majorHAnsi" w:hAnsiTheme="majorHAnsi" w:cstheme="majorHAnsi"/>
          <w:lang w:val="ro-MD"/>
        </w:rPr>
        <w:t xml:space="preserve"> </w:t>
      </w:r>
      <w:r w:rsidR="003D2BE5" w:rsidRPr="004D72E1">
        <w:rPr>
          <w:rFonts w:ascii="Calibri Light" w:hAnsi="Calibri Light" w:cs="Calibri Light"/>
          <w:noProof/>
          <w:lang w:val="ro-MD"/>
        </w:rPr>
        <w:t>Curtea de Conturi va fi informată</w:t>
      </w:r>
      <w:r w:rsidR="003D2BE5">
        <w:rPr>
          <w:rFonts w:ascii="Calibri Light" w:hAnsi="Calibri Light" w:cs="Calibri Light"/>
          <w:noProof/>
          <w:lang w:val="ro-MD"/>
        </w:rPr>
        <w:t>, în termen de 6</w:t>
      </w:r>
      <w:r w:rsidR="003D2BE5" w:rsidRPr="004D72E1">
        <w:rPr>
          <w:rFonts w:ascii="Calibri Light" w:hAnsi="Calibri Light" w:cs="Calibri Light"/>
          <w:noProof/>
          <w:lang w:val="ro-MD"/>
        </w:rPr>
        <w:t xml:space="preserve"> luni din data </w:t>
      </w:r>
      <w:r w:rsidR="003D2BE5" w:rsidRPr="004D72E1">
        <w:rPr>
          <w:rFonts w:ascii="Calibri Light" w:hAnsi="Calibri Light" w:cs="Calibri Light"/>
          <w:noProof/>
          <w:lang w:val="ro-MD" w:eastAsia="ru-RU"/>
        </w:rPr>
        <w:t xml:space="preserve">publicării </w:t>
      </w:r>
      <w:r w:rsidR="003D2BE5" w:rsidRPr="004D72E1">
        <w:rPr>
          <w:rFonts w:ascii="Calibri Light" w:hAnsi="Calibri Light" w:cs="Calibri Light"/>
          <w:noProof/>
          <w:lang w:val="ro-MD"/>
        </w:rPr>
        <w:t>Hotărârii</w:t>
      </w:r>
      <w:r w:rsidR="003D2BE5" w:rsidRPr="004D72E1">
        <w:rPr>
          <w:rFonts w:ascii="Calibri Light" w:hAnsi="Calibri Light" w:cs="Calibri Light"/>
          <w:lang w:val="ro-MD"/>
        </w:rPr>
        <w:t xml:space="preserve"> în Monitorul Oficial al Republicii Moldova</w:t>
      </w:r>
      <w:r w:rsidR="003D2BE5">
        <w:rPr>
          <w:rFonts w:ascii="Calibri Light" w:hAnsi="Calibri Light" w:cs="Calibri Light"/>
          <w:lang w:val="ro-MD"/>
        </w:rPr>
        <w:t>,</w:t>
      </w:r>
      <w:r w:rsidR="003D2BE5" w:rsidRPr="004D72E1">
        <w:rPr>
          <w:rFonts w:ascii="Calibri Light" w:hAnsi="Calibri Light" w:cs="Calibri Light"/>
          <w:noProof/>
          <w:lang w:val="ro-MD"/>
        </w:rPr>
        <w:t xml:space="preserve"> despre acțiunile întreprinse pen</w:t>
      </w:r>
      <w:r w:rsidR="00F724DA">
        <w:rPr>
          <w:rFonts w:ascii="Calibri Light" w:hAnsi="Calibri Light" w:cs="Calibri Light"/>
          <w:noProof/>
          <w:lang w:val="ro-MD"/>
        </w:rPr>
        <w:t>tru executarea subpunctelor</w:t>
      </w:r>
      <w:r w:rsidR="003D2BE5">
        <w:rPr>
          <w:rFonts w:ascii="Calibri Light" w:hAnsi="Calibri Light" w:cs="Calibri Light"/>
          <w:noProof/>
          <w:lang w:val="ro-MD"/>
        </w:rPr>
        <w:t xml:space="preserve"> 2.4.</w:t>
      </w:r>
      <w:r w:rsidR="00F724DA">
        <w:rPr>
          <w:rFonts w:ascii="Calibri Light" w:hAnsi="Calibri Light" w:cs="Calibri Light"/>
          <w:noProof/>
          <w:lang w:val="ro-MD"/>
        </w:rPr>
        <w:t>1. și 2.4.2.</w:t>
      </w:r>
      <w:r w:rsidR="00AF3E25">
        <w:rPr>
          <w:rFonts w:ascii="Calibri Light" w:hAnsi="Calibri Light" w:cs="Calibri Light"/>
          <w:noProof/>
          <w:lang w:val="ro-MD"/>
        </w:rPr>
        <w:t xml:space="preserve"> </w:t>
      </w:r>
      <w:r w:rsidR="003D2BE5">
        <w:rPr>
          <w:rFonts w:ascii="Calibri Light" w:hAnsi="Calibri Light" w:cs="Calibri Light"/>
          <w:noProof/>
          <w:lang w:val="ro-MD"/>
        </w:rPr>
        <w:t>din prezenta Hotărâre.</w:t>
      </w:r>
    </w:p>
    <w:p w:rsidR="009E4B84" w:rsidRPr="000F0D60" w:rsidRDefault="00E97F49" w:rsidP="009E4B84">
      <w:pPr>
        <w:spacing w:after="0" w:line="276" w:lineRule="auto"/>
        <w:ind w:firstLine="567"/>
        <w:jc w:val="both"/>
        <w:rPr>
          <w:rFonts w:asciiTheme="majorHAnsi" w:eastAsia="Times New Roman" w:hAnsiTheme="majorHAnsi" w:cs="Times New Roman"/>
          <w:sz w:val="24"/>
          <w:szCs w:val="24"/>
          <w:lang w:val="ro-RO" w:eastAsia="ro-MD"/>
        </w:rPr>
      </w:pPr>
      <w:r>
        <w:rPr>
          <w:rFonts w:asciiTheme="majorHAnsi" w:hAnsiTheme="majorHAnsi"/>
          <w:b/>
          <w:sz w:val="24"/>
          <w:szCs w:val="24"/>
          <w:lang w:val="ro-MD"/>
        </w:rPr>
        <w:t>7</w:t>
      </w:r>
      <w:r w:rsidR="009E4B84" w:rsidRPr="000F0D60">
        <w:rPr>
          <w:rFonts w:asciiTheme="majorHAnsi" w:hAnsiTheme="majorHAnsi"/>
          <w:b/>
          <w:sz w:val="24"/>
          <w:szCs w:val="24"/>
          <w:lang w:val="ro-MD"/>
        </w:rPr>
        <w:t>.</w:t>
      </w:r>
      <w:r w:rsidR="009E4B84" w:rsidRPr="000F0D60">
        <w:rPr>
          <w:rFonts w:asciiTheme="majorHAnsi" w:hAnsiTheme="majorHAnsi"/>
          <w:sz w:val="24"/>
          <w:szCs w:val="24"/>
          <w:lang w:val="ro-MD"/>
        </w:rPr>
        <w:t xml:space="preserve"> </w:t>
      </w:r>
      <w:r w:rsidR="00B447A2">
        <w:rPr>
          <w:rFonts w:asciiTheme="majorHAnsi" w:hAnsiTheme="majorHAnsi"/>
          <w:sz w:val="24"/>
          <w:szCs w:val="24"/>
          <w:lang w:val="ro-MD"/>
        </w:rPr>
        <w:t xml:space="preserve"> </w:t>
      </w:r>
      <w:r w:rsidR="009E4B84" w:rsidRPr="000F0D60">
        <w:rPr>
          <w:rFonts w:asciiTheme="majorHAnsi" w:hAnsiTheme="majorHAnsi"/>
          <w:sz w:val="24"/>
          <w:szCs w:val="24"/>
          <w:lang w:val="ro-MD"/>
        </w:rPr>
        <w:t xml:space="preserve">Hotărârea și Raportul auditului asupra rapoartelor financiare </w:t>
      </w:r>
      <w:r w:rsidR="00D141B5">
        <w:rPr>
          <w:rFonts w:asciiTheme="majorHAnsi" w:hAnsiTheme="majorHAnsi"/>
          <w:sz w:val="24"/>
          <w:szCs w:val="24"/>
          <w:lang w:val="ro-MD"/>
        </w:rPr>
        <w:t>consolidate</w:t>
      </w:r>
      <w:r w:rsidR="00B765F9">
        <w:rPr>
          <w:rFonts w:asciiTheme="majorHAnsi" w:hAnsiTheme="majorHAnsi"/>
          <w:sz w:val="24"/>
          <w:szCs w:val="24"/>
          <w:lang w:val="ro-MD"/>
        </w:rPr>
        <w:t xml:space="preserve"> ale Ministerului Economiei</w:t>
      </w:r>
      <w:r w:rsidR="00D141B5">
        <w:rPr>
          <w:rFonts w:asciiTheme="majorHAnsi" w:hAnsiTheme="majorHAnsi"/>
          <w:sz w:val="24"/>
          <w:szCs w:val="24"/>
          <w:lang w:val="ro-MD"/>
        </w:rPr>
        <w:t xml:space="preserve"> </w:t>
      </w:r>
      <w:r w:rsidR="00316899">
        <w:rPr>
          <w:rFonts w:asciiTheme="majorHAnsi" w:hAnsiTheme="majorHAnsi"/>
          <w:sz w:val="24"/>
          <w:szCs w:val="24"/>
          <w:lang w:val="ro-MD"/>
        </w:rPr>
        <w:t>încheiate la 31 decembrie 2022</w:t>
      </w:r>
      <w:r w:rsidR="009E4B84" w:rsidRPr="000F0D60">
        <w:rPr>
          <w:rFonts w:asciiTheme="majorHAnsi" w:hAnsiTheme="majorHAnsi"/>
          <w:sz w:val="24"/>
          <w:szCs w:val="24"/>
          <w:lang w:val="ro-MD"/>
        </w:rPr>
        <w:t xml:space="preserve"> se plasează pe site-ul oficial al Curții de Conturi </w:t>
      </w:r>
      <w:r w:rsidR="009E4B84" w:rsidRPr="00375558">
        <w:rPr>
          <w:rFonts w:ascii="Calibri Light" w:hAnsi="Calibri Light" w:cs="Calibri Light"/>
          <w:sz w:val="24"/>
          <w:szCs w:val="24"/>
          <w:lang w:val="ro-MD"/>
        </w:rPr>
        <w:t>(</w:t>
      </w:r>
      <w:hyperlink r:id="rId8" w:history="1">
        <w:r w:rsidR="00AF4619" w:rsidRPr="00375558">
          <w:rPr>
            <w:rStyle w:val="a3"/>
            <w:rFonts w:ascii="Calibri Light" w:eastAsiaTheme="majorEastAsia" w:hAnsi="Calibri Light" w:cs="Calibri Light"/>
            <w:sz w:val="24"/>
            <w:szCs w:val="24"/>
            <w:lang w:val="ro-MD"/>
          </w:rPr>
          <w:t>http://www.ccrm.md</w:t>
        </w:r>
      </w:hyperlink>
      <w:r w:rsidR="009E4B84" w:rsidRPr="00375558">
        <w:rPr>
          <w:rFonts w:ascii="Calibri Light" w:hAnsi="Calibri Light" w:cs="Calibri Light"/>
          <w:sz w:val="24"/>
          <w:szCs w:val="24"/>
          <w:lang w:val="ro-MD"/>
        </w:rPr>
        <w:t>).</w:t>
      </w:r>
    </w:p>
    <w:p w:rsidR="009E4B84" w:rsidRPr="000F0D60" w:rsidRDefault="009E4B84" w:rsidP="009E4B84">
      <w:pPr>
        <w:spacing w:after="0" w:line="276" w:lineRule="auto"/>
        <w:jc w:val="right"/>
        <w:rPr>
          <w:rFonts w:asciiTheme="majorHAnsi" w:eastAsia="Times New Roman" w:hAnsiTheme="majorHAnsi" w:cs="Times New Roman"/>
          <w:b/>
          <w:sz w:val="24"/>
          <w:szCs w:val="24"/>
          <w:lang w:val="ro-MD"/>
        </w:rPr>
      </w:pPr>
      <w:r w:rsidRPr="000F0D60">
        <w:rPr>
          <w:rFonts w:asciiTheme="majorHAnsi" w:eastAsia="Times New Roman" w:hAnsiTheme="majorHAnsi" w:cs="Times New Roman"/>
          <w:b/>
          <w:sz w:val="24"/>
          <w:szCs w:val="24"/>
          <w:lang w:val="ro-MD"/>
        </w:rPr>
        <w:t>Marian LUPU,</w:t>
      </w:r>
    </w:p>
    <w:p w:rsidR="009E4B84" w:rsidRDefault="00EF1BB5" w:rsidP="00BF3DD4">
      <w:pPr>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Președint</w:t>
      </w:r>
      <w:r w:rsidR="00316899">
        <w:rPr>
          <w:rFonts w:asciiTheme="majorHAnsi" w:eastAsia="Times New Roman" w:hAnsiTheme="majorHAnsi" w:cs="Times New Roman"/>
          <w:b/>
          <w:sz w:val="24"/>
          <w:szCs w:val="24"/>
          <w:lang w:val="ro-MD"/>
        </w:rPr>
        <w:t>e</w:t>
      </w: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p>
    <w:p w:rsidR="002842D8" w:rsidRDefault="002842D8" w:rsidP="00BF3DD4">
      <w:pPr>
        <w:spacing w:after="0" w:line="276" w:lineRule="auto"/>
        <w:jc w:val="right"/>
        <w:rPr>
          <w:rFonts w:asciiTheme="majorHAnsi" w:eastAsia="Times New Roman" w:hAnsiTheme="majorHAnsi" w:cs="Times New Roman"/>
          <w:b/>
          <w:sz w:val="24"/>
          <w:szCs w:val="24"/>
          <w:lang w:val="ro-MD"/>
        </w:rPr>
      </w:pPr>
      <w:bookmarkStart w:id="1" w:name="_GoBack"/>
      <w:bookmarkEnd w:id="1"/>
    </w:p>
    <w:sectPr w:rsidR="002842D8" w:rsidSect="00FE6A07">
      <w:headerReference w:type="default" r:id="rId9"/>
      <w:footerReference w:type="default" r:id="rId10"/>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9C" w:rsidRDefault="00475A9C" w:rsidP="009E4B84">
      <w:pPr>
        <w:spacing w:after="0" w:line="240" w:lineRule="auto"/>
      </w:pPr>
      <w:r>
        <w:separator/>
      </w:r>
    </w:p>
  </w:endnote>
  <w:endnote w:type="continuationSeparator" w:id="0">
    <w:p w:rsidR="00475A9C" w:rsidRDefault="00475A9C"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475A9C">
          <w:rPr>
            <w:noProof/>
          </w:rPr>
          <w:t>1</w:t>
        </w:r>
        <w:r>
          <w:rPr>
            <w:noProof/>
          </w:rPr>
          <w:fldChar w:fldCharType="end"/>
        </w:r>
      </w:p>
    </w:sdtContent>
  </w:sdt>
  <w:p w:rsidR="007A3208" w:rsidRDefault="00475A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9C" w:rsidRDefault="00475A9C" w:rsidP="009E4B84">
      <w:pPr>
        <w:spacing w:after="0" w:line="240" w:lineRule="auto"/>
      </w:pPr>
      <w:r>
        <w:separator/>
      </w:r>
    </w:p>
  </w:footnote>
  <w:footnote w:type="continuationSeparator" w:id="0">
    <w:p w:rsidR="00475A9C" w:rsidRDefault="00475A9C" w:rsidP="009E4B84">
      <w:pPr>
        <w:spacing w:after="0" w:line="240" w:lineRule="auto"/>
      </w:pPr>
      <w:r>
        <w:continuationSeparator/>
      </w:r>
    </w:p>
  </w:footnote>
  <w:footnote w:id="1">
    <w:p w:rsidR="009E4B84" w:rsidRPr="00F00C85" w:rsidRDefault="009E4B84" w:rsidP="009E4B84">
      <w:pPr>
        <w:pStyle w:val="a7"/>
        <w:jc w:val="both"/>
        <w:rPr>
          <w:rFonts w:asciiTheme="majorHAnsi" w:hAnsiTheme="majorHAnsi" w:cstheme="majorHAnsi"/>
          <w:sz w:val="16"/>
          <w:szCs w:val="16"/>
          <w:lang w:val="ro-MD"/>
        </w:rPr>
      </w:pPr>
      <w:r w:rsidRPr="00E94C3B">
        <w:rPr>
          <w:rFonts w:ascii="Calibri Light" w:eastAsia="Times New Roman" w:hAnsi="Calibri Light" w:cs="Calibri Light"/>
          <w:sz w:val="16"/>
          <w:szCs w:val="16"/>
          <w:vertAlign w:val="superscript"/>
          <w:lang w:val="ro-MD"/>
        </w:rPr>
        <w:footnoteRef/>
      </w:r>
      <w:r w:rsidRPr="00E94C3B">
        <w:rPr>
          <w:rFonts w:ascii="Calibri Light" w:eastAsia="Times New Roman" w:hAnsi="Calibri Light" w:cs="Calibri Light"/>
          <w:sz w:val="16"/>
          <w:szCs w:val="16"/>
          <w:lang w:val="ro-MD"/>
        </w:rPr>
        <w:t xml:space="preserve"> </w:t>
      </w:r>
      <w:r w:rsidRPr="00F00C85">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r w:rsidR="008340AE">
        <w:rPr>
          <w:rFonts w:asciiTheme="majorHAnsi" w:eastAsia="Times New Roman" w:hAnsiTheme="majorHAnsi" w:cstheme="majorHAnsi"/>
          <w:sz w:val="16"/>
          <w:szCs w:val="16"/>
          <w:lang w:val="ro-MD"/>
        </w:rPr>
        <w:t xml:space="preserve"> </w:t>
      </w:r>
    </w:p>
  </w:footnote>
  <w:footnote w:id="2">
    <w:p w:rsidR="009E4B84" w:rsidRPr="00F00C85" w:rsidRDefault="009E4B84" w:rsidP="009E4B84">
      <w:pPr>
        <w:spacing w:after="0" w:line="240" w:lineRule="auto"/>
        <w:jc w:val="both"/>
        <w:rPr>
          <w:rFonts w:asciiTheme="majorHAnsi" w:hAnsiTheme="majorHAnsi" w:cstheme="majorHAnsi"/>
          <w:sz w:val="16"/>
          <w:szCs w:val="16"/>
        </w:rPr>
      </w:pPr>
      <w:r w:rsidRPr="00F00C85">
        <w:rPr>
          <w:rStyle w:val="FootnoteReference1"/>
          <w:rFonts w:asciiTheme="majorHAnsi" w:hAnsiTheme="majorHAnsi" w:cstheme="majorHAnsi"/>
          <w:sz w:val="16"/>
          <w:szCs w:val="16"/>
          <w:lang w:val="ro-RO"/>
        </w:rPr>
        <w:footnoteRef/>
      </w:r>
      <w:r w:rsidRPr="00BD1FB2">
        <w:rPr>
          <w:rFonts w:asciiTheme="majorHAnsi" w:hAnsiTheme="majorHAnsi" w:cstheme="majorHAnsi"/>
          <w:sz w:val="16"/>
          <w:szCs w:val="16"/>
          <w:lang w:val="ro-RO"/>
        </w:rPr>
        <w:t xml:space="preserve"> </w:t>
      </w:r>
      <w:r w:rsidR="00BD1FB2" w:rsidRPr="00BD1FB2">
        <w:rPr>
          <w:rFonts w:asciiTheme="majorHAnsi" w:eastAsia="Times New Roman" w:hAnsiTheme="majorHAnsi" w:cstheme="majorHAnsi"/>
          <w:sz w:val="16"/>
          <w:szCs w:val="16"/>
          <w:lang w:val="ro-MD"/>
        </w:rPr>
        <w:t>Hotărârile Curții de Conturi</w:t>
      </w:r>
      <w:r w:rsidR="00526532" w:rsidRPr="00BD1FB2">
        <w:rPr>
          <w:rFonts w:asciiTheme="majorHAnsi" w:eastAsia="Times New Roman" w:hAnsiTheme="majorHAnsi" w:cstheme="majorHAnsi"/>
          <w:sz w:val="16"/>
          <w:szCs w:val="16"/>
          <w:lang w:val="ro-MD"/>
        </w:rPr>
        <w:t xml:space="preserve"> nr.75 din 28.12.2021 „Privind aprobarea Programului activității de audit a Curții de Conturi pe anul 2022”</w:t>
      </w:r>
      <w:r w:rsidR="00BD1FB2" w:rsidRPr="00BD1FB2">
        <w:t xml:space="preserve"> </w:t>
      </w:r>
      <w:r w:rsidR="00BD1FB2" w:rsidRPr="00BD1FB2">
        <w:rPr>
          <w:rFonts w:asciiTheme="majorHAnsi" w:eastAsia="Times New Roman" w:hAnsiTheme="majorHAnsi" w:cstheme="majorHAnsi"/>
          <w:sz w:val="16"/>
          <w:szCs w:val="16"/>
          <w:lang w:val="ro-MD"/>
        </w:rPr>
        <w:t>și nr.65 din 22.12.2022 „Privind aprobarea Programului activității de audit a Curții de Conturi pe anul 2023”</w:t>
      </w:r>
      <w:r w:rsidR="00C542FA" w:rsidRPr="00BD1FB2">
        <w:rPr>
          <w:rFonts w:asciiTheme="majorHAnsi" w:eastAsia="Times New Roman" w:hAnsiTheme="majorHAnsi" w:cstheme="majorHAnsi"/>
          <w:sz w:val="16"/>
          <w:szCs w:val="16"/>
          <w:lang w:val="ro-MD"/>
        </w:rPr>
        <w:t>.</w:t>
      </w:r>
    </w:p>
  </w:footnote>
  <w:footnote w:id="3">
    <w:p w:rsidR="009E4B84" w:rsidRPr="00F00C85" w:rsidRDefault="009E4B84" w:rsidP="009E4B84">
      <w:pPr>
        <w:spacing w:after="0" w:line="240" w:lineRule="auto"/>
        <w:jc w:val="both"/>
        <w:rPr>
          <w:rFonts w:asciiTheme="majorHAnsi" w:eastAsia="Times New Roman" w:hAnsiTheme="majorHAnsi" w:cstheme="majorHAnsi"/>
          <w:sz w:val="16"/>
          <w:szCs w:val="16"/>
          <w:lang w:val="ro-RO"/>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Pr="008773EA">
        <w:rPr>
          <w:rFonts w:asciiTheme="majorHAnsi" w:hAnsiTheme="majorHAnsi" w:cstheme="majorHAnsi"/>
          <w:sz w:val="16"/>
          <w:szCs w:val="16"/>
          <w:lang w:val="ro-RO"/>
        </w:rPr>
        <w:t>Hotărârea Curții de Conturi nr.2 din 24.01.2020 „Cu privire la Cadrul Declarațiilor Profesionale ale INTOSAI”.</w:t>
      </w:r>
    </w:p>
  </w:footnote>
  <w:footnote w:id="4">
    <w:p w:rsidR="009E4B84" w:rsidRPr="00612222" w:rsidRDefault="009E4B84" w:rsidP="009E4B84">
      <w:pPr>
        <w:pStyle w:val="a7"/>
        <w:jc w:val="both"/>
        <w:rPr>
          <w:rFonts w:asciiTheme="majorHAnsi" w:hAnsiTheme="majorHAnsi" w:cs="Times New Roman"/>
          <w:sz w:val="16"/>
          <w:szCs w:val="16"/>
          <w:lang w:val="ro-MD"/>
        </w:rPr>
      </w:pPr>
      <w:r w:rsidRPr="00F00C85">
        <w:rPr>
          <w:rStyle w:val="FootnoteReference1"/>
          <w:rFonts w:asciiTheme="majorHAnsi" w:hAnsiTheme="majorHAnsi" w:cstheme="majorHAnsi"/>
          <w:sz w:val="16"/>
          <w:szCs w:val="16"/>
        </w:rPr>
        <w:footnoteRef/>
      </w:r>
      <w:r w:rsidRPr="00F00C85">
        <w:rPr>
          <w:rFonts w:asciiTheme="majorHAnsi" w:hAnsiTheme="majorHAnsi" w:cstheme="majorHAnsi"/>
          <w:sz w:val="16"/>
          <w:szCs w:val="16"/>
          <w:lang w:val="ro-MD"/>
        </w:rPr>
        <w:t xml:space="preserve"> Legea contabilității nr.</w:t>
      </w:r>
      <w:r w:rsidRPr="00F00C85">
        <w:rPr>
          <w:rFonts w:asciiTheme="majorHAnsi" w:eastAsia="Times New Roman" w:hAnsiTheme="majorHAnsi" w:cstheme="majorHAnsi"/>
          <w:sz w:val="16"/>
          <w:szCs w:val="16"/>
          <w:lang w:val="ro-MD"/>
        </w:rPr>
        <w:t>113-XVI din 27.04.2007;</w:t>
      </w:r>
      <w:r w:rsidRPr="00F00C85">
        <w:rPr>
          <w:rFonts w:asciiTheme="majorHAnsi" w:hAnsiTheme="majorHAnsi" w:cstheme="majorHAnsi"/>
          <w:sz w:val="16"/>
          <w:szCs w:val="16"/>
          <w:lang w:val="ro-MD"/>
        </w:rPr>
        <w:t xml:space="preserve"> </w:t>
      </w:r>
      <w:r w:rsidRPr="00F00C85">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nr.216 din 28.12.2015;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nr.6 </w:t>
      </w:r>
      <w:r w:rsidRPr="00612222">
        <w:rPr>
          <w:rFonts w:asciiTheme="majorHAnsi" w:eastAsia="Times New Roman" w:hAnsiTheme="majorHAnsi" w:cs="Times New Roman"/>
          <w:sz w:val="16"/>
          <w:szCs w:val="16"/>
          <w:lang w:val="ro-MD"/>
        </w:rPr>
        <w:t xml:space="preserve">din 10.01.2018 „Cu privire la aprobarea termenelor de prezentare a rapoartelor financiare pe anul 2017”; Ordinul ministrului </w:t>
      </w:r>
      <w:r w:rsidR="00CB40C6">
        <w:rPr>
          <w:rFonts w:asciiTheme="majorHAnsi" w:eastAsia="Times New Roman" w:hAnsiTheme="majorHAnsi" w:cs="Times New Roman"/>
          <w:sz w:val="16"/>
          <w:szCs w:val="16"/>
          <w:lang w:val="ro-MD"/>
        </w:rPr>
        <w:t>f</w:t>
      </w:r>
      <w:r w:rsidRPr="00612222">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059EC"/>
    <w:rsid w:val="00017C04"/>
    <w:rsid w:val="0002226A"/>
    <w:rsid w:val="00031B7D"/>
    <w:rsid w:val="00037BF5"/>
    <w:rsid w:val="000664F1"/>
    <w:rsid w:val="00080C63"/>
    <w:rsid w:val="000960EF"/>
    <w:rsid w:val="000B25FB"/>
    <w:rsid w:val="000C2E87"/>
    <w:rsid w:val="000E0767"/>
    <w:rsid w:val="000E08C0"/>
    <w:rsid w:val="000E2E1A"/>
    <w:rsid w:val="000F0F8A"/>
    <w:rsid w:val="000F561D"/>
    <w:rsid w:val="000F7909"/>
    <w:rsid w:val="00102F29"/>
    <w:rsid w:val="001068AF"/>
    <w:rsid w:val="00113129"/>
    <w:rsid w:val="001134C1"/>
    <w:rsid w:val="001338EB"/>
    <w:rsid w:val="001376A5"/>
    <w:rsid w:val="00143DD8"/>
    <w:rsid w:val="001541C9"/>
    <w:rsid w:val="001922A7"/>
    <w:rsid w:val="001A3777"/>
    <w:rsid w:val="001B006E"/>
    <w:rsid w:val="001D1A15"/>
    <w:rsid w:val="0022198E"/>
    <w:rsid w:val="00233B1C"/>
    <w:rsid w:val="00234FC6"/>
    <w:rsid w:val="00247177"/>
    <w:rsid w:val="002842D8"/>
    <w:rsid w:val="00286BB6"/>
    <w:rsid w:val="002B711B"/>
    <w:rsid w:val="002C4E43"/>
    <w:rsid w:val="002C4ECD"/>
    <w:rsid w:val="002D24C3"/>
    <w:rsid w:val="002D57F8"/>
    <w:rsid w:val="002D67D4"/>
    <w:rsid w:val="002E10D3"/>
    <w:rsid w:val="002E4595"/>
    <w:rsid w:val="00302241"/>
    <w:rsid w:val="003111DB"/>
    <w:rsid w:val="0031372A"/>
    <w:rsid w:val="00316899"/>
    <w:rsid w:val="0031794D"/>
    <w:rsid w:val="003244DE"/>
    <w:rsid w:val="003327D9"/>
    <w:rsid w:val="00340DED"/>
    <w:rsid w:val="00341E9F"/>
    <w:rsid w:val="00375558"/>
    <w:rsid w:val="00384877"/>
    <w:rsid w:val="00386802"/>
    <w:rsid w:val="003D2BE5"/>
    <w:rsid w:val="003D640C"/>
    <w:rsid w:val="0040202F"/>
    <w:rsid w:val="00410385"/>
    <w:rsid w:val="0041517F"/>
    <w:rsid w:val="004246BB"/>
    <w:rsid w:val="00432405"/>
    <w:rsid w:val="004369FE"/>
    <w:rsid w:val="00450718"/>
    <w:rsid w:val="00457344"/>
    <w:rsid w:val="00475A9C"/>
    <w:rsid w:val="00497084"/>
    <w:rsid w:val="0049768C"/>
    <w:rsid w:val="004C27B0"/>
    <w:rsid w:val="004C3803"/>
    <w:rsid w:val="004D6605"/>
    <w:rsid w:val="004E68C6"/>
    <w:rsid w:val="00511BB0"/>
    <w:rsid w:val="00526532"/>
    <w:rsid w:val="005265DD"/>
    <w:rsid w:val="00526B7C"/>
    <w:rsid w:val="00527239"/>
    <w:rsid w:val="005342A9"/>
    <w:rsid w:val="00535C24"/>
    <w:rsid w:val="00545791"/>
    <w:rsid w:val="00546780"/>
    <w:rsid w:val="00576C67"/>
    <w:rsid w:val="005868BE"/>
    <w:rsid w:val="00595657"/>
    <w:rsid w:val="005A1D80"/>
    <w:rsid w:val="005B51C4"/>
    <w:rsid w:val="005F1D9D"/>
    <w:rsid w:val="00624A55"/>
    <w:rsid w:val="00636D98"/>
    <w:rsid w:val="00646163"/>
    <w:rsid w:val="006A3A68"/>
    <w:rsid w:val="006D687A"/>
    <w:rsid w:val="00751837"/>
    <w:rsid w:val="007B60D0"/>
    <w:rsid w:val="007C3863"/>
    <w:rsid w:val="007F66E9"/>
    <w:rsid w:val="00802D4C"/>
    <w:rsid w:val="00803B67"/>
    <w:rsid w:val="00815CED"/>
    <w:rsid w:val="00827690"/>
    <w:rsid w:val="008340AE"/>
    <w:rsid w:val="008445E0"/>
    <w:rsid w:val="00875ACD"/>
    <w:rsid w:val="008B0DEC"/>
    <w:rsid w:val="008B232C"/>
    <w:rsid w:val="00911B95"/>
    <w:rsid w:val="00944FC5"/>
    <w:rsid w:val="00951E2F"/>
    <w:rsid w:val="009637F2"/>
    <w:rsid w:val="009678B4"/>
    <w:rsid w:val="009810E6"/>
    <w:rsid w:val="009837EB"/>
    <w:rsid w:val="00983CEB"/>
    <w:rsid w:val="00993907"/>
    <w:rsid w:val="009B6496"/>
    <w:rsid w:val="009B7A9A"/>
    <w:rsid w:val="009D4AA9"/>
    <w:rsid w:val="009D7485"/>
    <w:rsid w:val="009E43F1"/>
    <w:rsid w:val="009E4B84"/>
    <w:rsid w:val="009F482A"/>
    <w:rsid w:val="00A01226"/>
    <w:rsid w:val="00A14131"/>
    <w:rsid w:val="00A42E43"/>
    <w:rsid w:val="00A819DD"/>
    <w:rsid w:val="00A86617"/>
    <w:rsid w:val="00A86FE5"/>
    <w:rsid w:val="00AA33A1"/>
    <w:rsid w:val="00AB12DB"/>
    <w:rsid w:val="00AC7CB4"/>
    <w:rsid w:val="00AF3E25"/>
    <w:rsid w:val="00AF4619"/>
    <w:rsid w:val="00B076BB"/>
    <w:rsid w:val="00B145A4"/>
    <w:rsid w:val="00B326ED"/>
    <w:rsid w:val="00B33AF7"/>
    <w:rsid w:val="00B42588"/>
    <w:rsid w:val="00B42F90"/>
    <w:rsid w:val="00B447A2"/>
    <w:rsid w:val="00B5535C"/>
    <w:rsid w:val="00B72346"/>
    <w:rsid w:val="00B765F9"/>
    <w:rsid w:val="00B767E2"/>
    <w:rsid w:val="00B9317D"/>
    <w:rsid w:val="00BB75CB"/>
    <w:rsid w:val="00BC2D41"/>
    <w:rsid w:val="00BD1FB2"/>
    <w:rsid w:val="00BD2124"/>
    <w:rsid w:val="00BD5EDC"/>
    <w:rsid w:val="00BD6104"/>
    <w:rsid w:val="00BE3EAF"/>
    <w:rsid w:val="00BF3DD4"/>
    <w:rsid w:val="00C075D6"/>
    <w:rsid w:val="00C21EB8"/>
    <w:rsid w:val="00C37ED8"/>
    <w:rsid w:val="00C5147F"/>
    <w:rsid w:val="00C542FA"/>
    <w:rsid w:val="00C7553D"/>
    <w:rsid w:val="00C819A3"/>
    <w:rsid w:val="00C86A1A"/>
    <w:rsid w:val="00C92875"/>
    <w:rsid w:val="00C944E7"/>
    <w:rsid w:val="00CB40C6"/>
    <w:rsid w:val="00CB4DCE"/>
    <w:rsid w:val="00CD6716"/>
    <w:rsid w:val="00CE0726"/>
    <w:rsid w:val="00D1129D"/>
    <w:rsid w:val="00D141B5"/>
    <w:rsid w:val="00D25D01"/>
    <w:rsid w:val="00D33742"/>
    <w:rsid w:val="00D36E9E"/>
    <w:rsid w:val="00D61B04"/>
    <w:rsid w:val="00D63686"/>
    <w:rsid w:val="00D63AF9"/>
    <w:rsid w:val="00D76CBB"/>
    <w:rsid w:val="00D90AB4"/>
    <w:rsid w:val="00DA2291"/>
    <w:rsid w:val="00DA4AFE"/>
    <w:rsid w:val="00DA609C"/>
    <w:rsid w:val="00DB5FAF"/>
    <w:rsid w:val="00DD1792"/>
    <w:rsid w:val="00DD181F"/>
    <w:rsid w:val="00DF3081"/>
    <w:rsid w:val="00DF41B2"/>
    <w:rsid w:val="00E07628"/>
    <w:rsid w:val="00E118C8"/>
    <w:rsid w:val="00E42784"/>
    <w:rsid w:val="00E44B50"/>
    <w:rsid w:val="00E5543B"/>
    <w:rsid w:val="00E70517"/>
    <w:rsid w:val="00E732D2"/>
    <w:rsid w:val="00E97F49"/>
    <w:rsid w:val="00EA1ED3"/>
    <w:rsid w:val="00EB3DAC"/>
    <w:rsid w:val="00EC54BD"/>
    <w:rsid w:val="00ED4D7E"/>
    <w:rsid w:val="00EF1BB5"/>
    <w:rsid w:val="00EF1C27"/>
    <w:rsid w:val="00F01AC3"/>
    <w:rsid w:val="00F329BB"/>
    <w:rsid w:val="00F34661"/>
    <w:rsid w:val="00F646C4"/>
    <w:rsid w:val="00F724DA"/>
    <w:rsid w:val="00F731BE"/>
    <w:rsid w:val="00F8140D"/>
    <w:rsid w:val="00FB0481"/>
    <w:rsid w:val="00FC252D"/>
    <w:rsid w:val="00FD73D9"/>
    <w:rsid w:val="00FF2F94"/>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AF46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AAD9-9B8F-4B7A-8986-34589C05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3</cp:revision>
  <cp:lastPrinted>2023-05-30T07:25:00Z</cp:lastPrinted>
  <dcterms:created xsi:type="dcterms:W3CDTF">2023-06-06T08:52:00Z</dcterms:created>
  <dcterms:modified xsi:type="dcterms:W3CDTF">2023-06-08T10:56:00Z</dcterms:modified>
</cp:coreProperties>
</file>