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84" w:rsidRPr="000A5369" w:rsidRDefault="009E4B84" w:rsidP="000A5369">
      <w:pPr>
        <w:pStyle w:val="cn"/>
        <w:spacing w:line="276" w:lineRule="auto"/>
        <w:rPr>
          <w:rFonts w:asciiTheme="majorHAnsi" w:hAnsiTheme="majorHAnsi" w:cstheme="majorHAnsi"/>
          <w:lang w:val="ru-MD"/>
        </w:rPr>
      </w:pPr>
      <w:bookmarkStart w:id="0" w:name="_GoBack"/>
      <w:bookmarkEnd w:id="0"/>
      <w:r w:rsidRPr="000A5369">
        <w:rPr>
          <w:rFonts w:asciiTheme="majorHAnsi" w:hAnsiTheme="majorHAnsi" w:cstheme="majorHAnsi"/>
          <w:noProof/>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BF3FF4" w:rsidRPr="000A5369" w:rsidRDefault="00BF3FF4" w:rsidP="000A5369">
      <w:pPr>
        <w:spacing w:line="276" w:lineRule="auto"/>
        <w:jc w:val="right"/>
        <w:rPr>
          <w:rFonts w:asciiTheme="majorHAnsi" w:eastAsia="Times New Roman" w:hAnsiTheme="majorHAnsi" w:cstheme="majorHAnsi"/>
          <w:b/>
          <w:bCs/>
          <w:sz w:val="24"/>
          <w:szCs w:val="24"/>
          <w:lang w:val="ru-MD"/>
        </w:rPr>
      </w:pPr>
      <w:r w:rsidRPr="000A5369">
        <w:rPr>
          <w:rFonts w:asciiTheme="majorHAnsi" w:eastAsia="Times New Roman" w:hAnsiTheme="majorHAnsi" w:cstheme="majorHAnsi"/>
          <w:b/>
          <w:bCs/>
          <w:sz w:val="24"/>
          <w:szCs w:val="24"/>
          <w:u w:val="single"/>
          <w:lang w:val="ru-MD"/>
        </w:rPr>
        <w:t>ПЕРЕВОД</w:t>
      </w:r>
    </w:p>
    <w:p w:rsidR="00BF3FF4" w:rsidRPr="000A5369" w:rsidRDefault="00BF3FF4" w:rsidP="000A5369">
      <w:pPr>
        <w:spacing w:line="276" w:lineRule="auto"/>
        <w:jc w:val="center"/>
        <w:rPr>
          <w:rFonts w:asciiTheme="majorHAnsi" w:eastAsia="Times New Roman" w:hAnsiTheme="majorHAnsi" w:cstheme="majorHAnsi"/>
          <w:bCs/>
          <w:sz w:val="24"/>
          <w:szCs w:val="24"/>
          <w:lang w:val="ru-MD"/>
        </w:rPr>
      </w:pPr>
      <w:r w:rsidRPr="000A5369">
        <w:rPr>
          <w:rFonts w:asciiTheme="majorHAnsi" w:eastAsia="Times New Roman" w:hAnsiTheme="majorHAnsi" w:cstheme="majorHAnsi"/>
          <w:bCs/>
          <w:sz w:val="24"/>
          <w:szCs w:val="24"/>
          <w:lang w:val="ru-MD"/>
        </w:rPr>
        <w:t>СЧЕТНАЯ ПАЛАТА РЕСПУБЛИКИ МОЛДОВА</w:t>
      </w:r>
    </w:p>
    <w:p w:rsidR="00BF3FF4" w:rsidRPr="000A5369" w:rsidRDefault="00BF3FF4" w:rsidP="000A5369">
      <w:pPr>
        <w:spacing w:line="276" w:lineRule="auto"/>
        <w:contextualSpacing/>
        <w:jc w:val="center"/>
        <w:rPr>
          <w:rFonts w:asciiTheme="majorHAnsi" w:eastAsia="Times New Roman" w:hAnsiTheme="majorHAnsi" w:cstheme="majorHAnsi"/>
          <w:bCs/>
          <w:sz w:val="24"/>
          <w:szCs w:val="24"/>
          <w:lang w:val="ru-MD"/>
        </w:rPr>
      </w:pPr>
    </w:p>
    <w:p w:rsidR="00BF3FF4" w:rsidRPr="000A5369" w:rsidRDefault="00BF3FF4" w:rsidP="000A5369">
      <w:pPr>
        <w:spacing w:line="276" w:lineRule="auto"/>
        <w:jc w:val="center"/>
        <w:rPr>
          <w:rFonts w:asciiTheme="majorHAnsi" w:eastAsia="Times New Roman" w:hAnsiTheme="majorHAnsi" w:cstheme="majorHAnsi"/>
          <w:b/>
          <w:bCs/>
          <w:sz w:val="24"/>
          <w:szCs w:val="24"/>
          <w:lang w:val="ru-MD"/>
        </w:rPr>
      </w:pPr>
      <w:r w:rsidRPr="000A5369">
        <w:rPr>
          <w:rFonts w:asciiTheme="majorHAnsi" w:eastAsia="Times New Roman" w:hAnsiTheme="majorHAnsi" w:cstheme="majorHAnsi"/>
          <w:b/>
          <w:bCs/>
          <w:sz w:val="24"/>
          <w:szCs w:val="24"/>
          <w:lang w:val="ru-MD"/>
        </w:rPr>
        <w:t xml:space="preserve">П О С Т А Н О В Л Е Н И Е №27  </w:t>
      </w:r>
    </w:p>
    <w:p w:rsidR="00BF3FF4" w:rsidRPr="000A5369" w:rsidRDefault="00BF3FF4" w:rsidP="000A5369">
      <w:pPr>
        <w:spacing w:line="276" w:lineRule="auto"/>
        <w:jc w:val="center"/>
        <w:rPr>
          <w:rFonts w:asciiTheme="majorHAnsi" w:eastAsia="Times New Roman" w:hAnsiTheme="majorHAnsi" w:cstheme="majorHAnsi"/>
          <w:bCs/>
          <w:sz w:val="24"/>
          <w:szCs w:val="24"/>
          <w:lang w:val="ru-MD"/>
        </w:rPr>
      </w:pPr>
      <w:r w:rsidRPr="000A5369">
        <w:rPr>
          <w:rFonts w:asciiTheme="majorHAnsi" w:eastAsia="Times New Roman" w:hAnsiTheme="majorHAnsi" w:cstheme="majorHAnsi"/>
          <w:bCs/>
          <w:sz w:val="24"/>
          <w:szCs w:val="24"/>
          <w:lang w:val="ru-MD"/>
        </w:rPr>
        <w:t>от 30 мая 2023 года</w:t>
      </w:r>
    </w:p>
    <w:p w:rsidR="00BF3FF4" w:rsidRPr="000A5369" w:rsidRDefault="00BF3FF4" w:rsidP="000A5369">
      <w:pPr>
        <w:spacing w:after="0" w:line="276" w:lineRule="auto"/>
        <w:jc w:val="center"/>
        <w:rPr>
          <w:rFonts w:asciiTheme="majorHAnsi" w:eastAsia="Times New Roman" w:hAnsiTheme="majorHAnsi" w:cstheme="majorHAnsi"/>
          <w:b/>
          <w:bCs/>
          <w:sz w:val="24"/>
          <w:szCs w:val="24"/>
          <w:lang w:val="ru-MD"/>
        </w:rPr>
      </w:pPr>
      <w:r w:rsidRPr="000A5369">
        <w:rPr>
          <w:rFonts w:asciiTheme="majorHAnsi" w:eastAsia="Times New Roman" w:hAnsiTheme="majorHAnsi" w:cstheme="majorHAnsi"/>
          <w:b/>
          <w:bCs/>
          <w:sz w:val="24"/>
          <w:szCs w:val="24"/>
          <w:lang w:val="ru-MD"/>
        </w:rPr>
        <w:t>по Отчету аудита консолидированной финансовой отчетности</w:t>
      </w:r>
    </w:p>
    <w:p w:rsidR="00BF3FF4" w:rsidRPr="000A5369" w:rsidRDefault="00BF3FF4" w:rsidP="000A5369">
      <w:pPr>
        <w:spacing w:after="0" w:line="276" w:lineRule="auto"/>
        <w:jc w:val="center"/>
        <w:rPr>
          <w:rFonts w:asciiTheme="majorHAnsi" w:eastAsia="Times New Roman" w:hAnsiTheme="majorHAnsi" w:cstheme="majorHAnsi"/>
          <w:b/>
          <w:bCs/>
          <w:sz w:val="24"/>
          <w:szCs w:val="24"/>
          <w:lang w:val="ru-MD"/>
        </w:rPr>
      </w:pPr>
      <w:r w:rsidRPr="000A5369">
        <w:rPr>
          <w:rFonts w:asciiTheme="majorHAnsi" w:eastAsia="Times New Roman" w:hAnsiTheme="majorHAnsi" w:cstheme="majorHAnsi"/>
          <w:b/>
          <w:bCs/>
          <w:sz w:val="24"/>
          <w:szCs w:val="24"/>
          <w:lang w:val="ru-MD"/>
        </w:rPr>
        <w:t>Министерства инфраструктуры и регионального развития,</w:t>
      </w:r>
    </w:p>
    <w:p w:rsidR="00BF3FF4" w:rsidRPr="000A5369" w:rsidRDefault="00BF3FF4" w:rsidP="000A5369">
      <w:pPr>
        <w:spacing w:after="0" w:line="276" w:lineRule="auto"/>
        <w:jc w:val="center"/>
        <w:rPr>
          <w:rFonts w:asciiTheme="majorHAnsi" w:eastAsia="Times New Roman" w:hAnsiTheme="majorHAnsi" w:cstheme="majorHAnsi"/>
          <w:b/>
          <w:bCs/>
          <w:sz w:val="24"/>
          <w:szCs w:val="24"/>
          <w:lang w:val="ru-MD"/>
        </w:rPr>
      </w:pPr>
      <w:r w:rsidRPr="000A5369">
        <w:rPr>
          <w:rFonts w:asciiTheme="majorHAnsi" w:eastAsia="Times New Roman" w:hAnsiTheme="majorHAnsi" w:cstheme="majorHAnsi"/>
          <w:b/>
          <w:bCs/>
          <w:sz w:val="24"/>
          <w:szCs w:val="24"/>
          <w:lang w:val="ru-MD"/>
        </w:rPr>
        <w:t xml:space="preserve"> по состоянию на 31 декабря 2022 года</w:t>
      </w:r>
    </w:p>
    <w:p w:rsidR="009E4B84" w:rsidRPr="000A5369" w:rsidRDefault="009E4B84" w:rsidP="000A5369">
      <w:pPr>
        <w:spacing w:after="0" w:line="276" w:lineRule="auto"/>
        <w:jc w:val="right"/>
        <w:rPr>
          <w:rFonts w:asciiTheme="majorHAnsi" w:eastAsia="Times New Roman" w:hAnsiTheme="majorHAnsi" w:cstheme="majorHAnsi"/>
          <w:b/>
          <w:bCs/>
          <w:sz w:val="24"/>
          <w:szCs w:val="24"/>
          <w:lang w:val="ru-MD"/>
        </w:rPr>
      </w:pPr>
    </w:p>
    <w:p w:rsidR="009E4B84" w:rsidRPr="000A5369" w:rsidRDefault="00B2110B" w:rsidP="000A5369">
      <w:pPr>
        <w:spacing w:after="0" w:line="276" w:lineRule="auto"/>
        <w:ind w:firstLine="567"/>
        <w:jc w:val="both"/>
        <w:rPr>
          <w:rFonts w:asciiTheme="majorHAnsi" w:hAnsiTheme="majorHAnsi" w:cstheme="majorHAnsi"/>
          <w:color w:val="000000" w:themeColor="text1"/>
          <w:sz w:val="24"/>
          <w:szCs w:val="24"/>
          <w:lang w:val="ru-MD"/>
        </w:rPr>
      </w:pPr>
      <w:r w:rsidRPr="000A5369">
        <w:rPr>
          <w:rFonts w:asciiTheme="majorHAnsi" w:hAnsiTheme="majorHAnsi" w:cstheme="majorHAnsi"/>
          <w:sz w:val="24"/>
          <w:szCs w:val="24"/>
          <w:lang w:val="ru-MD"/>
        </w:rPr>
        <w:t>Счетная палата, с участием г-жи Лилии Дабижа, Министра инфраструктуры и регионального развития; г-жи Анжелы Цуркану, Генерального секретаря Министерства инфраструктуры и регионального развития; г-на Вячеслава Шипитка, государственного секретаря Министерства инфраструктуры и регионального развития; г-жи Екатерины Цуркану, начальника Финансового управления Министерства инфраструктуры и регионального развития; г-на Раду Роговей, начальника Управления транспортной инфраструктуры Министерства инфраструктуры и регионального развития; г-жи Натальи Склярук, начальника Управления бюджетной политики и синтеза Министерства финансов</w:t>
      </w:r>
      <w:r w:rsidR="008D014A" w:rsidRPr="000A5369">
        <w:rPr>
          <w:rFonts w:asciiTheme="majorHAnsi" w:hAnsiTheme="majorHAnsi" w:cstheme="majorHAnsi"/>
          <w:color w:val="000000" w:themeColor="text1"/>
          <w:sz w:val="24"/>
          <w:szCs w:val="24"/>
          <w:lang w:val="ru-MD"/>
        </w:rPr>
        <w:t>;</w:t>
      </w:r>
      <w:r w:rsidRPr="000A5369">
        <w:rPr>
          <w:rFonts w:asciiTheme="majorHAnsi" w:hAnsiTheme="majorHAnsi" w:cstheme="majorHAnsi"/>
          <w:color w:val="000000" w:themeColor="text1"/>
          <w:sz w:val="24"/>
          <w:szCs w:val="24"/>
          <w:lang w:val="ru-MD"/>
        </w:rPr>
        <w:t xml:space="preserve"> </w:t>
      </w:r>
      <w:r w:rsidRPr="000A5369">
        <w:rPr>
          <w:rFonts w:asciiTheme="majorHAnsi" w:hAnsiTheme="majorHAnsi" w:cstheme="majorHAnsi"/>
          <w:sz w:val="24"/>
          <w:szCs w:val="24"/>
          <w:lang w:val="ru-MD"/>
        </w:rPr>
        <w:t>г-на Михаила Кроитору, директора Публичного учреждения Национальное бюро регионального и местного развития</w:t>
      </w:r>
      <w:r w:rsidR="0098623D" w:rsidRPr="000A5369">
        <w:rPr>
          <w:rFonts w:asciiTheme="majorHAnsi" w:hAnsiTheme="majorHAnsi" w:cstheme="majorHAnsi"/>
          <w:color w:val="000000" w:themeColor="text1"/>
          <w:sz w:val="24"/>
          <w:szCs w:val="24"/>
          <w:lang w:val="ru-MD"/>
        </w:rPr>
        <w:t xml:space="preserve">; </w:t>
      </w:r>
      <w:r w:rsidR="009C2D2C" w:rsidRPr="000A5369">
        <w:rPr>
          <w:rFonts w:asciiTheme="majorHAnsi" w:hAnsiTheme="majorHAnsi" w:cstheme="majorHAnsi"/>
          <w:sz w:val="24"/>
          <w:szCs w:val="24"/>
          <w:lang w:val="ru-MD"/>
        </w:rPr>
        <w:t xml:space="preserve">г-жи Елены Гудумак, главного бухгалтера </w:t>
      </w:r>
      <w:r w:rsidR="00A630F7" w:rsidRPr="000A5369">
        <w:rPr>
          <w:rFonts w:asciiTheme="majorHAnsi" w:hAnsiTheme="majorHAnsi" w:cstheme="majorHAnsi"/>
          <w:sz w:val="24"/>
          <w:szCs w:val="24"/>
          <w:lang w:val="ru-MD"/>
        </w:rPr>
        <w:t>Публичного учреждения Национальное бюро регионального и местного развития</w:t>
      </w:r>
      <w:r w:rsidR="0098623D" w:rsidRPr="000A5369">
        <w:rPr>
          <w:rFonts w:asciiTheme="majorHAnsi" w:hAnsiTheme="majorHAnsi" w:cstheme="majorHAnsi"/>
          <w:color w:val="000000" w:themeColor="text1"/>
          <w:sz w:val="24"/>
          <w:szCs w:val="24"/>
          <w:lang w:val="ru-MD"/>
        </w:rPr>
        <w:t xml:space="preserve">; </w:t>
      </w:r>
      <w:r w:rsidR="009C2D2C" w:rsidRPr="000A5369">
        <w:rPr>
          <w:rFonts w:asciiTheme="majorHAnsi" w:hAnsiTheme="majorHAnsi" w:cstheme="majorHAnsi"/>
          <w:sz w:val="24"/>
          <w:szCs w:val="24"/>
          <w:lang w:val="ru-MD"/>
        </w:rPr>
        <w:t>г-жи Юноны Лунгул, директора Публичного учреждения Подразделение по внедрению Проекта строительства жилья для социально уязвимых слоев населения II</w:t>
      </w:r>
      <w:r w:rsidR="008D014A" w:rsidRPr="000A5369">
        <w:rPr>
          <w:rFonts w:asciiTheme="majorHAnsi" w:hAnsiTheme="majorHAnsi" w:cstheme="majorHAnsi"/>
          <w:color w:val="000000" w:themeColor="text1"/>
          <w:sz w:val="24"/>
          <w:szCs w:val="24"/>
          <w:lang w:val="ru-MD"/>
        </w:rPr>
        <w:t xml:space="preserve">; </w:t>
      </w:r>
      <w:r w:rsidR="00EC0320" w:rsidRPr="000A5369">
        <w:rPr>
          <w:rFonts w:asciiTheme="majorHAnsi" w:hAnsiTheme="majorHAnsi" w:cstheme="majorHAnsi"/>
          <w:color w:val="000000" w:themeColor="text1"/>
          <w:sz w:val="24"/>
          <w:szCs w:val="24"/>
          <w:lang w:val="ru-MD"/>
        </w:rPr>
        <w:t>г-на Николая Мындра, исполнительного директора Государственного предприятия Государственная администрация автомобильных дорог; г-жи Анджелы Ефремов, главного бухгалтера Государственного предприятия Государственная администрация автомобильных дорог; г-на Михаила Запорожан, директор Агентства технического надзора; г-жи Стеллы Федоришин-Скимбэтору, начальника Финансово-административного отдела Агентства технического надзора; г-на Игоря Захария, директора Агентства водного транспорта Республики Молдова</w:t>
      </w:r>
      <w:r w:rsidR="008D014A" w:rsidRPr="000A5369">
        <w:rPr>
          <w:rFonts w:asciiTheme="majorHAnsi" w:hAnsiTheme="majorHAnsi" w:cstheme="majorHAnsi"/>
          <w:color w:val="000000" w:themeColor="text1"/>
          <w:sz w:val="24"/>
          <w:szCs w:val="24"/>
          <w:lang w:val="ru-MD"/>
        </w:rPr>
        <w:t>,</w:t>
      </w:r>
      <w:r w:rsidR="00EC0320" w:rsidRPr="000A5369">
        <w:rPr>
          <w:rFonts w:asciiTheme="majorHAnsi" w:hAnsiTheme="majorHAnsi" w:cstheme="majorHAnsi"/>
          <w:sz w:val="24"/>
          <w:szCs w:val="24"/>
          <w:lang w:val="ru-MD"/>
        </w:rPr>
        <w:t xml:space="preserve"> в рамках видео-заседания</w:t>
      </w:r>
      <w:r w:rsidR="00EC0320" w:rsidRPr="000A5369">
        <w:rPr>
          <w:rFonts w:asciiTheme="majorHAnsi" w:hAnsiTheme="majorHAnsi" w:cstheme="majorHAnsi"/>
          <w:noProof/>
          <w:sz w:val="24"/>
          <w:szCs w:val="24"/>
          <w:lang w:val="ru-MD"/>
        </w:rPr>
        <w:t>,</w:t>
      </w:r>
      <w:r w:rsidR="00EC0320" w:rsidRPr="000A5369">
        <w:rPr>
          <w:rFonts w:asciiTheme="majorHAnsi" w:hAnsiTheme="majorHAnsi" w:cstheme="majorHAnsi"/>
          <w:sz w:val="24"/>
          <w:szCs w:val="24"/>
          <w:lang w:val="ru-MD"/>
        </w:rPr>
        <w:t xml:space="preserve"> </w:t>
      </w:r>
      <w:r w:rsidR="00EC0320" w:rsidRPr="000A5369">
        <w:rPr>
          <w:rFonts w:asciiTheme="majorHAnsi" w:hAnsiTheme="majorHAnsi" w:cstheme="majorHAnsi"/>
          <w:noProof/>
          <w:sz w:val="24"/>
          <w:szCs w:val="24"/>
          <w:lang w:val="ru-MD"/>
        </w:rPr>
        <w:t>руководствуясь ст.3 (1) и ст.5 (1) а) Закона об организации и функционировании Счетной палаты Республики Молдова</w:t>
      </w:r>
      <w:r w:rsidR="00EC0320" w:rsidRPr="000A5369">
        <w:rPr>
          <w:rStyle w:val="FootnoteReference"/>
          <w:rFonts w:asciiTheme="majorHAnsi" w:hAnsiTheme="majorHAnsi" w:cstheme="majorHAnsi"/>
          <w:noProof/>
          <w:sz w:val="24"/>
          <w:szCs w:val="24"/>
          <w:lang w:val="ru-MD"/>
        </w:rPr>
        <w:footnoteReference w:id="1"/>
      </w:r>
      <w:r w:rsidR="00EC0320" w:rsidRPr="000A5369">
        <w:rPr>
          <w:rFonts w:asciiTheme="majorHAnsi" w:hAnsiTheme="majorHAnsi" w:cstheme="majorHAnsi"/>
          <w:noProof/>
          <w:sz w:val="24"/>
          <w:szCs w:val="24"/>
          <w:lang w:val="ru-MD"/>
        </w:rPr>
        <w:t xml:space="preserve">, рассмотрела </w:t>
      </w:r>
      <w:r w:rsidR="00EC0320" w:rsidRPr="000A5369">
        <w:rPr>
          <w:rFonts w:asciiTheme="majorHAnsi" w:hAnsiTheme="majorHAnsi" w:cstheme="majorHAnsi"/>
          <w:iCs/>
          <w:sz w:val="24"/>
          <w:szCs w:val="24"/>
          <w:lang w:val="ru-MD"/>
        </w:rPr>
        <w:t>Отчет аудита консолидированной финансовой отчетности Министерства</w:t>
      </w:r>
      <w:r w:rsidR="00EC0320" w:rsidRPr="000A5369">
        <w:rPr>
          <w:rFonts w:asciiTheme="majorHAnsi" w:hAnsiTheme="majorHAnsi" w:cstheme="majorHAnsi"/>
          <w:b/>
          <w:iCs/>
          <w:sz w:val="24"/>
          <w:szCs w:val="24"/>
          <w:lang w:val="ru-MD"/>
        </w:rPr>
        <w:t xml:space="preserve"> </w:t>
      </w:r>
      <w:r w:rsidR="00EC0320" w:rsidRPr="000A5369">
        <w:rPr>
          <w:rFonts w:asciiTheme="majorHAnsi" w:hAnsiTheme="majorHAnsi" w:cstheme="majorHAnsi"/>
          <w:iCs/>
          <w:sz w:val="24"/>
          <w:szCs w:val="24"/>
          <w:lang w:val="ru-MD"/>
        </w:rPr>
        <w:t>инфраструктуры и регионального развития по состоянию на 31 декабря 2022 года</w:t>
      </w:r>
      <w:r w:rsidR="009E4B84" w:rsidRPr="000A5369">
        <w:rPr>
          <w:rFonts w:asciiTheme="majorHAnsi" w:eastAsia="Times New Roman" w:hAnsiTheme="majorHAnsi" w:cstheme="majorHAnsi"/>
          <w:bCs/>
          <w:sz w:val="24"/>
          <w:szCs w:val="24"/>
          <w:lang w:val="ru-MD" w:eastAsia="ru-RU"/>
        </w:rPr>
        <w:t>.</w:t>
      </w:r>
    </w:p>
    <w:p w:rsidR="009E4B84" w:rsidRPr="000A5369" w:rsidRDefault="00EC0320" w:rsidP="000A5369">
      <w:pPr>
        <w:spacing w:after="0" w:line="276" w:lineRule="auto"/>
        <w:ind w:firstLine="567"/>
        <w:jc w:val="both"/>
        <w:rPr>
          <w:rFonts w:asciiTheme="majorHAnsi" w:hAnsiTheme="majorHAnsi" w:cstheme="majorHAnsi"/>
          <w:sz w:val="24"/>
          <w:szCs w:val="24"/>
          <w:lang w:val="ru-MD"/>
        </w:rPr>
      </w:pPr>
      <w:r w:rsidRPr="000A5369">
        <w:rPr>
          <w:rFonts w:asciiTheme="majorHAnsi" w:eastAsia="Times New Roman" w:hAnsiTheme="majorHAnsi" w:cstheme="majorHAnsi"/>
          <w:sz w:val="24"/>
          <w:szCs w:val="24"/>
          <w:lang w:val="ru-MD" w:eastAsia="ro-MD"/>
        </w:rPr>
        <w:t xml:space="preserve">Миссия внешнего публичного аудита была проведена </w:t>
      </w:r>
      <w:r w:rsidRPr="000A5369">
        <w:rPr>
          <w:rFonts w:asciiTheme="majorHAnsi" w:hAnsiTheme="majorHAnsi" w:cstheme="majorHAnsi"/>
          <w:sz w:val="24"/>
          <w:szCs w:val="24"/>
          <w:lang w:val="ru-MD"/>
        </w:rPr>
        <w:t xml:space="preserve">на основании ст.31 (2), ст.32 (3) d) Закона №260/2017 и </w:t>
      </w:r>
      <w:r w:rsidRPr="000A5369">
        <w:rPr>
          <w:rFonts w:asciiTheme="majorHAnsi" w:eastAsia="Times New Roman" w:hAnsiTheme="majorHAnsi" w:cstheme="majorHAnsi"/>
          <w:sz w:val="24"/>
          <w:szCs w:val="24"/>
          <w:lang w:val="ru-MD" w:eastAsia="ro-MD"/>
        </w:rPr>
        <w:t xml:space="preserve">в соответствии с Программами аудиторской деятельности Счетной </w:t>
      </w:r>
      <w:r w:rsidRPr="000A5369">
        <w:rPr>
          <w:rFonts w:asciiTheme="majorHAnsi" w:eastAsia="Times New Roman" w:hAnsiTheme="majorHAnsi" w:cstheme="majorHAnsi"/>
          <w:sz w:val="24"/>
          <w:szCs w:val="24"/>
          <w:lang w:val="ru-MD" w:eastAsia="ro-MD"/>
        </w:rPr>
        <w:lastRenderedPageBreak/>
        <w:t xml:space="preserve">палаты на </w:t>
      </w:r>
      <w:r w:rsidRPr="000A5369">
        <w:rPr>
          <w:rFonts w:asciiTheme="majorHAnsi" w:hAnsiTheme="majorHAnsi" w:cstheme="majorHAnsi"/>
          <w:sz w:val="24"/>
          <w:szCs w:val="24"/>
          <w:lang w:val="ru-MD"/>
        </w:rPr>
        <w:t>2022 и 2023 годы</w:t>
      </w:r>
      <w:r w:rsidRPr="000A5369">
        <w:rPr>
          <w:rStyle w:val="FootnoteReference1"/>
          <w:rFonts w:asciiTheme="majorHAnsi" w:hAnsiTheme="majorHAnsi" w:cstheme="majorHAnsi"/>
          <w:sz w:val="24"/>
          <w:szCs w:val="24"/>
          <w:lang w:val="ru-MD"/>
        </w:rPr>
        <w:footnoteReference w:id="2"/>
      </w:r>
      <w:r w:rsidRPr="000A5369">
        <w:rPr>
          <w:rFonts w:asciiTheme="majorHAnsi" w:eastAsia="Times New Roman" w:hAnsiTheme="majorHAnsi" w:cstheme="majorHAnsi"/>
          <w:sz w:val="24"/>
          <w:szCs w:val="24"/>
          <w:lang w:val="ru-MD" w:eastAsia="ro-MD"/>
        </w:rPr>
        <w:t xml:space="preserve">, с целью предоставления разумной уверенности в том, что консолидированная финансовая отчетность </w:t>
      </w:r>
      <w:r w:rsidRPr="000A5369">
        <w:rPr>
          <w:rFonts w:asciiTheme="majorHAnsi" w:hAnsiTheme="majorHAnsi" w:cstheme="majorHAnsi"/>
          <w:iCs/>
          <w:sz w:val="24"/>
          <w:szCs w:val="24"/>
          <w:lang w:val="ru-MD"/>
        </w:rPr>
        <w:t>Министерства</w:t>
      </w:r>
      <w:r w:rsidRPr="000A5369">
        <w:rPr>
          <w:rFonts w:asciiTheme="majorHAnsi" w:hAnsiTheme="majorHAnsi" w:cstheme="majorHAnsi"/>
          <w:b/>
          <w:iCs/>
          <w:sz w:val="24"/>
          <w:szCs w:val="24"/>
          <w:lang w:val="ru-MD"/>
        </w:rPr>
        <w:t xml:space="preserve"> </w:t>
      </w:r>
      <w:r w:rsidRPr="000A5369">
        <w:rPr>
          <w:rFonts w:asciiTheme="majorHAnsi" w:hAnsiTheme="majorHAnsi" w:cstheme="majorHAnsi"/>
          <w:iCs/>
          <w:sz w:val="24"/>
          <w:szCs w:val="24"/>
          <w:lang w:val="ru-MD"/>
        </w:rPr>
        <w:t>инфраструктуры и регионального развития по состоянию на 31 декабря 2022 года</w:t>
      </w:r>
      <w:r w:rsidRPr="000A5369">
        <w:rPr>
          <w:rFonts w:asciiTheme="majorHAnsi" w:eastAsia="Times New Roman" w:hAnsiTheme="majorHAnsi" w:cstheme="majorHAnsi"/>
          <w:sz w:val="24"/>
          <w:szCs w:val="24"/>
          <w:lang w:val="ru-MD" w:eastAsia="ro-MD"/>
        </w:rPr>
        <w:t xml:space="preserve"> не содержит, в ее совокупности, существенных искажений, обусловленных мошенничеством или ошибками, а также вынесения соответствующего мнения</w:t>
      </w:r>
      <w:r w:rsidR="009E4B84" w:rsidRPr="000A5369">
        <w:rPr>
          <w:rFonts w:asciiTheme="majorHAnsi" w:hAnsiTheme="majorHAnsi" w:cstheme="majorHAnsi"/>
          <w:sz w:val="24"/>
          <w:szCs w:val="24"/>
          <w:lang w:val="ru-MD"/>
        </w:rPr>
        <w:t>.</w:t>
      </w:r>
    </w:p>
    <w:p w:rsidR="009E4B84" w:rsidRPr="000A5369" w:rsidRDefault="00EC0320" w:rsidP="000A5369">
      <w:pPr>
        <w:spacing w:after="0" w:line="276" w:lineRule="auto"/>
        <w:ind w:firstLine="567"/>
        <w:jc w:val="both"/>
        <w:rPr>
          <w:rFonts w:asciiTheme="majorHAnsi" w:eastAsia="Times New Roman" w:hAnsiTheme="majorHAnsi" w:cstheme="majorHAnsi"/>
          <w:sz w:val="24"/>
          <w:szCs w:val="24"/>
          <w:lang w:val="ru-MD"/>
        </w:rPr>
      </w:pPr>
      <w:r w:rsidRPr="000A5369">
        <w:rPr>
          <w:rFonts w:asciiTheme="majorHAnsi" w:hAnsiTheme="majorHAnsi" w:cstheme="majorHAnsi"/>
          <w:noProof/>
          <w:sz w:val="24"/>
          <w:szCs w:val="24"/>
          <w:lang w:val="ru-MD" w:bidi="ro-RO"/>
        </w:rPr>
        <w:t>Внешний публичный аудит был проведен в соответствии с Международными стандартами Высших органов аудита, применяемыми Счетной палатой</w:t>
      </w:r>
      <w:r w:rsidRPr="000A5369">
        <w:rPr>
          <w:rStyle w:val="FootnoteReference"/>
          <w:rFonts w:asciiTheme="majorHAnsi" w:hAnsiTheme="majorHAnsi" w:cstheme="majorHAnsi"/>
          <w:noProof/>
          <w:sz w:val="24"/>
          <w:szCs w:val="24"/>
          <w:lang w:val="ru-MD"/>
        </w:rPr>
        <w:footnoteReference w:id="3"/>
      </w:r>
      <w:r w:rsidR="009E4B84" w:rsidRPr="000A5369">
        <w:rPr>
          <w:rFonts w:asciiTheme="majorHAnsi" w:eastAsia="Times New Roman" w:hAnsiTheme="majorHAnsi" w:cstheme="majorHAnsi"/>
          <w:sz w:val="24"/>
          <w:szCs w:val="24"/>
          <w:lang w:val="ru-MD"/>
        </w:rPr>
        <w:t xml:space="preserve">. </w:t>
      </w:r>
    </w:p>
    <w:p w:rsidR="00EC0320" w:rsidRPr="000A5369" w:rsidRDefault="00EC0320" w:rsidP="000A5369">
      <w:pPr>
        <w:spacing w:after="0" w:line="276" w:lineRule="auto"/>
        <w:ind w:firstLine="567"/>
        <w:jc w:val="both"/>
        <w:rPr>
          <w:rFonts w:asciiTheme="majorHAnsi" w:eastAsia="Times New Roman" w:hAnsiTheme="majorHAnsi" w:cstheme="majorHAnsi"/>
          <w:sz w:val="24"/>
          <w:szCs w:val="24"/>
          <w:lang w:val="ru-MD"/>
        </w:rPr>
      </w:pPr>
      <w:r w:rsidRPr="000A5369">
        <w:rPr>
          <w:rFonts w:asciiTheme="majorHAnsi" w:hAnsiTheme="majorHAnsi" w:cstheme="majorHAnsi"/>
          <w:noProof/>
          <w:sz w:val="24"/>
          <w:szCs w:val="24"/>
          <w:lang w:val="ru-MD" w:eastAsia="ru-RU"/>
        </w:rPr>
        <w:t>Рассмотрев Отчет аудита, Счетная палата</w:t>
      </w:r>
      <w:r w:rsidRPr="000A5369">
        <w:rPr>
          <w:rFonts w:asciiTheme="majorHAnsi" w:eastAsia="Times New Roman" w:hAnsiTheme="majorHAnsi" w:cstheme="majorHAnsi"/>
          <w:sz w:val="24"/>
          <w:szCs w:val="24"/>
          <w:lang w:val="ru-MD"/>
        </w:rPr>
        <w:t xml:space="preserve"> </w:t>
      </w:r>
    </w:p>
    <w:p w:rsidR="009E4B84" w:rsidRPr="000A5369" w:rsidRDefault="00EC0320" w:rsidP="000A5369">
      <w:pPr>
        <w:spacing w:after="0" w:line="276" w:lineRule="auto"/>
        <w:jc w:val="center"/>
        <w:rPr>
          <w:rFonts w:asciiTheme="majorHAnsi" w:eastAsia="Times New Roman" w:hAnsiTheme="majorHAnsi" w:cstheme="majorHAnsi"/>
          <w:b/>
          <w:bCs/>
          <w:sz w:val="24"/>
          <w:szCs w:val="24"/>
          <w:lang w:val="ru-MD"/>
        </w:rPr>
      </w:pPr>
      <w:r w:rsidRPr="000A5369">
        <w:rPr>
          <w:rFonts w:asciiTheme="majorHAnsi" w:hAnsiTheme="majorHAnsi" w:cstheme="majorHAnsi"/>
          <w:b/>
          <w:bCs/>
          <w:noProof/>
          <w:sz w:val="24"/>
          <w:szCs w:val="24"/>
          <w:lang w:val="ru-MD" w:eastAsia="ru-RU"/>
        </w:rPr>
        <w:t>УСТАНОВИЛА</w:t>
      </w:r>
      <w:r w:rsidR="009E4B84" w:rsidRPr="000A5369">
        <w:rPr>
          <w:rFonts w:asciiTheme="majorHAnsi" w:eastAsia="Times New Roman" w:hAnsiTheme="majorHAnsi" w:cstheme="majorHAnsi"/>
          <w:b/>
          <w:bCs/>
          <w:sz w:val="24"/>
          <w:szCs w:val="24"/>
          <w:lang w:val="ru-MD"/>
        </w:rPr>
        <w:t>:</w:t>
      </w:r>
    </w:p>
    <w:p w:rsidR="009E4B84" w:rsidRPr="000A5369" w:rsidRDefault="00EC0320" w:rsidP="000A5369">
      <w:pPr>
        <w:pStyle w:val="NormalWeb"/>
        <w:spacing w:line="276" w:lineRule="auto"/>
        <w:rPr>
          <w:rFonts w:asciiTheme="majorHAnsi" w:hAnsiTheme="majorHAnsi" w:cstheme="majorHAnsi"/>
          <w:lang w:val="ru-MD"/>
        </w:rPr>
      </w:pPr>
      <w:r w:rsidRPr="000A5369">
        <w:rPr>
          <w:rFonts w:asciiTheme="majorHAnsi" w:hAnsiTheme="majorHAnsi" w:cstheme="majorHAnsi"/>
          <w:lang w:val="ru-MD" w:eastAsia="ro-MD"/>
        </w:rPr>
        <w:t xml:space="preserve">Консолидированная финансовая отчетность </w:t>
      </w:r>
      <w:r w:rsidRPr="000A5369">
        <w:rPr>
          <w:rFonts w:asciiTheme="majorHAnsi" w:eastAsiaTheme="minorHAnsi" w:hAnsiTheme="majorHAnsi" w:cstheme="majorHAnsi"/>
          <w:iCs/>
          <w:lang w:val="ru-MD"/>
        </w:rPr>
        <w:t>Министерства</w:t>
      </w:r>
      <w:r w:rsidRPr="000A5369">
        <w:rPr>
          <w:rFonts w:asciiTheme="majorHAnsi" w:hAnsiTheme="majorHAnsi" w:cstheme="majorHAnsi"/>
          <w:b/>
          <w:iCs/>
          <w:lang w:val="ru-MD"/>
        </w:rPr>
        <w:t xml:space="preserve"> </w:t>
      </w:r>
      <w:r w:rsidRPr="000A5369">
        <w:rPr>
          <w:rFonts w:asciiTheme="majorHAnsi" w:hAnsiTheme="majorHAnsi" w:cstheme="majorHAnsi"/>
          <w:iCs/>
          <w:lang w:val="ru-MD"/>
        </w:rPr>
        <w:t xml:space="preserve">инфраструктуры и регионального развития по состоянию на 31 декабря 2022 года, </w:t>
      </w:r>
      <w:r w:rsidRPr="000A5369">
        <w:rPr>
          <w:rFonts w:asciiTheme="majorHAnsi" w:hAnsiTheme="majorHAnsi" w:cstheme="majorHAnsi"/>
          <w:lang w:val="ru-MD" w:eastAsia="ru-RU" w:bidi="ro-RO"/>
        </w:rPr>
        <w:t>за исключением воздействия некоторых аспектов, описанных в разделе Основание для условного мнения, представляет, во всех существенных аспектах, правильную и достоверную ситуацию,</w:t>
      </w:r>
      <w:r w:rsidRPr="000A5369">
        <w:rPr>
          <w:rFonts w:asciiTheme="majorHAnsi" w:hAnsiTheme="majorHAnsi" w:cstheme="majorHAnsi"/>
          <w:i/>
          <w:lang w:val="ru-MD" w:eastAsia="ru-RU" w:bidi="ro-RO"/>
        </w:rPr>
        <w:t xml:space="preserve"> </w:t>
      </w:r>
      <w:r w:rsidRPr="000A5369">
        <w:rPr>
          <w:rFonts w:asciiTheme="majorHAnsi" w:hAnsiTheme="majorHAnsi" w:cstheme="majorHAnsi"/>
          <w:lang w:val="ru-MD" w:eastAsia="ru-RU" w:bidi="ro-RO"/>
        </w:rPr>
        <w:t>в соответствии с требованиями норм бухгалтерского учета и финансовой отчетности в бюджетной системе Республики Молдова</w:t>
      </w:r>
      <w:r w:rsidRPr="000A5369">
        <w:rPr>
          <w:rStyle w:val="FootnoteReference1"/>
          <w:rFonts w:asciiTheme="majorHAnsi" w:hAnsiTheme="majorHAnsi" w:cstheme="majorHAnsi"/>
          <w:lang w:val="ru-MD"/>
        </w:rPr>
        <w:footnoteReference w:id="4"/>
      </w:r>
      <w:r w:rsidR="009E4B84" w:rsidRPr="000A5369">
        <w:rPr>
          <w:rFonts w:asciiTheme="majorHAnsi" w:hAnsiTheme="majorHAnsi" w:cstheme="majorHAnsi"/>
          <w:lang w:val="ru-MD"/>
        </w:rPr>
        <w:t>.</w:t>
      </w:r>
    </w:p>
    <w:p w:rsidR="006D7A85" w:rsidRPr="000A5369" w:rsidRDefault="006D7A85" w:rsidP="000A5369">
      <w:pPr>
        <w:pStyle w:val="NormalWeb"/>
        <w:spacing w:line="276" w:lineRule="auto"/>
        <w:rPr>
          <w:rFonts w:asciiTheme="majorHAnsi" w:hAnsiTheme="majorHAnsi" w:cstheme="majorHAnsi"/>
          <w:lang w:val="ru-MD"/>
        </w:rPr>
      </w:pPr>
      <w:r w:rsidRPr="000A5369">
        <w:rPr>
          <w:rFonts w:asciiTheme="majorHAnsi" w:hAnsiTheme="majorHAnsi" w:cstheme="majorHAnsi"/>
          <w:lang w:val="ru-MD"/>
        </w:rPr>
        <w:t xml:space="preserve">Исходя из вышеизложенного, на основании ст.14 (2), ст.15 d) и ст.37 (2) Закона №260 от 07.12.2017, Счетная палата </w:t>
      </w:r>
    </w:p>
    <w:p w:rsidR="009E4B84" w:rsidRPr="000A5369" w:rsidRDefault="006D7A85" w:rsidP="000A5369">
      <w:pPr>
        <w:pStyle w:val="cp"/>
        <w:spacing w:line="276" w:lineRule="auto"/>
        <w:rPr>
          <w:rFonts w:asciiTheme="majorHAnsi" w:hAnsiTheme="majorHAnsi" w:cstheme="majorHAnsi"/>
          <w:lang w:val="ru-MD"/>
        </w:rPr>
      </w:pPr>
      <w:r w:rsidRPr="000A5369">
        <w:rPr>
          <w:rFonts w:asciiTheme="majorHAnsi" w:hAnsiTheme="majorHAnsi" w:cstheme="majorHAnsi"/>
          <w:lang w:val="ru-MD"/>
        </w:rPr>
        <w:t>ПОСТАНОВЛЯЕТ</w:t>
      </w:r>
      <w:r w:rsidR="009E4B84" w:rsidRPr="000A5369">
        <w:rPr>
          <w:rFonts w:asciiTheme="majorHAnsi" w:hAnsiTheme="majorHAnsi" w:cstheme="majorHAnsi"/>
          <w:lang w:val="ru-MD"/>
        </w:rPr>
        <w:t>:</w:t>
      </w:r>
    </w:p>
    <w:p w:rsidR="009E4B84" w:rsidRPr="000A5369" w:rsidRDefault="009E4B84"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b/>
          <w:bCs/>
          <w:lang w:val="ru-MD"/>
        </w:rPr>
        <w:t>1.</w:t>
      </w:r>
      <w:r w:rsidRPr="000A5369">
        <w:rPr>
          <w:rFonts w:asciiTheme="majorHAnsi" w:hAnsiTheme="majorHAnsi" w:cstheme="majorHAnsi"/>
          <w:lang w:val="ru-MD"/>
        </w:rPr>
        <w:t xml:space="preserve"> </w:t>
      </w:r>
      <w:r w:rsidR="006D7A85" w:rsidRPr="000A5369">
        <w:rPr>
          <w:rFonts w:asciiTheme="majorHAnsi" w:hAnsiTheme="majorHAnsi" w:cstheme="majorHAnsi"/>
          <w:lang w:val="ru-MD"/>
        </w:rPr>
        <w:t xml:space="preserve">Утвердить </w:t>
      </w:r>
      <w:r w:rsidR="006D7A85" w:rsidRPr="000A5369">
        <w:rPr>
          <w:rFonts w:asciiTheme="majorHAnsi" w:eastAsiaTheme="minorHAnsi" w:hAnsiTheme="majorHAnsi" w:cstheme="majorHAnsi"/>
          <w:iCs/>
          <w:lang w:val="ru-MD"/>
        </w:rPr>
        <w:t>Отчет аудита консолидированной финансовой отчетности Министерства</w:t>
      </w:r>
      <w:r w:rsidR="006D7A85" w:rsidRPr="000A5369">
        <w:rPr>
          <w:rFonts w:asciiTheme="majorHAnsi" w:hAnsiTheme="majorHAnsi" w:cstheme="majorHAnsi"/>
          <w:b/>
          <w:iCs/>
          <w:lang w:val="ru-MD"/>
        </w:rPr>
        <w:t xml:space="preserve"> </w:t>
      </w:r>
      <w:r w:rsidR="006D7A85" w:rsidRPr="000A5369">
        <w:rPr>
          <w:rFonts w:asciiTheme="majorHAnsi" w:hAnsiTheme="majorHAnsi" w:cstheme="majorHAnsi"/>
          <w:iCs/>
          <w:lang w:val="ru-MD"/>
        </w:rPr>
        <w:t xml:space="preserve">инфраструктуры и регионального развития по состоянию на 31 декабря 2022 года, </w:t>
      </w:r>
      <w:r w:rsidR="006D7A85" w:rsidRPr="000A5369">
        <w:rPr>
          <w:rFonts w:asciiTheme="majorHAnsi" w:hAnsiTheme="majorHAnsi" w:cstheme="majorHAnsi"/>
          <w:bCs/>
          <w:noProof/>
          <w:lang w:val="ru-MD"/>
        </w:rPr>
        <w:t>приложенный к настоящему Постановлению</w:t>
      </w:r>
      <w:r w:rsidRPr="000A5369">
        <w:rPr>
          <w:rFonts w:asciiTheme="majorHAnsi" w:hAnsiTheme="majorHAnsi" w:cstheme="majorHAnsi"/>
          <w:lang w:val="ru-MD"/>
        </w:rPr>
        <w:t>.</w:t>
      </w:r>
    </w:p>
    <w:p w:rsidR="009E4B84" w:rsidRPr="000A5369" w:rsidRDefault="009E4B84"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b/>
          <w:bCs/>
          <w:lang w:val="ru-MD"/>
        </w:rPr>
        <w:t>2.</w:t>
      </w:r>
      <w:r w:rsidRPr="000A5369">
        <w:rPr>
          <w:rFonts w:asciiTheme="majorHAnsi" w:hAnsiTheme="majorHAnsi" w:cstheme="majorHAnsi"/>
          <w:lang w:val="ru-MD"/>
        </w:rPr>
        <w:t xml:space="preserve"> </w:t>
      </w:r>
      <w:r w:rsidR="006D7A85" w:rsidRPr="000A5369">
        <w:rPr>
          <w:rFonts w:asciiTheme="majorHAnsi" w:eastAsiaTheme="minorHAnsi" w:hAnsiTheme="majorHAnsi" w:cstheme="majorHAnsi"/>
          <w:bCs/>
          <w:lang w:val="ru-MD"/>
        </w:rPr>
        <w:t>Настоящее Постановление и Отчет аудита направить</w:t>
      </w:r>
      <w:r w:rsidRPr="000A5369">
        <w:rPr>
          <w:rFonts w:asciiTheme="majorHAnsi" w:hAnsiTheme="majorHAnsi" w:cstheme="majorHAnsi"/>
          <w:lang w:val="ru-MD"/>
        </w:rPr>
        <w:t>:</w:t>
      </w:r>
    </w:p>
    <w:p w:rsidR="00DA2C85" w:rsidRPr="000A5369" w:rsidRDefault="00DA2C85" w:rsidP="000A5369">
      <w:pPr>
        <w:pStyle w:val="NormalWeb"/>
        <w:spacing w:after="240" w:line="276" w:lineRule="auto"/>
        <w:rPr>
          <w:rFonts w:asciiTheme="majorHAnsi" w:hAnsiTheme="majorHAnsi" w:cstheme="majorHAnsi"/>
          <w:noProof/>
          <w:lang w:val="ru-MD"/>
        </w:rPr>
      </w:pPr>
      <w:r w:rsidRPr="000A5369">
        <w:rPr>
          <w:rFonts w:asciiTheme="majorHAnsi" w:hAnsiTheme="majorHAnsi" w:cstheme="majorHAnsi"/>
          <w:b/>
          <w:noProof/>
          <w:lang w:val="ru-MD"/>
        </w:rPr>
        <w:t>2.1.</w:t>
      </w:r>
      <w:r w:rsidRPr="000A5369">
        <w:rPr>
          <w:rFonts w:asciiTheme="majorHAnsi" w:hAnsiTheme="majorHAnsi" w:cstheme="majorHAnsi"/>
          <w:noProof/>
          <w:lang w:val="ru-MD"/>
        </w:rPr>
        <w:t xml:space="preserve"> </w:t>
      </w:r>
      <w:r w:rsidR="006D7A85" w:rsidRPr="000A5369">
        <w:rPr>
          <w:rFonts w:asciiTheme="majorHAnsi" w:hAnsiTheme="majorHAnsi" w:cstheme="majorHAnsi"/>
          <w:b/>
          <w:bCs/>
          <w:lang w:val="ru-MD"/>
        </w:rPr>
        <w:t>Парламенту Республики Молдова</w:t>
      </w:r>
      <w:r w:rsidR="006D7A85" w:rsidRPr="000A5369">
        <w:rPr>
          <w:rFonts w:asciiTheme="majorHAnsi" w:hAnsiTheme="majorHAnsi" w:cstheme="majorHAnsi"/>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0A5369">
        <w:rPr>
          <w:rFonts w:asciiTheme="majorHAnsi" w:hAnsiTheme="majorHAnsi" w:cstheme="majorHAnsi"/>
          <w:noProof/>
          <w:lang w:val="ru-MD"/>
        </w:rPr>
        <w:t>;</w:t>
      </w:r>
    </w:p>
    <w:p w:rsidR="00DA2C85" w:rsidRPr="000A5369" w:rsidRDefault="00DA2C85" w:rsidP="000A5369">
      <w:pPr>
        <w:pStyle w:val="NormalWeb"/>
        <w:spacing w:after="240" w:line="276" w:lineRule="auto"/>
        <w:rPr>
          <w:rFonts w:asciiTheme="majorHAnsi" w:hAnsiTheme="majorHAnsi" w:cstheme="majorHAnsi"/>
          <w:noProof/>
          <w:lang w:val="ru-MD"/>
        </w:rPr>
      </w:pPr>
      <w:r w:rsidRPr="000A5369">
        <w:rPr>
          <w:rFonts w:asciiTheme="majorHAnsi" w:hAnsiTheme="majorHAnsi" w:cstheme="majorHAnsi"/>
          <w:b/>
          <w:noProof/>
          <w:lang w:val="ru-MD"/>
        </w:rPr>
        <w:t>2.2.</w:t>
      </w:r>
      <w:r w:rsidRPr="000A5369">
        <w:rPr>
          <w:rFonts w:asciiTheme="majorHAnsi" w:hAnsiTheme="majorHAnsi" w:cstheme="majorHAnsi"/>
          <w:noProof/>
          <w:lang w:val="ru-MD"/>
        </w:rPr>
        <w:t xml:space="preserve">  </w:t>
      </w:r>
      <w:r w:rsidR="006D7A85" w:rsidRPr="000A5369">
        <w:rPr>
          <w:rFonts w:asciiTheme="majorHAnsi" w:hAnsiTheme="majorHAnsi" w:cstheme="majorHAnsi"/>
          <w:b/>
          <w:bCs/>
          <w:lang w:val="ru-MD"/>
        </w:rPr>
        <w:t>Президенту Республики Молдова</w:t>
      </w:r>
      <w:r w:rsidR="006D7A85" w:rsidRPr="000A5369">
        <w:rPr>
          <w:rFonts w:asciiTheme="majorHAnsi" w:hAnsiTheme="majorHAnsi" w:cstheme="majorHAnsi"/>
          <w:lang w:val="ru-MD"/>
        </w:rPr>
        <w:t xml:space="preserve"> для информирования</w:t>
      </w:r>
      <w:r w:rsidRPr="000A5369">
        <w:rPr>
          <w:rFonts w:asciiTheme="majorHAnsi" w:hAnsiTheme="majorHAnsi" w:cstheme="majorHAnsi"/>
          <w:noProof/>
          <w:lang w:val="ru-MD"/>
        </w:rPr>
        <w:t>;</w:t>
      </w:r>
    </w:p>
    <w:p w:rsidR="00DA2C85" w:rsidRPr="000A5369" w:rsidRDefault="00DA2C85" w:rsidP="000A5369">
      <w:pPr>
        <w:pStyle w:val="NormalWeb"/>
        <w:spacing w:after="240" w:line="276" w:lineRule="auto"/>
        <w:rPr>
          <w:rFonts w:asciiTheme="majorHAnsi" w:hAnsiTheme="majorHAnsi" w:cstheme="majorHAnsi"/>
          <w:noProof/>
          <w:lang w:val="ru-MD"/>
        </w:rPr>
      </w:pPr>
      <w:r w:rsidRPr="000A5369">
        <w:rPr>
          <w:rFonts w:asciiTheme="majorHAnsi" w:hAnsiTheme="majorHAnsi" w:cstheme="majorHAnsi"/>
          <w:b/>
          <w:noProof/>
          <w:lang w:val="ru-MD"/>
        </w:rPr>
        <w:t>2.3.</w:t>
      </w:r>
      <w:r w:rsidRPr="000A5369">
        <w:rPr>
          <w:rFonts w:asciiTheme="majorHAnsi" w:hAnsiTheme="majorHAnsi" w:cstheme="majorHAnsi"/>
          <w:noProof/>
          <w:lang w:val="ru-MD"/>
        </w:rPr>
        <w:t xml:space="preserve"> </w:t>
      </w:r>
      <w:r w:rsidR="006D7A85" w:rsidRPr="000A5369">
        <w:rPr>
          <w:rFonts w:asciiTheme="majorHAnsi" w:hAnsiTheme="majorHAnsi" w:cstheme="majorHAnsi"/>
          <w:b/>
          <w:bCs/>
          <w:lang w:val="ru-MD"/>
        </w:rPr>
        <w:t>Правительству Республики Молдова</w:t>
      </w:r>
      <w:r w:rsidR="006D7A85" w:rsidRPr="000A5369">
        <w:rPr>
          <w:rFonts w:asciiTheme="majorHAnsi" w:hAnsiTheme="majorHAnsi" w:cstheme="majorHAnsi"/>
          <w:lang w:val="ru-MD"/>
        </w:rPr>
        <w:t xml:space="preserve"> для информирования и принятия мер по мониторингу обеспечения внедрения аудиторских рекомендаций</w:t>
      </w:r>
      <w:r w:rsidRPr="000A5369">
        <w:rPr>
          <w:rFonts w:asciiTheme="majorHAnsi" w:hAnsiTheme="majorHAnsi" w:cstheme="majorHAnsi"/>
          <w:noProof/>
          <w:lang w:val="ru-MD"/>
        </w:rPr>
        <w:t>;</w:t>
      </w:r>
    </w:p>
    <w:p w:rsidR="00F92722" w:rsidRPr="000A5369" w:rsidRDefault="00DA2C85"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b/>
          <w:lang w:val="ru-MD"/>
        </w:rPr>
        <w:t>2.4.</w:t>
      </w:r>
      <w:r w:rsidRPr="000A5369">
        <w:rPr>
          <w:rFonts w:asciiTheme="majorHAnsi" w:hAnsiTheme="majorHAnsi" w:cstheme="majorHAnsi"/>
          <w:lang w:val="ru-MD"/>
        </w:rPr>
        <w:t xml:space="preserve"> </w:t>
      </w:r>
      <w:r w:rsidR="006D7A85" w:rsidRPr="000A5369">
        <w:rPr>
          <w:rFonts w:asciiTheme="majorHAnsi" w:eastAsiaTheme="minorHAnsi" w:hAnsiTheme="majorHAnsi" w:cstheme="majorHAnsi"/>
          <w:b/>
          <w:bCs/>
          <w:lang w:val="ru-MD"/>
        </w:rPr>
        <w:t>Министерству финансов</w:t>
      </w:r>
      <w:r w:rsidR="00F92722" w:rsidRPr="000A5369">
        <w:rPr>
          <w:rFonts w:asciiTheme="majorHAnsi" w:hAnsiTheme="majorHAnsi" w:cstheme="majorHAnsi"/>
          <w:lang w:val="ru-MD"/>
        </w:rPr>
        <w:t xml:space="preserve"> </w:t>
      </w:r>
      <w:r w:rsidR="006D7A85" w:rsidRPr="000A5369">
        <w:rPr>
          <w:rFonts w:asciiTheme="majorHAnsi" w:hAnsiTheme="majorHAnsi" w:cstheme="majorHAnsi"/>
          <w:lang w:val="ru-MD"/>
        </w:rPr>
        <w:t>для внесения изменений в нормативно-методологическую базу в аспекте классификации финансовых ресурсов, выделенных из дорожного фонда, в соотношении с их целью и назначением</w:t>
      </w:r>
      <w:r w:rsidR="00F63187" w:rsidRPr="000A5369">
        <w:rPr>
          <w:rFonts w:asciiTheme="majorHAnsi" w:hAnsiTheme="majorHAnsi" w:cstheme="majorHAnsi"/>
          <w:lang w:val="ru-MD"/>
        </w:rPr>
        <w:t>;</w:t>
      </w:r>
    </w:p>
    <w:p w:rsidR="00DA2C85" w:rsidRPr="000A5369" w:rsidRDefault="00F63187" w:rsidP="000A5369">
      <w:pPr>
        <w:pStyle w:val="NormalWeb"/>
        <w:spacing w:after="240" w:line="276" w:lineRule="auto"/>
        <w:rPr>
          <w:rFonts w:asciiTheme="majorHAnsi" w:hAnsiTheme="majorHAnsi" w:cstheme="majorHAnsi"/>
          <w:lang w:val="ru-MD"/>
        </w:rPr>
      </w:pPr>
      <w:r w:rsidRPr="000A5369">
        <w:rPr>
          <w:rFonts w:asciiTheme="majorHAnsi" w:eastAsiaTheme="minorHAnsi" w:hAnsiTheme="majorHAnsi" w:cstheme="majorHAnsi"/>
          <w:b/>
          <w:bCs/>
          <w:lang w:val="ru-MD"/>
        </w:rPr>
        <w:lastRenderedPageBreak/>
        <w:t>2.5.</w:t>
      </w:r>
      <w:r w:rsidR="00B57676" w:rsidRPr="000A5369">
        <w:rPr>
          <w:rFonts w:asciiTheme="majorHAnsi" w:eastAsiaTheme="minorHAnsi" w:hAnsiTheme="majorHAnsi" w:cstheme="majorHAnsi"/>
          <w:b/>
          <w:bCs/>
          <w:lang w:val="ru-MD"/>
        </w:rPr>
        <w:t xml:space="preserve"> </w:t>
      </w:r>
      <w:r w:rsidR="006D7A85" w:rsidRPr="000A5369">
        <w:rPr>
          <w:rFonts w:asciiTheme="majorHAnsi" w:hAnsiTheme="majorHAnsi" w:cstheme="majorHAnsi"/>
          <w:b/>
          <w:lang w:val="ru-MD"/>
        </w:rPr>
        <w:t>Министерству инфраструктуры и регионального развития</w:t>
      </w:r>
      <w:r w:rsidR="006D7A85" w:rsidRPr="000A5369">
        <w:rPr>
          <w:rFonts w:asciiTheme="majorHAnsi" w:hAnsiTheme="majorHAnsi" w:cstheme="majorHAnsi"/>
          <w:lang w:val="ru-MD"/>
        </w:rPr>
        <w:t xml:space="preserve"> для принятия к сведению и обеспечения внедрения следующих рекомендаций аудита</w:t>
      </w:r>
      <w:r w:rsidR="00DA2C85" w:rsidRPr="000A5369">
        <w:rPr>
          <w:rFonts w:asciiTheme="majorHAnsi" w:hAnsiTheme="majorHAnsi" w:cstheme="majorHAnsi"/>
          <w:lang w:val="ru-MD"/>
        </w:rPr>
        <w:t>:</w:t>
      </w:r>
    </w:p>
    <w:p w:rsidR="00DC0FFF" w:rsidRPr="000A5369" w:rsidRDefault="000A2FF4"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lang w:val="ru-MD"/>
        </w:rPr>
        <w:t>2.5</w:t>
      </w:r>
      <w:r w:rsidR="00A86FE5" w:rsidRPr="000A5369">
        <w:rPr>
          <w:rFonts w:asciiTheme="majorHAnsi" w:hAnsiTheme="majorHAnsi" w:cstheme="majorHAnsi"/>
          <w:lang w:val="ru-MD"/>
        </w:rPr>
        <w:t xml:space="preserve">.1. </w:t>
      </w:r>
      <w:r w:rsidR="007F1D10" w:rsidRPr="000A5369">
        <w:rPr>
          <w:rFonts w:asciiTheme="majorHAnsi" w:hAnsiTheme="majorHAnsi" w:cstheme="majorHAnsi"/>
          <w:lang w:val="ru-MD"/>
        </w:rPr>
        <w:t>прове</w:t>
      </w:r>
      <w:r w:rsidR="00C47A5D" w:rsidRPr="000A5369">
        <w:rPr>
          <w:rFonts w:asciiTheme="majorHAnsi" w:hAnsiTheme="majorHAnsi" w:cstheme="majorHAnsi"/>
          <w:lang w:val="ru-MD"/>
        </w:rPr>
        <w:t>дение</w:t>
      </w:r>
      <w:r w:rsidR="007F1D10" w:rsidRPr="000A5369">
        <w:rPr>
          <w:rFonts w:asciiTheme="majorHAnsi" w:hAnsiTheme="majorHAnsi" w:cstheme="majorHAnsi"/>
          <w:lang w:val="ru-MD"/>
        </w:rPr>
        <w:t xml:space="preserve"> инвентаризаци</w:t>
      </w:r>
      <w:r w:rsidR="00C47A5D" w:rsidRPr="000A5369">
        <w:rPr>
          <w:rFonts w:asciiTheme="majorHAnsi" w:hAnsiTheme="majorHAnsi" w:cstheme="majorHAnsi"/>
          <w:lang w:val="ru-MD"/>
        </w:rPr>
        <w:t>и</w:t>
      </w:r>
      <w:r w:rsidR="007F1D10" w:rsidRPr="000A5369">
        <w:rPr>
          <w:rFonts w:asciiTheme="majorHAnsi" w:hAnsiTheme="majorHAnsi" w:cstheme="majorHAnsi"/>
          <w:lang w:val="ru-MD"/>
        </w:rPr>
        <w:t>, разграничени</w:t>
      </w:r>
      <w:r w:rsidR="00C47A5D" w:rsidRPr="000A5369">
        <w:rPr>
          <w:rFonts w:asciiTheme="majorHAnsi" w:hAnsiTheme="majorHAnsi" w:cstheme="majorHAnsi"/>
          <w:lang w:val="ru-MD"/>
        </w:rPr>
        <w:t>я</w:t>
      </w:r>
      <w:r w:rsidR="007F1D10" w:rsidRPr="000A5369">
        <w:rPr>
          <w:rFonts w:asciiTheme="majorHAnsi" w:hAnsiTheme="majorHAnsi" w:cstheme="majorHAnsi"/>
          <w:lang w:val="ru-MD"/>
        </w:rPr>
        <w:t>, оценк</w:t>
      </w:r>
      <w:r w:rsidR="00C47A5D" w:rsidRPr="000A5369">
        <w:rPr>
          <w:rFonts w:asciiTheme="majorHAnsi" w:hAnsiTheme="majorHAnsi" w:cstheme="majorHAnsi"/>
          <w:lang w:val="ru-MD"/>
        </w:rPr>
        <w:t>и</w:t>
      </w:r>
      <w:r w:rsidR="007F1D10" w:rsidRPr="000A5369">
        <w:rPr>
          <w:rFonts w:asciiTheme="majorHAnsi" w:hAnsiTheme="majorHAnsi" w:cstheme="majorHAnsi"/>
          <w:lang w:val="ru-MD"/>
        </w:rPr>
        <w:t xml:space="preserve"> и регистраци</w:t>
      </w:r>
      <w:r w:rsidR="00C47A5D" w:rsidRPr="000A5369">
        <w:rPr>
          <w:rFonts w:asciiTheme="majorHAnsi" w:hAnsiTheme="majorHAnsi" w:cstheme="majorHAnsi"/>
          <w:lang w:val="ru-MD"/>
        </w:rPr>
        <w:t>и</w:t>
      </w:r>
      <w:r w:rsidR="007F1D10" w:rsidRPr="000A5369">
        <w:rPr>
          <w:rFonts w:asciiTheme="majorHAnsi" w:hAnsiTheme="majorHAnsi" w:cstheme="majorHAnsi"/>
          <w:lang w:val="ru-MD"/>
        </w:rPr>
        <w:t xml:space="preserve"> в бухгалтерском учете дорог и земель публичной собственности, а также государственного имущества, находящегося в управлении созданных предприятий</w:t>
      </w:r>
      <w:r w:rsidR="00315D3E" w:rsidRPr="000A5369">
        <w:rPr>
          <w:rFonts w:asciiTheme="majorHAnsi" w:hAnsiTheme="majorHAnsi" w:cstheme="majorHAnsi"/>
          <w:lang w:val="ru-MD"/>
        </w:rPr>
        <w:t>;</w:t>
      </w:r>
    </w:p>
    <w:p w:rsidR="00063D04" w:rsidRPr="000A5369" w:rsidRDefault="00063D04" w:rsidP="000A5369">
      <w:pPr>
        <w:pStyle w:val="NormalWeb"/>
        <w:tabs>
          <w:tab w:val="left" w:pos="1080"/>
          <w:tab w:val="left" w:pos="1260"/>
          <w:tab w:val="left" w:pos="1440"/>
        </w:tabs>
        <w:spacing w:after="240" w:line="276" w:lineRule="auto"/>
        <w:rPr>
          <w:rFonts w:asciiTheme="majorHAnsi" w:hAnsiTheme="majorHAnsi" w:cstheme="majorHAnsi"/>
          <w:lang w:val="ru-MD"/>
        </w:rPr>
      </w:pPr>
      <w:r w:rsidRPr="000A5369">
        <w:rPr>
          <w:rFonts w:asciiTheme="majorHAnsi" w:hAnsiTheme="majorHAnsi" w:cstheme="majorHAnsi"/>
          <w:lang w:val="ru-MD"/>
        </w:rPr>
        <w:t xml:space="preserve">2.5.2. </w:t>
      </w:r>
      <w:r w:rsidR="00C47A5D" w:rsidRPr="000A5369">
        <w:rPr>
          <w:rFonts w:asciiTheme="majorHAnsi" w:hAnsiTheme="majorHAnsi" w:cstheme="majorHAnsi"/>
          <w:lang w:val="ru-MD"/>
        </w:rPr>
        <w:t>подписание Протоколов приема работ по строительству/реконструкции дорог общего пользования в соответствии с положениями применяемой нормативной базы, в том числе с получением заключений контрольных органов</w:t>
      </w:r>
      <w:r w:rsidR="00025992" w:rsidRPr="000A5369">
        <w:rPr>
          <w:rFonts w:asciiTheme="majorHAnsi" w:hAnsiTheme="majorHAnsi" w:cstheme="majorHAnsi"/>
          <w:lang w:val="ru-MD"/>
        </w:rPr>
        <w:t>;</w:t>
      </w:r>
    </w:p>
    <w:p w:rsidR="000A2FF4" w:rsidRPr="000A5369" w:rsidRDefault="000A2FF4"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lang w:val="ru-MD"/>
        </w:rPr>
        <w:t>2.5</w:t>
      </w:r>
      <w:r w:rsidR="00797AEA" w:rsidRPr="000A5369">
        <w:rPr>
          <w:rFonts w:asciiTheme="majorHAnsi" w:hAnsiTheme="majorHAnsi" w:cstheme="majorHAnsi"/>
          <w:lang w:val="ru-MD"/>
        </w:rPr>
        <w:t>.3</w:t>
      </w:r>
      <w:r w:rsidRPr="000A5369">
        <w:rPr>
          <w:rFonts w:asciiTheme="majorHAnsi" w:hAnsiTheme="majorHAnsi" w:cstheme="majorHAnsi"/>
          <w:lang w:val="ru-MD"/>
        </w:rPr>
        <w:t>.</w:t>
      </w:r>
      <w:r w:rsidRPr="000A5369">
        <w:rPr>
          <w:rFonts w:asciiTheme="majorHAnsi" w:hAnsiTheme="majorHAnsi" w:cstheme="majorHAnsi"/>
          <w:b/>
          <w:lang w:val="ru-MD"/>
        </w:rPr>
        <w:t xml:space="preserve"> </w:t>
      </w:r>
      <w:r w:rsidR="00C47A5D" w:rsidRPr="000A5369">
        <w:rPr>
          <w:rFonts w:asciiTheme="majorHAnsi" w:hAnsiTheme="majorHAnsi" w:cstheme="majorHAnsi"/>
          <w:lang w:val="ru-MD"/>
        </w:rPr>
        <w:t>разработка,</w:t>
      </w:r>
      <w:r w:rsidR="00C47A5D" w:rsidRPr="000A5369">
        <w:rPr>
          <w:rFonts w:asciiTheme="majorHAnsi" w:hAnsiTheme="majorHAnsi" w:cstheme="majorHAnsi"/>
          <w:b/>
          <w:lang w:val="ru-MD"/>
        </w:rPr>
        <w:t xml:space="preserve"> руководством Публичного учреждения Национальное бюро регионального и местного развития, </w:t>
      </w:r>
      <w:r w:rsidR="00C47A5D" w:rsidRPr="000A5369">
        <w:rPr>
          <w:rFonts w:asciiTheme="majorHAnsi" w:hAnsiTheme="majorHAnsi" w:cstheme="majorHAnsi"/>
          <w:lang w:val="ru-MD"/>
        </w:rPr>
        <w:t>внутренних положений о порядке и сроках передачи незавершенных инвестиций сообществам-бенефициарам</w:t>
      </w:r>
      <w:r w:rsidR="00901745" w:rsidRPr="000A5369">
        <w:rPr>
          <w:rFonts w:asciiTheme="majorHAnsi" w:hAnsiTheme="majorHAnsi" w:cstheme="majorHAnsi"/>
          <w:lang w:val="ru-MD"/>
        </w:rPr>
        <w:t>.</w:t>
      </w:r>
    </w:p>
    <w:p w:rsidR="00337FBB" w:rsidRPr="000A5369" w:rsidRDefault="00337FBB" w:rsidP="000A5369">
      <w:pPr>
        <w:pStyle w:val="NormalWeb"/>
        <w:spacing w:after="240" w:line="276" w:lineRule="auto"/>
        <w:rPr>
          <w:rFonts w:asciiTheme="majorHAnsi" w:hAnsiTheme="majorHAnsi" w:cstheme="majorHAnsi"/>
          <w:lang w:val="ru-MD"/>
        </w:rPr>
      </w:pPr>
      <w:r w:rsidRPr="000A5369">
        <w:rPr>
          <w:rFonts w:asciiTheme="majorHAnsi" w:eastAsiaTheme="minorHAnsi" w:hAnsiTheme="majorHAnsi" w:cstheme="majorHAnsi"/>
          <w:b/>
          <w:bCs/>
          <w:lang w:val="ru-MD"/>
        </w:rPr>
        <w:t>3.</w:t>
      </w:r>
      <w:r w:rsidRPr="000A5369">
        <w:rPr>
          <w:rFonts w:asciiTheme="majorHAnsi" w:eastAsiaTheme="minorHAnsi" w:hAnsiTheme="majorHAnsi" w:cstheme="majorHAnsi"/>
          <w:bCs/>
          <w:lang w:val="ru-MD"/>
        </w:rPr>
        <w:t xml:space="preserve"> </w:t>
      </w:r>
      <w:r w:rsidR="00470F70" w:rsidRPr="000A5369">
        <w:rPr>
          <w:rFonts w:asciiTheme="majorHAnsi" w:eastAsiaTheme="minorHAnsi" w:hAnsiTheme="majorHAnsi" w:cstheme="majorHAnsi"/>
          <w:bCs/>
          <w:lang w:val="ru-MD"/>
        </w:rPr>
        <w:t>Настоящим Постановлением исключить из режима мониторинга Постановления Счетной палаты №</w:t>
      </w:r>
      <w:r w:rsidR="00470F70" w:rsidRPr="000A5369">
        <w:rPr>
          <w:rFonts w:asciiTheme="majorHAnsi" w:hAnsiTheme="majorHAnsi" w:cstheme="majorHAnsi"/>
          <w:lang w:val="ru-MD"/>
        </w:rPr>
        <w:t>21</w:t>
      </w:r>
      <w:r w:rsidR="00470F70" w:rsidRPr="000A5369">
        <w:rPr>
          <w:rFonts w:asciiTheme="majorHAnsi" w:eastAsiaTheme="minorHAnsi" w:hAnsiTheme="majorHAnsi" w:cstheme="majorHAnsi"/>
          <w:bCs/>
          <w:lang w:val="ru-MD"/>
        </w:rPr>
        <w:t xml:space="preserve"> от </w:t>
      </w:r>
      <w:r w:rsidR="00470F70" w:rsidRPr="000A5369">
        <w:rPr>
          <w:rFonts w:asciiTheme="majorHAnsi" w:hAnsiTheme="majorHAnsi" w:cstheme="majorHAnsi"/>
          <w:lang w:val="ru-MD"/>
        </w:rPr>
        <w:t>27.05.2022</w:t>
      </w:r>
      <w:r w:rsidR="00470F70" w:rsidRPr="000A5369">
        <w:rPr>
          <w:rFonts w:asciiTheme="majorHAnsi" w:eastAsiaTheme="minorHAnsi" w:hAnsiTheme="majorHAnsi" w:cstheme="majorHAnsi"/>
          <w:bCs/>
          <w:lang w:val="ru-MD"/>
        </w:rPr>
        <w:t xml:space="preserve"> </w:t>
      </w:r>
      <w:r w:rsidR="00470F70" w:rsidRPr="000A5369">
        <w:rPr>
          <w:rFonts w:asciiTheme="majorHAnsi" w:hAnsiTheme="majorHAnsi" w:cstheme="majorHAnsi"/>
          <w:lang w:val="ru-MD"/>
        </w:rPr>
        <w:t>по</w:t>
      </w:r>
      <w:r w:rsidR="00470F70" w:rsidRPr="000A5369">
        <w:rPr>
          <w:rFonts w:asciiTheme="majorHAnsi" w:eastAsiaTheme="minorHAnsi" w:hAnsiTheme="majorHAnsi" w:cstheme="majorHAnsi"/>
          <w:bCs/>
          <w:lang w:val="ru-MD"/>
        </w:rPr>
        <w:t xml:space="preserve"> Отчету аудита консолидированной финансовой отчетности Министерства экономики и инфраструктуры по состоянию на 31 декабря 2021 года, </w:t>
      </w:r>
      <w:r w:rsidR="00470F70" w:rsidRPr="000A5369">
        <w:rPr>
          <w:rFonts w:asciiTheme="majorHAnsi" w:hAnsiTheme="majorHAnsi" w:cstheme="majorHAnsi"/>
          <w:lang w:val="ru-MD"/>
        </w:rPr>
        <w:t>№22 от 27.05.2022 по</w:t>
      </w:r>
      <w:r w:rsidR="00470F70" w:rsidRPr="000A5369">
        <w:rPr>
          <w:rFonts w:asciiTheme="majorHAnsi" w:eastAsiaTheme="minorHAnsi" w:hAnsiTheme="majorHAnsi" w:cstheme="majorHAnsi"/>
          <w:bCs/>
          <w:lang w:val="ru-MD"/>
        </w:rPr>
        <w:t xml:space="preserve"> Отчету аудита консолидированной финансовой отчетности Министерства инфраструктуры и регионального развития по состоянию на 31 декабря 2021 года, и </w:t>
      </w:r>
      <w:r w:rsidR="00470F70" w:rsidRPr="000A5369">
        <w:rPr>
          <w:rFonts w:asciiTheme="majorHAnsi" w:hAnsiTheme="majorHAnsi" w:cstheme="majorHAnsi"/>
          <w:lang w:val="ru-MD"/>
        </w:rPr>
        <w:t>№17 от 29.04.2021 по Отчету аудита соответствия государственных закупок в рамках Министерства экономики и инфраструктуры, за 2019-2020 годы</w:t>
      </w:r>
      <w:r w:rsidR="008B0EF2" w:rsidRPr="000A5369">
        <w:rPr>
          <w:rFonts w:asciiTheme="majorHAnsi" w:hAnsiTheme="majorHAnsi" w:cstheme="majorHAnsi"/>
          <w:lang w:val="ru-MD"/>
        </w:rPr>
        <w:t>.</w:t>
      </w:r>
    </w:p>
    <w:p w:rsidR="009E4B84" w:rsidRPr="000A5369" w:rsidRDefault="00337FBB" w:rsidP="000A5369">
      <w:pPr>
        <w:pStyle w:val="NormalWeb"/>
        <w:spacing w:after="240" w:line="276" w:lineRule="auto"/>
        <w:rPr>
          <w:rFonts w:asciiTheme="majorHAnsi" w:hAnsiTheme="majorHAnsi" w:cstheme="majorHAnsi"/>
          <w:bCs/>
          <w:lang w:val="ru-MD"/>
        </w:rPr>
      </w:pPr>
      <w:r w:rsidRPr="000A5369">
        <w:rPr>
          <w:rFonts w:asciiTheme="majorHAnsi" w:hAnsiTheme="majorHAnsi" w:cstheme="majorHAnsi"/>
          <w:b/>
          <w:bCs/>
          <w:lang w:val="ru-MD"/>
        </w:rPr>
        <w:t>4</w:t>
      </w:r>
      <w:r w:rsidR="009E4B84" w:rsidRPr="000A5369">
        <w:rPr>
          <w:rFonts w:asciiTheme="majorHAnsi" w:hAnsiTheme="majorHAnsi" w:cstheme="majorHAnsi"/>
          <w:b/>
          <w:bCs/>
          <w:lang w:val="ru-MD"/>
        </w:rPr>
        <w:t>.</w:t>
      </w:r>
      <w:r w:rsidR="009E4B84" w:rsidRPr="000A5369">
        <w:rPr>
          <w:rFonts w:asciiTheme="majorHAnsi" w:hAnsiTheme="majorHAnsi" w:cstheme="majorHAnsi"/>
          <w:bCs/>
          <w:lang w:val="ru-MD"/>
        </w:rPr>
        <w:t xml:space="preserve"> </w:t>
      </w:r>
      <w:r w:rsidR="00470F70" w:rsidRPr="000A5369">
        <w:rPr>
          <w:rFonts w:asciiTheme="majorHAnsi" w:hAnsiTheme="majorHAnsi" w:cstheme="majorHAnsi"/>
          <w:bCs/>
          <w:lang w:val="ru-MD"/>
        </w:rPr>
        <w:t xml:space="preserve">Уполномочить Вице-Председателя Счетной палаты правом подписания Письма к руководству </w:t>
      </w:r>
      <w:r w:rsidR="00470F70" w:rsidRPr="000A5369">
        <w:rPr>
          <w:rFonts w:asciiTheme="majorHAnsi" w:hAnsiTheme="majorHAnsi" w:cstheme="majorHAnsi"/>
          <w:lang w:val="ru-MD"/>
        </w:rPr>
        <w:t>Министерства инфраструктуры и регионального развития</w:t>
      </w:r>
      <w:r w:rsidR="009E4B84" w:rsidRPr="000A5369">
        <w:rPr>
          <w:rFonts w:asciiTheme="majorHAnsi" w:hAnsiTheme="majorHAnsi" w:cstheme="majorHAnsi"/>
          <w:bCs/>
          <w:lang w:val="ru-MD"/>
        </w:rPr>
        <w:t>.</w:t>
      </w:r>
    </w:p>
    <w:p w:rsidR="009E4B84" w:rsidRPr="000A5369" w:rsidRDefault="00337FBB" w:rsidP="000A5369">
      <w:pPr>
        <w:pStyle w:val="NormalWeb"/>
        <w:spacing w:after="240" w:line="276" w:lineRule="auto"/>
        <w:rPr>
          <w:rFonts w:asciiTheme="majorHAnsi" w:hAnsiTheme="majorHAnsi" w:cstheme="majorHAnsi"/>
          <w:lang w:val="ru-MD"/>
        </w:rPr>
      </w:pPr>
      <w:r w:rsidRPr="000A5369">
        <w:rPr>
          <w:rFonts w:asciiTheme="majorHAnsi" w:hAnsiTheme="majorHAnsi" w:cstheme="majorHAnsi"/>
          <w:b/>
          <w:bCs/>
          <w:lang w:val="ru-MD"/>
        </w:rPr>
        <w:t>5</w:t>
      </w:r>
      <w:r w:rsidR="009E4B84" w:rsidRPr="000A5369">
        <w:rPr>
          <w:rFonts w:asciiTheme="majorHAnsi" w:eastAsiaTheme="minorHAnsi" w:hAnsiTheme="majorHAnsi" w:cstheme="majorHAnsi"/>
          <w:bCs/>
          <w:lang w:val="ru-MD"/>
        </w:rPr>
        <w:t xml:space="preserve">. </w:t>
      </w:r>
      <w:r w:rsidR="00470F70" w:rsidRPr="000A5369">
        <w:rPr>
          <w:rFonts w:asciiTheme="majorHAnsi" w:hAnsiTheme="majorHAnsi" w:cstheme="majorHAns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E4B84" w:rsidRPr="000A5369">
        <w:rPr>
          <w:rFonts w:asciiTheme="majorHAnsi" w:hAnsiTheme="majorHAnsi" w:cstheme="majorHAnsi"/>
          <w:lang w:val="ru-MD"/>
        </w:rPr>
        <w:t>.</w:t>
      </w:r>
      <w:r w:rsidR="008340AE" w:rsidRPr="000A5369">
        <w:rPr>
          <w:rFonts w:asciiTheme="majorHAnsi" w:hAnsiTheme="majorHAnsi" w:cstheme="majorHAnsi"/>
          <w:lang w:val="ru-MD"/>
        </w:rPr>
        <w:t xml:space="preserve"> </w:t>
      </w:r>
    </w:p>
    <w:p w:rsidR="009E4B84" w:rsidRPr="00A630F7" w:rsidRDefault="00337FBB" w:rsidP="000A5369">
      <w:pPr>
        <w:pStyle w:val="NormalWeb"/>
        <w:spacing w:after="240" w:line="276" w:lineRule="auto"/>
        <w:rPr>
          <w:rFonts w:asciiTheme="majorHAnsi" w:hAnsiTheme="majorHAnsi" w:cstheme="majorHAnsi"/>
          <w:noProof/>
          <w:lang w:val="ro-MD"/>
        </w:rPr>
      </w:pPr>
      <w:r w:rsidRPr="000A5369">
        <w:rPr>
          <w:rFonts w:asciiTheme="majorHAnsi" w:hAnsiTheme="majorHAnsi" w:cstheme="majorHAnsi"/>
          <w:b/>
          <w:lang w:val="ru-MD"/>
        </w:rPr>
        <w:t>6</w:t>
      </w:r>
      <w:r w:rsidR="003D2BE5" w:rsidRPr="000A5369">
        <w:rPr>
          <w:rFonts w:asciiTheme="majorHAnsi" w:hAnsiTheme="majorHAnsi" w:cstheme="majorHAnsi"/>
          <w:b/>
          <w:lang w:val="ru-MD"/>
        </w:rPr>
        <w:t>.</w:t>
      </w:r>
      <w:r w:rsidR="003D2BE5" w:rsidRPr="000A5369">
        <w:rPr>
          <w:rFonts w:asciiTheme="majorHAnsi" w:hAnsiTheme="majorHAnsi" w:cstheme="majorHAnsi"/>
          <w:lang w:val="ru-MD"/>
        </w:rPr>
        <w:t xml:space="preserve"> </w:t>
      </w:r>
      <w:r w:rsidR="00470F70" w:rsidRPr="000A5369">
        <w:rPr>
          <w:rFonts w:asciiTheme="majorHAnsi" w:hAnsiTheme="majorHAnsi" w:cstheme="majorHAnsi"/>
          <w:bCs/>
          <w:lang w:val="ru-MD"/>
        </w:rPr>
        <w:t xml:space="preserve">Проинформировать Счетную палату о принятых мерах по выполнению подпунктов </w:t>
      </w:r>
      <w:r w:rsidR="00470F70" w:rsidRPr="000A5369">
        <w:rPr>
          <w:rFonts w:asciiTheme="majorHAnsi" w:hAnsiTheme="majorHAnsi" w:cstheme="majorHAnsi"/>
          <w:noProof/>
          <w:lang w:val="ru-MD"/>
        </w:rPr>
        <w:t xml:space="preserve">2.5.2.; 2.5.3. </w:t>
      </w:r>
      <w:r w:rsidR="00470F70" w:rsidRPr="000A5369">
        <w:rPr>
          <w:rFonts w:asciiTheme="majorHAnsi" w:hAnsiTheme="majorHAnsi" w:cstheme="majorHAnsi"/>
          <w:bCs/>
          <w:lang w:val="ru-MD"/>
        </w:rPr>
        <w:t xml:space="preserve">настоящего Постановления в течение </w:t>
      </w:r>
      <w:r w:rsidR="00A630F7" w:rsidRPr="00A630F7">
        <w:rPr>
          <w:rFonts w:asciiTheme="majorHAnsi" w:hAnsiTheme="majorHAnsi" w:cstheme="majorHAnsi"/>
          <w:bCs/>
          <w:lang w:val="ru-RU"/>
        </w:rPr>
        <w:t>6</w:t>
      </w:r>
      <w:r w:rsidR="00470F70" w:rsidRPr="000A5369">
        <w:rPr>
          <w:rFonts w:asciiTheme="majorHAnsi" w:hAnsiTheme="majorHAnsi" w:cstheme="majorHAnsi"/>
          <w:bCs/>
          <w:lang w:val="ru-MD"/>
        </w:rPr>
        <w:t xml:space="preserve"> месяцев, </w:t>
      </w:r>
      <w:r w:rsidR="00470F70" w:rsidRPr="00A630F7">
        <w:rPr>
          <w:rFonts w:asciiTheme="majorHAnsi" w:hAnsiTheme="majorHAnsi" w:cstheme="majorHAnsi"/>
          <w:bCs/>
          <w:lang w:val="ru-MD"/>
        </w:rPr>
        <w:t xml:space="preserve">о принятых мерах по выполнению подпункта </w:t>
      </w:r>
      <w:r w:rsidR="00470F70" w:rsidRPr="00A630F7">
        <w:rPr>
          <w:rFonts w:asciiTheme="majorHAnsi" w:hAnsiTheme="majorHAnsi" w:cstheme="majorHAnsi"/>
          <w:noProof/>
          <w:lang w:val="ru-MD"/>
        </w:rPr>
        <w:t>2.4.</w:t>
      </w:r>
      <w:r w:rsidR="00470F70" w:rsidRPr="00A630F7">
        <w:rPr>
          <w:rFonts w:asciiTheme="majorHAnsi" w:hAnsiTheme="majorHAnsi" w:cstheme="majorHAnsi"/>
          <w:bCs/>
          <w:lang w:val="ru-MD"/>
        </w:rPr>
        <w:t xml:space="preserve"> настоящего</w:t>
      </w:r>
      <w:r w:rsidR="00470F70" w:rsidRPr="000A5369">
        <w:rPr>
          <w:rFonts w:asciiTheme="majorHAnsi" w:hAnsiTheme="majorHAnsi" w:cstheme="majorHAnsi"/>
          <w:bCs/>
          <w:lang w:val="ru-MD"/>
        </w:rPr>
        <w:t xml:space="preserve"> Постановления - в течение 1</w:t>
      </w:r>
      <w:r w:rsidR="00A630F7" w:rsidRPr="00A630F7">
        <w:rPr>
          <w:rFonts w:asciiTheme="majorHAnsi" w:hAnsiTheme="majorHAnsi" w:cstheme="majorHAnsi"/>
          <w:bCs/>
          <w:lang w:val="ru-RU"/>
        </w:rPr>
        <w:t>2</w:t>
      </w:r>
      <w:r w:rsidR="00470F70" w:rsidRPr="000A5369">
        <w:rPr>
          <w:rFonts w:asciiTheme="majorHAnsi" w:hAnsiTheme="majorHAnsi" w:cstheme="majorHAnsi"/>
          <w:bCs/>
          <w:lang w:val="ru-MD"/>
        </w:rPr>
        <w:t xml:space="preserve"> месяцев</w:t>
      </w:r>
      <w:r w:rsidR="00A630F7">
        <w:rPr>
          <w:rFonts w:asciiTheme="majorHAnsi" w:hAnsiTheme="majorHAnsi" w:cstheme="majorHAnsi"/>
          <w:bCs/>
          <w:lang w:val="ru-MD"/>
        </w:rPr>
        <w:t>,</w:t>
      </w:r>
      <w:r w:rsidR="00470F70" w:rsidRPr="000A5369">
        <w:rPr>
          <w:rFonts w:asciiTheme="majorHAnsi" w:hAnsiTheme="majorHAnsi" w:cstheme="majorHAnsi"/>
          <w:bCs/>
          <w:lang w:val="ru-MD"/>
        </w:rPr>
        <w:t xml:space="preserve"> </w:t>
      </w:r>
      <w:r w:rsidR="00A630F7">
        <w:rPr>
          <w:rFonts w:asciiTheme="majorHAnsi" w:hAnsiTheme="majorHAnsi" w:cstheme="majorHAnsi"/>
          <w:bCs/>
          <w:lang w:val="ru-RU"/>
        </w:rPr>
        <w:t>и</w:t>
      </w:r>
      <w:r w:rsidR="00A630F7" w:rsidRPr="00A630F7">
        <w:rPr>
          <w:rFonts w:asciiTheme="majorHAnsi" w:hAnsiTheme="majorHAnsi" w:cstheme="majorHAnsi"/>
          <w:bCs/>
          <w:lang w:val="ru-RU"/>
        </w:rPr>
        <w:t xml:space="preserve"> </w:t>
      </w:r>
      <w:r w:rsidR="00A630F7" w:rsidRPr="00A630F7">
        <w:rPr>
          <w:rFonts w:asciiTheme="majorHAnsi" w:hAnsiTheme="majorHAnsi" w:cstheme="majorHAnsi"/>
          <w:bCs/>
          <w:lang w:val="ru-MD"/>
        </w:rPr>
        <w:t xml:space="preserve">о принятых мерах по выполнению подпункта </w:t>
      </w:r>
      <w:r w:rsidR="00A630F7">
        <w:rPr>
          <w:rFonts w:ascii="Calibri Light" w:hAnsi="Calibri Light" w:cs="Calibri Light"/>
          <w:noProof/>
          <w:lang w:val="ro-MD"/>
        </w:rPr>
        <w:t>2.5.1.</w:t>
      </w:r>
      <w:r w:rsidR="00A630F7">
        <w:rPr>
          <w:rFonts w:ascii="Calibri Light" w:hAnsi="Calibri Light" w:cs="Calibri Light"/>
          <w:noProof/>
          <w:lang w:val="ru-RU"/>
        </w:rPr>
        <w:t xml:space="preserve"> </w:t>
      </w:r>
      <w:r w:rsidR="00A630F7" w:rsidRPr="00A630F7">
        <w:rPr>
          <w:rFonts w:asciiTheme="majorHAnsi" w:hAnsiTheme="majorHAnsi" w:cstheme="majorHAnsi"/>
          <w:bCs/>
          <w:lang w:val="ru-MD"/>
        </w:rPr>
        <w:t>настоящего</w:t>
      </w:r>
      <w:r w:rsidR="00A630F7" w:rsidRPr="000A5369">
        <w:rPr>
          <w:rFonts w:asciiTheme="majorHAnsi" w:hAnsiTheme="majorHAnsi" w:cstheme="majorHAnsi"/>
          <w:bCs/>
          <w:lang w:val="ru-MD"/>
        </w:rPr>
        <w:t xml:space="preserve"> Постановления - в течение 1</w:t>
      </w:r>
      <w:r w:rsidR="00A630F7">
        <w:rPr>
          <w:rFonts w:asciiTheme="majorHAnsi" w:hAnsiTheme="majorHAnsi" w:cstheme="majorHAnsi"/>
          <w:bCs/>
          <w:lang w:val="ru-RU"/>
        </w:rPr>
        <w:t>8</w:t>
      </w:r>
      <w:r w:rsidR="00A630F7" w:rsidRPr="000A5369">
        <w:rPr>
          <w:rFonts w:asciiTheme="majorHAnsi" w:hAnsiTheme="majorHAnsi" w:cstheme="majorHAnsi"/>
          <w:bCs/>
          <w:lang w:val="ru-MD"/>
        </w:rPr>
        <w:t xml:space="preserve"> месяцев </w:t>
      </w:r>
      <w:r w:rsidR="00470F70" w:rsidRPr="000A5369">
        <w:rPr>
          <w:rFonts w:asciiTheme="majorHAnsi" w:hAnsiTheme="majorHAnsi" w:cstheme="majorHAnsi"/>
          <w:bCs/>
          <w:lang w:val="ru-MD"/>
        </w:rPr>
        <w:t>со дня опубликования Постановления в Официальном мониторе Республики Молдова</w:t>
      </w:r>
      <w:r w:rsidR="003D2BE5" w:rsidRPr="000A5369">
        <w:rPr>
          <w:rFonts w:asciiTheme="majorHAnsi" w:hAnsiTheme="majorHAnsi" w:cstheme="majorHAnsi"/>
          <w:noProof/>
          <w:lang w:val="ru-MD"/>
        </w:rPr>
        <w:t>.</w:t>
      </w:r>
      <w:r w:rsidR="00A630F7" w:rsidRPr="00A630F7">
        <w:rPr>
          <w:rFonts w:ascii="Calibri Light" w:hAnsi="Calibri Light" w:cs="Calibri Light"/>
          <w:noProof/>
          <w:lang w:val="ro-MD"/>
        </w:rPr>
        <w:t xml:space="preserve"> </w:t>
      </w:r>
    </w:p>
    <w:p w:rsidR="00DF61D9" w:rsidRPr="000A5369" w:rsidRDefault="00B36CF1" w:rsidP="000A5369">
      <w:pPr>
        <w:spacing w:after="0" w:line="276" w:lineRule="auto"/>
        <w:ind w:firstLine="567"/>
        <w:jc w:val="both"/>
        <w:rPr>
          <w:rFonts w:asciiTheme="majorHAnsi" w:eastAsia="Times New Roman" w:hAnsiTheme="majorHAnsi" w:cstheme="majorHAnsi"/>
          <w:sz w:val="24"/>
          <w:szCs w:val="24"/>
          <w:lang w:val="ru-MD"/>
        </w:rPr>
      </w:pPr>
      <w:r w:rsidRPr="000A5369">
        <w:rPr>
          <w:rFonts w:asciiTheme="majorHAnsi" w:hAnsiTheme="majorHAnsi" w:cstheme="majorHAnsi"/>
          <w:b/>
          <w:bCs/>
          <w:sz w:val="24"/>
          <w:szCs w:val="24"/>
          <w:lang w:val="ru-MD"/>
        </w:rPr>
        <w:t>7.</w:t>
      </w:r>
      <w:r w:rsidRPr="000A5369">
        <w:rPr>
          <w:rFonts w:asciiTheme="majorHAnsi" w:eastAsia="Times New Roman" w:hAnsiTheme="majorHAnsi" w:cstheme="majorHAnsi"/>
          <w:sz w:val="24"/>
          <w:szCs w:val="24"/>
          <w:lang w:val="ru-MD" w:eastAsia="ro-MD"/>
        </w:rPr>
        <w:t xml:space="preserve"> </w:t>
      </w:r>
      <w:r w:rsidR="00470F70" w:rsidRPr="000A5369">
        <w:rPr>
          <w:rFonts w:asciiTheme="majorHAnsi" w:eastAsia="Times New Roman" w:hAnsiTheme="majorHAnsi" w:cstheme="majorHAnsi"/>
          <w:sz w:val="24"/>
          <w:szCs w:val="24"/>
          <w:lang w:val="ru-MD" w:eastAsia="ro-MD"/>
        </w:rPr>
        <w:t xml:space="preserve">Принять к сведению, что в ходе проведения аудиторской миссии </w:t>
      </w:r>
      <w:r w:rsidR="007074B3" w:rsidRPr="000A5369">
        <w:rPr>
          <w:rFonts w:asciiTheme="majorHAnsi" w:eastAsia="Times New Roman" w:hAnsiTheme="majorHAnsi" w:cstheme="majorHAnsi"/>
          <w:sz w:val="24"/>
          <w:szCs w:val="24"/>
          <w:lang w:val="ru-MD" w:eastAsia="ro-MD"/>
        </w:rPr>
        <w:t>Подразделением по внедрению Проекта строительства жилья для социально уязвимых слоев населения</w:t>
      </w:r>
      <w:r w:rsidR="00470F70" w:rsidRPr="000A5369">
        <w:rPr>
          <w:rFonts w:asciiTheme="majorHAnsi" w:hAnsiTheme="majorHAnsi" w:cstheme="majorHAnsi"/>
          <w:bCs/>
          <w:sz w:val="24"/>
          <w:szCs w:val="24"/>
          <w:lang w:val="ru-MD"/>
        </w:rPr>
        <w:t xml:space="preserve">  </w:t>
      </w:r>
      <w:r w:rsidR="007074B3" w:rsidRPr="000A5369">
        <w:rPr>
          <w:rFonts w:asciiTheme="majorHAnsi" w:hAnsiTheme="majorHAnsi" w:cstheme="majorHAnsi"/>
          <w:bCs/>
          <w:sz w:val="24"/>
          <w:szCs w:val="24"/>
          <w:lang w:val="ru-MD"/>
        </w:rPr>
        <w:t xml:space="preserve">подписало Акт приема-передачи инвестиций на сумму 19,9 млн. леев, реализованных в 31 социальной квартире в жилом комплексе г. Яловень, а Национальное агентство автомобильного транспорта рассчитало амортизацию для информационной системы </w:t>
      </w:r>
      <w:r w:rsidR="007074B3" w:rsidRPr="000A5369">
        <w:rPr>
          <w:rFonts w:asciiTheme="majorHAnsi" w:hAnsiTheme="majorHAnsi" w:cstheme="majorHAnsi"/>
          <w:bCs/>
          <w:sz w:val="24"/>
          <w:szCs w:val="24"/>
          <w:lang w:val="ru-MD"/>
        </w:rPr>
        <w:lastRenderedPageBreak/>
        <w:t>электронного E-Autorizație и провело соответствующие корректировки бухгалтерского учета на сумму 0,83 млн. леев</w:t>
      </w:r>
      <w:r w:rsidR="006E4BF3" w:rsidRPr="000A5369">
        <w:rPr>
          <w:rFonts w:asciiTheme="majorHAnsi" w:eastAsia="Times New Roman" w:hAnsiTheme="majorHAnsi" w:cstheme="majorHAnsi"/>
          <w:sz w:val="24"/>
          <w:szCs w:val="24"/>
          <w:lang w:val="ru-MD"/>
        </w:rPr>
        <w:t>.</w:t>
      </w:r>
    </w:p>
    <w:p w:rsidR="009E4B84" w:rsidRPr="000A5369" w:rsidRDefault="00337FBB" w:rsidP="000A5369">
      <w:pPr>
        <w:spacing w:line="276" w:lineRule="auto"/>
        <w:jc w:val="both"/>
        <w:rPr>
          <w:rFonts w:asciiTheme="majorHAnsi" w:hAnsiTheme="majorHAnsi" w:cstheme="majorHAnsi"/>
          <w:sz w:val="24"/>
          <w:szCs w:val="24"/>
          <w:lang w:val="ru-MD"/>
        </w:rPr>
      </w:pPr>
      <w:r w:rsidRPr="000A5369">
        <w:rPr>
          <w:rFonts w:asciiTheme="majorHAnsi" w:hAnsiTheme="majorHAnsi" w:cstheme="majorHAnsi"/>
          <w:b/>
          <w:sz w:val="24"/>
          <w:szCs w:val="24"/>
          <w:lang w:val="ru-MD"/>
        </w:rPr>
        <w:t xml:space="preserve">      </w:t>
      </w:r>
      <w:r w:rsidR="009B1BB5" w:rsidRPr="000A5369">
        <w:rPr>
          <w:rFonts w:asciiTheme="majorHAnsi" w:hAnsiTheme="majorHAnsi" w:cstheme="majorHAnsi"/>
          <w:b/>
          <w:sz w:val="24"/>
          <w:szCs w:val="24"/>
          <w:lang w:val="ru-MD"/>
        </w:rPr>
        <w:t xml:space="preserve"> </w:t>
      </w:r>
      <w:r w:rsidRPr="000A5369">
        <w:rPr>
          <w:rFonts w:asciiTheme="majorHAnsi" w:hAnsiTheme="majorHAnsi" w:cstheme="majorHAnsi"/>
          <w:b/>
          <w:sz w:val="24"/>
          <w:szCs w:val="24"/>
          <w:lang w:val="ru-MD"/>
        </w:rPr>
        <w:t xml:space="preserve"> </w:t>
      </w:r>
      <w:r w:rsidR="00B36CF1" w:rsidRPr="000A5369">
        <w:rPr>
          <w:rFonts w:asciiTheme="majorHAnsi" w:hAnsiTheme="majorHAnsi" w:cstheme="majorHAnsi"/>
          <w:b/>
          <w:sz w:val="24"/>
          <w:szCs w:val="24"/>
          <w:lang w:val="ru-MD"/>
        </w:rPr>
        <w:t xml:space="preserve"> 8</w:t>
      </w:r>
      <w:r w:rsidR="009E4B84" w:rsidRPr="000A5369">
        <w:rPr>
          <w:rFonts w:asciiTheme="majorHAnsi" w:hAnsiTheme="majorHAnsi" w:cstheme="majorHAnsi"/>
          <w:b/>
          <w:sz w:val="24"/>
          <w:szCs w:val="24"/>
          <w:lang w:val="ru-MD"/>
        </w:rPr>
        <w:t>.</w:t>
      </w:r>
      <w:r w:rsidR="009E4B84" w:rsidRPr="000A5369">
        <w:rPr>
          <w:rFonts w:asciiTheme="majorHAnsi" w:hAnsiTheme="majorHAnsi" w:cstheme="majorHAnsi"/>
          <w:sz w:val="24"/>
          <w:szCs w:val="24"/>
          <w:lang w:val="ru-MD"/>
        </w:rPr>
        <w:t xml:space="preserve"> </w:t>
      </w:r>
      <w:r w:rsidR="00B447A2" w:rsidRPr="000A5369">
        <w:rPr>
          <w:rFonts w:asciiTheme="majorHAnsi" w:hAnsiTheme="majorHAnsi" w:cstheme="majorHAnsi"/>
          <w:sz w:val="24"/>
          <w:szCs w:val="24"/>
          <w:lang w:val="ru-MD"/>
        </w:rPr>
        <w:t xml:space="preserve"> </w:t>
      </w:r>
      <w:r w:rsidR="007074B3" w:rsidRPr="000A5369">
        <w:rPr>
          <w:rFonts w:asciiTheme="majorHAnsi" w:hAnsiTheme="majorHAnsi" w:cstheme="majorHAnsi"/>
          <w:sz w:val="24"/>
          <w:szCs w:val="24"/>
          <w:lang w:val="ru-MD"/>
        </w:rPr>
        <w:t xml:space="preserve">Постановление и </w:t>
      </w:r>
      <w:r w:rsidR="007074B3" w:rsidRPr="000A5369">
        <w:rPr>
          <w:rFonts w:asciiTheme="majorHAnsi" w:hAnsiTheme="majorHAnsi" w:cstheme="majorHAnsi"/>
          <w:iCs/>
          <w:sz w:val="24"/>
          <w:szCs w:val="24"/>
          <w:lang w:val="ru-MD"/>
        </w:rPr>
        <w:t>Отчет аудита консолидированной финансовой отчетности Министерства</w:t>
      </w:r>
      <w:r w:rsidR="007074B3" w:rsidRPr="000A5369">
        <w:rPr>
          <w:rFonts w:asciiTheme="majorHAnsi" w:hAnsiTheme="majorHAnsi" w:cstheme="majorHAnsi"/>
          <w:b/>
          <w:iCs/>
          <w:sz w:val="24"/>
          <w:szCs w:val="24"/>
          <w:lang w:val="ru-MD"/>
        </w:rPr>
        <w:t xml:space="preserve"> </w:t>
      </w:r>
      <w:r w:rsidR="007074B3" w:rsidRPr="000A5369">
        <w:rPr>
          <w:rFonts w:asciiTheme="majorHAnsi" w:hAnsiTheme="majorHAnsi" w:cstheme="majorHAnsi"/>
          <w:iCs/>
          <w:sz w:val="24"/>
          <w:szCs w:val="24"/>
          <w:lang w:val="ru-MD"/>
        </w:rPr>
        <w:t>инфраструктуры и регионального развития по состоянию на 31 декабря 2022 года</w:t>
      </w:r>
      <w:r w:rsidR="007074B3" w:rsidRPr="000A5369">
        <w:rPr>
          <w:rFonts w:asciiTheme="majorHAnsi" w:hAnsiTheme="majorHAnsi" w:cstheme="majorHAnsi"/>
          <w:sz w:val="24"/>
          <w:szCs w:val="24"/>
          <w:lang w:val="ru-MD"/>
        </w:rPr>
        <w:t xml:space="preserve">  опубликовать на официальном сайте Счетной палаты  </w:t>
      </w:r>
      <w:r w:rsidR="0032788C" w:rsidRPr="000A5369">
        <w:rPr>
          <w:rFonts w:asciiTheme="majorHAnsi" w:hAnsiTheme="majorHAnsi" w:cstheme="majorHAnsi"/>
          <w:sz w:val="24"/>
          <w:szCs w:val="24"/>
          <w:lang w:val="ru-MD"/>
        </w:rPr>
        <w:t>(</w:t>
      </w:r>
      <w:hyperlink r:id="rId8" w:history="1">
        <w:r w:rsidR="00901745" w:rsidRPr="000A5369">
          <w:rPr>
            <w:rStyle w:val="Hyperlink"/>
            <w:rFonts w:asciiTheme="majorHAnsi" w:hAnsiTheme="majorHAnsi" w:cstheme="majorHAnsi"/>
            <w:sz w:val="24"/>
            <w:szCs w:val="24"/>
            <w:lang w:val="ru-MD"/>
          </w:rPr>
          <w:t>https://www.ccrm.md</w:t>
        </w:r>
      </w:hyperlink>
      <w:r w:rsidR="00901745" w:rsidRPr="000A5369">
        <w:rPr>
          <w:rFonts w:asciiTheme="majorHAnsi" w:hAnsiTheme="majorHAnsi" w:cstheme="majorHAnsi"/>
          <w:sz w:val="24"/>
          <w:szCs w:val="24"/>
          <w:u w:val="single"/>
          <w:lang w:val="ru-MD"/>
        </w:rPr>
        <w:t xml:space="preserve"> </w:t>
      </w:r>
      <w:r w:rsidR="0032788C" w:rsidRPr="000A5369">
        <w:rPr>
          <w:rFonts w:asciiTheme="majorHAnsi" w:hAnsiTheme="majorHAnsi" w:cstheme="majorHAnsi"/>
          <w:sz w:val="24"/>
          <w:szCs w:val="24"/>
          <w:lang w:val="ru-MD"/>
        </w:rPr>
        <w:t>).</w:t>
      </w:r>
    </w:p>
    <w:p w:rsidR="009E4B84" w:rsidRPr="000A5369" w:rsidRDefault="009E4B84" w:rsidP="000A5369">
      <w:pPr>
        <w:pStyle w:val="NormalWeb"/>
        <w:spacing w:line="276" w:lineRule="auto"/>
        <w:rPr>
          <w:rFonts w:asciiTheme="majorHAnsi" w:hAnsiTheme="majorHAnsi" w:cstheme="majorHAnsi"/>
          <w:lang w:val="ru-MD"/>
        </w:rPr>
      </w:pPr>
    </w:p>
    <w:p w:rsidR="009E4B84" w:rsidRPr="000A5369" w:rsidRDefault="009E4B84" w:rsidP="000A5369">
      <w:pPr>
        <w:pStyle w:val="NormalWeb"/>
        <w:spacing w:line="276" w:lineRule="auto"/>
        <w:rPr>
          <w:rFonts w:asciiTheme="majorHAnsi" w:hAnsiTheme="majorHAnsi" w:cstheme="majorHAnsi"/>
          <w:lang w:val="ru-MD"/>
        </w:rPr>
      </w:pPr>
    </w:p>
    <w:p w:rsidR="007074B3" w:rsidRPr="000A5369" w:rsidRDefault="007074B3" w:rsidP="000A5369">
      <w:pPr>
        <w:spacing w:line="276" w:lineRule="auto"/>
        <w:jc w:val="right"/>
        <w:rPr>
          <w:rFonts w:asciiTheme="majorHAnsi" w:eastAsia="Times New Roman" w:hAnsiTheme="majorHAnsi" w:cstheme="majorHAnsi"/>
          <w:b/>
          <w:sz w:val="24"/>
          <w:szCs w:val="24"/>
          <w:lang w:val="ru-MD"/>
        </w:rPr>
      </w:pPr>
      <w:r w:rsidRPr="000A5369">
        <w:rPr>
          <w:rFonts w:asciiTheme="majorHAnsi" w:eastAsia="Times New Roman" w:hAnsiTheme="majorHAnsi" w:cstheme="majorHAnsi"/>
          <w:b/>
          <w:sz w:val="24"/>
          <w:szCs w:val="24"/>
          <w:lang w:val="ru-MD"/>
        </w:rPr>
        <w:t>Мариан ЛУПУ,</w:t>
      </w:r>
    </w:p>
    <w:p w:rsidR="007074B3" w:rsidRPr="000A5369" w:rsidRDefault="007074B3" w:rsidP="000A5369">
      <w:pPr>
        <w:spacing w:after="0" w:line="276" w:lineRule="auto"/>
        <w:jc w:val="right"/>
        <w:rPr>
          <w:rFonts w:asciiTheme="majorHAnsi" w:hAnsiTheme="majorHAnsi" w:cstheme="majorHAnsi"/>
          <w:sz w:val="24"/>
          <w:szCs w:val="24"/>
          <w:lang w:val="ru-MD"/>
        </w:rPr>
      </w:pPr>
      <w:r w:rsidRPr="000A5369">
        <w:rPr>
          <w:rFonts w:asciiTheme="majorHAnsi" w:eastAsia="Times New Roman" w:hAnsiTheme="majorHAnsi" w:cstheme="majorHAnsi"/>
          <w:b/>
          <w:sz w:val="24"/>
          <w:szCs w:val="24"/>
          <w:lang w:val="ru-MD"/>
        </w:rPr>
        <w:t>Председатель</w:t>
      </w:r>
    </w:p>
    <w:p w:rsidR="009E4B84" w:rsidRPr="000A5369" w:rsidRDefault="009E4B84" w:rsidP="000A5369">
      <w:pPr>
        <w:spacing w:after="0" w:line="276" w:lineRule="auto"/>
        <w:jc w:val="right"/>
        <w:rPr>
          <w:rFonts w:asciiTheme="majorHAnsi" w:hAnsiTheme="majorHAnsi" w:cstheme="majorHAnsi"/>
          <w:sz w:val="24"/>
          <w:szCs w:val="24"/>
          <w:lang w:val="ru-MD"/>
        </w:rPr>
      </w:pPr>
    </w:p>
    <w:sectPr w:rsidR="009E4B84" w:rsidRPr="000A5369" w:rsidSect="001A7862">
      <w:footerReference w:type="default" r:id="rId9"/>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EC" w:rsidRDefault="004D4EEC" w:rsidP="009E4B84">
      <w:pPr>
        <w:spacing w:after="0" w:line="240" w:lineRule="auto"/>
      </w:pPr>
      <w:r>
        <w:separator/>
      </w:r>
    </w:p>
  </w:endnote>
  <w:endnote w:type="continuationSeparator" w:id="0">
    <w:p w:rsidR="004D4EEC" w:rsidRDefault="004D4EEC"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3327D9">
        <w:pPr>
          <w:pStyle w:val="Footer"/>
          <w:jc w:val="right"/>
        </w:pPr>
        <w:r>
          <w:fldChar w:fldCharType="begin"/>
        </w:r>
        <w:r>
          <w:instrText xml:space="preserve"> PAGE   \* MERGEFORMAT </w:instrText>
        </w:r>
        <w:r>
          <w:fldChar w:fldCharType="separate"/>
        </w:r>
        <w:r w:rsidR="00292882">
          <w:rPr>
            <w:noProof/>
          </w:rPr>
          <w:t>1</w:t>
        </w:r>
        <w:r>
          <w:rPr>
            <w:noProof/>
          </w:rPr>
          <w:fldChar w:fldCharType="end"/>
        </w:r>
      </w:p>
    </w:sdtContent>
  </w:sdt>
  <w:p w:rsidR="007A3208" w:rsidRDefault="004D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EC" w:rsidRDefault="004D4EEC" w:rsidP="009E4B84">
      <w:pPr>
        <w:spacing w:after="0" w:line="240" w:lineRule="auto"/>
      </w:pPr>
      <w:r>
        <w:separator/>
      </w:r>
    </w:p>
  </w:footnote>
  <w:footnote w:type="continuationSeparator" w:id="0">
    <w:p w:rsidR="004D4EEC" w:rsidRDefault="004D4EEC" w:rsidP="009E4B84">
      <w:pPr>
        <w:spacing w:after="0" w:line="240" w:lineRule="auto"/>
      </w:pPr>
      <w:r>
        <w:continuationSeparator/>
      </w:r>
    </w:p>
  </w:footnote>
  <w:footnote w:id="1">
    <w:p w:rsidR="00EC0320" w:rsidRPr="00EC0320" w:rsidRDefault="00EC0320" w:rsidP="00EC0320">
      <w:pPr>
        <w:pStyle w:val="FootnoteText"/>
        <w:jc w:val="both"/>
        <w:rPr>
          <w:rFonts w:ascii="Calibri Light" w:hAnsi="Calibri Light" w:cs="Calibri Light"/>
          <w:lang w:val="ru-MD"/>
        </w:rPr>
      </w:pPr>
      <w:r w:rsidRPr="00EC0320">
        <w:rPr>
          <w:rFonts w:ascii="Calibri Light" w:eastAsia="Times New Roman" w:hAnsi="Calibri Light" w:cs="Calibri Light"/>
          <w:vertAlign w:val="superscript"/>
          <w:lang w:val="ru-MD"/>
        </w:rPr>
        <w:footnoteRef/>
      </w:r>
      <w:r w:rsidRPr="00EC0320">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EC0320" w:rsidRPr="004C4A9F" w:rsidRDefault="00EC0320" w:rsidP="00EC0320">
      <w:pPr>
        <w:spacing w:after="0" w:line="240" w:lineRule="auto"/>
        <w:jc w:val="both"/>
        <w:rPr>
          <w:rFonts w:asciiTheme="majorHAnsi" w:hAnsiTheme="majorHAnsi" w:cstheme="majorHAnsi"/>
          <w:sz w:val="20"/>
          <w:szCs w:val="20"/>
          <w:lang w:val="ru-MD"/>
        </w:rPr>
      </w:pPr>
      <w:r w:rsidRPr="004C4A9F">
        <w:rPr>
          <w:rStyle w:val="FootnoteReference1"/>
          <w:rFonts w:asciiTheme="majorHAnsi" w:hAnsiTheme="majorHAnsi" w:cstheme="majorHAnsi"/>
          <w:sz w:val="20"/>
          <w:szCs w:val="20"/>
          <w:lang w:val="ru-MD"/>
        </w:rPr>
        <w:footnoteRef/>
      </w:r>
      <w:r w:rsidRPr="004C4A9F">
        <w:rPr>
          <w:rFonts w:asciiTheme="majorHAnsi" w:hAnsiTheme="majorHAnsi" w:cstheme="majorHAnsi"/>
          <w:sz w:val="20"/>
          <w:szCs w:val="20"/>
          <w:lang w:val="ru-MD"/>
        </w:rPr>
        <w:t xml:space="preserve"> Постановления Счетной Палаты №75 от 28.12.2021 „Об утверждении Программы аудиторской деятельности Счетной палаты на 2022 год”</w:t>
      </w:r>
      <w:r>
        <w:rPr>
          <w:rFonts w:asciiTheme="majorHAnsi" w:hAnsiTheme="majorHAnsi" w:cstheme="majorHAnsi"/>
          <w:sz w:val="20"/>
          <w:szCs w:val="20"/>
          <w:lang w:val="ru-MD"/>
        </w:rPr>
        <w:t xml:space="preserve"> и №</w:t>
      </w:r>
      <w:r w:rsidRPr="00B6693D">
        <w:rPr>
          <w:rFonts w:asciiTheme="majorHAnsi" w:eastAsia="Times New Roman" w:hAnsiTheme="majorHAnsi" w:cstheme="majorHAnsi"/>
          <w:sz w:val="20"/>
          <w:szCs w:val="20"/>
          <w:lang w:val="ro-MD"/>
        </w:rPr>
        <w:t xml:space="preserve">65 </w:t>
      </w:r>
      <w:r>
        <w:rPr>
          <w:rFonts w:asciiTheme="majorHAnsi" w:eastAsia="Times New Roman" w:hAnsiTheme="majorHAnsi" w:cstheme="majorHAnsi"/>
          <w:sz w:val="20"/>
          <w:szCs w:val="20"/>
          <w:lang w:val="ru-RU"/>
        </w:rPr>
        <w:t>от</w:t>
      </w:r>
      <w:r w:rsidRPr="00B6693D">
        <w:rPr>
          <w:rFonts w:asciiTheme="majorHAnsi" w:eastAsia="Times New Roman" w:hAnsiTheme="majorHAnsi" w:cstheme="majorHAnsi"/>
          <w:sz w:val="20"/>
          <w:szCs w:val="20"/>
          <w:lang w:val="ro-MD"/>
        </w:rPr>
        <w:t xml:space="preserve"> 22.12.2022</w:t>
      </w:r>
      <w:r>
        <w:rPr>
          <w:rFonts w:asciiTheme="majorHAnsi" w:eastAsia="Times New Roman" w:hAnsiTheme="majorHAnsi" w:cstheme="majorHAnsi"/>
          <w:sz w:val="20"/>
          <w:szCs w:val="20"/>
          <w:lang w:val="ru-MD"/>
        </w:rPr>
        <w:t xml:space="preserve"> </w:t>
      </w:r>
      <w:r w:rsidRPr="004C4A9F">
        <w:rPr>
          <w:rFonts w:asciiTheme="majorHAnsi" w:hAnsiTheme="majorHAnsi" w:cstheme="majorHAnsi"/>
          <w:sz w:val="20"/>
          <w:szCs w:val="20"/>
          <w:lang w:val="ru-MD"/>
        </w:rPr>
        <w:t>„Об утверждении Программы аудиторской деятельности Счетной палаты на 202</w:t>
      </w:r>
      <w:r>
        <w:rPr>
          <w:rFonts w:asciiTheme="majorHAnsi" w:hAnsiTheme="majorHAnsi" w:cstheme="majorHAnsi"/>
          <w:sz w:val="20"/>
          <w:szCs w:val="20"/>
          <w:lang w:val="ru-MD"/>
        </w:rPr>
        <w:t>3</w:t>
      </w:r>
      <w:r w:rsidRPr="004C4A9F">
        <w:rPr>
          <w:rFonts w:asciiTheme="majorHAnsi" w:hAnsiTheme="majorHAnsi" w:cstheme="majorHAnsi"/>
          <w:sz w:val="20"/>
          <w:szCs w:val="20"/>
          <w:lang w:val="ru-MD"/>
        </w:rPr>
        <w:t xml:space="preserve"> год”</w:t>
      </w:r>
    </w:p>
  </w:footnote>
  <w:footnote w:id="3">
    <w:p w:rsidR="00EC0320" w:rsidRPr="004C4A9F" w:rsidRDefault="00EC0320" w:rsidP="00EC0320">
      <w:pPr>
        <w:pStyle w:val="1"/>
        <w:rPr>
          <w:rFonts w:cs="Calibri Light"/>
          <w:sz w:val="20"/>
          <w:szCs w:val="20"/>
          <w:lang w:val="ru-MD"/>
        </w:rPr>
      </w:pPr>
      <w:r w:rsidRPr="004C4A9F">
        <w:rPr>
          <w:rStyle w:val="FootnoteReference"/>
          <w:rFonts w:cs="Calibri Light"/>
          <w:sz w:val="20"/>
          <w:szCs w:val="20"/>
          <w:lang w:val="ru-MD"/>
        </w:rPr>
        <w:footnoteRef/>
      </w:r>
      <w:r w:rsidRPr="004C4A9F">
        <w:rPr>
          <w:rFonts w:cs="Calibri Light"/>
          <w:sz w:val="20"/>
          <w:szCs w:val="20"/>
          <w:lang w:val="ru-MD"/>
        </w:rPr>
        <w:t xml:space="preserve"> Постановление Счетной палаты №2 от 24.01.2020 „О Системе профессиональных деклараций INTOSAI”.</w:t>
      </w:r>
    </w:p>
  </w:footnote>
  <w:footnote w:id="4">
    <w:p w:rsidR="00EC0320" w:rsidRPr="004C4A9F" w:rsidRDefault="00EC0320" w:rsidP="00EC0320">
      <w:pPr>
        <w:pStyle w:val="FootnoteText"/>
        <w:jc w:val="both"/>
        <w:rPr>
          <w:rFonts w:eastAsia="Times New Roman" w:cs="Times New Roman"/>
          <w:lang w:val="ru-MD"/>
        </w:rPr>
      </w:pPr>
      <w:r w:rsidRPr="004C4A9F">
        <w:rPr>
          <w:rStyle w:val="FootnoteReference1"/>
          <w:rFonts w:asciiTheme="majorHAnsi" w:hAnsiTheme="majorHAnsi" w:cstheme="majorHAnsi"/>
          <w:lang w:val="ru-MD"/>
        </w:rPr>
        <w:footnoteRef/>
      </w:r>
      <w:r w:rsidRPr="004C4A9F">
        <w:rPr>
          <w:rFonts w:asciiTheme="majorHAnsi" w:hAnsiTheme="majorHAnsi" w:cstheme="majorHAnsi"/>
          <w:lang w:val="ru-MD"/>
        </w:rPr>
        <w:t xml:space="preserve"> Закон о бухгалтерском учете №</w:t>
      </w:r>
      <w:r w:rsidRPr="004C4A9F">
        <w:rPr>
          <w:rFonts w:asciiTheme="majorHAnsi" w:eastAsia="Times New Roman" w:hAnsiTheme="majorHAnsi" w:cstheme="majorHAnsi"/>
          <w:lang w:val="ru-MD"/>
        </w:rPr>
        <w:t>113-XVI от 27.04.2007;</w:t>
      </w:r>
      <w:r w:rsidRPr="004C4A9F">
        <w:rPr>
          <w:rFonts w:asciiTheme="majorHAnsi" w:hAnsiTheme="majorHAnsi" w:cstheme="majorHAnsi"/>
          <w:lang w:val="ru-MD"/>
        </w:rPr>
        <w:t xml:space="preserve"> </w:t>
      </w:r>
      <w:r w:rsidRPr="004C4A9F">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C4A9F">
        <w:rPr>
          <w:rFonts w:ascii="Calibri Light" w:hAnsi="Calibri Light" w:cs="Calibri Light"/>
          <w:lang w:val="ru-MD"/>
        </w:rPr>
        <w:t>, утвержденные Приказом министра финансов №216 от 28.12.2015</w:t>
      </w:r>
      <w:r w:rsidRPr="004C4A9F">
        <w:rPr>
          <w:rFonts w:asciiTheme="majorHAnsi" w:eastAsia="Times New Roman" w:hAnsiTheme="majorHAnsi" w:cstheme="majorHAnsi"/>
          <w:lang w:val="ru-MD"/>
        </w:rPr>
        <w:t xml:space="preserve">; Приказ министра финансов №6 </w:t>
      </w:r>
      <w:r w:rsidRPr="004C4A9F">
        <w:rPr>
          <w:rFonts w:asciiTheme="majorHAnsi" w:eastAsia="Times New Roman" w:hAnsiTheme="majorHAnsi" w:cs="Times New Roman"/>
          <w:lang w:val="ru-MD"/>
        </w:rPr>
        <w:t>от 10.01.2018 „</w:t>
      </w:r>
      <w:r w:rsidRPr="004C4A9F">
        <w:rPr>
          <w:rFonts w:asciiTheme="majorHAnsi" w:eastAsia="Times New Roman" w:hAnsiTheme="majorHAnsi" w:cs="Times New Roman"/>
          <w:bCs/>
          <w:lang w:val="ru-MD"/>
        </w:rPr>
        <w:t>Об утверждении сроков представления финансовых отчетов за 2017 год</w:t>
      </w:r>
      <w:r w:rsidRPr="004C4A9F">
        <w:rPr>
          <w:rFonts w:asciiTheme="majorHAnsi" w:eastAsia="Times New Roman" w:hAnsiTheme="majorHAnsi" w:cs="Times New Roman"/>
          <w:lang w:val="ru-MD"/>
        </w:rPr>
        <w:t xml:space="preserve">”; </w:t>
      </w:r>
      <w:r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imes New Roman"/>
          <w:lang w:val="ru-MD"/>
        </w:rPr>
        <w:t>164 от 30.12.2016 „</w:t>
      </w:r>
      <w:r w:rsidRPr="004C4A9F">
        <w:rPr>
          <w:rFonts w:asciiTheme="majorHAnsi" w:eastAsia="Times New Roman"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C4A9F">
        <w:rPr>
          <w:rFonts w:asciiTheme="majorHAnsi" w:eastAsia="Times New Roman" w:hAnsiTheme="majorHAnsi" w:cs="Times New Roman"/>
          <w:lang w:val="ru-MD"/>
        </w:rPr>
        <w:t>”</w:t>
      </w:r>
      <w:r w:rsidRPr="004C4A9F">
        <w:rPr>
          <w:rFonts w:asciiTheme="majorHAnsi" w:hAnsiTheme="majorHAnsi" w:cs="Times New Roman"/>
          <w:lang w:val="ru-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25992"/>
    <w:rsid w:val="00037BF5"/>
    <w:rsid w:val="00055FDF"/>
    <w:rsid w:val="00062CB4"/>
    <w:rsid w:val="00063D04"/>
    <w:rsid w:val="000664F1"/>
    <w:rsid w:val="000A2FF4"/>
    <w:rsid w:val="000A3E35"/>
    <w:rsid w:val="000A5369"/>
    <w:rsid w:val="000B608A"/>
    <w:rsid w:val="000C0EA6"/>
    <w:rsid w:val="000C2E87"/>
    <w:rsid w:val="000D4C42"/>
    <w:rsid w:val="000E0767"/>
    <w:rsid w:val="000E2E1A"/>
    <w:rsid w:val="00102F29"/>
    <w:rsid w:val="001068AF"/>
    <w:rsid w:val="00110DB4"/>
    <w:rsid w:val="00113129"/>
    <w:rsid w:val="00133196"/>
    <w:rsid w:val="001376A5"/>
    <w:rsid w:val="00143DD8"/>
    <w:rsid w:val="00144DC9"/>
    <w:rsid w:val="001541C9"/>
    <w:rsid w:val="001554A9"/>
    <w:rsid w:val="00181D8E"/>
    <w:rsid w:val="001922A7"/>
    <w:rsid w:val="001A5CB0"/>
    <w:rsid w:val="001A7862"/>
    <w:rsid w:val="001B6395"/>
    <w:rsid w:val="001C3DB4"/>
    <w:rsid w:val="001D544A"/>
    <w:rsid w:val="001F1FE9"/>
    <w:rsid w:val="002103EA"/>
    <w:rsid w:val="00244616"/>
    <w:rsid w:val="00286D2C"/>
    <w:rsid w:val="00292882"/>
    <w:rsid w:val="002B711B"/>
    <w:rsid w:val="002C12A5"/>
    <w:rsid w:val="002C4E43"/>
    <w:rsid w:val="002C56B4"/>
    <w:rsid w:val="002D176F"/>
    <w:rsid w:val="002D4DEF"/>
    <w:rsid w:val="002D57F8"/>
    <w:rsid w:val="002E10D3"/>
    <w:rsid w:val="00302241"/>
    <w:rsid w:val="003111DB"/>
    <w:rsid w:val="0031372A"/>
    <w:rsid w:val="00315D3E"/>
    <w:rsid w:val="0031794D"/>
    <w:rsid w:val="0032788C"/>
    <w:rsid w:val="003327D9"/>
    <w:rsid w:val="00337FBB"/>
    <w:rsid w:val="003403DB"/>
    <w:rsid w:val="00340DED"/>
    <w:rsid w:val="003550D0"/>
    <w:rsid w:val="0036239C"/>
    <w:rsid w:val="00376827"/>
    <w:rsid w:val="003D2BE5"/>
    <w:rsid w:val="003E27B7"/>
    <w:rsid w:val="003F3369"/>
    <w:rsid w:val="003F7687"/>
    <w:rsid w:val="00406D0F"/>
    <w:rsid w:val="00410385"/>
    <w:rsid w:val="00432405"/>
    <w:rsid w:val="00434E55"/>
    <w:rsid w:val="004369FE"/>
    <w:rsid w:val="0044763B"/>
    <w:rsid w:val="0045343C"/>
    <w:rsid w:val="004604A5"/>
    <w:rsid w:val="00470F70"/>
    <w:rsid w:val="0048585A"/>
    <w:rsid w:val="00497084"/>
    <w:rsid w:val="004B3810"/>
    <w:rsid w:val="004C27B0"/>
    <w:rsid w:val="004D26CD"/>
    <w:rsid w:val="004D4EEC"/>
    <w:rsid w:val="004D6605"/>
    <w:rsid w:val="004E529E"/>
    <w:rsid w:val="004F2C2E"/>
    <w:rsid w:val="00505A80"/>
    <w:rsid w:val="005066A4"/>
    <w:rsid w:val="00526532"/>
    <w:rsid w:val="005265DD"/>
    <w:rsid w:val="00526B7C"/>
    <w:rsid w:val="00527239"/>
    <w:rsid w:val="00527638"/>
    <w:rsid w:val="00542B5F"/>
    <w:rsid w:val="00547CE7"/>
    <w:rsid w:val="0057281D"/>
    <w:rsid w:val="005B51C4"/>
    <w:rsid w:val="005C2788"/>
    <w:rsid w:val="005C7254"/>
    <w:rsid w:val="005D2A9E"/>
    <w:rsid w:val="005F49CF"/>
    <w:rsid w:val="0062327B"/>
    <w:rsid w:val="00626A49"/>
    <w:rsid w:val="00635948"/>
    <w:rsid w:val="00636D98"/>
    <w:rsid w:val="006373F7"/>
    <w:rsid w:val="00646163"/>
    <w:rsid w:val="00674B2D"/>
    <w:rsid w:val="006A33C2"/>
    <w:rsid w:val="006B1A76"/>
    <w:rsid w:val="006C3073"/>
    <w:rsid w:val="006C79DE"/>
    <w:rsid w:val="006D61EC"/>
    <w:rsid w:val="006D7A85"/>
    <w:rsid w:val="006E4BF3"/>
    <w:rsid w:val="007074B3"/>
    <w:rsid w:val="00751837"/>
    <w:rsid w:val="0075779B"/>
    <w:rsid w:val="00797AEA"/>
    <w:rsid w:val="007B1CA4"/>
    <w:rsid w:val="007B724F"/>
    <w:rsid w:val="007C3863"/>
    <w:rsid w:val="007D03C2"/>
    <w:rsid w:val="007E0C63"/>
    <w:rsid w:val="007E6039"/>
    <w:rsid w:val="007F0952"/>
    <w:rsid w:val="007F1D10"/>
    <w:rsid w:val="007F66E9"/>
    <w:rsid w:val="00803B67"/>
    <w:rsid w:val="008340AE"/>
    <w:rsid w:val="008419D1"/>
    <w:rsid w:val="008445E0"/>
    <w:rsid w:val="00851445"/>
    <w:rsid w:val="008620FE"/>
    <w:rsid w:val="008B0DEC"/>
    <w:rsid w:val="008B0EF2"/>
    <w:rsid w:val="008C2454"/>
    <w:rsid w:val="008C4807"/>
    <w:rsid w:val="008D014A"/>
    <w:rsid w:val="008D6779"/>
    <w:rsid w:val="008D6854"/>
    <w:rsid w:val="008F0FD2"/>
    <w:rsid w:val="008F5D13"/>
    <w:rsid w:val="00901745"/>
    <w:rsid w:val="00911B95"/>
    <w:rsid w:val="009260B6"/>
    <w:rsid w:val="00926AF4"/>
    <w:rsid w:val="00951E2F"/>
    <w:rsid w:val="00967667"/>
    <w:rsid w:val="00971D2E"/>
    <w:rsid w:val="0098056E"/>
    <w:rsid w:val="009837EB"/>
    <w:rsid w:val="0098623D"/>
    <w:rsid w:val="00997660"/>
    <w:rsid w:val="009B1BB5"/>
    <w:rsid w:val="009C2D2C"/>
    <w:rsid w:val="009D4AA9"/>
    <w:rsid w:val="009D7485"/>
    <w:rsid w:val="009E4B84"/>
    <w:rsid w:val="009E56F5"/>
    <w:rsid w:val="00A01226"/>
    <w:rsid w:val="00A14131"/>
    <w:rsid w:val="00A14965"/>
    <w:rsid w:val="00A40040"/>
    <w:rsid w:val="00A40A67"/>
    <w:rsid w:val="00A42E43"/>
    <w:rsid w:val="00A630F7"/>
    <w:rsid w:val="00A71B95"/>
    <w:rsid w:val="00A72E53"/>
    <w:rsid w:val="00A77FF4"/>
    <w:rsid w:val="00A86617"/>
    <w:rsid w:val="00A86FE5"/>
    <w:rsid w:val="00AA33A1"/>
    <w:rsid w:val="00AA6FB3"/>
    <w:rsid w:val="00AB12DB"/>
    <w:rsid w:val="00AB33C1"/>
    <w:rsid w:val="00B01854"/>
    <w:rsid w:val="00B145A4"/>
    <w:rsid w:val="00B2110B"/>
    <w:rsid w:val="00B33AF7"/>
    <w:rsid w:val="00B36CF1"/>
    <w:rsid w:val="00B421BA"/>
    <w:rsid w:val="00B43649"/>
    <w:rsid w:val="00B447A2"/>
    <w:rsid w:val="00B4716A"/>
    <w:rsid w:val="00B52A28"/>
    <w:rsid w:val="00B57676"/>
    <w:rsid w:val="00B72346"/>
    <w:rsid w:val="00B767E2"/>
    <w:rsid w:val="00B9207B"/>
    <w:rsid w:val="00BB75CB"/>
    <w:rsid w:val="00BC0BE5"/>
    <w:rsid w:val="00BC2D41"/>
    <w:rsid w:val="00BE5699"/>
    <w:rsid w:val="00BF3321"/>
    <w:rsid w:val="00BF3DD4"/>
    <w:rsid w:val="00BF3FF4"/>
    <w:rsid w:val="00C124A8"/>
    <w:rsid w:val="00C37ED8"/>
    <w:rsid w:val="00C47A5D"/>
    <w:rsid w:val="00C5147F"/>
    <w:rsid w:val="00C542FA"/>
    <w:rsid w:val="00C86609"/>
    <w:rsid w:val="00C944E7"/>
    <w:rsid w:val="00CA0145"/>
    <w:rsid w:val="00CA1FBD"/>
    <w:rsid w:val="00CB40C6"/>
    <w:rsid w:val="00CC2071"/>
    <w:rsid w:val="00D141B5"/>
    <w:rsid w:val="00D21F35"/>
    <w:rsid w:val="00D25D01"/>
    <w:rsid w:val="00D32EF8"/>
    <w:rsid w:val="00D36E9E"/>
    <w:rsid w:val="00D5261F"/>
    <w:rsid w:val="00D579E1"/>
    <w:rsid w:val="00D61B04"/>
    <w:rsid w:val="00D63AF9"/>
    <w:rsid w:val="00D76CBB"/>
    <w:rsid w:val="00D865EC"/>
    <w:rsid w:val="00D90AB4"/>
    <w:rsid w:val="00DA01F3"/>
    <w:rsid w:val="00DA2C85"/>
    <w:rsid w:val="00DA4AFE"/>
    <w:rsid w:val="00DA609C"/>
    <w:rsid w:val="00DB4F2A"/>
    <w:rsid w:val="00DB5FAF"/>
    <w:rsid w:val="00DC0FFF"/>
    <w:rsid w:val="00DC74C1"/>
    <w:rsid w:val="00DD457F"/>
    <w:rsid w:val="00DD4D49"/>
    <w:rsid w:val="00DF0507"/>
    <w:rsid w:val="00DF5F5A"/>
    <w:rsid w:val="00DF61D9"/>
    <w:rsid w:val="00E07628"/>
    <w:rsid w:val="00E20C59"/>
    <w:rsid w:val="00E426BA"/>
    <w:rsid w:val="00E44B50"/>
    <w:rsid w:val="00E6335E"/>
    <w:rsid w:val="00E70517"/>
    <w:rsid w:val="00E77933"/>
    <w:rsid w:val="00E94884"/>
    <w:rsid w:val="00E94C1D"/>
    <w:rsid w:val="00EB3DAC"/>
    <w:rsid w:val="00EC0320"/>
    <w:rsid w:val="00ED74E8"/>
    <w:rsid w:val="00EF1C27"/>
    <w:rsid w:val="00F405FA"/>
    <w:rsid w:val="00F473D5"/>
    <w:rsid w:val="00F63187"/>
    <w:rsid w:val="00F646C4"/>
    <w:rsid w:val="00F701E3"/>
    <w:rsid w:val="00F72D83"/>
    <w:rsid w:val="00F72FB0"/>
    <w:rsid w:val="00F731BE"/>
    <w:rsid w:val="00F856E7"/>
    <w:rsid w:val="00F92722"/>
    <w:rsid w:val="00FB0481"/>
    <w:rsid w:val="00FC22D5"/>
    <w:rsid w:val="00FC252D"/>
    <w:rsid w:val="00FD73D9"/>
    <w:rsid w:val="00FE286A"/>
    <w:rsid w:val="00FE49B4"/>
    <w:rsid w:val="00FE6025"/>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B84"/>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9E4B84"/>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E4B84"/>
    <w:pPr>
      <w:spacing w:after="0" w:line="240" w:lineRule="auto"/>
    </w:pPr>
    <w:rPr>
      <w:sz w:val="20"/>
      <w:szCs w:val="20"/>
    </w:rPr>
  </w:style>
  <w:style w:type="character" w:customStyle="1" w:styleId="FootnoteTextChar1">
    <w:name w:val="Footnote Text Char1"/>
    <w:basedOn w:val="DefaultParagraphFont"/>
    <w:uiPriority w:val="99"/>
    <w:semiHidden/>
    <w:rsid w:val="009E4B84"/>
    <w:rPr>
      <w:sz w:val="20"/>
      <w:szCs w:val="20"/>
    </w:rPr>
  </w:style>
  <w:style w:type="paragraph" w:customStyle="1" w:styleId="cn">
    <w:name w:val="cn"/>
    <w:basedOn w:val="Normal"/>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9E4B84"/>
    <w:pPr>
      <w:spacing w:line="240" w:lineRule="exact"/>
    </w:pPr>
    <w:rPr>
      <w:vertAlign w:val="superscript"/>
      <w:lang w:val="ro-MD"/>
    </w:rPr>
  </w:style>
  <w:style w:type="paragraph" w:customStyle="1" w:styleId="cp">
    <w:name w:val="cp"/>
    <w:basedOn w:val="Normal"/>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9E4B84"/>
    <w:rPr>
      <w:vertAlign w:val="superscript"/>
      <w:lang w:val="ro-MD"/>
    </w:rPr>
  </w:style>
  <w:style w:type="paragraph" w:styleId="Header">
    <w:name w:val="header"/>
    <w:basedOn w:val="Normal"/>
    <w:link w:val="HeaderChar"/>
    <w:uiPriority w:val="99"/>
    <w:unhideWhenUsed/>
    <w:rsid w:val="009E4B84"/>
    <w:pPr>
      <w:tabs>
        <w:tab w:val="center" w:pos="4844"/>
        <w:tab w:val="right" w:pos="9689"/>
      </w:tabs>
      <w:spacing w:after="0" w:line="240" w:lineRule="auto"/>
    </w:pPr>
  </w:style>
  <w:style w:type="character" w:customStyle="1" w:styleId="HeaderChar">
    <w:name w:val="Header Char"/>
    <w:basedOn w:val="DefaultParagraphFont"/>
    <w:link w:val="Header"/>
    <w:uiPriority w:val="99"/>
    <w:rsid w:val="009E4B84"/>
  </w:style>
  <w:style w:type="paragraph" w:styleId="Footer">
    <w:name w:val="footer"/>
    <w:basedOn w:val="Normal"/>
    <w:link w:val="FooterChar"/>
    <w:uiPriority w:val="99"/>
    <w:unhideWhenUsed/>
    <w:rsid w:val="009E4B84"/>
    <w:pPr>
      <w:tabs>
        <w:tab w:val="center" w:pos="4844"/>
        <w:tab w:val="right" w:pos="9689"/>
      </w:tabs>
      <w:spacing w:after="0" w:line="240" w:lineRule="auto"/>
    </w:pPr>
  </w:style>
  <w:style w:type="character" w:customStyle="1" w:styleId="FooterChar">
    <w:name w:val="Footer Char"/>
    <w:basedOn w:val="DefaultParagraphFont"/>
    <w:link w:val="Footer"/>
    <w:uiPriority w:val="99"/>
    <w:rsid w:val="009E4B84"/>
  </w:style>
  <w:style w:type="character" w:styleId="FootnoteReference">
    <w:name w:val="footnote reference"/>
    <w:aliases w:val="fr,FR"/>
    <w:basedOn w:val="DefaultParagraphFont"/>
    <w:uiPriority w:val="99"/>
    <w:unhideWhenUsed/>
    <w:rsid w:val="009E4B84"/>
    <w:rPr>
      <w:vertAlign w:val="superscript"/>
    </w:rPr>
  </w:style>
  <w:style w:type="paragraph" w:styleId="BalloonText">
    <w:name w:val="Balloon Text"/>
    <w:basedOn w:val="Normal"/>
    <w:link w:val="BalloonTextChar"/>
    <w:uiPriority w:val="99"/>
    <w:semiHidden/>
    <w:unhideWhenUsed/>
    <w:rsid w:val="00E0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28"/>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DA2C85"/>
    <w:rPr>
      <w:rFonts w:ascii="Times New Roman" w:eastAsia="Times New Roman" w:hAnsi="Times New Roman" w:cs="Times New Roman"/>
      <w:sz w:val="24"/>
      <w:szCs w:val="24"/>
    </w:rPr>
  </w:style>
  <w:style w:type="paragraph" w:customStyle="1" w:styleId="1">
    <w:name w:val="Стиль1"/>
    <w:basedOn w:val="NormalWeb"/>
    <w:link w:val="10"/>
    <w:autoRedefine/>
    <w:qFormat/>
    <w:rsid w:val="00EC0320"/>
    <w:pPr>
      <w:ind w:left="180" w:hanging="180"/>
    </w:pPr>
    <w:rPr>
      <w:rFonts w:ascii="Calibri Light" w:hAnsi="Calibri Light"/>
      <w:sz w:val="16"/>
      <w:szCs w:val="16"/>
    </w:rPr>
  </w:style>
  <w:style w:type="character" w:customStyle="1" w:styleId="10">
    <w:name w:val="Стиль1 Знак"/>
    <w:basedOn w:val="DefaultParagraphFont"/>
    <w:link w:val="1"/>
    <w:rsid w:val="00EC0320"/>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6600">
      <w:bodyDiv w:val="1"/>
      <w:marLeft w:val="0"/>
      <w:marRight w:val="0"/>
      <w:marTop w:val="0"/>
      <w:marBottom w:val="0"/>
      <w:divBdr>
        <w:top w:val="none" w:sz="0" w:space="0" w:color="auto"/>
        <w:left w:val="none" w:sz="0" w:space="0" w:color="auto"/>
        <w:bottom w:val="none" w:sz="0" w:space="0" w:color="auto"/>
        <w:right w:val="none" w:sz="0" w:space="0" w:color="auto"/>
      </w:divBdr>
    </w:div>
    <w:div w:id="1527400391">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8042-6BA7-4267-B177-76CC116B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dcterms:created xsi:type="dcterms:W3CDTF">2023-06-12T18:01:00Z</dcterms:created>
  <dcterms:modified xsi:type="dcterms:W3CDTF">2023-06-12T18:01:00Z</dcterms:modified>
</cp:coreProperties>
</file>