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02" w:rsidRPr="00DC7F4E" w:rsidRDefault="003F1302" w:rsidP="003F1302">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DC7F4E">
        <w:rPr>
          <w:rFonts w:asciiTheme="majorHAnsi" w:eastAsia="Times New Roman" w:hAnsiTheme="majorHAnsi" w:cs="Times New Roman"/>
          <w:b/>
          <w:bCs/>
          <w:sz w:val="28"/>
          <w:szCs w:val="28"/>
          <w:u w:val="single"/>
          <w:lang w:val="ru-MD"/>
        </w:rPr>
        <w:t>ПЕРЕВОД</w:t>
      </w:r>
    </w:p>
    <w:p w:rsidR="003F1302" w:rsidRPr="00DC7F4E" w:rsidRDefault="003F1302" w:rsidP="003F1302">
      <w:pPr>
        <w:tabs>
          <w:tab w:val="left" w:pos="720"/>
        </w:tabs>
        <w:spacing w:after="0" w:line="276" w:lineRule="auto"/>
        <w:jc w:val="right"/>
        <w:rPr>
          <w:rFonts w:asciiTheme="majorHAnsi" w:eastAsia="Times New Roman" w:hAnsiTheme="majorHAnsi" w:cs="Times New Roman"/>
          <w:bCs/>
          <w:i/>
          <w:iCs/>
          <w:sz w:val="28"/>
          <w:szCs w:val="28"/>
          <w:lang w:val="ru-MD"/>
        </w:rPr>
      </w:pPr>
    </w:p>
    <w:p w:rsidR="003F1302" w:rsidRPr="00DC7F4E" w:rsidRDefault="003F1302" w:rsidP="003F1302">
      <w:pPr>
        <w:tabs>
          <w:tab w:val="left" w:pos="720"/>
        </w:tabs>
        <w:spacing w:after="0" w:line="276" w:lineRule="auto"/>
        <w:jc w:val="right"/>
        <w:rPr>
          <w:rFonts w:asciiTheme="majorHAnsi" w:eastAsia="Times New Roman" w:hAnsiTheme="majorHAnsi" w:cs="Times New Roman"/>
          <w:bCs/>
          <w:iCs/>
          <w:sz w:val="28"/>
          <w:szCs w:val="28"/>
          <w:lang w:val="ru-MD"/>
        </w:rPr>
      </w:pPr>
      <w:r w:rsidRPr="00DC7F4E">
        <w:rPr>
          <w:rFonts w:asciiTheme="majorHAnsi" w:eastAsia="Times New Roman" w:hAnsiTheme="majorHAnsi" w:cs="Times New Roman"/>
          <w:bCs/>
          <w:iCs/>
          <w:sz w:val="28"/>
          <w:szCs w:val="28"/>
          <w:lang w:val="ru-MD"/>
        </w:rPr>
        <w:t>Приложение</w:t>
      </w:r>
    </w:p>
    <w:p w:rsidR="003F1302" w:rsidRPr="00DC7F4E" w:rsidRDefault="003F1302" w:rsidP="003F1302">
      <w:pPr>
        <w:tabs>
          <w:tab w:val="left" w:pos="720"/>
        </w:tabs>
        <w:spacing w:after="0" w:line="276" w:lineRule="auto"/>
        <w:jc w:val="right"/>
        <w:rPr>
          <w:rFonts w:asciiTheme="majorHAnsi" w:eastAsia="Times New Roman" w:hAnsiTheme="majorHAnsi" w:cs="Times New Roman"/>
          <w:bCs/>
          <w:sz w:val="28"/>
          <w:szCs w:val="28"/>
          <w:lang w:val="ru-MD"/>
        </w:rPr>
      </w:pPr>
      <w:r w:rsidRPr="00DC7F4E">
        <w:rPr>
          <w:rFonts w:asciiTheme="majorHAnsi" w:eastAsia="Times New Roman" w:hAnsiTheme="majorHAnsi" w:cs="Times New Roman"/>
          <w:bCs/>
          <w:sz w:val="28"/>
          <w:szCs w:val="28"/>
          <w:lang w:val="ru-MD"/>
        </w:rPr>
        <w:t>к Постановлению Счетной палаты</w:t>
      </w:r>
    </w:p>
    <w:p w:rsidR="003F1302" w:rsidRPr="00DC7F4E" w:rsidRDefault="003F1302" w:rsidP="003F1302">
      <w:pPr>
        <w:tabs>
          <w:tab w:val="left" w:pos="720"/>
        </w:tabs>
        <w:spacing w:after="0" w:line="276" w:lineRule="auto"/>
        <w:jc w:val="right"/>
        <w:rPr>
          <w:rFonts w:asciiTheme="majorHAnsi" w:eastAsia="Times New Roman" w:hAnsiTheme="majorHAnsi" w:cs="Times New Roman"/>
          <w:bCs/>
          <w:sz w:val="28"/>
          <w:szCs w:val="28"/>
          <w:lang w:val="ru-MD"/>
        </w:rPr>
      </w:pPr>
      <w:r w:rsidRPr="00DC7F4E">
        <w:rPr>
          <w:rFonts w:asciiTheme="majorHAnsi" w:eastAsia="Times New Roman" w:hAnsiTheme="majorHAnsi" w:cs="Times New Roman"/>
          <w:bCs/>
          <w:sz w:val="28"/>
          <w:szCs w:val="28"/>
          <w:lang w:val="ru-MD"/>
        </w:rPr>
        <w:t xml:space="preserve">№27 от 30 мая 2023 года </w:t>
      </w:r>
    </w:p>
    <w:p w:rsidR="00125D9C" w:rsidRPr="00DC7F4E" w:rsidRDefault="00125D9C" w:rsidP="000229ED">
      <w:pPr>
        <w:spacing w:after="0" w:line="276" w:lineRule="auto"/>
        <w:rPr>
          <w:rFonts w:asciiTheme="majorHAnsi" w:hAnsiTheme="majorHAnsi" w:cstheme="majorHAnsi"/>
          <w:lang w:val="ru-MD"/>
        </w:rPr>
      </w:pPr>
    </w:p>
    <w:p w:rsidR="003E33AE" w:rsidRPr="00DC7F4E" w:rsidRDefault="003E33AE" w:rsidP="000229ED">
      <w:pPr>
        <w:spacing w:after="0" w:line="276" w:lineRule="auto"/>
        <w:rPr>
          <w:rFonts w:asciiTheme="majorHAnsi" w:hAnsiTheme="majorHAnsi" w:cstheme="majorHAnsi"/>
          <w:lang w:val="ru-MD"/>
        </w:rPr>
      </w:pPr>
    </w:p>
    <w:p w:rsidR="00125D9C" w:rsidRPr="00DC7F4E" w:rsidRDefault="00125D9C" w:rsidP="000229ED">
      <w:pPr>
        <w:spacing w:after="0" w:line="276" w:lineRule="auto"/>
        <w:rPr>
          <w:rFonts w:asciiTheme="majorHAnsi" w:hAnsiTheme="majorHAnsi" w:cstheme="majorHAnsi"/>
          <w:lang w:val="ru-MD"/>
        </w:rPr>
      </w:pPr>
    </w:p>
    <w:p w:rsidR="00125D9C" w:rsidRPr="00DC7F4E" w:rsidRDefault="00125D9C" w:rsidP="000229ED">
      <w:pPr>
        <w:spacing w:after="0" w:line="276" w:lineRule="auto"/>
        <w:jc w:val="center"/>
        <w:rPr>
          <w:rFonts w:asciiTheme="majorHAnsi" w:hAnsiTheme="majorHAnsi" w:cstheme="majorHAnsi"/>
          <w:b/>
          <w:sz w:val="28"/>
          <w:szCs w:val="28"/>
          <w:lang w:val="ru-MD"/>
        </w:rPr>
      </w:pPr>
    </w:p>
    <w:p w:rsidR="00125D9C" w:rsidRPr="00DC7F4E" w:rsidRDefault="00AB34DC" w:rsidP="000229ED">
      <w:pPr>
        <w:spacing w:after="0" w:line="276" w:lineRule="auto"/>
        <w:rPr>
          <w:rFonts w:asciiTheme="majorHAnsi" w:hAnsiTheme="majorHAnsi" w:cstheme="majorHAnsi"/>
          <w:b/>
          <w:sz w:val="28"/>
          <w:szCs w:val="28"/>
          <w:lang w:val="ru-MD"/>
        </w:rPr>
      </w:pPr>
      <w:r w:rsidRPr="00DC7F4E">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column">
              <wp:posOffset>2275205</wp:posOffset>
            </wp:positionH>
            <wp:positionV relativeFrom="paragraph">
              <wp:posOffset>108585</wp:posOffset>
            </wp:positionV>
            <wp:extent cx="1235710" cy="12407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1240790"/>
                    </a:xfrm>
                    <a:prstGeom prst="rect">
                      <a:avLst/>
                    </a:prstGeom>
                    <a:noFill/>
                  </pic:spPr>
                </pic:pic>
              </a:graphicData>
            </a:graphic>
            <wp14:sizeRelH relativeFrom="margin">
              <wp14:pctWidth>0</wp14:pctWidth>
            </wp14:sizeRelH>
            <wp14:sizeRelV relativeFrom="margin">
              <wp14:pctHeight>0</wp14:pctHeight>
            </wp14:sizeRelV>
          </wp:anchor>
        </w:drawing>
      </w:r>
      <w:r w:rsidR="00113C19" w:rsidRPr="00DC7F4E">
        <w:rPr>
          <w:rFonts w:asciiTheme="majorHAnsi" w:hAnsiTheme="majorHAnsi" w:cstheme="majorHAnsi"/>
          <w:b/>
          <w:sz w:val="28"/>
          <w:szCs w:val="28"/>
          <w:lang w:val="ru-MD"/>
        </w:rPr>
        <w:br w:type="textWrapping" w:clear="all"/>
      </w:r>
    </w:p>
    <w:p w:rsidR="00125D9C" w:rsidRPr="00DC7F4E" w:rsidRDefault="00125D9C" w:rsidP="000229ED">
      <w:pPr>
        <w:spacing w:after="0" w:line="276" w:lineRule="auto"/>
        <w:jc w:val="center"/>
        <w:rPr>
          <w:rFonts w:asciiTheme="majorHAnsi" w:hAnsiTheme="majorHAnsi" w:cstheme="majorHAnsi"/>
          <w:b/>
          <w:sz w:val="28"/>
          <w:szCs w:val="28"/>
          <w:lang w:val="ru-MD"/>
        </w:rPr>
      </w:pPr>
    </w:p>
    <w:p w:rsidR="00125D9C" w:rsidRPr="00DC7F4E" w:rsidRDefault="00125D9C" w:rsidP="000229ED">
      <w:pPr>
        <w:spacing w:after="0" w:line="276" w:lineRule="auto"/>
        <w:jc w:val="center"/>
        <w:rPr>
          <w:rFonts w:asciiTheme="majorHAnsi" w:hAnsiTheme="majorHAnsi" w:cstheme="majorHAnsi"/>
          <w:b/>
          <w:sz w:val="28"/>
          <w:szCs w:val="28"/>
          <w:lang w:val="ru-MD"/>
        </w:rPr>
      </w:pPr>
    </w:p>
    <w:p w:rsidR="00125D9C" w:rsidRPr="00DC7F4E" w:rsidRDefault="00125D9C" w:rsidP="000229ED">
      <w:pPr>
        <w:spacing w:after="0" w:line="276" w:lineRule="auto"/>
        <w:jc w:val="center"/>
        <w:rPr>
          <w:rFonts w:asciiTheme="majorHAnsi" w:hAnsiTheme="majorHAnsi" w:cstheme="majorHAnsi"/>
          <w:b/>
          <w:sz w:val="28"/>
          <w:szCs w:val="28"/>
          <w:lang w:val="ru-MD"/>
        </w:rPr>
      </w:pPr>
    </w:p>
    <w:p w:rsidR="00125D9C" w:rsidRPr="00DC7F4E" w:rsidRDefault="003F1302" w:rsidP="000229ED">
      <w:pPr>
        <w:spacing w:after="0" w:line="276" w:lineRule="auto"/>
        <w:jc w:val="center"/>
        <w:rPr>
          <w:rFonts w:asciiTheme="majorHAnsi" w:hAnsiTheme="majorHAnsi" w:cstheme="majorHAnsi"/>
          <w:b/>
          <w:sz w:val="28"/>
          <w:szCs w:val="28"/>
          <w:lang w:val="ru-MD"/>
        </w:rPr>
      </w:pPr>
      <w:r w:rsidRPr="00DC7F4E">
        <w:rPr>
          <w:rFonts w:asciiTheme="majorHAnsi" w:hAnsiTheme="majorHAnsi" w:cstheme="majorHAnsi"/>
          <w:b/>
          <w:bCs/>
          <w:iCs/>
          <w:sz w:val="28"/>
          <w:szCs w:val="28"/>
          <w:lang w:val="ru-MD"/>
        </w:rPr>
        <w:t>СЧЕТНАЯ ПАЛАТА РЕСПУБЛИКИ МОЛДОВА</w:t>
      </w:r>
      <w:r w:rsidRPr="00DC7F4E">
        <w:rPr>
          <w:rFonts w:asciiTheme="majorHAnsi" w:hAnsiTheme="majorHAnsi" w:cstheme="majorHAnsi"/>
          <w:b/>
          <w:sz w:val="28"/>
          <w:szCs w:val="28"/>
          <w:lang w:val="ru-MD"/>
        </w:rPr>
        <w:t xml:space="preserve"> </w:t>
      </w: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DC7F4E" w:rsidTr="00923B6C">
        <w:trPr>
          <w:trHeight w:val="435"/>
        </w:trPr>
        <w:tc>
          <w:tcPr>
            <w:tcW w:w="9026" w:type="dxa"/>
          </w:tcPr>
          <w:p w:rsidR="00125D9C" w:rsidRPr="00DC7F4E" w:rsidRDefault="00125D9C" w:rsidP="000229ED">
            <w:pPr>
              <w:tabs>
                <w:tab w:val="left" w:pos="0"/>
              </w:tabs>
              <w:spacing w:line="276" w:lineRule="auto"/>
              <w:jc w:val="center"/>
              <w:rPr>
                <w:rFonts w:asciiTheme="majorHAnsi" w:hAnsiTheme="majorHAnsi" w:cstheme="majorHAnsi"/>
                <w:b/>
                <w:i/>
                <w:lang w:val="ru-MD"/>
              </w:rPr>
            </w:pPr>
            <w:r w:rsidRPr="00DC7F4E">
              <w:rPr>
                <w:rFonts w:asciiTheme="majorHAnsi" w:hAnsiTheme="majorHAnsi" w:cstheme="majorHAnsi"/>
                <w:sz w:val="24"/>
                <w:lang w:val="ru-MD"/>
              </w:rPr>
              <w:t xml:space="preserve">MD-2001, mun. Chișinău, bd. Ștefan cel Mare și Sfânt nr.69, tel. (+373 22) 26 60 02, fax: (+373 22) 26 61 00, web: </w:t>
            </w:r>
            <w:hyperlink r:id="rId9" w:history="1">
              <w:r w:rsidRPr="00DC7F4E">
                <w:rPr>
                  <w:rStyle w:val="Hyperlink"/>
                  <w:rFonts w:asciiTheme="majorHAnsi" w:hAnsiTheme="majorHAnsi" w:cstheme="majorHAnsi"/>
                  <w:i/>
                  <w:sz w:val="24"/>
                  <w:lang w:val="ru-MD"/>
                </w:rPr>
                <w:t>www.ccrm.md</w:t>
              </w:r>
            </w:hyperlink>
            <w:r w:rsidRPr="00DC7F4E">
              <w:rPr>
                <w:rFonts w:asciiTheme="majorHAnsi" w:hAnsiTheme="majorHAnsi" w:cstheme="majorHAnsi"/>
                <w:sz w:val="24"/>
                <w:lang w:val="ru-MD"/>
              </w:rPr>
              <w:t xml:space="preserve">, e-mail: </w:t>
            </w:r>
            <w:hyperlink r:id="rId10" w:history="1">
              <w:r w:rsidRPr="00DC7F4E">
                <w:rPr>
                  <w:rStyle w:val="Hyperlink"/>
                  <w:rFonts w:asciiTheme="majorHAnsi" w:hAnsiTheme="majorHAnsi" w:cstheme="majorHAnsi"/>
                  <w:i/>
                  <w:sz w:val="24"/>
                  <w:lang w:val="ru-MD"/>
                </w:rPr>
                <w:t>ccrm@ccrm.md</w:t>
              </w:r>
            </w:hyperlink>
          </w:p>
        </w:tc>
      </w:tr>
    </w:tbl>
    <w:p w:rsidR="00125D9C" w:rsidRPr="00DC7F4E" w:rsidRDefault="00125D9C" w:rsidP="000229ED">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DC7F4E" w:rsidRDefault="00125D9C" w:rsidP="000229ED">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DC7F4E" w:rsidRDefault="00125D9C" w:rsidP="000229ED">
      <w:pPr>
        <w:tabs>
          <w:tab w:val="left" w:pos="720"/>
        </w:tabs>
        <w:spacing w:after="0" w:line="276" w:lineRule="auto"/>
        <w:ind w:firstLine="720"/>
        <w:jc w:val="center"/>
        <w:rPr>
          <w:rFonts w:asciiTheme="majorHAnsi" w:eastAsia="Times New Roman" w:hAnsiTheme="majorHAnsi" w:cs="Times New Roman"/>
          <w:b/>
          <w:bCs/>
          <w:sz w:val="28"/>
          <w:szCs w:val="28"/>
          <w:lang w:val="ru-MD"/>
        </w:rPr>
      </w:pPr>
    </w:p>
    <w:p w:rsidR="003F1302" w:rsidRPr="00DC7F4E" w:rsidRDefault="003F1302" w:rsidP="003F1302">
      <w:pPr>
        <w:tabs>
          <w:tab w:val="left" w:pos="720"/>
        </w:tabs>
        <w:spacing w:after="0" w:line="276" w:lineRule="auto"/>
        <w:jc w:val="center"/>
        <w:rPr>
          <w:rFonts w:asciiTheme="majorHAnsi" w:eastAsia="Times New Roman" w:hAnsiTheme="majorHAnsi" w:cs="Times New Roman"/>
          <w:b/>
          <w:bCs/>
          <w:sz w:val="28"/>
          <w:szCs w:val="28"/>
          <w:lang w:val="ru-MD"/>
        </w:rPr>
      </w:pPr>
      <w:r w:rsidRPr="00DC7F4E">
        <w:rPr>
          <w:rFonts w:asciiTheme="majorHAnsi" w:eastAsia="Times New Roman" w:hAnsiTheme="majorHAnsi" w:cs="Times New Roman"/>
          <w:b/>
          <w:bCs/>
          <w:sz w:val="28"/>
          <w:szCs w:val="28"/>
          <w:lang w:val="ru-MD"/>
        </w:rPr>
        <w:t xml:space="preserve">ОТЧЕТ </w:t>
      </w:r>
    </w:p>
    <w:p w:rsidR="003F1302" w:rsidRPr="00DC7F4E" w:rsidRDefault="003F1302" w:rsidP="003F1302">
      <w:pPr>
        <w:tabs>
          <w:tab w:val="left" w:pos="720"/>
        </w:tabs>
        <w:spacing w:after="0" w:line="276" w:lineRule="auto"/>
        <w:jc w:val="center"/>
        <w:rPr>
          <w:rFonts w:asciiTheme="majorHAnsi" w:eastAsia="Times New Roman" w:hAnsiTheme="majorHAnsi" w:cs="Times New Roman"/>
          <w:b/>
          <w:bCs/>
          <w:sz w:val="24"/>
          <w:szCs w:val="24"/>
          <w:lang w:val="ru-MD"/>
        </w:rPr>
      </w:pPr>
    </w:p>
    <w:p w:rsidR="003F1302" w:rsidRPr="00DC7F4E" w:rsidRDefault="003F1302" w:rsidP="003F1302">
      <w:pPr>
        <w:tabs>
          <w:tab w:val="left" w:pos="720"/>
        </w:tabs>
        <w:spacing w:after="0" w:line="276" w:lineRule="auto"/>
        <w:jc w:val="center"/>
        <w:rPr>
          <w:rFonts w:asciiTheme="majorHAnsi" w:eastAsia="Times New Roman" w:hAnsiTheme="majorHAnsi" w:cs="Times New Roman"/>
          <w:bCs/>
          <w:sz w:val="28"/>
          <w:szCs w:val="28"/>
          <w:lang w:val="ru-MD"/>
        </w:rPr>
      </w:pPr>
      <w:r w:rsidRPr="00DC7F4E">
        <w:rPr>
          <w:rFonts w:asciiTheme="majorHAnsi" w:eastAsia="Times New Roman" w:hAnsiTheme="majorHAnsi" w:cs="Times New Roman"/>
          <w:bCs/>
          <w:sz w:val="28"/>
          <w:szCs w:val="28"/>
          <w:lang w:val="ru-MD"/>
        </w:rPr>
        <w:t>аудита консолидированной финансовой отчетности Министерства инфраструктуры и регионального развития по состоянию на</w:t>
      </w:r>
    </w:p>
    <w:p w:rsidR="003F1302" w:rsidRPr="00DC7F4E" w:rsidRDefault="003F1302" w:rsidP="003F1302">
      <w:pPr>
        <w:tabs>
          <w:tab w:val="left" w:pos="720"/>
        </w:tabs>
        <w:spacing w:after="0" w:line="276" w:lineRule="auto"/>
        <w:jc w:val="center"/>
        <w:rPr>
          <w:rFonts w:asciiTheme="majorHAnsi" w:eastAsia="Times New Roman" w:hAnsiTheme="majorHAnsi" w:cs="Times New Roman"/>
          <w:bCs/>
          <w:sz w:val="28"/>
          <w:szCs w:val="28"/>
          <w:lang w:val="ru-MD"/>
        </w:rPr>
      </w:pPr>
      <w:r w:rsidRPr="00DC7F4E">
        <w:rPr>
          <w:rFonts w:asciiTheme="majorHAnsi" w:eastAsia="Times New Roman" w:hAnsiTheme="majorHAnsi" w:cs="Times New Roman"/>
          <w:bCs/>
          <w:sz w:val="28"/>
          <w:szCs w:val="28"/>
          <w:lang w:val="ru-MD"/>
        </w:rPr>
        <w:t xml:space="preserve"> 31 декабря 2022 года </w:t>
      </w:r>
    </w:p>
    <w:p w:rsidR="00125D9C" w:rsidRPr="00DC7F4E" w:rsidRDefault="00125D9C" w:rsidP="000229ED">
      <w:pPr>
        <w:spacing w:line="276" w:lineRule="auto"/>
        <w:rPr>
          <w:rFonts w:asciiTheme="majorHAnsi" w:eastAsia="Times New Roman" w:hAnsiTheme="majorHAnsi" w:cs="Times New Roman"/>
          <w:b/>
          <w:bCs/>
          <w:sz w:val="28"/>
          <w:szCs w:val="28"/>
          <w:lang w:val="ru-MD"/>
        </w:rPr>
      </w:pPr>
      <w:r w:rsidRPr="00DC7F4E">
        <w:rPr>
          <w:rFonts w:asciiTheme="majorHAnsi" w:eastAsia="Times New Roman" w:hAnsiTheme="majorHAnsi" w:cs="Times New Roman"/>
          <w:b/>
          <w:bCs/>
          <w:sz w:val="28"/>
          <w:szCs w:val="28"/>
          <w:lang w:val="ru-MD"/>
        </w:rPr>
        <w:br w:type="page"/>
      </w:r>
    </w:p>
    <w:p w:rsidR="00125D9C" w:rsidRPr="00DC7F4E" w:rsidRDefault="00546062" w:rsidP="000229ED">
      <w:pPr>
        <w:pStyle w:val="ListParagraph"/>
        <w:numPr>
          <w:ilvl w:val="0"/>
          <w:numId w:val="1"/>
        </w:numPr>
        <w:spacing w:after="0" w:line="276" w:lineRule="auto"/>
        <w:ind w:left="993"/>
        <w:outlineLvl w:val="0"/>
        <w:rPr>
          <w:rFonts w:asciiTheme="majorHAnsi" w:hAnsiTheme="majorHAnsi" w:cs="Times New Roman"/>
          <w:b/>
          <w:sz w:val="28"/>
          <w:szCs w:val="28"/>
          <w:lang w:val="ru-MD"/>
        </w:rPr>
      </w:pPr>
      <w:bookmarkStart w:id="1" w:name="_Toc530056756"/>
      <w:bookmarkStart w:id="2" w:name="_Toc532292925"/>
      <w:r w:rsidRPr="00DC7F4E">
        <w:rPr>
          <w:rFonts w:asciiTheme="majorHAnsi" w:eastAsia="Calibri" w:hAnsiTheme="majorHAnsi" w:cstheme="majorHAnsi"/>
          <w:b/>
          <w:sz w:val="28"/>
          <w:szCs w:val="28"/>
          <w:lang w:val="ru-MD"/>
        </w:rPr>
        <w:lastRenderedPageBreak/>
        <w:t>УСЛОВНОЕ МНЕНИЕ</w:t>
      </w:r>
      <w:r w:rsidRPr="00DC7F4E">
        <w:rPr>
          <w:rFonts w:asciiTheme="majorHAnsi" w:hAnsiTheme="majorHAnsi" w:cs="Times New Roman"/>
          <w:b/>
          <w:sz w:val="28"/>
          <w:szCs w:val="28"/>
          <w:lang w:val="ru-MD"/>
        </w:rPr>
        <w:t xml:space="preserve"> </w:t>
      </w:r>
      <w:bookmarkEnd w:id="1"/>
      <w:bookmarkEnd w:id="2"/>
    </w:p>
    <w:p w:rsidR="00125D9C" w:rsidRPr="00DC7F4E" w:rsidRDefault="00F612FA" w:rsidP="000229ED">
      <w:pPr>
        <w:pStyle w:val="FootnoteText"/>
        <w:spacing w:line="276" w:lineRule="auto"/>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t xml:space="preserve">Мы провели аудит консолидированной финансовой отчетности Министерства </w:t>
      </w:r>
      <w:r w:rsidRPr="00DC7F4E">
        <w:rPr>
          <w:rFonts w:asciiTheme="majorHAnsi" w:hAnsiTheme="majorHAnsi" w:cs="Times New Roman"/>
          <w:sz w:val="24"/>
          <w:szCs w:val="24"/>
          <w:lang w:val="ru-MD"/>
        </w:rPr>
        <w:t>инфраструктуры</w:t>
      </w:r>
      <w:r w:rsidRPr="00DC7F4E">
        <w:rPr>
          <w:rFonts w:asciiTheme="majorHAnsi" w:hAnsiTheme="majorHAnsi" w:cstheme="majorHAnsi"/>
          <w:sz w:val="24"/>
          <w:szCs w:val="24"/>
          <w:lang w:val="ru-MD"/>
        </w:rPr>
        <w:t xml:space="preserve"> и регионального развития за бюджетный год, завершившийся 31 декабря 2022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125D9C" w:rsidRPr="00DC7F4E">
        <w:rPr>
          <w:rFonts w:asciiTheme="majorHAnsi" w:eastAsia="Times New Roman" w:hAnsiTheme="majorHAnsi" w:cs="Times New Roman"/>
          <w:sz w:val="24"/>
          <w:szCs w:val="24"/>
          <w:lang w:val="ru-MD"/>
        </w:rPr>
        <w:t xml:space="preserve">. </w:t>
      </w:r>
    </w:p>
    <w:p w:rsidR="00665398" w:rsidRPr="00DC7F4E" w:rsidRDefault="00505649" w:rsidP="000229ED">
      <w:pPr>
        <w:pStyle w:val="FootnoteText"/>
        <w:spacing w:line="276" w:lineRule="auto"/>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t xml:space="preserve">По нашему мнению, </w:t>
      </w:r>
      <w:r w:rsidRPr="00DC7F4E">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DC7F4E">
        <w:rPr>
          <w:rFonts w:asciiTheme="majorHAnsi" w:eastAsia="Times New Roman" w:hAnsiTheme="majorHAnsi" w:cstheme="majorHAnsi"/>
          <w:i/>
          <w:sz w:val="24"/>
          <w:szCs w:val="24"/>
          <w:lang w:val="ru-MD"/>
        </w:rPr>
        <w:t>Основание для условного мнения,</w:t>
      </w:r>
      <w:r w:rsidRPr="00DC7F4E">
        <w:rPr>
          <w:rFonts w:asciiTheme="majorHAnsi" w:eastAsia="Times New Roman" w:hAnsiTheme="majorHAnsi" w:cstheme="majorHAnsi"/>
          <w:sz w:val="24"/>
          <w:szCs w:val="24"/>
          <w:lang w:val="ru-MD"/>
        </w:rPr>
        <w:t xml:space="preserve"> </w:t>
      </w:r>
      <w:r w:rsidRPr="00DC7F4E">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DC7F4E">
        <w:rPr>
          <w:sz w:val="24"/>
          <w:szCs w:val="24"/>
          <w:vertAlign w:val="superscript"/>
          <w:lang w:val="ru-MD"/>
        </w:rPr>
        <w:footnoteReference w:id="1"/>
      </w:r>
      <w:r w:rsidR="00125D9C" w:rsidRPr="00DC7F4E">
        <w:rPr>
          <w:rFonts w:asciiTheme="majorHAnsi" w:hAnsiTheme="majorHAnsi" w:cs="Times New Roman"/>
          <w:sz w:val="24"/>
          <w:szCs w:val="24"/>
          <w:lang w:val="ru-MD"/>
        </w:rPr>
        <w:t>.</w:t>
      </w:r>
    </w:p>
    <w:p w:rsidR="00995CCF" w:rsidRPr="00DC7F4E" w:rsidRDefault="00995CCF" w:rsidP="000229ED">
      <w:pPr>
        <w:pStyle w:val="FootnoteText"/>
        <w:spacing w:line="276" w:lineRule="auto"/>
        <w:jc w:val="both"/>
        <w:rPr>
          <w:rFonts w:asciiTheme="majorHAnsi" w:hAnsiTheme="majorHAnsi" w:cs="Times New Roman"/>
          <w:sz w:val="24"/>
          <w:szCs w:val="24"/>
          <w:lang w:val="ru-MD"/>
        </w:rPr>
      </w:pPr>
    </w:p>
    <w:p w:rsidR="005850AA" w:rsidRPr="00DC7F4E" w:rsidRDefault="00546062" w:rsidP="00546062">
      <w:pPr>
        <w:pStyle w:val="ListParagraph"/>
        <w:numPr>
          <w:ilvl w:val="0"/>
          <w:numId w:val="1"/>
        </w:numPr>
        <w:spacing w:after="0" w:line="276" w:lineRule="auto"/>
        <w:ind w:left="992" w:hanging="357"/>
        <w:jc w:val="both"/>
        <w:outlineLvl w:val="0"/>
        <w:rPr>
          <w:rFonts w:asciiTheme="majorHAnsi" w:hAnsiTheme="majorHAnsi" w:cs="Times New Roman"/>
          <w:b/>
          <w:caps/>
          <w:sz w:val="28"/>
          <w:szCs w:val="28"/>
          <w:lang w:val="ru-MD"/>
        </w:rPr>
      </w:pPr>
      <w:bookmarkStart w:id="3" w:name="_Toc530056757"/>
      <w:bookmarkStart w:id="4" w:name="_Toc532292926"/>
      <w:bookmarkStart w:id="5" w:name="_Toc529533666"/>
      <w:r w:rsidRPr="00DC7F4E">
        <w:rPr>
          <w:rFonts w:asciiTheme="majorHAnsi" w:eastAsia="Times New Roman" w:hAnsiTheme="majorHAnsi" w:cstheme="majorHAnsi"/>
          <w:b/>
          <w:sz w:val="28"/>
          <w:szCs w:val="28"/>
          <w:lang w:val="ru-MD"/>
        </w:rPr>
        <w:t>ОСНОВАНИЕ ДЛЯ УСЛОВНОГО МНЕНИЯ</w:t>
      </w:r>
      <w:bookmarkEnd w:id="3"/>
      <w:bookmarkEnd w:id="4"/>
      <w:bookmarkEnd w:id="5"/>
    </w:p>
    <w:p w:rsidR="00C43902" w:rsidRPr="00DC7F4E" w:rsidRDefault="00505649" w:rsidP="000229ED">
      <w:pPr>
        <w:pStyle w:val="FootnoteText"/>
        <w:tabs>
          <w:tab w:val="left" w:pos="270"/>
        </w:tabs>
        <w:spacing w:line="276" w:lineRule="auto"/>
        <w:jc w:val="both"/>
        <w:rPr>
          <w:rFonts w:asciiTheme="majorHAnsi" w:hAnsiTheme="majorHAnsi" w:cs="Times New Roman"/>
          <w:sz w:val="16"/>
          <w:szCs w:val="16"/>
          <w:lang w:val="ru-MD"/>
        </w:rPr>
      </w:pPr>
      <w:r w:rsidRPr="00DC7F4E">
        <w:rPr>
          <w:rFonts w:asciiTheme="majorHAnsi" w:hAnsiTheme="majorHAnsi" w:cs="Times New Roman"/>
          <w:sz w:val="24"/>
          <w:szCs w:val="24"/>
          <w:lang w:val="ru-MD"/>
        </w:rPr>
        <w:t xml:space="preserve">Информация из консолидированной финансовой отчетности Министерства инфраструктуры и регионального развития была искажена на </w:t>
      </w:r>
      <w:r w:rsidR="000B78B8">
        <w:rPr>
          <w:rFonts w:asciiTheme="majorHAnsi" w:hAnsiTheme="majorHAnsi" w:cs="Times New Roman"/>
          <w:sz w:val="24"/>
          <w:szCs w:val="24"/>
          <w:lang w:val="ru-MD"/>
        </w:rPr>
        <w:t>агрегат</w:t>
      </w:r>
      <w:r w:rsidRPr="00DC7F4E">
        <w:rPr>
          <w:rFonts w:asciiTheme="majorHAnsi" w:hAnsiTheme="majorHAnsi" w:cs="Times New Roman"/>
          <w:sz w:val="24"/>
          <w:szCs w:val="24"/>
          <w:lang w:val="ru-MD"/>
        </w:rPr>
        <w:t xml:space="preserve">ном уровне, из-за завышения стоимости нефинансовых активов и занижения расходов примерно на 48,0 млн. леев, что исказило финансовый результат отчетного года в том же размере. Так, </w:t>
      </w:r>
    </w:p>
    <w:p w:rsidR="005850AA" w:rsidRPr="00DC7F4E" w:rsidRDefault="005850AA" w:rsidP="000229ED">
      <w:pPr>
        <w:pStyle w:val="FootnoteText"/>
        <w:tabs>
          <w:tab w:val="left" w:pos="270"/>
        </w:tabs>
        <w:spacing w:line="276" w:lineRule="auto"/>
        <w:jc w:val="both"/>
        <w:rPr>
          <w:rFonts w:asciiTheme="majorHAnsi" w:hAnsiTheme="majorHAnsi" w:cs="Times New Roman"/>
          <w:sz w:val="16"/>
          <w:szCs w:val="16"/>
          <w:lang w:val="ru-MD"/>
        </w:rPr>
      </w:pPr>
    </w:p>
    <w:p w:rsidR="00C43902" w:rsidRPr="00DC7F4E" w:rsidRDefault="00505649" w:rsidP="00C43902">
      <w:pPr>
        <w:spacing w:line="276" w:lineRule="auto"/>
        <w:jc w:val="both"/>
        <w:rPr>
          <w:rFonts w:asciiTheme="majorHAnsi" w:eastAsia="Times New Roman" w:hAnsiTheme="majorHAnsi" w:cstheme="majorHAnsi"/>
          <w:sz w:val="24"/>
          <w:szCs w:val="24"/>
          <w:lang w:val="ru-MD"/>
        </w:rPr>
      </w:pPr>
      <w:r w:rsidRPr="00DC7F4E">
        <w:rPr>
          <w:rFonts w:asciiTheme="majorHAnsi" w:eastAsia="Times New Roman" w:hAnsiTheme="majorHAnsi" w:cstheme="majorHAnsi"/>
          <w:sz w:val="24"/>
          <w:szCs w:val="24"/>
          <w:lang w:val="ru-MD"/>
        </w:rPr>
        <w:t xml:space="preserve">Публичное учреждение Национальный Офис регионального и местного развития (ПУ НОРМР) не передало </w:t>
      </w:r>
      <w:r w:rsidR="00DC7F4E">
        <w:rPr>
          <w:rFonts w:asciiTheme="majorHAnsi" w:eastAsia="Times New Roman" w:hAnsiTheme="majorHAnsi" w:cstheme="majorHAnsi"/>
          <w:sz w:val="24"/>
          <w:szCs w:val="24"/>
          <w:lang w:val="ru-MD"/>
        </w:rPr>
        <w:t>сообществ</w:t>
      </w:r>
      <w:r w:rsidRPr="00DC7F4E">
        <w:rPr>
          <w:rFonts w:asciiTheme="majorHAnsi" w:eastAsia="Times New Roman" w:hAnsiTheme="majorHAnsi" w:cstheme="majorHAnsi"/>
          <w:sz w:val="24"/>
          <w:szCs w:val="24"/>
          <w:lang w:val="ru-MD"/>
        </w:rPr>
        <w:t xml:space="preserve">ам-бенефициарам полную стоимость инвестиций, </w:t>
      </w:r>
      <w:r w:rsidR="00DC7F4E" w:rsidRPr="00DC7F4E">
        <w:rPr>
          <w:rFonts w:asciiTheme="majorHAnsi" w:eastAsia="Times New Roman" w:hAnsiTheme="majorHAnsi" w:cstheme="majorHAnsi"/>
          <w:sz w:val="24"/>
          <w:szCs w:val="24"/>
          <w:lang w:val="ru-MD"/>
        </w:rPr>
        <w:t xml:space="preserve">осуществленных </w:t>
      </w:r>
      <w:r w:rsidRPr="00DC7F4E">
        <w:rPr>
          <w:rFonts w:asciiTheme="majorHAnsi" w:eastAsia="Times New Roman" w:hAnsiTheme="majorHAnsi" w:cstheme="majorHAnsi"/>
          <w:sz w:val="24"/>
          <w:szCs w:val="24"/>
          <w:lang w:val="ru-MD"/>
        </w:rPr>
        <w:t>с целью улучшения условий деятельности в учебных заведениях, хотя положения нормативной базы</w:t>
      </w:r>
      <w:r w:rsidR="00DC7F4E" w:rsidRPr="00DC7F4E">
        <w:rPr>
          <w:rStyle w:val="FootnoteReference"/>
          <w:rFonts w:asciiTheme="majorHAnsi" w:eastAsia="Times New Roman" w:hAnsiTheme="majorHAnsi" w:cstheme="majorHAnsi"/>
          <w:sz w:val="24"/>
          <w:szCs w:val="24"/>
          <w:lang w:val="ru-MD"/>
        </w:rPr>
        <w:footnoteReference w:id="2"/>
      </w:r>
      <w:r w:rsidRPr="00DC7F4E">
        <w:rPr>
          <w:rFonts w:asciiTheme="majorHAnsi" w:eastAsia="Times New Roman" w:hAnsiTheme="majorHAnsi" w:cstheme="majorHAnsi"/>
          <w:sz w:val="24"/>
          <w:szCs w:val="24"/>
          <w:lang w:val="ru-MD"/>
        </w:rPr>
        <w:t xml:space="preserve"> устанавливают, что „в случае, если центральное или местное публичное управление, за счет бюджетных средств, осуществляет работы по капитальному ремонту основных средств, находящихся на балансе другого бюджетного органа/ учреждения, объемы выполненных работ в течение бюджетного года передаются до конца отчетного года, органу/учреждению, на балансе которого находятся соответствующие основные средства”. Аналогичная ситуация </w:t>
      </w:r>
      <w:r w:rsidR="00DC7F4E">
        <w:rPr>
          <w:rFonts w:asciiTheme="majorHAnsi" w:eastAsia="Times New Roman" w:hAnsiTheme="majorHAnsi" w:cstheme="majorHAnsi"/>
          <w:sz w:val="24"/>
          <w:szCs w:val="24"/>
          <w:lang w:val="ru-MD"/>
        </w:rPr>
        <w:t>отмеча</w:t>
      </w:r>
      <w:r w:rsidRPr="00DC7F4E">
        <w:rPr>
          <w:rFonts w:asciiTheme="majorHAnsi" w:eastAsia="Times New Roman" w:hAnsiTheme="majorHAnsi" w:cstheme="majorHAnsi"/>
          <w:sz w:val="24"/>
          <w:szCs w:val="24"/>
          <w:lang w:val="ru-MD"/>
        </w:rPr>
        <w:t xml:space="preserve">ется и в случае капитальных ремонтных работ, проведенных Агентством </w:t>
      </w:r>
      <w:r w:rsidR="00DC7F4E">
        <w:rPr>
          <w:rFonts w:asciiTheme="majorHAnsi" w:eastAsia="Times New Roman" w:hAnsiTheme="majorHAnsi" w:cstheme="majorHAnsi"/>
          <w:sz w:val="24"/>
          <w:szCs w:val="24"/>
          <w:lang w:val="ru-MD"/>
        </w:rPr>
        <w:t xml:space="preserve">по </w:t>
      </w:r>
      <w:r w:rsidRPr="00DC7F4E">
        <w:rPr>
          <w:rFonts w:asciiTheme="majorHAnsi" w:eastAsia="Times New Roman" w:hAnsiTheme="majorHAnsi" w:cstheme="majorHAnsi"/>
          <w:sz w:val="24"/>
          <w:szCs w:val="24"/>
          <w:lang w:val="ru-MD"/>
        </w:rPr>
        <w:t>техническо</w:t>
      </w:r>
      <w:r w:rsidR="00DC7F4E">
        <w:rPr>
          <w:rFonts w:asciiTheme="majorHAnsi" w:eastAsia="Times New Roman" w:hAnsiTheme="majorHAnsi" w:cstheme="majorHAnsi"/>
          <w:sz w:val="24"/>
          <w:szCs w:val="24"/>
          <w:lang w:val="ru-MD"/>
        </w:rPr>
        <w:t>му</w:t>
      </w:r>
      <w:r w:rsidRPr="00DC7F4E">
        <w:rPr>
          <w:rFonts w:asciiTheme="majorHAnsi" w:eastAsia="Times New Roman" w:hAnsiTheme="majorHAnsi" w:cstheme="majorHAnsi"/>
          <w:sz w:val="24"/>
          <w:szCs w:val="24"/>
          <w:lang w:val="ru-MD"/>
        </w:rPr>
        <w:t xml:space="preserve"> надзор</w:t>
      </w:r>
      <w:r w:rsidR="00DC7F4E">
        <w:rPr>
          <w:rFonts w:asciiTheme="majorHAnsi" w:eastAsia="Times New Roman" w:hAnsiTheme="majorHAnsi" w:cstheme="majorHAnsi"/>
          <w:sz w:val="24"/>
          <w:szCs w:val="24"/>
          <w:lang w:val="ru-MD"/>
        </w:rPr>
        <w:t>у</w:t>
      </w:r>
      <w:r w:rsidRPr="00DC7F4E">
        <w:rPr>
          <w:rFonts w:asciiTheme="majorHAnsi" w:eastAsia="Times New Roman" w:hAnsiTheme="majorHAnsi" w:cstheme="majorHAnsi"/>
          <w:sz w:val="24"/>
          <w:szCs w:val="24"/>
          <w:lang w:val="ru-MD"/>
        </w:rPr>
        <w:t xml:space="preserve"> в административном здании, принадлежащем другому </w:t>
      </w:r>
      <w:r w:rsidR="00DC7F4E">
        <w:rPr>
          <w:rFonts w:asciiTheme="majorHAnsi" w:eastAsia="Times New Roman" w:hAnsiTheme="majorHAnsi" w:cstheme="majorHAnsi"/>
          <w:sz w:val="24"/>
          <w:szCs w:val="24"/>
          <w:lang w:val="ru-MD"/>
        </w:rPr>
        <w:t>публич</w:t>
      </w:r>
      <w:r w:rsidRPr="00DC7F4E">
        <w:rPr>
          <w:rFonts w:asciiTheme="majorHAnsi" w:eastAsia="Times New Roman" w:hAnsiTheme="majorHAnsi" w:cstheme="majorHAnsi"/>
          <w:sz w:val="24"/>
          <w:szCs w:val="24"/>
          <w:lang w:val="ru-MD"/>
        </w:rPr>
        <w:t>ному учреждению. Таким образом, из-за допу</w:t>
      </w:r>
      <w:r w:rsidR="00DC7F4E">
        <w:rPr>
          <w:rFonts w:asciiTheme="majorHAnsi" w:eastAsia="Times New Roman" w:hAnsiTheme="majorHAnsi" w:cstheme="majorHAnsi"/>
          <w:sz w:val="24"/>
          <w:szCs w:val="24"/>
          <w:lang w:val="ru-MD"/>
        </w:rPr>
        <w:t>щенн</w:t>
      </w:r>
      <w:r w:rsidRPr="00DC7F4E">
        <w:rPr>
          <w:rFonts w:asciiTheme="majorHAnsi" w:eastAsia="Times New Roman" w:hAnsiTheme="majorHAnsi" w:cstheme="majorHAnsi"/>
          <w:sz w:val="24"/>
          <w:szCs w:val="24"/>
          <w:lang w:val="ru-MD"/>
        </w:rPr>
        <w:t xml:space="preserve">ых </w:t>
      </w:r>
      <w:r w:rsidR="00DC7F4E">
        <w:rPr>
          <w:rFonts w:asciiTheme="majorHAnsi" w:eastAsia="Times New Roman" w:hAnsiTheme="majorHAnsi" w:cstheme="majorHAnsi"/>
          <w:sz w:val="24"/>
          <w:szCs w:val="24"/>
          <w:lang w:val="ru-MD"/>
        </w:rPr>
        <w:t>нарушений</w:t>
      </w:r>
      <w:r w:rsidRPr="00DC7F4E">
        <w:rPr>
          <w:rFonts w:asciiTheme="majorHAnsi" w:eastAsia="Times New Roman" w:hAnsiTheme="majorHAnsi" w:cstheme="majorHAnsi"/>
          <w:sz w:val="24"/>
          <w:szCs w:val="24"/>
          <w:lang w:val="ru-MD"/>
        </w:rPr>
        <w:t xml:space="preserve"> в процессе передачи осуществленных инвестиций</w:t>
      </w:r>
      <w:r w:rsidR="00DC7F4E">
        <w:rPr>
          <w:rFonts w:asciiTheme="majorHAnsi" w:eastAsia="Times New Roman" w:hAnsiTheme="majorHAnsi" w:cstheme="majorHAnsi"/>
          <w:sz w:val="24"/>
          <w:szCs w:val="24"/>
          <w:lang w:val="ru-MD"/>
        </w:rPr>
        <w:t>,</w:t>
      </w:r>
      <w:r w:rsidRPr="00DC7F4E">
        <w:rPr>
          <w:rFonts w:asciiTheme="majorHAnsi" w:eastAsia="Times New Roman" w:hAnsiTheme="majorHAnsi" w:cstheme="majorHAnsi"/>
          <w:sz w:val="24"/>
          <w:szCs w:val="24"/>
          <w:lang w:val="ru-MD"/>
        </w:rPr>
        <w:t xml:space="preserve"> о</w:t>
      </w:r>
      <w:r w:rsidR="00DC7F4E">
        <w:rPr>
          <w:rFonts w:asciiTheme="majorHAnsi" w:eastAsia="Times New Roman" w:hAnsiTheme="majorHAnsi" w:cstheme="majorHAnsi"/>
          <w:sz w:val="24"/>
          <w:szCs w:val="24"/>
          <w:lang w:val="ru-MD"/>
        </w:rPr>
        <w:t>тмеч</w:t>
      </w:r>
      <w:r w:rsidRPr="00DC7F4E">
        <w:rPr>
          <w:rFonts w:asciiTheme="majorHAnsi" w:eastAsia="Times New Roman" w:hAnsiTheme="majorHAnsi" w:cstheme="majorHAnsi"/>
          <w:sz w:val="24"/>
          <w:szCs w:val="24"/>
          <w:lang w:val="ru-MD"/>
        </w:rPr>
        <w:t xml:space="preserve">ается </w:t>
      </w:r>
      <w:r w:rsidR="00DC7F4E">
        <w:rPr>
          <w:rFonts w:asciiTheme="majorHAnsi" w:eastAsia="Times New Roman" w:hAnsiTheme="majorHAnsi" w:cstheme="majorHAnsi"/>
          <w:sz w:val="24"/>
          <w:szCs w:val="24"/>
          <w:lang w:val="ru-MD"/>
        </w:rPr>
        <w:t xml:space="preserve">завышение </w:t>
      </w:r>
      <w:r w:rsidRPr="00DC7F4E">
        <w:rPr>
          <w:rFonts w:asciiTheme="majorHAnsi" w:eastAsia="Times New Roman" w:hAnsiTheme="majorHAnsi" w:cstheme="majorHAnsi"/>
          <w:sz w:val="24"/>
          <w:szCs w:val="24"/>
          <w:lang w:val="ru-MD"/>
        </w:rPr>
        <w:t>совокупн</w:t>
      </w:r>
      <w:r w:rsidR="00DC7F4E">
        <w:rPr>
          <w:rFonts w:asciiTheme="majorHAnsi" w:eastAsia="Times New Roman" w:hAnsiTheme="majorHAnsi" w:cstheme="majorHAnsi"/>
          <w:sz w:val="24"/>
          <w:szCs w:val="24"/>
          <w:lang w:val="ru-MD"/>
        </w:rPr>
        <w:t>ой стоимости</w:t>
      </w:r>
      <w:r w:rsidRPr="00DC7F4E">
        <w:rPr>
          <w:rFonts w:asciiTheme="majorHAnsi" w:eastAsia="Times New Roman" w:hAnsiTheme="majorHAnsi" w:cstheme="majorHAnsi"/>
          <w:sz w:val="24"/>
          <w:szCs w:val="24"/>
          <w:lang w:val="ru-MD"/>
        </w:rPr>
        <w:t xml:space="preserve"> группы счетов, относящихся к зданиям, </w:t>
      </w:r>
      <w:r w:rsidRPr="00DC7F4E">
        <w:rPr>
          <w:rFonts w:asciiTheme="majorHAnsi" w:eastAsia="Times New Roman" w:hAnsiTheme="majorHAnsi" w:cstheme="majorHAnsi"/>
          <w:b/>
          <w:sz w:val="24"/>
          <w:szCs w:val="24"/>
          <w:lang w:val="ru-MD"/>
        </w:rPr>
        <w:t>на 20,84 млн. ле</w:t>
      </w:r>
      <w:r w:rsidR="00DC7F4E" w:rsidRPr="00DC7F4E">
        <w:rPr>
          <w:rFonts w:asciiTheme="majorHAnsi" w:eastAsia="Times New Roman" w:hAnsiTheme="majorHAnsi" w:cstheme="majorHAnsi"/>
          <w:b/>
          <w:sz w:val="24"/>
          <w:szCs w:val="24"/>
          <w:lang w:val="ru-MD"/>
        </w:rPr>
        <w:t>ев</w:t>
      </w:r>
      <w:r w:rsidR="00C43902" w:rsidRPr="00DC7F4E">
        <w:rPr>
          <w:rStyle w:val="FootnoteReference"/>
          <w:rFonts w:asciiTheme="majorHAnsi" w:eastAsia="Times New Roman" w:hAnsiTheme="majorHAnsi" w:cstheme="majorHAnsi"/>
          <w:sz w:val="24"/>
          <w:szCs w:val="24"/>
          <w:lang w:val="ru-MD"/>
        </w:rPr>
        <w:footnoteReference w:id="3"/>
      </w:r>
      <w:r w:rsidR="00C43902" w:rsidRPr="00DC7F4E">
        <w:rPr>
          <w:rFonts w:asciiTheme="majorHAnsi" w:eastAsia="Times New Roman" w:hAnsiTheme="majorHAnsi" w:cstheme="majorHAnsi"/>
          <w:sz w:val="24"/>
          <w:szCs w:val="24"/>
          <w:lang w:val="ru-MD"/>
        </w:rPr>
        <w:t>.</w:t>
      </w:r>
    </w:p>
    <w:p w:rsidR="005850AA" w:rsidRPr="00DC7F4E" w:rsidRDefault="00505649" w:rsidP="005850AA">
      <w:pPr>
        <w:pStyle w:val="FootnoteText"/>
        <w:tabs>
          <w:tab w:val="left" w:pos="270"/>
        </w:tabs>
        <w:spacing w:line="276" w:lineRule="auto"/>
        <w:jc w:val="both"/>
        <w:rPr>
          <w:rFonts w:asciiTheme="majorHAnsi" w:eastAsia="Times New Roman" w:hAnsiTheme="majorHAnsi" w:cstheme="majorHAnsi"/>
          <w:sz w:val="24"/>
          <w:szCs w:val="24"/>
          <w:lang w:val="ru-MD"/>
        </w:rPr>
      </w:pPr>
      <w:r w:rsidRPr="00DC7F4E">
        <w:rPr>
          <w:rFonts w:asciiTheme="majorHAnsi" w:eastAsia="Times New Roman" w:hAnsiTheme="majorHAnsi" w:cstheme="majorHAnsi"/>
          <w:sz w:val="24"/>
          <w:szCs w:val="24"/>
          <w:lang w:val="ru-MD"/>
        </w:rPr>
        <w:t>Публичное учреждение Подразделение по внедрению проекта строительства жилья для социально уязвимых слоев населения II, из-за непринятия и неподписания актов приема-</w:t>
      </w:r>
      <w:r w:rsidRPr="00DC7F4E">
        <w:rPr>
          <w:rFonts w:asciiTheme="majorHAnsi" w:eastAsia="Times New Roman" w:hAnsiTheme="majorHAnsi" w:cstheme="majorHAnsi"/>
          <w:sz w:val="24"/>
          <w:szCs w:val="24"/>
          <w:lang w:val="ru-MD"/>
        </w:rPr>
        <w:lastRenderedPageBreak/>
        <w:t xml:space="preserve">передачи Районным советом Яловень, не передало стоимость </w:t>
      </w:r>
      <w:r w:rsidR="00104E68">
        <w:rPr>
          <w:rFonts w:asciiTheme="majorHAnsi" w:eastAsia="Times New Roman" w:hAnsiTheme="majorHAnsi" w:cstheme="majorHAnsi"/>
          <w:sz w:val="24"/>
          <w:szCs w:val="24"/>
          <w:lang w:val="ru-MD"/>
        </w:rPr>
        <w:t>осуществле</w:t>
      </w:r>
      <w:r w:rsidR="00104E68" w:rsidRPr="00DC7F4E">
        <w:rPr>
          <w:rFonts w:asciiTheme="majorHAnsi" w:eastAsia="Times New Roman" w:hAnsiTheme="majorHAnsi" w:cstheme="majorHAnsi"/>
          <w:sz w:val="24"/>
          <w:szCs w:val="24"/>
          <w:lang w:val="ru-MD"/>
        </w:rPr>
        <w:t xml:space="preserve">нных </w:t>
      </w:r>
      <w:r w:rsidRPr="00DC7F4E">
        <w:rPr>
          <w:rFonts w:asciiTheme="majorHAnsi" w:eastAsia="Times New Roman" w:hAnsiTheme="majorHAnsi" w:cstheme="majorHAnsi"/>
          <w:sz w:val="24"/>
          <w:szCs w:val="24"/>
          <w:lang w:val="ru-MD"/>
        </w:rPr>
        <w:t>инвестиций в 31 социальную квартиру в жилом комплексе г. Яловен</w:t>
      </w:r>
      <w:r w:rsidR="00104E68">
        <w:rPr>
          <w:rFonts w:asciiTheme="majorHAnsi" w:eastAsia="Times New Roman" w:hAnsiTheme="majorHAnsi" w:cstheme="majorHAnsi"/>
          <w:sz w:val="24"/>
          <w:szCs w:val="24"/>
          <w:lang w:val="ru-MD"/>
        </w:rPr>
        <w:t>ь</w:t>
      </w:r>
      <w:r w:rsidRPr="00DC7F4E">
        <w:rPr>
          <w:rFonts w:asciiTheme="majorHAnsi" w:eastAsia="Times New Roman" w:hAnsiTheme="majorHAnsi" w:cstheme="majorHAnsi"/>
          <w:sz w:val="24"/>
          <w:szCs w:val="24"/>
          <w:lang w:val="ru-MD"/>
        </w:rPr>
        <w:t xml:space="preserve">, так как он был закончен в 2018 году и передан жителям. </w:t>
      </w:r>
      <w:r w:rsidR="00104E68">
        <w:rPr>
          <w:rFonts w:asciiTheme="majorHAnsi" w:eastAsia="Times New Roman" w:hAnsiTheme="majorHAnsi" w:cstheme="majorHAnsi"/>
          <w:sz w:val="24"/>
          <w:szCs w:val="24"/>
          <w:lang w:val="ru-MD"/>
        </w:rPr>
        <w:t>Отмечается</w:t>
      </w:r>
      <w:r w:rsidRPr="00DC7F4E">
        <w:rPr>
          <w:rFonts w:asciiTheme="majorHAnsi" w:eastAsia="Times New Roman" w:hAnsiTheme="majorHAnsi" w:cstheme="majorHAnsi"/>
          <w:sz w:val="24"/>
          <w:szCs w:val="24"/>
          <w:lang w:val="ru-MD"/>
        </w:rPr>
        <w:t xml:space="preserve">, что на 31.12.2022 квартиры были неправильно отражены в составе </w:t>
      </w:r>
      <w:r w:rsidR="00104E68">
        <w:rPr>
          <w:rFonts w:asciiTheme="majorHAnsi" w:eastAsia="Times New Roman" w:hAnsiTheme="majorHAnsi" w:cstheme="majorHAnsi"/>
          <w:sz w:val="24"/>
          <w:szCs w:val="24"/>
          <w:lang w:val="ru-MD"/>
        </w:rPr>
        <w:t xml:space="preserve">незавершенных </w:t>
      </w:r>
      <w:r w:rsidRPr="00DC7F4E">
        <w:rPr>
          <w:rFonts w:asciiTheme="majorHAnsi" w:eastAsia="Times New Roman" w:hAnsiTheme="majorHAnsi" w:cstheme="majorHAnsi"/>
          <w:sz w:val="24"/>
          <w:szCs w:val="24"/>
          <w:lang w:val="ru-MD"/>
        </w:rPr>
        <w:t xml:space="preserve">инвестиций в активы, что </w:t>
      </w:r>
      <w:r w:rsidR="00104E68">
        <w:rPr>
          <w:rFonts w:asciiTheme="majorHAnsi" w:eastAsia="Times New Roman" w:hAnsiTheme="majorHAnsi" w:cstheme="majorHAnsi"/>
          <w:sz w:val="24"/>
          <w:szCs w:val="24"/>
          <w:lang w:val="ru-MD"/>
        </w:rPr>
        <w:t>обуслови</w:t>
      </w:r>
      <w:r w:rsidRPr="00DC7F4E">
        <w:rPr>
          <w:rFonts w:asciiTheme="majorHAnsi" w:eastAsia="Times New Roman" w:hAnsiTheme="majorHAnsi" w:cstheme="majorHAnsi"/>
          <w:sz w:val="24"/>
          <w:szCs w:val="24"/>
          <w:lang w:val="ru-MD"/>
        </w:rPr>
        <w:t xml:space="preserve">ло </w:t>
      </w:r>
      <w:r w:rsidR="00104E68">
        <w:rPr>
          <w:rFonts w:asciiTheme="majorHAnsi" w:eastAsia="Times New Roman" w:hAnsiTheme="majorHAnsi" w:cstheme="majorHAnsi"/>
          <w:sz w:val="24"/>
          <w:szCs w:val="24"/>
          <w:lang w:val="ru-MD"/>
        </w:rPr>
        <w:t>завышение стоимости</w:t>
      </w:r>
      <w:r w:rsidRPr="00DC7F4E">
        <w:rPr>
          <w:rFonts w:asciiTheme="majorHAnsi" w:eastAsia="Times New Roman" w:hAnsiTheme="majorHAnsi" w:cstheme="majorHAnsi"/>
          <w:sz w:val="24"/>
          <w:szCs w:val="24"/>
          <w:lang w:val="ru-MD"/>
        </w:rPr>
        <w:t xml:space="preserve"> соответствующей группы счетов на </w:t>
      </w:r>
      <w:r w:rsidRPr="00104E68">
        <w:rPr>
          <w:rFonts w:asciiTheme="majorHAnsi" w:eastAsia="Times New Roman" w:hAnsiTheme="majorHAnsi" w:cstheme="majorHAnsi"/>
          <w:b/>
          <w:sz w:val="24"/>
          <w:szCs w:val="24"/>
          <w:lang w:val="ru-MD"/>
        </w:rPr>
        <w:t>19,9 млн. ле</w:t>
      </w:r>
      <w:r w:rsidR="00104E68" w:rsidRPr="00104E68">
        <w:rPr>
          <w:rFonts w:asciiTheme="majorHAnsi" w:eastAsia="Times New Roman" w:hAnsiTheme="majorHAnsi" w:cstheme="majorHAnsi"/>
          <w:b/>
          <w:sz w:val="24"/>
          <w:szCs w:val="24"/>
          <w:lang w:val="ru-MD"/>
        </w:rPr>
        <w:t>ев</w:t>
      </w:r>
      <w:r w:rsidR="00E35AA0" w:rsidRPr="00DC7F4E">
        <w:rPr>
          <w:rFonts w:asciiTheme="majorHAnsi" w:eastAsia="Times New Roman" w:hAnsiTheme="majorHAnsi" w:cstheme="majorHAnsi"/>
          <w:sz w:val="24"/>
          <w:szCs w:val="24"/>
          <w:lang w:val="ru-MD"/>
        </w:rPr>
        <w:t>.</w:t>
      </w:r>
    </w:p>
    <w:p w:rsidR="00995CCF" w:rsidRPr="00DC7F4E" w:rsidRDefault="00CB7A0E" w:rsidP="005850AA">
      <w:pPr>
        <w:pStyle w:val="FootnoteText"/>
        <w:tabs>
          <w:tab w:val="left" w:pos="270"/>
        </w:tabs>
        <w:spacing w:line="276" w:lineRule="auto"/>
        <w:jc w:val="both"/>
        <w:rPr>
          <w:rFonts w:asciiTheme="majorHAnsi" w:eastAsia="Times New Roman" w:hAnsiTheme="majorHAnsi"/>
          <w:color w:val="000000" w:themeColor="text1"/>
          <w:sz w:val="16"/>
          <w:szCs w:val="16"/>
          <w:lang w:val="ru-MD"/>
        </w:rPr>
      </w:pPr>
      <w:r w:rsidRPr="00DC7F4E">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DC7F4E">
        <w:rPr>
          <w:rStyle w:val="FootnoteReference"/>
          <w:rFonts w:asciiTheme="majorHAnsi" w:eastAsia="Times New Roman" w:hAnsiTheme="majorHAnsi" w:cs="Times New Roman"/>
          <w:sz w:val="24"/>
          <w:szCs w:val="24"/>
          <w:lang w:val="ru-MD"/>
        </w:rPr>
        <w:footnoteReference w:id="4"/>
      </w:r>
      <w:r w:rsidRPr="00DC7F4E">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DC7F4E">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DC7F4E">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995CCF" w:rsidRPr="00DC7F4E">
        <w:rPr>
          <w:rFonts w:asciiTheme="majorHAnsi" w:eastAsia="Times New Roman" w:hAnsiTheme="majorHAnsi"/>
          <w:color w:val="000000" w:themeColor="text1"/>
          <w:sz w:val="24"/>
          <w:szCs w:val="24"/>
          <w:lang w:val="ru-MD"/>
        </w:rPr>
        <w:t xml:space="preserve">. </w:t>
      </w:r>
    </w:p>
    <w:p w:rsidR="005850AA" w:rsidRPr="00DC7F4E" w:rsidRDefault="005850AA" w:rsidP="005850AA">
      <w:pPr>
        <w:pStyle w:val="FootnoteText"/>
        <w:tabs>
          <w:tab w:val="left" w:pos="270"/>
        </w:tabs>
        <w:spacing w:line="276" w:lineRule="auto"/>
        <w:jc w:val="both"/>
        <w:rPr>
          <w:rFonts w:asciiTheme="majorHAnsi" w:eastAsia="Times New Roman" w:hAnsiTheme="majorHAnsi" w:cstheme="majorHAnsi"/>
          <w:sz w:val="16"/>
          <w:szCs w:val="16"/>
          <w:lang w:val="ru-MD"/>
        </w:rPr>
      </w:pPr>
    </w:p>
    <w:p w:rsidR="008A2E03" w:rsidRPr="00DC7F4E" w:rsidRDefault="006E6771" w:rsidP="006E6771">
      <w:pPr>
        <w:pStyle w:val="ListParagraph"/>
        <w:numPr>
          <w:ilvl w:val="0"/>
          <w:numId w:val="1"/>
        </w:numPr>
        <w:spacing w:after="0" w:line="276" w:lineRule="auto"/>
        <w:outlineLvl w:val="0"/>
        <w:rPr>
          <w:rFonts w:asciiTheme="majorHAnsi" w:hAnsiTheme="majorHAnsi" w:cs="Times New Roman"/>
          <w:b/>
          <w:caps/>
          <w:sz w:val="28"/>
          <w:szCs w:val="28"/>
          <w:lang w:val="ru-MD"/>
        </w:rPr>
      </w:pPr>
      <w:bookmarkStart w:id="6" w:name="_Toc532292927"/>
      <w:r w:rsidRPr="00DC7F4E">
        <w:rPr>
          <w:rFonts w:asciiTheme="majorHAnsi" w:hAnsiTheme="majorHAnsi" w:cs="Times New Roman"/>
          <w:b/>
          <w:caps/>
          <w:sz w:val="28"/>
          <w:szCs w:val="28"/>
          <w:lang w:val="ru-MD"/>
        </w:rPr>
        <w:t>ВЫДЕЛЕНИЕ НЕКОТОРЫХ АСПЕКТОВ</w:t>
      </w:r>
    </w:p>
    <w:p w:rsidR="00A513CF" w:rsidRPr="00DC7F4E" w:rsidRDefault="00CE4BD0" w:rsidP="0041572A">
      <w:pPr>
        <w:spacing w:after="0" w:line="276" w:lineRule="auto"/>
        <w:jc w:val="both"/>
        <w:outlineLvl w:val="0"/>
        <w:rPr>
          <w:rFonts w:asciiTheme="majorHAnsi" w:hAnsiTheme="majorHAnsi" w:cstheme="majorHAnsi"/>
          <w:sz w:val="24"/>
          <w:szCs w:val="24"/>
          <w:lang w:val="ru-MD"/>
        </w:rPr>
      </w:pPr>
      <w:r w:rsidRPr="00DC7F4E">
        <w:rPr>
          <w:rFonts w:asciiTheme="majorHAnsi" w:eastAsia="Times New Roman" w:hAnsiTheme="majorHAnsi"/>
          <w:color w:val="000000" w:themeColor="text1"/>
          <w:sz w:val="24"/>
          <w:szCs w:val="24"/>
          <w:lang w:val="ru-MD"/>
        </w:rPr>
        <w:t>Обращаем внимание на то, что в настоящее время стоимость дорог и земель</w:t>
      </w:r>
      <w:r w:rsidR="00104E68">
        <w:rPr>
          <w:rFonts w:asciiTheme="majorHAnsi" w:eastAsia="Times New Roman" w:hAnsiTheme="majorHAnsi"/>
          <w:color w:val="000000" w:themeColor="text1"/>
          <w:sz w:val="24"/>
          <w:szCs w:val="24"/>
          <w:lang w:val="ru-MD"/>
        </w:rPr>
        <w:t>ных участков</w:t>
      </w:r>
      <w:r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 xml:space="preserve">ной собственности отражается только в бухгалтерском учете </w:t>
      </w:r>
      <w:r w:rsidR="00104E68">
        <w:rPr>
          <w:rFonts w:asciiTheme="majorHAnsi" w:eastAsia="Times New Roman" w:hAnsiTheme="majorHAnsi"/>
          <w:color w:val="000000" w:themeColor="text1"/>
          <w:sz w:val="24"/>
          <w:szCs w:val="24"/>
          <w:lang w:val="ru-MD"/>
        </w:rPr>
        <w:t>Г</w:t>
      </w:r>
      <w:r w:rsidRPr="00DC7F4E">
        <w:rPr>
          <w:rFonts w:asciiTheme="majorHAnsi" w:eastAsia="Times New Roman" w:hAnsiTheme="majorHAnsi"/>
          <w:color w:val="000000" w:themeColor="text1"/>
          <w:sz w:val="24"/>
          <w:szCs w:val="24"/>
          <w:lang w:val="ru-MD"/>
        </w:rPr>
        <w:t>осударственного предприятия „Государственн</w:t>
      </w:r>
      <w:r w:rsidR="00104E68">
        <w:rPr>
          <w:rFonts w:asciiTheme="majorHAnsi" w:eastAsia="Times New Roman" w:hAnsiTheme="majorHAnsi"/>
          <w:color w:val="000000" w:themeColor="text1"/>
          <w:sz w:val="24"/>
          <w:szCs w:val="24"/>
          <w:lang w:val="ru-MD"/>
        </w:rPr>
        <w:t>ая</w:t>
      </w:r>
      <w:r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администрация</w:t>
      </w:r>
      <w:r w:rsidRPr="00DC7F4E">
        <w:rPr>
          <w:rFonts w:asciiTheme="majorHAnsi" w:eastAsia="Times New Roman" w:hAnsiTheme="majorHAnsi"/>
          <w:color w:val="000000" w:themeColor="text1"/>
          <w:sz w:val="24"/>
          <w:szCs w:val="24"/>
          <w:lang w:val="ru-MD"/>
        </w:rPr>
        <w:t xml:space="preserve"> дорог”, но не </w:t>
      </w:r>
      <w:r w:rsidR="00104E68">
        <w:rPr>
          <w:rFonts w:asciiTheme="majorHAnsi" w:eastAsia="Times New Roman" w:hAnsiTheme="majorHAnsi"/>
          <w:color w:val="000000" w:themeColor="text1"/>
          <w:sz w:val="24"/>
          <w:szCs w:val="24"/>
          <w:lang w:val="ru-MD"/>
        </w:rPr>
        <w:t xml:space="preserve">отражается и </w:t>
      </w:r>
      <w:r w:rsidRPr="00DC7F4E">
        <w:rPr>
          <w:rFonts w:asciiTheme="majorHAnsi" w:eastAsia="Times New Roman" w:hAnsiTheme="majorHAnsi"/>
          <w:color w:val="000000" w:themeColor="text1"/>
          <w:sz w:val="24"/>
          <w:szCs w:val="24"/>
          <w:lang w:val="ru-MD"/>
        </w:rPr>
        <w:t xml:space="preserve">в бухгалтерском учете </w:t>
      </w:r>
      <w:r w:rsidR="00104E68">
        <w:rPr>
          <w:rFonts w:asciiTheme="majorHAnsi" w:eastAsia="Times New Roman" w:hAnsiTheme="majorHAnsi"/>
          <w:color w:val="000000" w:themeColor="text1"/>
          <w:sz w:val="24"/>
          <w:szCs w:val="24"/>
          <w:lang w:val="ru-MD"/>
        </w:rPr>
        <w:t>ц</w:t>
      </w:r>
      <w:r w:rsidRPr="00DC7F4E">
        <w:rPr>
          <w:rFonts w:asciiTheme="majorHAnsi" w:eastAsia="Times New Roman" w:hAnsiTheme="majorHAnsi"/>
          <w:color w:val="000000" w:themeColor="text1"/>
          <w:sz w:val="24"/>
          <w:szCs w:val="24"/>
          <w:lang w:val="ru-MD"/>
        </w:rPr>
        <w:t xml:space="preserve">ентрального </w:t>
      </w:r>
      <w:r w:rsidR="00104E68">
        <w:rPr>
          <w:rFonts w:asciiTheme="majorHAnsi" w:eastAsia="Times New Roman" w:hAnsiTheme="majorHAnsi"/>
          <w:color w:val="000000" w:themeColor="text1"/>
          <w:sz w:val="24"/>
          <w:szCs w:val="24"/>
          <w:lang w:val="ru-MD"/>
        </w:rPr>
        <w:t>отраслево</w:t>
      </w:r>
      <w:r w:rsidRPr="00DC7F4E">
        <w:rPr>
          <w:rFonts w:asciiTheme="majorHAnsi" w:eastAsia="Times New Roman" w:hAnsiTheme="majorHAnsi"/>
          <w:color w:val="000000" w:themeColor="text1"/>
          <w:sz w:val="24"/>
          <w:szCs w:val="24"/>
          <w:lang w:val="ru-MD"/>
        </w:rPr>
        <w:t xml:space="preserve">го </w:t>
      </w:r>
      <w:r w:rsidR="00104E68">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 xml:space="preserve">ного органа - Министерства инфраструктуры и регионального развития, или Агентства </w:t>
      </w:r>
      <w:r w:rsidR="00104E68">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 xml:space="preserve">ной собственности, </w:t>
      </w:r>
      <w:r w:rsidR="00104E68">
        <w:rPr>
          <w:rFonts w:asciiTheme="majorHAnsi" w:eastAsia="Times New Roman" w:hAnsiTheme="majorHAnsi"/>
          <w:color w:val="000000" w:themeColor="text1"/>
          <w:sz w:val="24"/>
          <w:szCs w:val="24"/>
          <w:lang w:val="ru-MD"/>
        </w:rPr>
        <w:t>в качестве</w:t>
      </w:r>
      <w:r w:rsidRPr="00DC7F4E">
        <w:rPr>
          <w:rFonts w:asciiTheme="majorHAnsi" w:eastAsia="Times New Roman" w:hAnsiTheme="majorHAnsi"/>
          <w:color w:val="000000" w:themeColor="text1"/>
          <w:sz w:val="24"/>
          <w:szCs w:val="24"/>
          <w:lang w:val="ru-MD"/>
        </w:rPr>
        <w:t xml:space="preserve"> учредителя. </w:t>
      </w:r>
      <w:r w:rsidR="00104E68">
        <w:rPr>
          <w:rFonts w:asciiTheme="majorHAnsi" w:eastAsia="Times New Roman" w:hAnsiTheme="majorHAnsi"/>
          <w:color w:val="000000" w:themeColor="text1"/>
          <w:sz w:val="24"/>
          <w:szCs w:val="24"/>
          <w:lang w:val="ru-MD"/>
        </w:rPr>
        <w:t>Кроме того</w:t>
      </w:r>
      <w:r w:rsidRPr="00DC7F4E">
        <w:rPr>
          <w:rFonts w:asciiTheme="majorHAnsi" w:eastAsia="Times New Roman" w:hAnsiTheme="majorHAnsi"/>
          <w:color w:val="000000" w:themeColor="text1"/>
          <w:sz w:val="24"/>
          <w:szCs w:val="24"/>
          <w:lang w:val="ru-MD"/>
        </w:rPr>
        <w:t xml:space="preserve">, в контексте реорганизации Государственного предприятия </w:t>
      </w:r>
      <w:r w:rsidR="00104E68" w:rsidRPr="00DC7F4E">
        <w:rPr>
          <w:rFonts w:asciiTheme="majorHAnsi" w:eastAsia="Times New Roman" w:hAnsiTheme="majorHAnsi"/>
          <w:color w:val="000000" w:themeColor="text1"/>
          <w:sz w:val="24"/>
          <w:szCs w:val="24"/>
          <w:lang w:val="ru-MD"/>
        </w:rPr>
        <w:t>„Государственн</w:t>
      </w:r>
      <w:r w:rsidR="00104E68">
        <w:rPr>
          <w:rFonts w:asciiTheme="majorHAnsi" w:eastAsia="Times New Roman" w:hAnsiTheme="majorHAnsi"/>
          <w:color w:val="000000" w:themeColor="text1"/>
          <w:sz w:val="24"/>
          <w:szCs w:val="24"/>
          <w:lang w:val="ru-MD"/>
        </w:rPr>
        <w:t>ая</w:t>
      </w:r>
      <w:r w:rsidR="00104E68"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администрация</w:t>
      </w:r>
      <w:r w:rsidR="00104E68" w:rsidRPr="00DC7F4E">
        <w:rPr>
          <w:rFonts w:asciiTheme="majorHAnsi" w:eastAsia="Times New Roman" w:hAnsiTheme="majorHAnsi"/>
          <w:color w:val="000000" w:themeColor="text1"/>
          <w:sz w:val="24"/>
          <w:szCs w:val="24"/>
          <w:lang w:val="ru-MD"/>
        </w:rPr>
        <w:t xml:space="preserve"> дорог”</w:t>
      </w:r>
      <w:r w:rsidRPr="00DC7F4E">
        <w:rPr>
          <w:rFonts w:asciiTheme="majorHAnsi" w:eastAsia="Times New Roman" w:hAnsiTheme="majorHAnsi"/>
          <w:color w:val="000000" w:themeColor="text1"/>
          <w:sz w:val="24"/>
          <w:szCs w:val="24"/>
          <w:lang w:val="ru-MD"/>
        </w:rPr>
        <w:t xml:space="preserve"> и положений законопроекта, утвержденного </w:t>
      </w:r>
      <w:r w:rsidR="00104E68">
        <w:rPr>
          <w:rFonts w:asciiTheme="majorHAnsi" w:eastAsia="Times New Roman" w:hAnsiTheme="majorHAnsi"/>
          <w:color w:val="000000" w:themeColor="text1"/>
          <w:sz w:val="24"/>
          <w:szCs w:val="24"/>
          <w:lang w:val="ru-MD"/>
        </w:rPr>
        <w:t>П</w:t>
      </w:r>
      <w:r w:rsidRPr="00DC7F4E">
        <w:rPr>
          <w:rFonts w:asciiTheme="majorHAnsi" w:eastAsia="Times New Roman" w:hAnsiTheme="majorHAnsi"/>
          <w:color w:val="000000" w:themeColor="text1"/>
          <w:sz w:val="24"/>
          <w:szCs w:val="24"/>
          <w:lang w:val="ru-MD"/>
        </w:rPr>
        <w:t>арламентом Республики Молдова во втором чтении</w:t>
      </w:r>
      <w:r w:rsidR="00104E68" w:rsidRPr="00DC7F4E">
        <w:rPr>
          <w:rStyle w:val="FootnoteReference"/>
          <w:rFonts w:asciiTheme="majorHAnsi" w:eastAsia="Times New Roman" w:hAnsiTheme="majorHAnsi"/>
          <w:color w:val="000000" w:themeColor="text1"/>
          <w:sz w:val="24"/>
          <w:szCs w:val="24"/>
          <w:lang w:val="ru-MD"/>
        </w:rPr>
        <w:footnoteReference w:id="5"/>
      </w:r>
      <w:r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ц</w:t>
      </w:r>
      <w:r w:rsidR="00104E68" w:rsidRPr="00DC7F4E">
        <w:rPr>
          <w:rFonts w:asciiTheme="majorHAnsi" w:eastAsia="Times New Roman" w:hAnsiTheme="majorHAnsi"/>
          <w:color w:val="000000" w:themeColor="text1"/>
          <w:sz w:val="24"/>
          <w:szCs w:val="24"/>
          <w:lang w:val="ru-MD"/>
        </w:rPr>
        <w:t>ентральн</w:t>
      </w:r>
      <w:r w:rsidR="00104E68">
        <w:rPr>
          <w:rFonts w:asciiTheme="majorHAnsi" w:eastAsia="Times New Roman" w:hAnsiTheme="majorHAnsi"/>
          <w:color w:val="000000" w:themeColor="text1"/>
          <w:sz w:val="24"/>
          <w:szCs w:val="24"/>
          <w:lang w:val="ru-MD"/>
        </w:rPr>
        <w:t>ый</w:t>
      </w:r>
      <w:r w:rsidR="00104E68"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отраслевой</w:t>
      </w:r>
      <w:r w:rsidR="00104E68" w:rsidRPr="00DC7F4E">
        <w:rPr>
          <w:rFonts w:asciiTheme="majorHAnsi" w:eastAsia="Times New Roman" w:hAnsiTheme="majorHAnsi"/>
          <w:color w:val="000000" w:themeColor="text1"/>
          <w:sz w:val="24"/>
          <w:szCs w:val="24"/>
          <w:lang w:val="ru-MD"/>
        </w:rPr>
        <w:t xml:space="preserve"> </w:t>
      </w:r>
      <w:r w:rsidR="00104E68">
        <w:rPr>
          <w:rFonts w:asciiTheme="majorHAnsi" w:eastAsia="Times New Roman" w:hAnsiTheme="majorHAnsi"/>
          <w:color w:val="000000" w:themeColor="text1"/>
          <w:sz w:val="24"/>
          <w:szCs w:val="24"/>
          <w:lang w:val="ru-MD"/>
        </w:rPr>
        <w:t>публич</w:t>
      </w:r>
      <w:r w:rsidR="00104E68" w:rsidRPr="00DC7F4E">
        <w:rPr>
          <w:rFonts w:asciiTheme="majorHAnsi" w:eastAsia="Times New Roman" w:hAnsiTheme="majorHAnsi"/>
          <w:color w:val="000000" w:themeColor="text1"/>
          <w:sz w:val="24"/>
          <w:szCs w:val="24"/>
          <w:lang w:val="ru-MD"/>
        </w:rPr>
        <w:t>н</w:t>
      </w:r>
      <w:r w:rsidR="00104E68">
        <w:rPr>
          <w:rFonts w:asciiTheme="majorHAnsi" w:eastAsia="Times New Roman" w:hAnsiTheme="majorHAnsi"/>
          <w:color w:val="000000" w:themeColor="text1"/>
          <w:sz w:val="24"/>
          <w:szCs w:val="24"/>
          <w:lang w:val="ru-MD"/>
        </w:rPr>
        <w:t>ый</w:t>
      </w:r>
      <w:r w:rsidR="00104E68" w:rsidRPr="00DC7F4E">
        <w:rPr>
          <w:rFonts w:asciiTheme="majorHAnsi" w:eastAsia="Times New Roman" w:hAnsiTheme="majorHAnsi"/>
          <w:color w:val="000000" w:themeColor="text1"/>
          <w:sz w:val="24"/>
          <w:szCs w:val="24"/>
          <w:lang w:val="ru-MD"/>
        </w:rPr>
        <w:t xml:space="preserve"> орган </w:t>
      </w:r>
      <w:r w:rsidRPr="00DC7F4E">
        <w:rPr>
          <w:rFonts w:asciiTheme="majorHAnsi" w:eastAsia="Times New Roman" w:hAnsiTheme="majorHAnsi"/>
          <w:color w:val="000000" w:themeColor="text1"/>
          <w:sz w:val="24"/>
          <w:szCs w:val="24"/>
          <w:lang w:val="ru-MD"/>
        </w:rPr>
        <w:t>в области дорожной инфраструктуры долж</w:t>
      </w:r>
      <w:r w:rsidR="00104E68">
        <w:rPr>
          <w:rFonts w:asciiTheme="majorHAnsi" w:eastAsia="Times New Roman" w:hAnsiTheme="majorHAnsi"/>
          <w:color w:val="000000" w:themeColor="text1"/>
          <w:sz w:val="24"/>
          <w:szCs w:val="24"/>
          <w:lang w:val="ru-MD"/>
        </w:rPr>
        <w:t>е</w:t>
      </w:r>
      <w:r w:rsidRPr="00DC7F4E">
        <w:rPr>
          <w:rFonts w:asciiTheme="majorHAnsi" w:eastAsia="Times New Roman" w:hAnsiTheme="majorHAnsi"/>
          <w:color w:val="000000" w:themeColor="text1"/>
          <w:sz w:val="24"/>
          <w:szCs w:val="24"/>
          <w:lang w:val="ru-MD"/>
        </w:rPr>
        <w:t>н передать в управление</w:t>
      </w:r>
      <w:r w:rsidR="00104E68">
        <w:rPr>
          <w:rFonts w:asciiTheme="majorHAnsi" w:eastAsia="Times New Roman" w:hAnsiTheme="majorHAnsi"/>
          <w:color w:val="000000" w:themeColor="text1"/>
          <w:sz w:val="24"/>
          <w:szCs w:val="24"/>
          <w:lang w:val="ru-MD"/>
        </w:rPr>
        <w:t>,</w:t>
      </w:r>
      <w:r w:rsidRPr="00DC7F4E">
        <w:rPr>
          <w:rFonts w:asciiTheme="majorHAnsi" w:eastAsia="Times New Roman" w:hAnsiTheme="majorHAnsi"/>
          <w:color w:val="000000" w:themeColor="text1"/>
          <w:sz w:val="24"/>
          <w:szCs w:val="24"/>
          <w:lang w:val="ru-MD"/>
        </w:rPr>
        <w:t xml:space="preserve"> реорганизованно</w:t>
      </w:r>
      <w:r w:rsidR="00104E68">
        <w:rPr>
          <w:rFonts w:asciiTheme="majorHAnsi" w:eastAsia="Times New Roman" w:hAnsiTheme="majorHAnsi"/>
          <w:color w:val="000000" w:themeColor="text1"/>
          <w:sz w:val="24"/>
          <w:szCs w:val="24"/>
          <w:lang w:val="ru-MD"/>
        </w:rPr>
        <w:t>му</w:t>
      </w:r>
      <w:r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субъекту</w:t>
      </w:r>
      <w:r w:rsidRPr="00DC7F4E">
        <w:rPr>
          <w:rFonts w:asciiTheme="majorHAnsi" w:eastAsia="Times New Roman" w:hAnsiTheme="majorHAnsi"/>
          <w:color w:val="000000" w:themeColor="text1"/>
          <w:sz w:val="24"/>
          <w:szCs w:val="24"/>
          <w:lang w:val="ru-MD"/>
        </w:rPr>
        <w:t xml:space="preserve">, дороги </w:t>
      </w:r>
      <w:r w:rsidR="00104E68">
        <w:rPr>
          <w:rFonts w:asciiTheme="majorHAnsi" w:eastAsia="Times New Roman" w:hAnsiTheme="majorHAnsi"/>
          <w:color w:val="000000" w:themeColor="text1"/>
          <w:sz w:val="24"/>
          <w:szCs w:val="24"/>
          <w:lang w:val="ru-MD"/>
        </w:rPr>
        <w:t>н</w:t>
      </w:r>
      <w:r w:rsidR="00104E68" w:rsidRPr="00DC7F4E">
        <w:rPr>
          <w:rFonts w:asciiTheme="majorHAnsi" w:eastAsia="Times New Roman" w:hAnsiTheme="majorHAnsi"/>
          <w:color w:val="000000" w:themeColor="text1"/>
          <w:sz w:val="24"/>
          <w:szCs w:val="24"/>
          <w:lang w:val="ru-MD"/>
        </w:rPr>
        <w:t>ациональн</w:t>
      </w:r>
      <w:r w:rsidR="00104E68">
        <w:rPr>
          <w:rFonts w:asciiTheme="majorHAnsi" w:eastAsia="Times New Roman" w:hAnsiTheme="majorHAnsi"/>
          <w:color w:val="000000" w:themeColor="text1"/>
          <w:sz w:val="24"/>
          <w:szCs w:val="24"/>
          <w:lang w:val="ru-MD"/>
        </w:rPr>
        <w:t>ого значения</w:t>
      </w:r>
      <w:r w:rsidR="00104E68" w:rsidRPr="00DC7F4E">
        <w:rPr>
          <w:rFonts w:asciiTheme="majorHAnsi" w:eastAsia="Times New Roman" w:hAnsiTheme="majorHAnsi"/>
          <w:color w:val="000000" w:themeColor="text1"/>
          <w:sz w:val="24"/>
          <w:szCs w:val="24"/>
          <w:lang w:val="ru-MD"/>
        </w:rPr>
        <w:t xml:space="preserve"> </w:t>
      </w:r>
      <w:r w:rsidRPr="00DC7F4E">
        <w:rPr>
          <w:rFonts w:asciiTheme="majorHAnsi" w:eastAsia="Times New Roman" w:hAnsiTheme="majorHAnsi"/>
          <w:color w:val="000000" w:themeColor="text1"/>
          <w:sz w:val="24"/>
          <w:szCs w:val="24"/>
          <w:lang w:val="ru-MD"/>
        </w:rPr>
        <w:t xml:space="preserve">и </w:t>
      </w:r>
      <w:r w:rsidR="00104E68" w:rsidRPr="00DC7F4E">
        <w:rPr>
          <w:rFonts w:asciiTheme="majorHAnsi" w:eastAsia="Times New Roman" w:hAnsiTheme="majorHAnsi"/>
          <w:color w:val="000000" w:themeColor="text1"/>
          <w:sz w:val="24"/>
          <w:szCs w:val="24"/>
          <w:lang w:val="ru-MD"/>
        </w:rPr>
        <w:t>зем</w:t>
      </w:r>
      <w:r w:rsidR="00104E68">
        <w:rPr>
          <w:rFonts w:asciiTheme="majorHAnsi" w:eastAsia="Times New Roman" w:hAnsiTheme="majorHAnsi"/>
          <w:color w:val="000000" w:themeColor="text1"/>
          <w:sz w:val="24"/>
          <w:szCs w:val="24"/>
          <w:lang w:val="ru-MD"/>
        </w:rPr>
        <w:t>ельные</w:t>
      </w:r>
      <w:r w:rsidR="00104E68" w:rsidRPr="00DC7F4E">
        <w:rPr>
          <w:rFonts w:asciiTheme="majorHAnsi" w:eastAsia="Times New Roman" w:hAnsiTheme="majorHAnsi"/>
          <w:color w:val="000000" w:themeColor="text1"/>
          <w:sz w:val="24"/>
          <w:szCs w:val="24"/>
          <w:lang w:val="ru-MD"/>
        </w:rPr>
        <w:t xml:space="preserve"> </w:t>
      </w:r>
      <w:r w:rsidRPr="00DC7F4E">
        <w:rPr>
          <w:rFonts w:asciiTheme="majorHAnsi" w:eastAsia="Times New Roman" w:hAnsiTheme="majorHAnsi"/>
          <w:color w:val="000000" w:themeColor="text1"/>
          <w:sz w:val="24"/>
          <w:szCs w:val="24"/>
          <w:lang w:val="ru-MD"/>
        </w:rPr>
        <w:t xml:space="preserve">участки </w:t>
      </w:r>
      <w:r w:rsidR="00104E68">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ной собственности</w:t>
      </w:r>
      <w:r w:rsidR="00E21D07">
        <w:rPr>
          <w:rFonts w:asciiTheme="majorHAnsi" w:eastAsia="Times New Roman" w:hAnsiTheme="majorHAnsi"/>
          <w:color w:val="000000" w:themeColor="text1"/>
          <w:sz w:val="24"/>
          <w:szCs w:val="24"/>
          <w:lang w:val="ru-MD"/>
        </w:rPr>
        <w:t>,</w:t>
      </w:r>
      <w:r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по</w:t>
      </w:r>
      <w:r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 xml:space="preserve">их </w:t>
      </w:r>
      <w:r w:rsidRPr="00DC7F4E">
        <w:rPr>
          <w:rFonts w:asciiTheme="majorHAnsi" w:eastAsia="Times New Roman" w:hAnsiTheme="majorHAnsi"/>
          <w:color w:val="000000" w:themeColor="text1"/>
          <w:sz w:val="24"/>
          <w:szCs w:val="24"/>
          <w:lang w:val="ru-MD"/>
        </w:rPr>
        <w:t>балансов</w:t>
      </w:r>
      <w:r w:rsidR="00E21D07">
        <w:rPr>
          <w:rFonts w:asciiTheme="majorHAnsi" w:eastAsia="Times New Roman" w:hAnsiTheme="majorHAnsi"/>
          <w:color w:val="000000" w:themeColor="text1"/>
          <w:sz w:val="24"/>
          <w:szCs w:val="24"/>
          <w:lang w:val="ru-MD"/>
        </w:rPr>
        <w:t>ой</w:t>
      </w:r>
      <w:r w:rsidRPr="00DC7F4E">
        <w:rPr>
          <w:rFonts w:asciiTheme="majorHAnsi" w:eastAsia="Times New Roman" w:hAnsiTheme="majorHAnsi"/>
          <w:color w:val="000000" w:themeColor="text1"/>
          <w:sz w:val="24"/>
          <w:szCs w:val="24"/>
          <w:lang w:val="ru-MD"/>
        </w:rPr>
        <w:t xml:space="preserve"> стоимост</w:t>
      </w:r>
      <w:r w:rsidR="00E21D07">
        <w:rPr>
          <w:rFonts w:asciiTheme="majorHAnsi" w:eastAsia="Times New Roman" w:hAnsiTheme="majorHAnsi"/>
          <w:color w:val="000000" w:themeColor="text1"/>
          <w:sz w:val="24"/>
          <w:szCs w:val="24"/>
          <w:lang w:val="ru-MD"/>
        </w:rPr>
        <w:t>и,</w:t>
      </w:r>
      <w:r w:rsidRPr="00DC7F4E">
        <w:rPr>
          <w:rFonts w:asciiTheme="majorHAnsi" w:eastAsia="Times New Roman" w:hAnsiTheme="majorHAnsi"/>
          <w:color w:val="000000" w:themeColor="text1"/>
          <w:sz w:val="24"/>
          <w:szCs w:val="24"/>
          <w:lang w:val="ru-MD"/>
        </w:rPr>
        <w:t xml:space="preserve"> в соответствии с условиями концессионного договора.</w:t>
      </w:r>
      <w:r w:rsidR="0041572A"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Таким образом,</w:t>
      </w:r>
      <w:r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в</w:t>
      </w:r>
      <w:r w:rsidRPr="00DC7F4E">
        <w:rPr>
          <w:rFonts w:asciiTheme="majorHAnsi" w:eastAsia="Times New Roman" w:hAnsiTheme="majorHAnsi"/>
          <w:color w:val="000000" w:themeColor="text1"/>
          <w:sz w:val="24"/>
          <w:szCs w:val="24"/>
          <w:lang w:val="ru-MD"/>
        </w:rPr>
        <w:t xml:space="preserve"> цел</w:t>
      </w:r>
      <w:r w:rsidR="00E21D07">
        <w:rPr>
          <w:rFonts w:asciiTheme="majorHAnsi" w:eastAsia="Times New Roman" w:hAnsiTheme="majorHAnsi"/>
          <w:color w:val="000000" w:themeColor="text1"/>
          <w:sz w:val="24"/>
          <w:szCs w:val="24"/>
          <w:lang w:val="ru-MD"/>
        </w:rPr>
        <w:t>ях</w:t>
      </w:r>
      <w:r w:rsidRPr="00DC7F4E">
        <w:rPr>
          <w:rFonts w:asciiTheme="majorHAnsi" w:eastAsia="Times New Roman" w:hAnsiTheme="majorHAnsi"/>
          <w:color w:val="000000" w:themeColor="text1"/>
          <w:sz w:val="24"/>
          <w:szCs w:val="24"/>
          <w:lang w:val="ru-MD"/>
        </w:rPr>
        <w:t xml:space="preserve"> гармонизации положений </w:t>
      </w:r>
      <w:r w:rsidR="00E21D07" w:rsidRPr="00DC7F4E">
        <w:rPr>
          <w:rFonts w:asciiTheme="majorHAnsi" w:eastAsia="Times New Roman" w:hAnsiTheme="majorHAnsi"/>
          <w:color w:val="000000" w:themeColor="text1"/>
          <w:sz w:val="24"/>
          <w:szCs w:val="24"/>
          <w:lang w:val="ru-MD"/>
        </w:rPr>
        <w:t>примен</w:t>
      </w:r>
      <w:r w:rsidR="00E21D07">
        <w:rPr>
          <w:rFonts w:asciiTheme="majorHAnsi" w:eastAsia="Times New Roman" w:hAnsiTheme="majorHAnsi"/>
          <w:color w:val="000000" w:themeColor="text1"/>
          <w:sz w:val="24"/>
          <w:szCs w:val="24"/>
          <w:lang w:val="ru-MD"/>
        </w:rPr>
        <w:t>яе</w:t>
      </w:r>
      <w:r w:rsidR="00E21D07" w:rsidRPr="00DC7F4E">
        <w:rPr>
          <w:rFonts w:asciiTheme="majorHAnsi" w:eastAsia="Times New Roman" w:hAnsiTheme="majorHAnsi"/>
          <w:color w:val="000000" w:themeColor="text1"/>
          <w:sz w:val="24"/>
          <w:szCs w:val="24"/>
          <w:lang w:val="ru-MD"/>
        </w:rPr>
        <w:t>м</w:t>
      </w:r>
      <w:r w:rsidR="00E21D07">
        <w:rPr>
          <w:rFonts w:asciiTheme="majorHAnsi" w:eastAsia="Times New Roman" w:hAnsiTheme="majorHAnsi"/>
          <w:color w:val="000000" w:themeColor="text1"/>
          <w:sz w:val="24"/>
          <w:szCs w:val="24"/>
          <w:lang w:val="ru-MD"/>
        </w:rPr>
        <w:t>ой</w:t>
      </w:r>
      <w:r w:rsidR="00E21D07" w:rsidRPr="00DC7F4E">
        <w:rPr>
          <w:rFonts w:asciiTheme="majorHAnsi" w:eastAsia="Times New Roman" w:hAnsiTheme="majorHAnsi"/>
          <w:color w:val="000000" w:themeColor="text1"/>
          <w:sz w:val="24"/>
          <w:szCs w:val="24"/>
          <w:lang w:val="ru-MD"/>
        </w:rPr>
        <w:t xml:space="preserve"> </w:t>
      </w:r>
      <w:r w:rsidRPr="00DC7F4E">
        <w:rPr>
          <w:rFonts w:asciiTheme="majorHAnsi" w:eastAsia="Times New Roman" w:hAnsiTheme="majorHAnsi"/>
          <w:color w:val="000000" w:themeColor="text1"/>
          <w:sz w:val="24"/>
          <w:szCs w:val="24"/>
          <w:lang w:val="ru-MD"/>
        </w:rPr>
        <w:t xml:space="preserve">нормативной базы </w:t>
      </w:r>
      <w:r w:rsidR="00E21D07">
        <w:rPr>
          <w:rFonts w:asciiTheme="majorHAnsi" w:eastAsia="Times New Roman" w:hAnsiTheme="majorHAnsi"/>
          <w:color w:val="000000" w:themeColor="text1"/>
          <w:sz w:val="24"/>
          <w:szCs w:val="24"/>
          <w:lang w:val="ru-MD"/>
        </w:rPr>
        <w:t>с</w:t>
      </w:r>
      <w:r w:rsidRPr="00DC7F4E">
        <w:rPr>
          <w:rFonts w:asciiTheme="majorHAnsi" w:eastAsia="Times New Roman" w:hAnsiTheme="majorHAnsi"/>
          <w:color w:val="000000" w:themeColor="text1"/>
          <w:sz w:val="24"/>
          <w:szCs w:val="24"/>
          <w:lang w:val="ru-MD"/>
        </w:rPr>
        <w:t xml:space="preserve"> основополагающим</w:t>
      </w:r>
      <w:r w:rsidR="00E21D07">
        <w:rPr>
          <w:rFonts w:asciiTheme="majorHAnsi" w:eastAsia="Times New Roman" w:hAnsiTheme="majorHAnsi"/>
          <w:color w:val="000000" w:themeColor="text1"/>
          <w:sz w:val="24"/>
          <w:szCs w:val="24"/>
          <w:lang w:val="ru-MD"/>
        </w:rPr>
        <w:t>и</w:t>
      </w:r>
      <w:r w:rsidRPr="00DC7F4E">
        <w:rPr>
          <w:rFonts w:asciiTheme="majorHAnsi" w:eastAsia="Times New Roman" w:hAnsiTheme="majorHAnsi"/>
          <w:color w:val="000000" w:themeColor="text1"/>
          <w:sz w:val="24"/>
          <w:szCs w:val="24"/>
          <w:lang w:val="ru-MD"/>
        </w:rPr>
        <w:t xml:space="preserve"> принципам</w:t>
      </w:r>
      <w:r w:rsidR="00E21D07">
        <w:rPr>
          <w:rFonts w:asciiTheme="majorHAnsi" w:eastAsia="Times New Roman" w:hAnsiTheme="majorHAnsi"/>
          <w:color w:val="000000" w:themeColor="text1"/>
          <w:sz w:val="24"/>
          <w:szCs w:val="24"/>
          <w:lang w:val="ru-MD"/>
        </w:rPr>
        <w:t>и</w:t>
      </w:r>
      <w:r w:rsidRPr="00DC7F4E">
        <w:rPr>
          <w:rFonts w:asciiTheme="majorHAnsi" w:eastAsia="Times New Roman" w:hAnsiTheme="majorHAnsi"/>
          <w:color w:val="000000" w:themeColor="text1"/>
          <w:sz w:val="24"/>
          <w:szCs w:val="24"/>
          <w:lang w:val="ru-MD"/>
        </w:rPr>
        <w:t xml:space="preserve"> бухгалтерского учета, для обеспечения полного контроля над </w:t>
      </w:r>
      <w:r w:rsidR="00E21D07">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 xml:space="preserve">ной собственностью государства на уровне центральных </w:t>
      </w:r>
      <w:r w:rsidR="00E21D07">
        <w:rPr>
          <w:rFonts w:asciiTheme="majorHAnsi" w:eastAsia="Times New Roman" w:hAnsiTheme="majorHAnsi"/>
          <w:color w:val="000000" w:themeColor="text1"/>
          <w:sz w:val="24"/>
          <w:szCs w:val="24"/>
          <w:lang w:val="ru-MD"/>
        </w:rPr>
        <w:t xml:space="preserve">отраслевых публичных </w:t>
      </w:r>
      <w:r w:rsidRPr="00DC7F4E">
        <w:rPr>
          <w:rFonts w:asciiTheme="majorHAnsi" w:eastAsia="Times New Roman" w:hAnsiTheme="majorHAnsi"/>
          <w:color w:val="000000" w:themeColor="text1"/>
          <w:sz w:val="24"/>
          <w:szCs w:val="24"/>
          <w:lang w:val="ru-MD"/>
        </w:rPr>
        <w:t>органов</w:t>
      </w:r>
      <w:r w:rsidR="00E21D07">
        <w:rPr>
          <w:rFonts w:asciiTheme="majorHAnsi" w:eastAsia="Times New Roman" w:hAnsiTheme="majorHAnsi"/>
          <w:color w:val="000000" w:themeColor="text1"/>
          <w:sz w:val="24"/>
          <w:szCs w:val="24"/>
          <w:lang w:val="ru-MD"/>
        </w:rPr>
        <w:t>,</w:t>
      </w:r>
      <w:r w:rsidRPr="00DC7F4E">
        <w:rPr>
          <w:rFonts w:asciiTheme="majorHAnsi" w:eastAsia="Times New Roman" w:hAnsiTheme="majorHAnsi"/>
          <w:color w:val="000000" w:themeColor="text1"/>
          <w:sz w:val="24"/>
          <w:szCs w:val="24"/>
          <w:lang w:val="ru-MD"/>
        </w:rPr>
        <w:t xml:space="preserve"> возникает необходимость проведения инвентаризации и </w:t>
      </w:r>
      <w:r w:rsidR="00E21D07">
        <w:rPr>
          <w:rFonts w:asciiTheme="majorHAnsi" w:eastAsia="Times New Roman" w:hAnsiTheme="majorHAnsi"/>
          <w:color w:val="000000" w:themeColor="text1"/>
          <w:sz w:val="24"/>
          <w:szCs w:val="24"/>
          <w:lang w:val="ru-MD"/>
        </w:rPr>
        <w:t>пол</w:t>
      </w:r>
      <w:r w:rsidRPr="00DC7F4E">
        <w:rPr>
          <w:rFonts w:asciiTheme="majorHAnsi" w:eastAsia="Times New Roman" w:hAnsiTheme="majorHAnsi"/>
          <w:color w:val="000000" w:themeColor="text1"/>
          <w:sz w:val="24"/>
          <w:szCs w:val="24"/>
          <w:lang w:val="ru-MD"/>
        </w:rPr>
        <w:t xml:space="preserve">ной переоценки дорог </w:t>
      </w:r>
      <w:r w:rsidR="00E21D07">
        <w:rPr>
          <w:rFonts w:asciiTheme="majorHAnsi" w:eastAsia="Times New Roman" w:hAnsiTheme="majorHAnsi"/>
          <w:color w:val="000000" w:themeColor="text1"/>
          <w:sz w:val="24"/>
          <w:szCs w:val="24"/>
          <w:lang w:val="ru-MD"/>
        </w:rPr>
        <w:t>публич</w:t>
      </w:r>
      <w:r w:rsidRPr="00DC7F4E">
        <w:rPr>
          <w:rFonts w:asciiTheme="majorHAnsi" w:eastAsia="Times New Roman" w:hAnsiTheme="majorHAnsi"/>
          <w:color w:val="000000" w:themeColor="text1"/>
          <w:sz w:val="24"/>
          <w:szCs w:val="24"/>
          <w:lang w:val="ru-MD"/>
        </w:rPr>
        <w:t xml:space="preserve">ной собственности, с их </w:t>
      </w:r>
      <w:r w:rsidR="00E21D07">
        <w:rPr>
          <w:rFonts w:asciiTheme="majorHAnsi" w:eastAsia="Times New Roman" w:hAnsiTheme="majorHAnsi"/>
          <w:color w:val="000000" w:themeColor="text1"/>
          <w:sz w:val="24"/>
          <w:szCs w:val="24"/>
          <w:lang w:val="ru-MD"/>
        </w:rPr>
        <w:t>надлежащей регистрацией в</w:t>
      </w:r>
      <w:r w:rsidRPr="00DC7F4E">
        <w:rPr>
          <w:rFonts w:asciiTheme="majorHAnsi" w:eastAsia="Times New Roman" w:hAnsiTheme="majorHAnsi"/>
          <w:color w:val="000000" w:themeColor="text1"/>
          <w:sz w:val="24"/>
          <w:szCs w:val="24"/>
          <w:lang w:val="ru-MD"/>
        </w:rPr>
        <w:t xml:space="preserve"> учет</w:t>
      </w:r>
      <w:r w:rsidR="00E21D07">
        <w:rPr>
          <w:rFonts w:asciiTheme="majorHAnsi" w:eastAsia="Times New Roman" w:hAnsiTheme="majorHAnsi"/>
          <w:color w:val="000000" w:themeColor="text1"/>
          <w:sz w:val="24"/>
          <w:szCs w:val="24"/>
          <w:lang w:val="ru-MD"/>
        </w:rPr>
        <w:t>е</w:t>
      </w:r>
      <w:r w:rsidRPr="00DC7F4E">
        <w:rPr>
          <w:rFonts w:asciiTheme="majorHAnsi" w:eastAsia="Times New Roman" w:hAnsiTheme="majorHAnsi"/>
          <w:color w:val="000000" w:themeColor="text1"/>
          <w:sz w:val="24"/>
          <w:szCs w:val="24"/>
          <w:lang w:val="ru-MD"/>
        </w:rPr>
        <w:t xml:space="preserve">. </w:t>
      </w:r>
      <w:r w:rsidRPr="00DC7F4E">
        <w:rPr>
          <w:rFonts w:asciiTheme="majorHAnsi" w:hAnsiTheme="majorHAnsi" w:cstheme="majorHAnsi"/>
          <w:sz w:val="24"/>
          <w:szCs w:val="24"/>
          <w:lang w:val="ru-MD"/>
        </w:rPr>
        <w:t xml:space="preserve">По состоянию на 31.12.2022 балансовая стоимость </w:t>
      </w:r>
      <w:r w:rsidR="00E21D07">
        <w:rPr>
          <w:rFonts w:asciiTheme="majorHAnsi" w:hAnsiTheme="majorHAnsi" w:cstheme="majorHAnsi"/>
          <w:sz w:val="24"/>
          <w:szCs w:val="24"/>
          <w:lang w:val="ru-MD"/>
        </w:rPr>
        <w:t xml:space="preserve">публичных </w:t>
      </w:r>
      <w:r w:rsidRPr="00DC7F4E">
        <w:rPr>
          <w:rFonts w:asciiTheme="majorHAnsi" w:hAnsiTheme="majorHAnsi" w:cstheme="majorHAnsi"/>
          <w:sz w:val="24"/>
          <w:szCs w:val="24"/>
          <w:lang w:val="ru-MD"/>
        </w:rPr>
        <w:t>дорог и земель</w:t>
      </w:r>
      <w:r w:rsidR="00E21D07" w:rsidRPr="00DC7F4E">
        <w:rPr>
          <w:rFonts w:asciiTheme="majorHAnsi" w:hAnsiTheme="majorHAnsi" w:cstheme="majorHAnsi"/>
          <w:sz w:val="24"/>
          <w:szCs w:val="24"/>
          <w:lang w:val="ru-MD"/>
        </w:rPr>
        <w:t>ных</w:t>
      </w:r>
      <w:r w:rsidR="00E21D07">
        <w:rPr>
          <w:rFonts w:asciiTheme="majorHAnsi" w:hAnsiTheme="majorHAnsi" w:cstheme="majorHAnsi"/>
          <w:sz w:val="24"/>
          <w:szCs w:val="24"/>
          <w:lang w:val="ru-MD"/>
        </w:rPr>
        <w:t xml:space="preserve"> участков</w:t>
      </w:r>
      <w:r w:rsidRPr="00DC7F4E">
        <w:rPr>
          <w:rFonts w:asciiTheme="majorHAnsi" w:hAnsiTheme="majorHAnsi" w:cstheme="majorHAnsi"/>
          <w:sz w:val="24"/>
          <w:szCs w:val="24"/>
          <w:lang w:val="ru-MD"/>
        </w:rPr>
        <w:t xml:space="preserve">, </w:t>
      </w:r>
      <w:r w:rsidR="00E21D07">
        <w:rPr>
          <w:rFonts w:asciiTheme="majorHAnsi" w:hAnsiTheme="majorHAnsi" w:cstheme="majorHAnsi"/>
          <w:sz w:val="24"/>
          <w:szCs w:val="24"/>
          <w:lang w:val="ru-MD"/>
        </w:rPr>
        <w:t>отраж</w:t>
      </w:r>
      <w:r w:rsidRPr="00DC7F4E">
        <w:rPr>
          <w:rFonts w:asciiTheme="majorHAnsi" w:hAnsiTheme="majorHAnsi" w:cstheme="majorHAnsi"/>
          <w:sz w:val="24"/>
          <w:szCs w:val="24"/>
          <w:lang w:val="ru-MD"/>
        </w:rPr>
        <w:t xml:space="preserve">енная </w:t>
      </w:r>
      <w:r w:rsidR="00E21D07">
        <w:rPr>
          <w:rFonts w:asciiTheme="majorHAnsi" w:hAnsiTheme="majorHAnsi" w:cstheme="majorHAnsi"/>
          <w:sz w:val="24"/>
          <w:szCs w:val="24"/>
          <w:lang w:val="ru-MD"/>
        </w:rPr>
        <w:t>в отчетности Г</w:t>
      </w:r>
      <w:r w:rsidRPr="00DC7F4E">
        <w:rPr>
          <w:rFonts w:asciiTheme="majorHAnsi" w:hAnsiTheme="majorHAnsi" w:cstheme="majorHAnsi"/>
          <w:sz w:val="24"/>
          <w:szCs w:val="24"/>
          <w:lang w:val="ru-MD"/>
        </w:rPr>
        <w:t xml:space="preserve">осударственным предприятием </w:t>
      </w:r>
      <w:r w:rsidR="00E21D07" w:rsidRPr="00DC7F4E">
        <w:rPr>
          <w:rFonts w:asciiTheme="majorHAnsi" w:eastAsia="Times New Roman" w:hAnsiTheme="majorHAnsi"/>
          <w:color w:val="000000" w:themeColor="text1"/>
          <w:sz w:val="24"/>
          <w:szCs w:val="24"/>
          <w:lang w:val="ru-MD"/>
        </w:rPr>
        <w:t>„Государственн</w:t>
      </w:r>
      <w:r w:rsidR="00E21D07">
        <w:rPr>
          <w:rFonts w:asciiTheme="majorHAnsi" w:eastAsia="Times New Roman" w:hAnsiTheme="majorHAnsi"/>
          <w:color w:val="000000" w:themeColor="text1"/>
          <w:sz w:val="24"/>
          <w:szCs w:val="24"/>
          <w:lang w:val="ru-MD"/>
        </w:rPr>
        <w:t>ая</w:t>
      </w:r>
      <w:r w:rsidR="00E21D07" w:rsidRPr="00DC7F4E">
        <w:rPr>
          <w:rFonts w:asciiTheme="majorHAnsi" w:eastAsia="Times New Roman" w:hAnsiTheme="majorHAnsi"/>
          <w:color w:val="000000" w:themeColor="text1"/>
          <w:sz w:val="24"/>
          <w:szCs w:val="24"/>
          <w:lang w:val="ru-MD"/>
        </w:rPr>
        <w:t xml:space="preserve"> </w:t>
      </w:r>
      <w:r w:rsidR="00E21D07">
        <w:rPr>
          <w:rFonts w:asciiTheme="majorHAnsi" w:eastAsia="Times New Roman" w:hAnsiTheme="majorHAnsi"/>
          <w:color w:val="000000" w:themeColor="text1"/>
          <w:sz w:val="24"/>
          <w:szCs w:val="24"/>
          <w:lang w:val="ru-MD"/>
        </w:rPr>
        <w:t>администрация</w:t>
      </w:r>
      <w:r w:rsidR="00E21D07" w:rsidRPr="00DC7F4E">
        <w:rPr>
          <w:rFonts w:asciiTheme="majorHAnsi" w:eastAsia="Times New Roman" w:hAnsiTheme="majorHAnsi"/>
          <w:color w:val="000000" w:themeColor="text1"/>
          <w:sz w:val="24"/>
          <w:szCs w:val="24"/>
          <w:lang w:val="ru-MD"/>
        </w:rPr>
        <w:t xml:space="preserve"> дорог”</w:t>
      </w:r>
      <w:r w:rsidRPr="00DC7F4E">
        <w:rPr>
          <w:rFonts w:asciiTheme="majorHAnsi" w:hAnsiTheme="majorHAnsi" w:cstheme="majorHAnsi"/>
          <w:sz w:val="24"/>
          <w:szCs w:val="24"/>
          <w:lang w:val="ru-MD"/>
        </w:rPr>
        <w:t xml:space="preserve">, составляет </w:t>
      </w:r>
      <w:r w:rsidRPr="00E21D07">
        <w:rPr>
          <w:rFonts w:asciiTheme="majorHAnsi" w:hAnsiTheme="majorHAnsi" w:cstheme="majorHAnsi"/>
          <w:b/>
          <w:sz w:val="24"/>
          <w:szCs w:val="24"/>
          <w:lang w:val="ru-MD"/>
        </w:rPr>
        <w:t>20 464,37 млн. ле</w:t>
      </w:r>
      <w:r w:rsidR="00E21D07" w:rsidRPr="00E21D07">
        <w:rPr>
          <w:rFonts w:asciiTheme="majorHAnsi" w:hAnsiTheme="majorHAnsi" w:cstheme="majorHAnsi"/>
          <w:b/>
          <w:sz w:val="24"/>
          <w:szCs w:val="24"/>
          <w:lang w:val="ru-MD"/>
        </w:rPr>
        <w:t>ев</w:t>
      </w:r>
      <w:r w:rsidRPr="00DC7F4E">
        <w:rPr>
          <w:rFonts w:asciiTheme="majorHAnsi" w:hAnsiTheme="majorHAnsi" w:cstheme="majorHAnsi"/>
          <w:sz w:val="24"/>
          <w:szCs w:val="24"/>
          <w:lang w:val="ru-MD"/>
        </w:rPr>
        <w:t xml:space="preserve"> и</w:t>
      </w:r>
      <w:r w:rsidR="00E21D07">
        <w:rPr>
          <w:rFonts w:asciiTheme="majorHAnsi" w:hAnsiTheme="majorHAnsi" w:cstheme="majorHAnsi"/>
          <w:sz w:val="24"/>
          <w:szCs w:val="24"/>
          <w:lang w:val="ru-MD"/>
        </w:rPr>
        <w:t>,</w:t>
      </w:r>
      <w:r w:rsidRPr="00DC7F4E">
        <w:rPr>
          <w:rFonts w:asciiTheme="majorHAnsi" w:hAnsiTheme="majorHAnsi" w:cstheme="majorHAnsi"/>
          <w:sz w:val="24"/>
          <w:szCs w:val="24"/>
          <w:lang w:val="ru-MD"/>
        </w:rPr>
        <w:t xml:space="preserve"> </w:t>
      </w:r>
      <w:r w:rsidR="00E21D07" w:rsidRPr="00DC7F4E">
        <w:rPr>
          <w:rFonts w:asciiTheme="majorHAnsi" w:hAnsiTheme="majorHAnsi" w:cstheme="majorHAnsi"/>
          <w:sz w:val="24"/>
          <w:szCs w:val="24"/>
          <w:lang w:val="ru-MD"/>
        </w:rPr>
        <w:t>соответственно</w:t>
      </w:r>
      <w:r w:rsidR="00E21D07">
        <w:rPr>
          <w:rFonts w:asciiTheme="majorHAnsi" w:hAnsiTheme="majorHAnsi" w:cstheme="majorHAnsi"/>
          <w:sz w:val="24"/>
          <w:szCs w:val="24"/>
          <w:lang w:val="ru-MD"/>
        </w:rPr>
        <w:t>,</w:t>
      </w:r>
      <w:r w:rsidR="00E21D07" w:rsidRPr="00DC7F4E">
        <w:rPr>
          <w:rFonts w:asciiTheme="majorHAnsi" w:hAnsiTheme="majorHAnsi" w:cstheme="majorHAnsi"/>
          <w:sz w:val="24"/>
          <w:szCs w:val="24"/>
          <w:lang w:val="ru-MD"/>
        </w:rPr>
        <w:t xml:space="preserve"> </w:t>
      </w:r>
      <w:r w:rsidRPr="00E21D07">
        <w:rPr>
          <w:rFonts w:asciiTheme="majorHAnsi" w:hAnsiTheme="majorHAnsi" w:cstheme="majorHAnsi"/>
          <w:b/>
          <w:sz w:val="24"/>
          <w:szCs w:val="24"/>
          <w:lang w:val="ru-MD"/>
        </w:rPr>
        <w:t>16,67 млн.</w:t>
      </w:r>
      <w:r w:rsidR="00E21D07" w:rsidRPr="00E21D07">
        <w:rPr>
          <w:rFonts w:asciiTheme="majorHAnsi" w:hAnsiTheme="majorHAnsi" w:cstheme="majorHAnsi"/>
          <w:b/>
          <w:sz w:val="24"/>
          <w:szCs w:val="24"/>
          <w:lang w:val="ru-MD"/>
        </w:rPr>
        <w:t xml:space="preserve"> </w:t>
      </w:r>
      <w:r w:rsidRPr="00E21D07">
        <w:rPr>
          <w:rFonts w:asciiTheme="majorHAnsi" w:hAnsiTheme="majorHAnsi" w:cstheme="majorHAnsi"/>
          <w:b/>
          <w:sz w:val="24"/>
          <w:szCs w:val="24"/>
          <w:lang w:val="ru-MD"/>
        </w:rPr>
        <w:t>ле</w:t>
      </w:r>
      <w:r w:rsidR="00E21D07" w:rsidRPr="00E21D07">
        <w:rPr>
          <w:rFonts w:asciiTheme="majorHAnsi" w:hAnsiTheme="majorHAnsi" w:cstheme="majorHAnsi"/>
          <w:b/>
          <w:sz w:val="24"/>
          <w:szCs w:val="24"/>
          <w:lang w:val="ru-MD"/>
        </w:rPr>
        <w:t>ев</w:t>
      </w:r>
      <w:r w:rsidRPr="00DC7F4E">
        <w:rPr>
          <w:rFonts w:asciiTheme="majorHAnsi" w:hAnsiTheme="majorHAnsi" w:cstheme="majorHAnsi"/>
          <w:sz w:val="24"/>
          <w:szCs w:val="24"/>
          <w:lang w:val="ru-MD"/>
        </w:rPr>
        <w:t>. На аудит</w:t>
      </w:r>
      <w:r w:rsidR="00E21D07">
        <w:rPr>
          <w:rFonts w:asciiTheme="majorHAnsi" w:hAnsiTheme="majorHAnsi" w:cstheme="majorHAnsi"/>
          <w:sz w:val="24"/>
          <w:szCs w:val="24"/>
          <w:lang w:val="ru-MD"/>
        </w:rPr>
        <w:t>орское</w:t>
      </w:r>
      <w:r w:rsidRPr="00DC7F4E">
        <w:rPr>
          <w:rFonts w:asciiTheme="majorHAnsi" w:hAnsiTheme="majorHAnsi" w:cstheme="majorHAnsi"/>
          <w:sz w:val="24"/>
          <w:szCs w:val="24"/>
          <w:lang w:val="ru-MD"/>
        </w:rPr>
        <w:t xml:space="preserve"> </w:t>
      </w:r>
      <w:r w:rsidR="00E21D07" w:rsidRPr="00DC7F4E">
        <w:rPr>
          <w:rFonts w:asciiTheme="majorHAnsi" w:hAnsiTheme="majorHAnsi" w:cstheme="majorHAnsi"/>
          <w:sz w:val="24"/>
          <w:szCs w:val="24"/>
          <w:lang w:val="ru-MD"/>
        </w:rPr>
        <w:t xml:space="preserve">мнение </w:t>
      </w:r>
      <w:r w:rsidRPr="00DC7F4E">
        <w:rPr>
          <w:rFonts w:asciiTheme="majorHAnsi" w:hAnsiTheme="majorHAnsi" w:cstheme="majorHAnsi"/>
          <w:sz w:val="24"/>
          <w:szCs w:val="24"/>
          <w:lang w:val="ru-MD"/>
        </w:rPr>
        <w:t xml:space="preserve">за </w:t>
      </w:r>
      <w:r w:rsidR="00E21D07">
        <w:rPr>
          <w:rFonts w:asciiTheme="majorHAnsi" w:hAnsiTheme="majorHAnsi" w:cstheme="majorHAnsi"/>
          <w:sz w:val="24"/>
          <w:szCs w:val="24"/>
          <w:lang w:val="ru-MD"/>
        </w:rPr>
        <w:t xml:space="preserve">отчетный </w:t>
      </w:r>
      <w:r w:rsidRPr="00DC7F4E">
        <w:rPr>
          <w:rFonts w:asciiTheme="majorHAnsi" w:hAnsiTheme="majorHAnsi" w:cstheme="majorHAnsi"/>
          <w:sz w:val="24"/>
          <w:szCs w:val="24"/>
          <w:lang w:val="ru-MD"/>
        </w:rPr>
        <w:t xml:space="preserve">период 2022 года </w:t>
      </w:r>
      <w:r w:rsidR="00E21D07">
        <w:rPr>
          <w:rFonts w:asciiTheme="majorHAnsi" w:hAnsiTheme="majorHAnsi" w:cstheme="majorHAnsi"/>
          <w:sz w:val="24"/>
          <w:szCs w:val="24"/>
          <w:lang w:val="ru-MD"/>
        </w:rPr>
        <w:t>данный</w:t>
      </w:r>
      <w:r w:rsidRPr="00DC7F4E">
        <w:rPr>
          <w:rFonts w:asciiTheme="majorHAnsi" w:hAnsiTheme="majorHAnsi" w:cstheme="majorHAnsi"/>
          <w:sz w:val="24"/>
          <w:szCs w:val="24"/>
          <w:lang w:val="ru-MD"/>
        </w:rPr>
        <w:t xml:space="preserve"> аспект не повлиял</w:t>
      </w:r>
      <w:r w:rsidR="0041572A" w:rsidRPr="00DC7F4E">
        <w:rPr>
          <w:rFonts w:asciiTheme="majorHAnsi" w:hAnsiTheme="majorHAnsi" w:cstheme="majorHAnsi"/>
          <w:sz w:val="24"/>
          <w:szCs w:val="24"/>
          <w:lang w:val="ru-MD"/>
        </w:rPr>
        <w:t>.</w:t>
      </w:r>
      <w:r w:rsidR="00C73325" w:rsidRPr="00DC7F4E">
        <w:rPr>
          <w:rFonts w:asciiTheme="majorHAnsi" w:hAnsiTheme="majorHAnsi" w:cstheme="majorHAnsi"/>
          <w:sz w:val="24"/>
          <w:szCs w:val="24"/>
          <w:lang w:val="ru-MD"/>
        </w:rPr>
        <w:t xml:space="preserve"> </w:t>
      </w:r>
    </w:p>
    <w:p w:rsidR="00E01D10" w:rsidRPr="00DC7F4E" w:rsidRDefault="00CE4BD0" w:rsidP="000229ED">
      <w:pPr>
        <w:spacing w:after="0" w:line="276" w:lineRule="auto"/>
        <w:jc w:val="both"/>
        <w:outlineLvl w:val="0"/>
        <w:rPr>
          <w:rFonts w:asciiTheme="majorHAnsi" w:hAnsiTheme="majorHAnsi" w:cstheme="majorHAnsi"/>
          <w:sz w:val="16"/>
          <w:szCs w:val="16"/>
          <w:lang w:val="ru-MD"/>
        </w:rPr>
      </w:pPr>
      <w:r w:rsidRPr="00DC7F4E">
        <w:rPr>
          <w:rFonts w:asciiTheme="majorHAnsi" w:hAnsiTheme="majorHAnsi" w:cstheme="majorHAnsi"/>
          <w:sz w:val="24"/>
          <w:szCs w:val="24"/>
          <w:lang w:val="ru-MD"/>
        </w:rPr>
        <w:t xml:space="preserve">Аналогичная ситуация наблюдается и в случае электрических сетей </w:t>
      </w:r>
      <w:r w:rsidR="00E21D07">
        <w:rPr>
          <w:rFonts w:asciiTheme="majorHAnsi" w:hAnsiTheme="majorHAnsi" w:cstheme="majorHAnsi"/>
          <w:sz w:val="24"/>
          <w:szCs w:val="24"/>
          <w:lang w:val="ru-MD"/>
        </w:rPr>
        <w:t>публич</w:t>
      </w:r>
      <w:r w:rsidRPr="00DC7F4E">
        <w:rPr>
          <w:rFonts w:asciiTheme="majorHAnsi" w:hAnsiTheme="majorHAnsi" w:cstheme="majorHAnsi"/>
          <w:sz w:val="24"/>
          <w:szCs w:val="24"/>
          <w:lang w:val="ru-MD"/>
        </w:rPr>
        <w:t xml:space="preserve">ной собственности </w:t>
      </w:r>
      <w:r w:rsidR="00E21D07">
        <w:rPr>
          <w:rFonts w:asciiTheme="majorHAnsi" w:hAnsiTheme="majorHAnsi" w:cstheme="majorHAnsi"/>
          <w:sz w:val="24"/>
          <w:szCs w:val="24"/>
          <w:lang w:val="ru-MD"/>
        </w:rPr>
        <w:t>государства</w:t>
      </w:r>
      <w:r w:rsidRPr="00DC7F4E">
        <w:rPr>
          <w:rFonts w:asciiTheme="majorHAnsi" w:hAnsiTheme="majorHAnsi" w:cstheme="majorHAnsi"/>
          <w:sz w:val="24"/>
          <w:szCs w:val="24"/>
          <w:lang w:val="ru-MD"/>
        </w:rPr>
        <w:t xml:space="preserve">, зарегистрированных в бухгалтерском учете </w:t>
      </w:r>
      <w:r w:rsidR="00E21D07">
        <w:rPr>
          <w:rFonts w:asciiTheme="majorHAnsi" w:hAnsiTheme="majorHAnsi" w:cstheme="majorHAnsi"/>
          <w:sz w:val="24"/>
          <w:szCs w:val="24"/>
          <w:lang w:val="ru-MD"/>
        </w:rPr>
        <w:t>Г</w:t>
      </w:r>
      <w:r w:rsidRPr="00DC7F4E">
        <w:rPr>
          <w:rFonts w:asciiTheme="majorHAnsi" w:hAnsiTheme="majorHAnsi" w:cstheme="majorHAnsi"/>
          <w:sz w:val="24"/>
          <w:szCs w:val="24"/>
          <w:lang w:val="ru-MD"/>
        </w:rPr>
        <w:t xml:space="preserve">осударственного предприятия </w:t>
      </w:r>
      <w:r w:rsidR="00E21D07" w:rsidRPr="00DC7F4E">
        <w:rPr>
          <w:rFonts w:asciiTheme="majorHAnsi" w:hAnsiTheme="majorHAnsi" w:cstheme="majorHAnsi"/>
          <w:sz w:val="24"/>
          <w:szCs w:val="24"/>
          <w:lang w:val="ru-MD"/>
        </w:rPr>
        <w:t>„Moldelectrica”</w:t>
      </w:r>
      <w:r w:rsidRPr="00DC7F4E">
        <w:rPr>
          <w:rFonts w:asciiTheme="majorHAnsi" w:hAnsiTheme="majorHAnsi" w:cstheme="majorHAnsi"/>
          <w:sz w:val="24"/>
          <w:szCs w:val="24"/>
          <w:lang w:val="ru-MD"/>
        </w:rPr>
        <w:t xml:space="preserve">, а также </w:t>
      </w:r>
      <w:r w:rsidR="0015539E">
        <w:rPr>
          <w:rFonts w:asciiTheme="majorHAnsi" w:hAnsiTheme="majorHAnsi" w:cstheme="majorHAnsi"/>
          <w:sz w:val="24"/>
          <w:szCs w:val="24"/>
          <w:lang w:val="ru-MD"/>
        </w:rPr>
        <w:t>имущества, находящегося</w:t>
      </w:r>
      <w:r w:rsidRPr="00DC7F4E">
        <w:rPr>
          <w:rFonts w:asciiTheme="majorHAnsi" w:hAnsiTheme="majorHAnsi" w:cstheme="majorHAnsi"/>
          <w:sz w:val="24"/>
          <w:szCs w:val="24"/>
          <w:lang w:val="ru-MD"/>
        </w:rPr>
        <w:t xml:space="preserve"> в управлении </w:t>
      </w:r>
      <w:r w:rsidR="0015539E">
        <w:rPr>
          <w:rFonts w:asciiTheme="majorHAnsi" w:hAnsiTheme="majorHAnsi" w:cstheme="majorHAnsi"/>
          <w:sz w:val="24"/>
          <w:szCs w:val="24"/>
          <w:lang w:val="ru-MD"/>
        </w:rPr>
        <w:t>публич</w:t>
      </w:r>
      <w:r w:rsidRPr="00DC7F4E">
        <w:rPr>
          <w:rFonts w:asciiTheme="majorHAnsi" w:hAnsiTheme="majorHAnsi" w:cstheme="majorHAnsi"/>
          <w:sz w:val="24"/>
          <w:szCs w:val="24"/>
          <w:lang w:val="ru-MD"/>
        </w:rPr>
        <w:t xml:space="preserve">ных учреждений, </w:t>
      </w:r>
      <w:r w:rsidR="0015539E">
        <w:rPr>
          <w:rFonts w:asciiTheme="majorHAnsi" w:hAnsiTheme="majorHAnsi" w:cstheme="majorHAnsi"/>
          <w:sz w:val="24"/>
          <w:szCs w:val="24"/>
          <w:lang w:val="ru-MD"/>
        </w:rPr>
        <w:t>созда</w:t>
      </w:r>
      <w:r w:rsidRPr="00DC7F4E">
        <w:rPr>
          <w:rFonts w:asciiTheme="majorHAnsi" w:hAnsiTheme="majorHAnsi" w:cstheme="majorHAnsi"/>
          <w:sz w:val="24"/>
          <w:szCs w:val="24"/>
          <w:lang w:val="ru-MD"/>
        </w:rPr>
        <w:t>нных Министерством инфраструктуры и регионального развития</w:t>
      </w:r>
      <w:r w:rsidR="0015539E">
        <w:rPr>
          <w:rFonts w:asciiTheme="majorHAnsi" w:hAnsiTheme="majorHAnsi" w:cstheme="majorHAnsi"/>
          <w:sz w:val="24"/>
          <w:szCs w:val="24"/>
          <w:lang w:val="ru-MD"/>
        </w:rPr>
        <w:t>.</w:t>
      </w:r>
      <w:r w:rsidR="00A513CF" w:rsidRPr="00DC7F4E">
        <w:rPr>
          <w:rFonts w:asciiTheme="majorHAnsi" w:hAnsiTheme="majorHAnsi" w:cstheme="majorHAnsi"/>
          <w:sz w:val="24"/>
          <w:szCs w:val="24"/>
          <w:lang w:val="ru-MD"/>
        </w:rPr>
        <w:t xml:space="preserve"> </w:t>
      </w:r>
    </w:p>
    <w:p w:rsidR="00CF533C" w:rsidRPr="00DC7F4E" w:rsidRDefault="00CF533C" w:rsidP="000229ED">
      <w:pPr>
        <w:spacing w:after="0" w:line="276" w:lineRule="auto"/>
        <w:jc w:val="both"/>
        <w:outlineLvl w:val="0"/>
        <w:rPr>
          <w:rFonts w:asciiTheme="majorHAnsi" w:hAnsiTheme="majorHAnsi" w:cstheme="majorHAnsi"/>
          <w:sz w:val="16"/>
          <w:szCs w:val="16"/>
          <w:lang w:val="ru-MD"/>
        </w:rPr>
      </w:pPr>
    </w:p>
    <w:p w:rsidR="00125D9C" w:rsidRPr="00DC7F4E" w:rsidRDefault="006E6771" w:rsidP="000229ED">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DC7F4E">
        <w:rPr>
          <w:rFonts w:asciiTheme="majorHAnsi" w:hAnsiTheme="majorHAnsi" w:cstheme="majorHAnsi"/>
          <w:b/>
          <w:bCs/>
          <w:sz w:val="28"/>
          <w:szCs w:val="28"/>
          <w:lang w:val="ru-MD"/>
        </w:rPr>
        <w:t>КЛЮЧЕВЫЕ АСПЕКТЫ АУДИТА</w:t>
      </w:r>
      <w:r w:rsidRPr="00DC7F4E">
        <w:rPr>
          <w:rFonts w:asciiTheme="majorHAnsi" w:hAnsiTheme="majorHAnsi" w:cs="Times New Roman"/>
          <w:b/>
          <w:caps/>
          <w:sz w:val="28"/>
          <w:szCs w:val="28"/>
          <w:lang w:val="ru-MD"/>
        </w:rPr>
        <w:t xml:space="preserve"> </w:t>
      </w:r>
    </w:p>
    <w:p w:rsidR="00900127" w:rsidRPr="00DC7F4E" w:rsidRDefault="00821F09" w:rsidP="00900127">
      <w:pPr>
        <w:pStyle w:val="FootnoteText"/>
        <w:spacing w:line="276" w:lineRule="auto"/>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lastRenderedPageBreak/>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инфраструктуры и регионального развития по состоянию на 31 декабря 2022 года. Эти аспекты были рассмотрены в контексте аудита финансовой отчетности в целом, без выражения особого мнения по ним. За исключением аспектов, описанных в разделе </w:t>
      </w:r>
      <w:r w:rsidRPr="00DC7F4E">
        <w:rPr>
          <w:rFonts w:asciiTheme="majorHAnsi" w:hAnsiTheme="majorHAnsi" w:cstheme="majorHAnsi"/>
          <w:i/>
          <w:sz w:val="24"/>
          <w:szCs w:val="24"/>
          <w:lang w:val="ru-MD"/>
        </w:rPr>
        <w:t>Основание для условного мнения</w:t>
      </w:r>
      <w:r w:rsidRPr="00DC7F4E">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900127" w:rsidRPr="00DC7F4E">
        <w:rPr>
          <w:rFonts w:asciiTheme="majorHAnsi" w:hAnsiTheme="majorHAnsi" w:cs="Times New Roman"/>
          <w:sz w:val="24"/>
          <w:szCs w:val="24"/>
          <w:lang w:val="ru-MD"/>
        </w:rPr>
        <w:t xml:space="preserve">. </w:t>
      </w:r>
    </w:p>
    <w:p w:rsidR="00665398" w:rsidRPr="00DC7F4E" w:rsidRDefault="00821F09" w:rsidP="000229ED">
      <w:pPr>
        <w:spacing w:line="276" w:lineRule="auto"/>
        <w:jc w:val="both"/>
        <w:rPr>
          <w:rFonts w:asciiTheme="majorHAnsi" w:eastAsia="Times New Roman" w:hAnsiTheme="majorHAnsi"/>
          <w:color w:val="000000" w:themeColor="text1"/>
          <w:sz w:val="16"/>
          <w:szCs w:val="16"/>
          <w:lang w:val="ru-MD"/>
        </w:rPr>
      </w:pPr>
      <w:r w:rsidRPr="00DC7F4E">
        <w:rPr>
          <w:rFonts w:asciiTheme="majorHAnsi" w:eastAsia="Times New Roman" w:hAnsiTheme="majorHAnsi"/>
          <w:color w:val="000000" w:themeColor="text1"/>
          <w:sz w:val="24"/>
          <w:szCs w:val="24"/>
          <w:lang w:val="ru-MD"/>
        </w:rPr>
        <w:t>Финансовые средства из Дорожного фонда направляются Министерству инфраструктуры и регионального развития в группу счетов „Субсидии”, впоследствии они управляются Государственным предприятием „Государственная администрация дорог”, которое не имеет статуса бюджетного учреждения, но отвечает за реализацию проектов инфраструктуры и обслуживания дорог через акционерные общества. Согласно объяснениям Министерства финансов, „</w:t>
      </w:r>
      <w:r w:rsidRPr="00DC7F4E">
        <w:rPr>
          <w:rFonts w:asciiTheme="majorHAnsi" w:eastAsia="Times New Roman" w:hAnsiTheme="majorHAnsi"/>
          <w:i/>
          <w:color w:val="000000" w:themeColor="text1"/>
          <w:sz w:val="24"/>
          <w:szCs w:val="24"/>
          <w:lang w:val="ru-MD"/>
        </w:rPr>
        <w:t>учитывая, что данные ассигнования осуществляются через государственное предприятие, эти расходы классифицируются по группе счетов субсидий, предоставляемых нефинансовым государственным и муниципальным предприятиям</w:t>
      </w:r>
      <w:r w:rsidRPr="00DC7F4E">
        <w:rPr>
          <w:rFonts w:asciiTheme="majorHAnsi" w:eastAsia="Times New Roman" w:hAnsiTheme="majorHAnsi"/>
          <w:color w:val="000000" w:themeColor="text1"/>
          <w:sz w:val="24"/>
          <w:szCs w:val="24"/>
          <w:lang w:val="ru-MD"/>
        </w:rPr>
        <w:t>”.</w:t>
      </w:r>
      <w:r w:rsidR="000E7C16" w:rsidRPr="00DC7F4E">
        <w:rPr>
          <w:rFonts w:asciiTheme="majorHAnsi" w:eastAsia="Times New Roman" w:hAnsiTheme="majorHAnsi"/>
          <w:color w:val="000000" w:themeColor="text1"/>
          <w:sz w:val="24"/>
          <w:szCs w:val="24"/>
          <w:lang w:val="ru-MD"/>
        </w:rPr>
        <w:t xml:space="preserve"> </w:t>
      </w:r>
      <w:r w:rsidRPr="00DC7F4E">
        <w:rPr>
          <w:rFonts w:asciiTheme="majorHAnsi" w:eastAsia="Times New Roman" w:hAnsiTheme="majorHAnsi"/>
          <w:color w:val="000000" w:themeColor="text1"/>
          <w:sz w:val="24"/>
          <w:szCs w:val="24"/>
          <w:lang w:val="ru-MD"/>
        </w:rPr>
        <w:t xml:space="preserve">Одновременно, исходя из цели и назначения указанных финансовых средств, они не соответствуют группе счетов „Субсидии”, поскольку они не являются платежами, выплачиваемыми производящим или предоставляющим услуги субъектам, с целью влияния на процесс производства или цены поставки. Так же, они не включают трансферты для компенсации убытков, понесенных в процессе производства или оказания услуг в результате поддержания цен на более низком уровне затрат при установлении государством экономической и социальной политики, для частичной компенсации взносов обязательного государственного социального страхования, для приобретения оборудования и сырья, для компенсации разницы в цене или тарифе на услуги производителям или поставщикам услуг, осуществляемой на благо всех граждан. Таким образом, финансовые ресурсы в размере </w:t>
      </w:r>
      <w:r w:rsidRPr="00DC7F4E">
        <w:rPr>
          <w:rFonts w:asciiTheme="majorHAnsi" w:eastAsia="Times New Roman" w:hAnsiTheme="majorHAnsi"/>
          <w:b/>
          <w:color w:val="000000" w:themeColor="text1"/>
          <w:sz w:val="24"/>
          <w:szCs w:val="24"/>
          <w:lang w:val="ru-MD"/>
        </w:rPr>
        <w:t>1 618,96 млн. леев</w:t>
      </w:r>
      <w:r w:rsidRPr="00DC7F4E">
        <w:rPr>
          <w:rFonts w:asciiTheme="majorHAnsi" w:eastAsia="Times New Roman" w:hAnsiTheme="majorHAnsi"/>
          <w:color w:val="000000" w:themeColor="text1"/>
          <w:sz w:val="24"/>
          <w:szCs w:val="24"/>
          <w:lang w:val="ru-MD"/>
        </w:rPr>
        <w:t>, выделенные из Дорожного фонда, не соответствуют понятию субсидий, что отрицательно влияет на прозрачность финансовой информации из консолидированных отчетов Министерства инфраструктуры и регионального развития и не обеспечивает их правильного понимания внешними пользователями.</w:t>
      </w:r>
    </w:p>
    <w:bookmarkEnd w:id="6"/>
    <w:p w:rsidR="00E4413D" w:rsidRPr="00DC7F4E" w:rsidRDefault="006E6771" w:rsidP="000229ED">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DC7F4E">
        <w:rPr>
          <w:rFonts w:asciiTheme="majorHAnsi" w:hAnsiTheme="majorHAnsi" w:cstheme="majorHAnsi"/>
          <w:b/>
          <w:sz w:val="28"/>
          <w:szCs w:val="28"/>
          <w:lang w:val="ru-MD"/>
        </w:rPr>
        <w:t>ДРУГАЯ ИНФОРМАЦИЯ</w:t>
      </w:r>
      <w:r w:rsidRPr="00DC7F4E">
        <w:rPr>
          <w:rFonts w:asciiTheme="majorHAnsi" w:hAnsiTheme="majorHAnsi" w:cs="Times New Roman"/>
          <w:b/>
          <w:caps/>
          <w:sz w:val="28"/>
          <w:szCs w:val="28"/>
          <w:lang w:val="ru-MD"/>
        </w:rPr>
        <w:t xml:space="preserve"> </w:t>
      </w:r>
    </w:p>
    <w:p w:rsidR="00E4413D" w:rsidRPr="00DC7F4E" w:rsidRDefault="00056BB1" w:rsidP="000229ED">
      <w:pPr>
        <w:tabs>
          <w:tab w:val="left" w:pos="0"/>
        </w:tabs>
        <w:spacing w:after="0" w:line="276" w:lineRule="auto"/>
        <w:jc w:val="both"/>
        <w:rPr>
          <w:rFonts w:asciiTheme="majorHAnsi" w:hAnsiTheme="majorHAnsi" w:cstheme="majorHAnsi"/>
          <w:sz w:val="24"/>
          <w:szCs w:val="24"/>
          <w:lang w:val="ru-MD"/>
        </w:rPr>
      </w:pPr>
      <w:r w:rsidRPr="00DC7F4E">
        <w:rPr>
          <w:rFonts w:asciiTheme="majorHAnsi" w:hAnsiTheme="majorHAnsi" w:cstheme="majorHAnsi"/>
          <w:sz w:val="24"/>
          <w:szCs w:val="24"/>
          <w:lang w:val="ru-MD"/>
        </w:rPr>
        <w:t>Из-за невнедрения своевременно некоторых из предыдущих рекомендаций Счетной палаты, а также из-за неправильного толкования положений применяемой базы по финансовой отчетности, были допущены нарушения, такие, как</w:t>
      </w:r>
      <w:r w:rsidR="003E2A41" w:rsidRPr="00DC7F4E">
        <w:rPr>
          <w:rFonts w:asciiTheme="majorHAnsi" w:hAnsiTheme="majorHAnsi" w:cstheme="majorHAnsi"/>
          <w:sz w:val="24"/>
          <w:szCs w:val="24"/>
          <w:lang w:val="ru-MD"/>
        </w:rPr>
        <w:t>:</w:t>
      </w:r>
    </w:p>
    <w:p w:rsidR="00E0142C" w:rsidRPr="00DC7F4E" w:rsidRDefault="00056BB1" w:rsidP="00056BB1">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 xml:space="preserve">ПУ НОРМР не передало стоимость имущества, распределенного сообществам-бенефициарам с целью улучшения условий деятельности в учебных заведениях, что привело к завышению стоимости подгрупп счетов 316 „Орудия и инструменты, производственный и хозяйственный инвентарь” - на сумму </w:t>
      </w:r>
      <w:r w:rsidRPr="00DC7F4E">
        <w:rPr>
          <w:rFonts w:asciiTheme="majorHAnsi" w:hAnsiTheme="majorHAnsi" w:cs="Times New Roman"/>
          <w:b/>
          <w:sz w:val="24"/>
          <w:szCs w:val="24"/>
          <w:lang w:val="ru-MD"/>
        </w:rPr>
        <w:t>2,75 млн. леев</w:t>
      </w:r>
      <w:r w:rsidRPr="00DC7F4E">
        <w:rPr>
          <w:rFonts w:asciiTheme="majorHAnsi" w:hAnsiTheme="majorHAnsi" w:cs="Times New Roman"/>
          <w:sz w:val="24"/>
          <w:szCs w:val="24"/>
          <w:lang w:val="ru-MD"/>
        </w:rPr>
        <w:t xml:space="preserve">, и 314 „Машины и оборудование”- на </w:t>
      </w:r>
      <w:r w:rsidRPr="00DC7F4E">
        <w:rPr>
          <w:rFonts w:asciiTheme="majorHAnsi" w:hAnsiTheme="majorHAnsi" w:cs="Times New Roman"/>
          <w:b/>
          <w:sz w:val="24"/>
          <w:szCs w:val="24"/>
          <w:lang w:val="ru-MD"/>
        </w:rPr>
        <w:t>0,9 млн. леев</w:t>
      </w:r>
      <w:r w:rsidR="00E0142C" w:rsidRPr="00DC7F4E">
        <w:rPr>
          <w:rFonts w:asciiTheme="majorHAnsi" w:hAnsiTheme="majorHAnsi" w:cs="Times New Roman"/>
          <w:sz w:val="24"/>
          <w:szCs w:val="24"/>
          <w:lang w:val="ru-MD"/>
        </w:rPr>
        <w:t>;</w:t>
      </w:r>
    </w:p>
    <w:p w:rsidR="00CE1EA9" w:rsidRPr="00DC7F4E" w:rsidRDefault="00056BB1" w:rsidP="000229ED">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DC7F4E">
        <w:rPr>
          <w:rFonts w:asciiTheme="majorHAnsi" w:eastAsia="Times New Roman" w:hAnsiTheme="majorHAnsi" w:cstheme="majorHAnsi"/>
          <w:sz w:val="24"/>
          <w:szCs w:val="24"/>
          <w:lang w:val="ru-MD"/>
        </w:rPr>
        <w:t xml:space="preserve">Агентство по энергоэффективности не передало фотоэлектрическую установку на сумму </w:t>
      </w:r>
      <w:r w:rsidRPr="00DC7F4E">
        <w:rPr>
          <w:rFonts w:asciiTheme="majorHAnsi" w:eastAsia="Times New Roman" w:hAnsiTheme="majorHAnsi" w:cstheme="majorHAnsi"/>
          <w:b/>
          <w:sz w:val="24"/>
          <w:szCs w:val="24"/>
          <w:lang w:val="ru-MD"/>
        </w:rPr>
        <w:t>2,75 млн. леев</w:t>
      </w:r>
      <w:r w:rsidRPr="00DC7F4E">
        <w:rPr>
          <w:rFonts w:asciiTheme="majorHAnsi" w:eastAsia="Times New Roman" w:hAnsiTheme="majorHAnsi" w:cstheme="majorHAnsi"/>
          <w:sz w:val="24"/>
          <w:szCs w:val="24"/>
          <w:lang w:val="ru-MD"/>
        </w:rPr>
        <w:t xml:space="preserve"> Государственной налоговой службе, что привело к завышению </w:t>
      </w:r>
      <w:r w:rsidRPr="00DC7F4E">
        <w:rPr>
          <w:rFonts w:asciiTheme="majorHAnsi" w:eastAsia="Times New Roman" w:hAnsiTheme="majorHAnsi" w:cstheme="majorHAnsi"/>
          <w:sz w:val="24"/>
          <w:szCs w:val="24"/>
          <w:lang w:val="ru-MD"/>
        </w:rPr>
        <w:lastRenderedPageBreak/>
        <w:t xml:space="preserve">в отчетности стоимости </w:t>
      </w:r>
      <w:r w:rsidR="000E23B6" w:rsidRPr="00DC7F4E">
        <w:rPr>
          <w:rFonts w:asciiTheme="majorHAnsi" w:eastAsia="Times New Roman" w:hAnsiTheme="majorHAnsi" w:cstheme="majorHAnsi"/>
          <w:sz w:val="24"/>
          <w:szCs w:val="24"/>
          <w:lang w:val="ru-MD"/>
        </w:rPr>
        <w:t>подгруппы, относящейся к машинам и оборудованиям</w:t>
      </w:r>
      <w:r w:rsidRPr="00DC7F4E">
        <w:rPr>
          <w:rFonts w:asciiTheme="majorHAnsi" w:eastAsia="Times New Roman" w:hAnsiTheme="majorHAnsi" w:cstheme="majorHAnsi"/>
          <w:sz w:val="24"/>
          <w:szCs w:val="24"/>
          <w:lang w:val="ru-MD"/>
        </w:rPr>
        <w:t>, находящи</w:t>
      </w:r>
      <w:r w:rsidR="000E23B6" w:rsidRPr="00DC7F4E">
        <w:rPr>
          <w:rFonts w:asciiTheme="majorHAnsi" w:eastAsia="Times New Roman" w:hAnsiTheme="majorHAnsi" w:cstheme="majorHAnsi"/>
          <w:sz w:val="24"/>
          <w:szCs w:val="24"/>
          <w:lang w:val="ru-MD"/>
        </w:rPr>
        <w:t>м</w:t>
      </w:r>
      <w:r w:rsidRPr="00DC7F4E">
        <w:rPr>
          <w:rFonts w:asciiTheme="majorHAnsi" w:eastAsia="Times New Roman" w:hAnsiTheme="majorHAnsi" w:cstheme="majorHAnsi"/>
          <w:sz w:val="24"/>
          <w:szCs w:val="24"/>
          <w:lang w:val="ru-MD"/>
        </w:rPr>
        <w:t>ся в его ведении</w:t>
      </w:r>
      <w:r w:rsidR="004F54CC" w:rsidRPr="00DC7F4E">
        <w:rPr>
          <w:rFonts w:asciiTheme="majorHAnsi" w:eastAsia="Times New Roman" w:hAnsiTheme="majorHAnsi" w:cstheme="majorHAnsi"/>
          <w:sz w:val="24"/>
          <w:szCs w:val="24"/>
          <w:lang w:val="ru-MD"/>
        </w:rPr>
        <w:t>;</w:t>
      </w:r>
    </w:p>
    <w:p w:rsidR="005850AA" w:rsidRPr="00DC7F4E" w:rsidRDefault="000E23B6" w:rsidP="000E23B6">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 xml:space="preserve">Национальное агентство автомобильного транспорта не рассчитало амортизацию для информационной системы е-Autorizație, что обусловило занижение расходов за отчетный период на </w:t>
      </w:r>
      <w:r w:rsidRPr="00DC7F4E">
        <w:rPr>
          <w:rFonts w:asciiTheme="majorHAnsi" w:hAnsiTheme="majorHAnsi" w:cs="Times New Roman"/>
          <w:b/>
          <w:sz w:val="24"/>
          <w:szCs w:val="24"/>
          <w:lang w:val="ru-MD"/>
        </w:rPr>
        <w:t>0,83 млн. леев</w:t>
      </w:r>
      <w:r w:rsidR="004F54CC" w:rsidRPr="00DC7F4E">
        <w:rPr>
          <w:rFonts w:asciiTheme="majorHAnsi" w:hAnsiTheme="majorHAnsi" w:cs="Times New Roman"/>
          <w:sz w:val="24"/>
          <w:szCs w:val="24"/>
          <w:lang w:val="ru-MD"/>
        </w:rPr>
        <w:t xml:space="preserve">. </w:t>
      </w:r>
    </w:p>
    <w:p w:rsidR="005850AA" w:rsidRPr="00DC7F4E" w:rsidRDefault="005850AA" w:rsidP="005850AA">
      <w:pPr>
        <w:pStyle w:val="ListParagraph"/>
        <w:tabs>
          <w:tab w:val="left" w:pos="0"/>
        </w:tabs>
        <w:spacing w:after="0" w:line="276" w:lineRule="auto"/>
        <w:jc w:val="both"/>
        <w:rPr>
          <w:rFonts w:asciiTheme="majorHAnsi" w:hAnsiTheme="majorHAnsi" w:cs="Times New Roman"/>
          <w:sz w:val="16"/>
          <w:szCs w:val="16"/>
          <w:lang w:val="ru-MD"/>
        </w:rPr>
      </w:pPr>
    </w:p>
    <w:p w:rsidR="00125D9C" w:rsidRPr="00DC7F4E" w:rsidRDefault="006E6771" w:rsidP="000229ED">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DC7F4E">
        <w:rPr>
          <w:rFonts w:asciiTheme="majorHAnsi" w:hAnsiTheme="majorHAnsi" w:cstheme="majorHAnsi"/>
          <w:b/>
          <w:sz w:val="28"/>
          <w:szCs w:val="28"/>
          <w:lang w:val="ru-MD"/>
        </w:rPr>
        <w:t>НАДЛЕЖАЩЕЕ УПРАВЛЕНИЕ</w:t>
      </w:r>
      <w:r w:rsidRPr="00DC7F4E">
        <w:rPr>
          <w:rFonts w:asciiTheme="majorHAnsi" w:hAnsiTheme="majorHAnsi" w:cs="Times New Roman"/>
          <w:b/>
          <w:sz w:val="28"/>
          <w:szCs w:val="28"/>
          <w:lang w:val="ru-MD"/>
        </w:rPr>
        <w:t xml:space="preserve"> </w:t>
      </w:r>
    </w:p>
    <w:p w:rsidR="00B46AAE" w:rsidRPr="00DC7F4E" w:rsidRDefault="006710E8" w:rsidP="00B46AAE">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t>Министерство инфраструктуры и регионального развития установило систему внутреннего управленческого контроля, которая обеспечивает средний уровень функциональности и эффективности ключевых контролей. Были выявлены некоторые пробелы, которые обусловили выражение условного мнения и за 2022 бюджетный год</w:t>
      </w:r>
      <w:r w:rsidR="00577987" w:rsidRPr="00DC7F4E">
        <w:rPr>
          <w:rFonts w:asciiTheme="majorHAnsi" w:hAnsiTheme="majorHAnsi"/>
          <w:sz w:val="24"/>
          <w:szCs w:val="24"/>
          <w:lang w:val="ru-MD"/>
        </w:rPr>
        <w:t>.</w:t>
      </w:r>
    </w:p>
    <w:p w:rsidR="00F87F2E" w:rsidRPr="00DC7F4E" w:rsidRDefault="006710E8" w:rsidP="00654EB4">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Подразделения внутреннего аудита в рамках министерства, а также его подведомственных субъектов, были пополнены персоналом на очень низком уровне, что, как следствие, лишило руководителей инструмента, обеспечивающего прудентное управление рисками, способствующего улучшению внутреннего управленческого контроля, а также повышению уровня эффективности и результативности управляемых процессов</w:t>
      </w:r>
      <w:r w:rsidR="00CF533C" w:rsidRPr="00DC7F4E">
        <w:rPr>
          <w:rFonts w:asciiTheme="majorHAnsi" w:hAnsiTheme="majorHAnsi" w:cs="Times New Roman"/>
          <w:sz w:val="24"/>
          <w:szCs w:val="24"/>
          <w:lang w:val="ru-MD"/>
        </w:rPr>
        <w:t>.</w:t>
      </w:r>
    </w:p>
    <w:p w:rsidR="00B46AAE" w:rsidRPr="00DC7F4E" w:rsidRDefault="00BD7729" w:rsidP="00BD7729">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Для исправления ошибок, установленных предыдущими аудиторскими миссиями, Счетная палата направила Министерству 4 рекомендации, 2 из которых не были реализованы. Невыполненные рекомендации напрямую повлияли на модифицирование аудиторского мнения за 2022 год</w:t>
      </w:r>
      <w:r w:rsidR="00B46AAE" w:rsidRPr="00DC7F4E">
        <w:rPr>
          <w:rFonts w:asciiTheme="majorHAnsi" w:hAnsiTheme="majorHAnsi" w:cs="Times New Roman"/>
          <w:sz w:val="24"/>
          <w:szCs w:val="24"/>
          <w:lang w:val="ru-MD"/>
        </w:rPr>
        <w:t>.</w:t>
      </w:r>
    </w:p>
    <w:p w:rsidR="00B46AAE" w:rsidRPr="00DC7F4E" w:rsidRDefault="004722E7" w:rsidP="004722E7">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sz w:val="24"/>
          <w:szCs w:val="24"/>
          <w:lang w:val="ru-MD"/>
        </w:rPr>
        <w:t>Хотя применяемая нормативная база</w:t>
      </w:r>
      <w:r w:rsidRPr="00DC7F4E">
        <w:rPr>
          <w:vertAlign w:val="superscript"/>
          <w:lang w:val="ru-MD"/>
        </w:rPr>
        <w:footnoteReference w:id="6"/>
      </w:r>
      <w:r w:rsidRPr="00DC7F4E">
        <w:rPr>
          <w:rFonts w:asciiTheme="majorHAnsi" w:hAnsiTheme="majorHAnsi"/>
          <w:sz w:val="24"/>
          <w:szCs w:val="24"/>
          <w:lang w:val="ru-MD"/>
        </w:rPr>
        <w:t xml:space="preserve"> прямо устанавливает, что заключение Агентства по техническому надзору по контролю качества выполняемого строительства должно быть указано в протоколах приема работ, отмечается, что эти заключения отсутствуют в 17 протоколах приема работ по строительству/реконструкции дорог публичной собственности, из 20 зарегистрированных Государственным предприятием „Государственная администрация дорог” в 2022 году</w:t>
      </w:r>
      <w:r w:rsidR="00CF533C" w:rsidRPr="00DC7F4E">
        <w:rPr>
          <w:rFonts w:asciiTheme="majorHAnsi" w:hAnsiTheme="majorHAnsi"/>
          <w:sz w:val="24"/>
          <w:szCs w:val="24"/>
          <w:lang w:val="ru-MD"/>
        </w:rPr>
        <w:t>.</w:t>
      </w:r>
      <w:r w:rsidR="00CF533C" w:rsidRPr="00DC7F4E">
        <w:rPr>
          <w:rFonts w:asciiTheme="majorHAnsi" w:hAnsiTheme="majorHAnsi" w:cstheme="majorHAnsi"/>
          <w:sz w:val="24"/>
          <w:szCs w:val="24"/>
          <w:lang w:val="ru-MD"/>
        </w:rPr>
        <w:t xml:space="preserve"> </w:t>
      </w:r>
      <w:r w:rsidRPr="00DC7F4E">
        <w:rPr>
          <w:rFonts w:asciiTheme="majorHAnsi" w:hAnsiTheme="majorHAnsi" w:cstheme="majorHAnsi"/>
          <w:sz w:val="24"/>
          <w:szCs w:val="24"/>
          <w:lang w:val="ru-MD"/>
        </w:rPr>
        <w:t xml:space="preserve">Эта ситуация генерирует дополнительный риск необеспечения надзора за качеством выполненных работ и/или строительства, что в результате может обусловить несение дополнительных расходов. Отмечается, что общая стоимость принятых в 2022 году работ составляет </w:t>
      </w:r>
      <w:r w:rsidRPr="00DC7F4E">
        <w:rPr>
          <w:rFonts w:asciiTheme="majorHAnsi" w:hAnsiTheme="majorHAnsi" w:cstheme="majorHAnsi"/>
          <w:b/>
          <w:sz w:val="24"/>
          <w:szCs w:val="24"/>
          <w:lang w:val="ru-MD"/>
        </w:rPr>
        <w:t>4 705,45 млн. ле</w:t>
      </w:r>
      <w:r w:rsidR="004B312C" w:rsidRPr="00DC7F4E">
        <w:rPr>
          <w:rFonts w:asciiTheme="majorHAnsi" w:hAnsiTheme="majorHAnsi" w:cstheme="majorHAnsi"/>
          <w:b/>
          <w:sz w:val="24"/>
          <w:szCs w:val="24"/>
          <w:lang w:val="ru-MD"/>
        </w:rPr>
        <w:t>ев</w:t>
      </w:r>
      <w:r w:rsidRPr="00DC7F4E">
        <w:rPr>
          <w:rFonts w:asciiTheme="majorHAnsi" w:hAnsiTheme="majorHAnsi" w:cstheme="majorHAnsi"/>
          <w:sz w:val="24"/>
          <w:szCs w:val="24"/>
          <w:lang w:val="ru-MD"/>
        </w:rPr>
        <w:t xml:space="preserve">, </w:t>
      </w:r>
      <w:r w:rsidR="004B312C" w:rsidRPr="00DC7F4E">
        <w:rPr>
          <w:rFonts w:asciiTheme="majorHAnsi" w:hAnsiTheme="majorHAnsi" w:cstheme="majorHAnsi"/>
          <w:sz w:val="24"/>
          <w:szCs w:val="24"/>
          <w:lang w:val="ru-MD"/>
        </w:rPr>
        <w:t xml:space="preserve">которые </w:t>
      </w:r>
      <w:r w:rsidRPr="00DC7F4E">
        <w:rPr>
          <w:rFonts w:asciiTheme="majorHAnsi" w:hAnsiTheme="majorHAnsi" w:cstheme="majorHAnsi"/>
          <w:sz w:val="24"/>
          <w:szCs w:val="24"/>
          <w:lang w:val="ru-MD"/>
        </w:rPr>
        <w:t>представляю</w:t>
      </w:r>
      <w:r w:rsidR="004B312C" w:rsidRPr="00DC7F4E">
        <w:rPr>
          <w:rFonts w:asciiTheme="majorHAnsi" w:hAnsiTheme="majorHAnsi" w:cstheme="majorHAnsi"/>
          <w:sz w:val="24"/>
          <w:szCs w:val="24"/>
          <w:lang w:val="ru-MD"/>
        </w:rPr>
        <w:t>т</w:t>
      </w:r>
      <w:r w:rsidRPr="00DC7F4E">
        <w:rPr>
          <w:rFonts w:asciiTheme="majorHAnsi" w:hAnsiTheme="majorHAnsi" w:cstheme="majorHAnsi"/>
          <w:sz w:val="24"/>
          <w:szCs w:val="24"/>
          <w:lang w:val="ru-MD"/>
        </w:rPr>
        <w:t xml:space="preserve"> </w:t>
      </w:r>
      <w:r w:rsidR="004B312C" w:rsidRPr="00DC7F4E">
        <w:rPr>
          <w:rFonts w:asciiTheme="majorHAnsi" w:hAnsiTheme="majorHAnsi" w:cstheme="majorHAnsi"/>
          <w:sz w:val="24"/>
          <w:szCs w:val="24"/>
          <w:lang w:val="ru-MD"/>
        </w:rPr>
        <w:t>самую</w:t>
      </w:r>
      <w:r w:rsidRPr="00DC7F4E">
        <w:rPr>
          <w:rFonts w:asciiTheme="majorHAnsi" w:hAnsiTheme="majorHAnsi" w:cstheme="majorHAnsi"/>
          <w:sz w:val="24"/>
          <w:szCs w:val="24"/>
          <w:lang w:val="ru-MD"/>
        </w:rPr>
        <w:t xml:space="preserve"> значительную часть текущих инвестиций, </w:t>
      </w:r>
      <w:r w:rsidR="004B312C" w:rsidRPr="00DC7F4E">
        <w:rPr>
          <w:rFonts w:asciiTheme="majorHAnsi" w:hAnsiTheme="majorHAnsi" w:cstheme="majorHAnsi"/>
          <w:sz w:val="24"/>
          <w:szCs w:val="24"/>
          <w:lang w:val="ru-MD"/>
        </w:rPr>
        <w:t>реализов</w:t>
      </w:r>
      <w:r w:rsidRPr="00DC7F4E">
        <w:rPr>
          <w:rFonts w:asciiTheme="majorHAnsi" w:hAnsiTheme="majorHAnsi" w:cstheme="majorHAnsi"/>
          <w:sz w:val="24"/>
          <w:szCs w:val="24"/>
          <w:lang w:val="ru-MD"/>
        </w:rPr>
        <w:t>анных Министерством инфраструктуры и регионального развития</w:t>
      </w:r>
      <w:r w:rsidR="00CF533C" w:rsidRPr="00DC7F4E">
        <w:rPr>
          <w:rFonts w:asciiTheme="majorHAnsi" w:hAnsiTheme="majorHAnsi"/>
          <w:sz w:val="24"/>
          <w:szCs w:val="24"/>
          <w:lang w:val="ru-MD"/>
        </w:rPr>
        <w:t>.</w:t>
      </w:r>
    </w:p>
    <w:p w:rsidR="00B46AAE" w:rsidRPr="00DC7F4E" w:rsidRDefault="004B312C" w:rsidP="004B312C">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 xml:space="preserve">Согласно Рамочному Кредитному соглашению между Республикой Молдова и Банком развития Совета Европы, Подразделение по внедрению II Проекта строительства жилья для социально уязвимых слоев инициировало строительные работы по многоквартирному жилому дому в г. Резина, в 2017 году (сумма инвестиций составляет </w:t>
      </w:r>
      <w:r w:rsidRPr="00DC7F4E">
        <w:rPr>
          <w:rFonts w:asciiTheme="majorHAnsi" w:hAnsiTheme="majorHAnsi" w:cs="Times New Roman"/>
          <w:b/>
          <w:sz w:val="24"/>
          <w:szCs w:val="24"/>
          <w:lang w:val="ru-MD"/>
        </w:rPr>
        <w:t>28,70</w:t>
      </w:r>
      <w:r w:rsidRPr="00DC7F4E">
        <w:rPr>
          <w:rFonts w:asciiTheme="majorHAnsi" w:hAnsiTheme="majorHAnsi" w:cs="Times New Roman"/>
          <w:sz w:val="24"/>
          <w:szCs w:val="24"/>
          <w:lang w:val="ru-MD"/>
        </w:rPr>
        <w:t xml:space="preserve"> млн. леев) и по многоквартирному жилому дому в г. Чимишлия, в 2018 году (сумма инвестиций составляет </w:t>
      </w:r>
      <w:r w:rsidRPr="00DC7F4E">
        <w:rPr>
          <w:rFonts w:asciiTheme="majorHAnsi" w:hAnsiTheme="majorHAnsi" w:cs="Times New Roman"/>
          <w:b/>
          <w:sz w:val="24"/>
          <w:szCs w:val="24"/>
          <w:lang w:val="ru-MD"/>
        </w:rPr>
        <w:t>15,78</w:t>
      </w:r>
      <w:r w:rsidRPr="00DC7F4E">
        <w:rPr>
          <w:rFonts w:asciiTheme="majorHAnsi" w:hAnsiTheme="majorHAnsi" w:cs="Times New Roman"/>
          <w:sz w:val="24"/>
          <w:szCs w:val="24"/>
          <w:lang w:val="ru-MD"/>
        </w:rPr>
        <w:t xml:space="preserve"> млн. леев). До настоящего времени, по разным причинам, в нарушение условий первоначальных договоров подряда, работы не были завершены, а многоквартирные жилые дома не сданы в эксплуатацию. Соответственно, отмечается затягивание выполнения указанных работ, что до настоящего времени не способствовало </w:t>
      </w:r>
      <w:r w:rsidRPr="00DC7F4E">
        <w:rPr>
          <w:rFonts w:asciiTheme="majorHAnsi" w:hAnsiTheme="majorHAnsi" w:cs="Times New Roman"/>
          <w:sz w:val="24"/>
          <w:szCs w:val="24"/>
          <w:lang w:val="ru-MD"/>
        </w:rPr>
        <w:lastRenderedPageBreak/>
        <w:t>достижению цели предоставленного кредита и не улучшило в установленные сроки условия жизни лиц с низкими доходами различных категорий</w:t>
      </w:r>
      <w:r w:rsidR="00CF533C" w:rsidRPr="00DC7F4E">
        <w:rPr>
          <w:rFonts w:asciiTheme="majorHAnsi" w:eastAsia="Times New Roman" w:hAnsiTheme="majorHAnsi" w:cstheme="majorHAnsi"/>
          <w:sz w:val="24"/>
          <w:szCs w:val="24"/>
          <w:lang w:val="ru-MD"/>
        </w:rPr>
        <w:t xml:space="preserve">. </w:t>
      </w:r>
      <w:r w:rsidRPr="00DC7F4E">
        <w:rPr>
          <w:rFonts w:asciiTheme="majorHAnsi" w:eastAsia="Times New Roman" w:hAnsiTheme="majorHAnsi" w:cstheme="majorHAnsi"/>
          <w:sz w:val="24"/>
          <w:szCs w:val="24"/>
          <w:lang w:val="ru-MD"/>
        </w:rPr>
        <w:t>Ранее Счетная палата высказывалась и в других отчетах по этому вопросу, выдвигая соответствующие рекомендации</w:t>
      </w:r>
      <w:r w:rsidR="00CF533C" w:rsidRPr="00DC7F4E">
        <w:rPr>
          <w:rFonts w:asciiTheme="majorHAnsi" w:eastAsia="Times New Roman" w:hAnsiTheme="majorHAnsi" w:cstheme="majorHAnsi"/>
          <w:sz w:val="24"/>
          <w:szCs w:val="24"/>
          <w:lang w:val="ru-MD"/>
        </w:rPr>
        <w:t>.</w:t>
      </w:r>
    </w:p>
    <w:p w:rsidR="00B46AAE" w:rsidRPr="00DC7F4E" w:rsidRDefault="00155C04" w:rsidP="00155C04">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t xml:space="preserve">Министерство инфраструктуры и регионального развития не предприняло достаточных мер, чтобы уведомить </w:t>
      </w:r>
      <w:r w:rsidR="002F763F" w:rsidRPr="00DC7F4E">
        <w:rPr>
          <w:rFonts w:asciiTheme="majorHAnsi" w:hAnsiTheme="majorHAnsi" w:cstheme="majorHAnsi"/>
          <w:sz w:val="24"/>
          <w:szCs w:val="24"/>
          <w:lang w:val="ru-MD"/>
        </w:rPr>
        <w:t>А</w:t>
      </w:r>
      <w:r w:rsidRPr="00DC7F4E">
        <w:rPr>
          <w:rFonts w:asciiTheme="majorHAnsi" w:hAnsiTheme="majorHAnsi" w:cstheme="majorHAnsi"/>
          <w:sz w:val="24"/>
          <w:szCs w:val="24"/>
          <w:lang w:val="ru-MD"/>
        </w:rPr>
        <w:t xml:space="preserve">кционерное общество </w:t>
      </w:r>
      <w:r w:rsidR="002F763F" w:rsidRPr="00DC7F4E">
        <w:rPr>
          <w:rFonts w:asciiTheme="majorHAnsi" w:eastAsia="Times New Roman" w:hAnsiTheme="majorHAnsi" w:cstheme="majorHAnsi"/>
          <w:sz w:val="24"/>
          <w:szCs w:val="24"/>
          <w:lang w:val="ru-MD"/>
        </w:rPr>
        <w:t>„KAMAZ</w:t>
      </w:r>
      <w:r w:rsidRPr="00DC7F4E">
        <w:rPr>
          <w:rFonts w:asciiTheme="majorHAnsi" w:hAnsiTheme="majorHAnsi" w:cstheme="majorHAnsi"/>
          <w:sz w:val="24"/>
          <w:szCs w:val="24"/>
          <w:lang w:val="ru-MD"/>
        </w:rPr>
        <w:t xml:space="preserve">, базирующееся в Республике Татарстан, Российская Федерация, о преемстве </w:t>
      </w:r>
      <w:r w:rsidR="006904E3" w:rsidRPr="00DC7F4E">
        <w:rPr>
          <w:rFonts w:asciiTheme="majorHAnsi" w:hAnsiTheme="majorHAnsi" w:cstheme="majorHAnsi"/>
          <w:sz w:val="24"/>
          <w:szCs w:val="24"/>
          <w:lang w:val="ru-MD"/>
        </w:rPr>
        <w:t xml:space="preserve">прав </w:t>
      </w:r>
      <w:r w:rsidRPr="00DC7F4E">
        <w:rPr>
          <w:rFonts w:asciiTheme="majorHAnsi" w:hAnsiTheme="majorHAnsi" w:cstheme="majorHAnsi"/>
          <w:sz w:val="24"/>
          <w:szCs w:val="24"/>
          <w:lang w:val="ru-MD"/>
        </w:rPr>
        <w:t>и обязательств по 62 500</w:t>
      </w:r>
      <w:r w:rsidR="006904E3" w:rsidRPr="00DC7F4E">
        <w:rPr>
          <w:rStyle w:val="FootnoteReference"/>
          <w:rFonts w:asciiTheme="majorHAnsi" w:eastAsia="Times New Roman" w:hAnsiTheme="majorHAnsi" w:cstheme="majorHAnsi"/>
          <w:sz w:val="24"/>
          <w:szCs w:val="24"/>
          <w:lang w:val="ru-MD"/>
        </w:rPr>
        <w:footnoteReference w:id="7"/>
      </w:r>
      <w:r w:rsidRPr="00DC7F4E">
        <w:rPr>
          <w:rFonts w:asciiTheme="majorHAnsi" w:hAnsiTheme="majorHAnsi" w:cstheme="majorHAnsi"/>
          <w:sz w:val="24"/>
          <w:szCs w:val="24"/>
          <w:lang w:val="ru-MD"/>
        </w:rPr>
        <w:t xml:space="preserve"> </w:t>
      </w:r>
      <w:r w:rsidR="006904E3" w:rsidRPr="00DC7F4E">
        <w:rPr>
          <w:rFonts w:asciiTheme="majorHAnsi" w:hAnsiTheme="majorHAnsi" w:cstheme="majorHAnsi"/>
          <w:sz w:val="24"/>
          <w:szCs w:val="24"/>
          <w:lang w:val="ru-MD"/>
        </w:rPr>
        <w:t>прост</w:t>
      </w:r>
      <w:r w:rsidRPr="00DC7F4E">
        <w:rPr>
          <w:rFonts w:asciiTheme="majorHAnsi" w:hAnsiTheme="majorHAnsi" w:cstheme="majorHAnsi"/>
          <w:sz w:val="24"/>
          <w:szCs w:val="24"/>
          <w:lang w:val="ru-MD"/>
        </w:rPr>
        <w:t>ым акциям в е</w:t>
      </w:r>
      <w:r w:rsidR="006904E3" w:rsidRPr="00DC7F4E">
        <w:rPr>
          <w:rFonts w:asciiTheme="majorHAnsi" w:hAnsiTheme="majorHAnsi" w:cstheme="majorHAnsi"/>
          <w:sz w:val="24"/>
          <w:szCs w:val="24"/>
          <w:lang w:val="ru-MD"/>
        </w:rPr>
        <w:t>го</w:t>
      </w:r>
      <w:r w:rsidRPr="00DC7F4E">
        <w:rPr>
          <w:rFonts w:asciiTheme="majorHAnsi" w:hAnsiTheme="majorHAnsi" w:cstheme="majorHAnsi"/>
          <w:sz w:val="24"/>
          <w:szCs w:val="24"/>
          <w:lang w:val="ru-MD"/>
        </w:rPr>
        <w:t xml:space="preserve"> уставном капитале. Таким образом, министерство по-прежнему не участвует в </w:t>
      </w:r>
      <w:r w:rsidR="006904E3" w:rsidRPr="00DC7F4E">
        <w:rPr>
          <w:rFonts w:asciiTheme="majorHAnsi" w:hAnsiTheme="majorHAnsi" w:cstheme="majorHAnsi"/>
          <w:sz w:val="24"/>
          <w:szCs w:val="24"/>
          <w:lang w:val="ru-MD"/>
        </w:rPr>
        <w:t>Е</w:t>
      </w:r>
      <w:r w:rsidRPr="00DC7F4E">
        <w:rPr>
          <w:rFonts w:asciiTheme="majorHAnsi" w:hAnsiTheme="majorHAnsi" w:cstheme="majorHAnsi"/>
          <w:sz w:val="24"/>
          <w:szCs w:val="24"/>
          <w:lang w:val="ru-MD"/>
        </w:rPr>
        <w:t xml:space="preserve">жегодных общих собраниях акционеров, а также не </w:t>
      </w:r>
      <w:r w:rsidR="006904E3" w:rsidRPr="00DC7F4E">
        <w:rPr>
          <w:rFonts w:asciiTheme="majorHAnsi" w:hAnsiTheme="majorHAnsi" w:cstheme="majorHAnsi"/>
          <w:sz w:val="24"/>
          <w:szCs w:val="24"/>
          <w:lang w:val="ru-MD"/>
        </w:rPr>
        <w:t>облада</w:t>
      </w:r>
      <w:r w:rsidRPr="00DC7F4E">
        <w:rPr>
          <w:rFonts w:asciiTheme="majorHAnsi" w:hAnsiTheme="majorHAnsi" w:cstheme="majorHAnsi"/>
          <w:sz w:val="24"/>
          <w:szCs w:val="24"/>
          <w:lang w:val="ru-MD"/>
        </w:rPr>
        <w:t>ет подтвержденной информаци</w:t>
      </w:r>
      <w:r w:rsidR="006904E3" w:rsidRPr="00DC7F4E">
        <w:rPr>
          <w:rFonts w:asciiTheme="majorHAnsi" w:hAnsiTheme="majorHAnsi" w:cstheme="majorHAnsi"/>
          <w:sz w:val="24"/>
          <w:szCs w:val="24"/>
          <w:lang w:val="ru-MD"/>
        </w:rPr>
        <w:t>ей</w:t>
      </w:r>
      <w:r w:rsidRPr="00DC7F4E">
        <w:rPr>
          <w:rFonts w:asciiTheme="majorHAnsi" w:hAnsiTheme="majorHAnsi" w:cstheme="majorHAnsi"/>
          <w:sz w:val="24"/>
          <w:szCs w:val="24"/>
          <w:lang w:val="ru-MD"/>
        </w:rPr>
        <w:t xml:space="preserve"> о возможных дивидендах и/или переоценке акций </w:t>
      </w:r>
      <w:r w:rsidR="006904E3" w:rsidRPr="00DC7F4E">
        <w:rPr>
          <w:rFonts w:asciiTheme="majorHAnsi" w:hAnsiTheme="majorHAnsi" w:cstheme="majorHAnsi"/>
          <w:sz w:val="24"/>
          <w:szCs w:val="24"/>
          <w:lang w:val="ru-MD"/>
        </w:rPr>
        <w:t>публич</w:t>
      </w:r>
      <w:r w:rsidRPr="00DC7F4E">
        <w:rPr>
          <w:rFonts w:asciiTheme="majorHAnsi" w:hAnsiTheme="majorHAnsi" w:cstheme="majorHAnsi"/>
          <w:sz w:val="24"/>
          <w:szCs w:val="24"/>
          <w:lang w:val="ru-MD"/>
        </w:rPr>
        <w:t xml:space="preserve">ной собственности. Установлено, что до настоящего времени пакет акций не был передан в управление Агентства </w:t>
      </w:r>
      <w:r w:rsidR="006904E3" w:rsidRPr="00DC7F4E">
        <w:rPr>
          <w:rFonts w:asciiTheme="majorHAnsi" w:hAnsiTheme="majorHAnsi" w:cstheme="majorHAnsi"/>
          <w:sz w:val="24"/>
          <w:szCs w:val="24"/>
          <w:lang w:val="ru-MD"/>
        </w:rPr>
        <w:t>публич</w:t>
      </w:r>
      <w:r w:rsidRPr="00DC7F4E">
        <w:rPr>
          <w:rFonts w:asciiTheme="majorHAnsi" w:hAnsiTheme="majorHAnsi" w:cstheme="majorHAnsi"/>
          <w:sz w:val="24"/>
          <w:szCs w:val="24"/>
          <w:lang w:val="ru-MD"/>
        </w:rPr>
        <w:t>ной собственности</w:t>
      </w:r>
      <w:r w:rsidR="006904E3" w:rsidRPr="00DC7F4E">
        <w:rPr>
          <w:rFonts w:asciiTheme="majorHAnsi" w:hAnsiTheme="majorHAnsi" w:cstheme="majorHAnsi"/>
          <w:sz w:val="24"/>
          <w:szCs w:val="24"/>
          <w:lang w:val="ru-MD"/>
        </w:rPr>
        <w:t>,</w:t>
      </w:r>
      <w:r w:rsidRPr="00DC7F4E">
        <w:rPr>
          <w:rFonts w:asciiTheme="majorHAnsi" w:hAnsiTheme="majorHAnsi" w:cstheme="majorHAnsi"/>
          <w:sz w:val="24"/>
          <w:szCs w:val="24"/>
          <w:lang w:val="ru-MD"/>
        </w:rPr>
        <w:t xml:space="preserve"> в соответствии с положениями действующей нормативной базы</w:t>
      </w:r>
      <w:r w:rsidR="00CF533C" w:rsidRPr="00DC7F4E">
        <w:rPr>
          <w:rStyle w:val="FootnoteReference"/>
          <w:rFonts w:asciiTheme="majorHAnsi" w:eastAsia="Times New Roman" w:hAnsiTheme="majorHAnsi" w:cstheme="majorHAnsi"/>
          <w:sz w:val="24"/>
          <w:szCs w:val="24"/>
          <w:lang w:val="ru-MD"/>
        </w:rPr>
        <w:footnoteReference w:id="8"/>
      </w:r>
      <w:r w:rsidR="00CF533C" w:rsidRPr="00DC7F4E">
        <w:rPr>
          <w:rFonts w:asciiTheme="majorHAnsi" w:eastAsia="Times New Roman" w:hAnsiTheme="majorHAnsi" w:cstheme="majorHAnsi"/>
          <w:sz w:val="24"/>
          <w:szCs w:val="24"/>
          <w:lang w:val="ru-MD"/>
        </w:rPr>
        <w:t>.</w:t>
      </w:r>
    </w:p>
    <w:p w:rsidR="00DF1DB3" w:rsidRPr="00DC7F4E" w:rsidRDefault="00155C04" w:rsidP="00155C04">
      <w:pPr>
        <w:pStyle w:val="ListParagraph"/>
        <w:numPr>
          <w:ilvl w:val="1"/>
          <w:numId w:val="11"/>
        </w:numPr>
        <w:tabs>
          <w:tab w:val="left" w:pos="0"/>
        </w:tabs>
        <w:spacing w:after="0" w:line="276" w:lineRule="auto"/>
        <w:ind w:left="0" w:firstLine="0"/>
        <w:jc w:val="both"/>
        <w:rPr>
          <w:rFonts w:asciiTheme="majorHAnsi" w:hAnsiTheme="majorHAnsi" w:cs="Times New Roman"/>
          <w:sz w:val="24"/>
          <w:szCs w:val="24"/>
          <w:lang w:val="ru-MD"/>
        </w:rPr>
      </w:pPr>
      <w:r w:rsidRPr="00DC7F4E">
        <w:rPr>
          <w:rFonts w:asciiTheme="majorHAnsi" w:hAnsiTheme="majorHAnsi" w:cstheme="majorHAnsi"/>
          <w:sz w:val="24"/>
          <w:szCs w:val="24"/>
          <w:lang w:val="ru-MD"/>
        </w:rPr>
        <w:t>Министерство инфраструктуры и регионального развития не со</w:t>
      </w:r>
      <w:r w:rsidR="002F763F" w:rsidRPr="00DC7F4E">
        <w:rPr>
          <w:rFonts w:asciiTheme="majorHAnsi" w:hAnsiTheme="majorHAnsi" w:cstheme="majorHAnsi"/>
          <w:sz w:val="24"/>
          <w:szCs w:val="24"/>
          <w:lang w:val="ru-MD"/>
        </w:rPr>
        <w:t>блюда</w:t>
      </w:r>
      <w:r w:rsidRPr="00DC7F4E">
        <w:rPr>
          <w:rFonts w:asciiTheme="majorHAnsi" w:hAnsiTheme="majorHAnsi" w:cstheme="majorHAnsi"/>
          <w:sz w:val="24"/>
          <w:szCs w:val="24"/>
          <w:lang w:val="ru-MD"/>
        </w:rPr>
        <w:t>ло положения Пос</w:t>
      </w:r>
      <w:r w:rsidR="002F763F" w:rsidRPr="00DC7F4E">
        <w:rPr>
          <w:rFonts w:asciiTheme="majorHAnsi" w:hAnsiTheme="majorHAnsi" w:cstheme="majorHAnsi"/>
          <w:sz w:val="24"/>
          <w:szCs w:val="24"/>
          <w:lang w:val="ru-MD"/>
        </w:rPr>
        <w:t>тановления Правительства №</w:t>
      </w:r>
      <w:r w:rsidRPr="00DC7F4E">
        <w:rPr>
          <w:rFonts w:asciiTheme="majorHAnsi" w:hAnsiTheme="majorHAnsi" w:cstheme="majorHAnsi"/>
          <w:sz w:val="24"/>
          <w:szCs w:val="24"/>
          <w:lang w:val="ru-MD"/>
        </w:rPr>
        <w:t>706/11.07.2018, согласно котор</w:t>
      </w:r>
      <w:r w:rsidR="002F763F" w:rsidRPr="00DC7F4E">
        <w:rPr>
          <w:rFonts w:asciiTheme="majorHAnsi" w:hAnsiTheme="majorHAnsi" w:cstheme="majorHAnsi"/>
          <w:sz w:val="24"/>
          <w:szCs w:val="24"/>
          <w:lang w:val="ru-MD"/>
        </w:rPr>
        <w:t>ым,</w:t>
      </w:r>
      <w:r w:rsidRPr="00DC7F4E">
        <w:rPr>
          <w:rFonts w:asciiTheme="majorHAnsi" w:hAnsiTheme="majorHAnsi" w:cstheme="majorHAnsi"/>
          <w:sz w:val="24"/>
          <w:szCs w:val="24"/>
          <w:lang w:val="ru-MD"/>
        </w:rPr>
        <w:t xml:space="preserve"> в течение 3 месяцев он</w:t>
      </w:r>
      <w:r w:rsidR="002F763F" w:rsidRPr="00DC7F4E">
        <w:rPr>
          <w:rFonts w:asciiTheme="majorHAnsi" w:hAnsiTheme="majorHAnsi" w:cstheme="majorHAnsi"/>
          <w:sz w:val="24"/>
          <w:szCs w:val="24"/>
          <w:lang w:val="ru-MD"/>
        </w:rPr>
        <w:t>о</w:t>
      </w:r>
      <w:r w:rsidRPr="00DC7F4E">
        <w:rPr>
          <w:rFonts w:asciiTheme="majorHAnsi" w:hAnsiTheme="majorHAnsi" w:cstheme="majorHAnsi"/>
          <w:sz w:val="24"/>
          <w:szCs w:val="24"/>
          <w:lang w:val="ru-MD"/>
        </w:rPr>
        <w:t xml:space="preserve"> долж</w:t>
      </w:r>
      <w:r w:rsidR="002F763F" w:rsidRPr="00DC7F4E">
        <w:rPr>
          <w:rFonts w:asciiTheme="majorHAnsi" w:hAnsiTheme="majorHAnsi" w:cstheme="majorHAnsi"/>
          <w:sz w:val="24"/>
          <w:szCs w:val="24"/>
          <w:lang w:val="ru-MD"/>
        </w:rPr>
        <w:t>но</w:t>
      </w:r>
      <w:r w:rsidRPr="00DC7F4E">
        <w:rPr>
          <w:rFonts w:asciiTheme="majorHAnsi" w:hAnsiTheme="majorHAnsi" w:cstheme="majorHAnsi"/>
          <w:sz w:val="24"/>
          <w:szCs w:val="24"/>
          <w:lang w:val="ru-MD"/>
        </w:rPr>
        <w:t xml:space="preserve"> был</w:t>
      </w:r>
      <w:r w:rsidR="002F763F" w:rsidRPr="00DC7F4E">
        <w:rPr>
          <w:rFonts w:asciiTheme="majorHAnsi" w:hAnsiTheme="majorHAnsi" w:cstheme="majorHAnsi"/>
          <w:sz w:val="24"/>
          <w:szCs w:val="24"/>
          <w:lang w:val="ru-MD"/>
        </w:rPr>
        <w:t>о</w:t>
      </w:r>
      <w:r w:rsidRPr="00DC7F4E">
        <w:rPr>
          <w:rFonts w:asciiTheme="majorHAnsi" w:hAnsiTheme="majorHAnsi" w:cstheme="majorHAnsi"/>
          <w:sz w:val="24"/>
          <w:szCs w:val="24"/>
          <w:lang w:val="ru-MD"/>
        </w:rPr>
        <w:t xml:space="preserve"> разработать </w:t>
      </w:r>
      <w:r w:rsidR="002F763F" w:rsidRPr="00DC7F4E">
        <w:rPr>
          <w:rFonts w:asciiTheme="majorHAnsi" w:hAnsiTheme="majorHAnsi" w:cstheme="majorHAnsi"/>
          <w:sz w:val="24"/>
          <w:szCs w:val="24"/>
          <w:lang w:val="ru-MD"/>
        </w:rPr>
        <w:t>М</w:t>
      </w:r>
      <w:r w:rsidRPr="00DC7F4E">
        <w:rPr>
          <w:rFonts w:asciiTheme="majorHAnsi" w:hAnsiTheme="majorHAnsi" w:cstheme="majorHAnsi"/>
          <w:sz w:val="24"/>
          <w:szCs w:val="24"/>
          <w:lang w:val="ru-MD"/>
        </w:rPr>
        <w:t>етод</w:t>
      </w:r>
      <w:r w:rsidR="002F763F" w:rsidRPr="00DC7F4E">
        <w:rPr>
          <w:rFonts w:asciiTheme="majorHAnsi" w:hAnsiTheme="majorHAnsi" w:cstheme="majorHAnsi"/>
          <w:sz w:val="24"/>
          <w:szCs w:val="24"/>
          <w:lang w:val="ru-MD"/>
        </w:rPr>
        <w:t>ику</w:t>
      </w:r>
      <w:r w:rsidRPr="00DC7F4E">
        <w:rPr>
          <w:rFonts w:asciiTheme="majorHAnsi" w:hAnsiTheme="majorHAnsi" w:cstheme="majorHAnsi"/>
          <w:sz w:val="24"/>
          <w:szCs w:val="24"/>
          <w:lang w:val="ru-MD"/>
        </w:rPr>
        <w:t xml:space="preserve"> расчета тарифов на услуги, предоставляемые </w:t>
      </w:r>
      <w:r w:rsidR="002F763F" w:rsidRPr="00DC7F4E">
        <w:rPr>
          <w:rFonts w:asciiTheme="majorHAnsi" w:hAnsiTheme="majorHAnsi" w:cstheme="majorHAnsi"/>
          <w:sz w:val="24"/>
          <w:szCs w:val="24"/>
          <w:lang w:val="ru-MD"/>
        </w:rPr>
        <w:t>А</w:t>
      </w:r>
      <w:r w:rsidRPr="00DC7F4E">
        <w:rPr>
          <w:rFonts w:asciiTheme="majorHAnsi" w:hAnsiTheme="majorHAnsi" w:cstheme="majorHAnsi"/>
          <w:sz w:val="24"/>
          <w:szCs w:val="24"/>
          <w:lang w:val="ru-MD"/>
        </w:rPr>
        <w:t>гентством</w:t>
      </w:r>
      <w:r w:rsidR="002F763F" w:rsidRPr="00DC7F4E">
        <w:rPr>
          <w:rFonts w:asciiTheme="majorHAnsi" w:hAnsiTheme="majorHAnsi" w:cstheme="majorHAnsi"/>
          <w:sz w:val="24"/>
          <w:szCs w:val="24"/>
          <w:lang w:val="ru-MD"/>
        </w:rPr>
        <w:t xml:space="preserve"> водного транспорта,</w:t>
      </w:r>
      <w:r w:rsidRPr="00DC7F4E">
        <w:rPr>
          <w:rFonts w:asciiTheme="majorHAnsi" w:hAnsiTheme="majorHAnsi" w:cstheme="majorHAnsi"/>
          <w:sz w:val="24"/>
          <w:szCs w:val="24"/>
          <w:lang w:val="ru-MD"/>
        </w:rPr>
        <w:t xml:space="preserve"> и представить на утверждение </w:t>
      </w:r>
      <w:r w:rsidR="002F763F" w:rsidRPr="00DC7F4E">
        <w:rPr>
          <w:rFonts w:asciiTheme="majorHAnsi" w:hAnsiTheme="majorHAnsi" w:cstheme="majorHAnsi"/>
          <w:sz w:val="24"/>
          <w:szCs w:val="24"/>
          <w:lang w:val="ru-MD"/>
        </w:rPr>
        <w:t>П</w:t>
      </w:r>
      <w:r w:rsidRPr="00DC7F4E">
        <w:rPr>
          <w:rFonts w:asciiTheme="majorHAnsi" w:hAnsiTheme="majorHAnsi" w:cstheme="majorHAnsi"/>
          <w:sz w:val="24"/>
          <w:szCs w:val="24"/>
          <w:lang w:val="ru-MD"/>
        </w:rPr>
        <w:t xml:space="preserve">равительству РМ </w:t>
      </w:r>
      <w:r w:rsidR="002F763F" w:rsidRPr="00DC7F4E">
        <w:rPr>
          <w:rFonts w:asciiTheme="majorHAnsi" w:hAnsiTheme="majorHAnsi" w:cstheme="majorHAnsi"/>
          <w:sz w:val="24"/>
          <w:szCs w:val="24"/>
          <w:lang w:val="ru-MD"/>
        </w:rPr>
        <w:t>Н</w:t>
      </w:r>
      <w:r w:rsidRPr="00DC7F4E">
        <w:rPr>
          <w:rFonts w:asciiTheme="majorHAnsi" w:hAnsiTheme="majorHAnsi" w:cstheme="majorHAnsi"/>
          <w:sz w:val="24"/>
          <w:szCs w:val="24"/>
          <w:lang w:val="ru-MD"/>
        </w:rPr>
        <w:t xml:space="preserve">оменклатуру оказанных услуг и установленные тарифы </w:t>
      </w:r>
      <w:r w:rsidRPr="00DC7F4E">
        <w:rPr>
          <w:rFonts w:asciiTheme="majorHAnsi" w:hAnsiTheme="majorHAnsi" w:cstheme="majorHAnsi"/>
          <w:i/>
          <w:sz w:val="24"/>
          <w:szCs w:val="24"/>
          <w:lang w:val="ru-MD"/>
        </w:rPr>
        <w:t>(до 03.11.2018)</w:t>
      </w:r>
      <w:r w:rsidRPr="00DC7F4E">
        <w:rPr>
          <w:rFonts w:asciiTheme="majorHAnsi" w:hAnsiTheme="majorHAnsi" w:cstheme="majorHAnsi"/>
          <w:sz w:val="24"/>
          <w:szCs w:val="24"/>
          <w:lang w:val="ru-MD"/>
        </w:rPr>
        <w:t xml:space="preserve">. Таким образом, </w:t>
      </w:r>
      <w:r w:rsidR="002F763F" w:rsidRPr="00DC7F4E">
        <w:rPr>
          <w:rFonts w:asciiTheme="majorHAnsi" w:hAnsiTheme="majorHAnsi" w:cstheme="majorHAnsi"/>
          <w:sz w:val="24"/>
          <w:szCs w:val="24"/>
          <w:lang w:val="ru-MD"/>
        </w:rPr>
        <w:t xml:space="preserve">отмечается, что </w:t>
      </w:r>
      <w:r w:rsidRPr="00DC7F4E">
        <w:rPr>
          <w:rFonts w:asciiTheme="majorHAnsi" w:hAnsiTheme="majorHAnsi" w:cstheme="majorHAnsi"/>
          <w:sz w:val="24"/>
          <w:szCs w:val="24"/>
          <w:lang w:val="ru-MD"/>
        </w:rPr>
        <w:t xml:space="preserve">до </w:t>
      </w:r>
      <w:r w:rsidR="002F763F" w:rsidRPr="00DC7F4E">
        <w:rPr>
          <w:rFonts w:asciiTheme="majorHAnsi" w:hAnsiTheme="majorHAnsi" w:cstheme="majorHAnsi"/>
          <w:sz w:val="24"/>
          <w:szCs w:val="24"/>
          <w:lang w:val="ru-MD"/>
        </w:rPr>
        <w:t>настоящего времени</w:t>
      </w:r>
      <w:r w:rsidRPr="00DC7F4E">
        <w:rPr>
          <w:rFonts w:asciiTheme="majorHAnsi" w:hAnsiTheme="majorHAnsi" w:cstheme="majorHAnsi"/>
          <w:sz w:val="24"/>
          <w:szCs w:val="24"/>
          <w:lang w:val="ru-MD"/>
        </w:rPr>
        <w:t xml:space="preserve"> примен</w:t>
      </w:r>
      <w:r w:rsidR="002F763F" w:rsidRPr="00DC7F4E">
        <w:rPr>
          <w:rFonts w:asciiTheme="majorHAnsi" w:hAnsiTheme="majorHAnsi" w:cstheme="majorHAnsi"/>
          <w:sz w:val="24"/>
          <w:szCs w:val="24"/>
          <w:lang w:val="ru-MD"/>
        </w:rPr>
        <w:t>яются</w:t>
      </w:r>
      <w:r w:rsidRPr="00DC7F4E">
        <w:rPr>
          <w:rFonts w:asciiTheme="majorHAnsi" w:hAnsiTheme="majorHAnsi" w:cstheme="majorHAnsi"/>
          <w:sz w:val="24"/>
          <w:szCs w:val="24"/>
          <w:lang w:val="ru-MD"/>
        </w:rPr>
        <w:t xml:space="preserve"> устаревши</w:t>
      </w:r>
      <w:r w:rsidR="002F763F" w:rsidRPr="00DC7F4E">
        <w:rPr>
          <w:rFonts w:asciiTheme="majorHAnsi" w:hAnsiTheme="majorHAnsi" w:cstheme="majorHAnsi"/>
          <w:sz w:val="24"/>
          <w:szCs w:val="24"/>
          <w:lang w:val="ru-MD"/>
        </w:rPr>
        <w:t>е</w:t>
      </w:r>
      <w:r w:rsidRPr="00DC7F4E">
        <w:rPr>
          <w:rFonts w:asciiTheme="majorHAnsi" w:hAnsiTheme="majorHAnsi" w:cstheme="majorHAnsi"/>
          <w:sz w:val="24"/>
          <w:szCs w:val="24"/>
          <w:lang w:val="ru-MD"/>
        </w:rPr>
        <w:t>, не</w:t>
      </w:r>
      <w:r w:rsidR="002F763F" w:rsidRPr="00DC7F4E">
        <w:rPr>
          <w:rFonts w:asciiTheme="majorHAnsi" w:hAnsiTheme="majorHAnsi" w:cstheme="majorHAnsi"/>
          <w:sz w:val="24"/>
          <w:szCs w:val="24"/>
          <w:lang w:val="ru-MD"/>
        </w:rPr>
        <w:t xml:space="preserve"> </w:t>
      </w:r>
      <w:r w:rsidRPr="00DC7F4E">
        <w:rPr>
          <w:rFonts w:asciiTheme="majorHAnsi" w:hAnsiTheme="majorHAnsi" w:cstheme="majorHAnsi"/>
          <w:sz w:val="24"/>
          <w:szCs w:val="24"/>
          <w:lang w:val="ru-MD"/>
        </w:rPr>
        <w:t>ориентированны</w:t>
      </w:r>
      <w:r w:rsidR="002F763F" w:rsidRPr="00DC7F4E">
        <w:rPr>
          <w:rFonts w:asciiTheme="majorHAnsi" w:hAnsiTheme="majorHAnsi" w:cstheme="majorHAnsi"/>
          <w:sz w:val="24"/>
          <w:szCs w:val="24"/>
          <w:lang w:val="ru-MD"/>
        </w:rPr>
        <w:t>е</w:t>
      </w:r>
      <w:r w:rsidRPr="00DC7F4E">
        <w:rPr>
          <w:rFonts w:asciiTheme="majorHAnsi" w:hAnsiTheme="majorHAnsi" w:cstheme="majorHAnsi"/>
          <w:sz w:val="24"/>
          <w:szCs w:val="24"/>
          <w:lang w:val="ru-MD"/>
        </w:rPr>
        <w:t xml:space="preserve"> на фактические расходы</w:t>
      </w:r>
      <w:r w:rsidR="002F763F" w:rsidRPr="00DC7F4E">
        <w:rPr>
          <w:rFonts w:asciiTheme="majorHAnsi" w:hAnsiTheme="majorHAnsi" w:cstheme="majorHAnsi"/>
          <w:sz w:val="24"/>
          <w:szCs w:val="24"/>
          <w:lang w:val="ru-MD"/>
        </w:rPr>
        <w:t>,</w:t>
      </w:r>
      <w:r w:rsidRPr="00DC7F4E">
        <w:rPr>
          <w:rFonts w:asciiTheme="majorHAnsi" w:hAnsiTheme="majorHAnsi" w:cstheme="majorHAnsi"/>
          <w:sz w:val="24"/>
          <w:szCs w:val="24"/>
          <w:lang w:val="ru-MD"/>
        </w:rPr>
        <w:t xml:space="preserve"> </w:t>
      </w:r>
      <w:r w:rsidR="002F763F" w:rsidRPr="00DC7F4E">
        <w:rPr>
          <w:rFonts w:asciiTheme="majorHAnsi" w:hAnsiTheme="majorHAnsi" w:cstheme="majorHAnsi"/>
          <w:sz w:val="24"/>
          <w:szCs w:val="24"/>
          <w:lang w:val="ru-MD"/>
        </w:rPr>
        <w:t>тарифы Агентством водного транспорта</w:t>
      </w:r>
      <w:r w:rsidR="00CF533C" w:rsidRPr="00DC7F4E">
        <w:rPr>
          <w:rFonts w:asciiTheme="majorHAnsi" w:hAnsiTheme="majorHAnsi" w:cstheme="majorHAnsi"/>
          <w:sz w:val="24"/>
          <w:szCs w:val="24"/>
          <w:lang w:val="ru-MD"/>
        </w:rPr>
        <w:t>.</w:t>
      </w:r>
    </w:p>
    <w:p w:rsidR="005850AA" w:rsidRPr="00DC7F4E" w:rsidRDefault="005850AA" w:rsidP="005850AA">
      <w:pPr>
        <w:pStyle w:val="ListParagraph"/>
        <w:tabs>
          <w:tab w:val="left" w:pos="0"/>
        </w:tabs>
        <w:spacing w:after="0" w:line="276" w:lineRule="auto"/>
        <w:ind w:left="0"/>
        <w:jc w:val="both"/>
        <w:rPr>
          <w:rFonts w:asciiTheme="majorHAnsi" w:hAnsiTheme="majorHAnsi" w:cs="Times New Roman"/>
          <w:sz w:val="16"/>
          <w:szCs w:val="16"/>
          <w:lang w:val="ru-MD"/>
        </w:rPr>
      </w:pPr>
    </w:p>
    <w:p w:rsidR="00125D9C" w:rsidRPr="00DC7F4E" w:rsidRDefault="006E6771" w:rsidP="006E6771">
      <w:pPr>
        <w:pStyle w:val="ListParagraph"/>
        <w:numPr>
          <w:ilvl w:val="0"/>
          <w:numId w:val="1"/>
        </w:numPr>
        <w:spacing w:before="240" w:after="0" w:line="276" w:lineRule="auto"/>
        <w:ind w:left="992" w:hanging="357"/>
        <w:jc w:val="both"/>
        <w:outlineLvl w:val="0"/>
        <w:rPr>
          <w:rFonts w:asciiTheme="majorHAnsi" w:hAnsiTheme="majorHAnsi" w:cs="Times New Roman"/>
          <w:b/>
          <w:sz w:val="28"/>
          <w:szCs w:val="28"/>
          <w:lang w:val="ru-MD"/>
        </w:rPr>
      </w:pPr>
      <w:bookmarkStart w:id="7" w:name="_Toc532292932"/>
      <w:bookmarkStart w:id="8" w:name="_Toc530056761"/>
      <w:r w:rsidRPr="00DC7F4E">
        <w:rPr>
          <w:rFonts w:asciiTheme="majorHAnsi" w:eastAsia="Times New Roman" w:hAnsiTheme="majorHAnsi" w:cstheme="majorHAnsi"/>
          <w:b/>
          <w:sz w:val="28"/>
          <w:szCs w:val="28"/>
          <w:lang w:val="ru-MD"/>
        </w:rPr>
        <w:t>ОТВЕТСТВЕННОСТЬ РУКОВОДСТВА ЗА СОСТАВЛЕНИЕ ФИНАНСОВОЙ ОТЧЕТНОСТИ</w:t>
      </w:r>
      <w:r w:rsidRPr="00DC7F4E">
        <w:rPr>
          <w:rFonts w:asciiTheme="majorHAnsi" w:hAnsiTheme="majorHAnsi" w:cs="Times New Roman"/>
          <w:b/>
          <w:sz w:val="28"/>
          <w:szCs w:val="28"/>
          <w:lang w:val="ru-MD"/>
        </w:rPr>
        <w:t xml:space="preserve"> </w:t>
      </w:r>
      <w:bookmarkEnd w:id="7"/>
      <w:r w:rsidR="00125D9C" w:rsidRPr="00DC7F4E">
        <w:rPr>
          <w:rFonts w:asciiTheme="majorHAnsi" w:hAnsiTheme="majorHAnsi" w:cs="Times New Roman"/>
          <w:b/>
          <w:sz w:val="28"/>
          <w:szCs w:val="28"/>
          <w:lang w:val="ru-MD"/>
        </w:rPr>
        <w:t xml:space="preserve"> </w:t>
      </w:r>
      <w:bookmarkEnd w:id="8"/>
    </w:p>
    <w:p w:rsidR="00125D9C" w:rsidRPr="00DC7F4E" w:rsidRDefault="00F612FA" w:rsidP="000229ED">
      <w:pPr>
        <w:tabs>
          <w:tab w:val="left" w:pos="720"/>
        </w:tabs>
        <w:spacing w:after="0" w:line="276" w:lineRule="auto"/>
        <w:contextualSpacing/>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 xml:space="preserve">Министр инфраструктуры и регионального развития, </w:t>
      </w:r>
      <w:r w:rsidRPr="00DC7F4E">
        <w:rPr>
          <w:rFonts w:asciiTheme="majorHAnsi" w:hAnsiTheme="majorHAnsi" w:cstheme="majorHAnsi"/>
          <w:sz w:val="24"/>
          <w:szCs w:val="24"/>
          <w:lang w:val="ru-MD"/>
        </w:rPr>
        <w:t>в качестве руководителя центрального отраслевого органа публичного управления, несет ответственность за составление, правильное и достоверное представление консолидированной финансовой отчетности</w:t>
      </w:r>
      <w:r w:rsidRPr="00DC7F4E">
        <w:rPr>
          <w:rStyle w:val="FootnoteReference"/>
          <w:rFonts w:asciiTheme="majorHAnsi" w:hAnsiTheme="majorHAnsi"/>
          <w:sz w:val="24"/>
          <w:szCs w:val="24"/>
          <w:lang w:val="ru-MD"/>
        </w:rPr>
        <w:footnoteReference w:id="9"/>
      </w:r>
      <w:r w:rsidRPr="00DC7F4E">
        <w:rPr>
          <w:rFonts w:asciiTheme="majorHAnsi" w:hAnsiTheme="majorHAnsi" w:cstheme="majorHAnsi"/>
          <w:sz w:val="24"/>
          <w:szCs w:val="24"/>
          <w:lang w:val="ru-MD"/>
        </w:rPr>
        <w:t>, в соответствии с применяемой базой по финансовой отчетности</w:t>
      </w:r>
      <w:r w:rsidRPr="00DC7F4E">
        <w:rPr>
          <w:rStyle w:val="FootnoteReference"/>
          <w:rFonts w:asciiTheme="majorHAnsi" w:hAnsiTheme="majorHAnsi"/>
          <w:sz w:val="24"/>
          <w:szCs w:val="24"/>
          <w:lang w:val="ru-MD"/>
        </w:rPr>
        <w:footnoteReference w:id="10"/>
      </w:r>
      <w:r w:rsidRPr="00DC7F4E">
        <w:rPr>
          <w:rFonts w:asciiTheme="majorHAnsi" w:hAnsiTheme="majorHAnsi" w:cstheme="majorHAnsi"/>
          <w:sz w:val="24"/>
          <w:szCs w:val="24"/>
          <w:lang w:val="ru-MD"/>
        </w:rPr>
        <w:t>, а также за организацию внутреннего управленческого контроля, в целях обеспечения организованного и эффективного ведения экономической деятельности субъекта, в том числе строгого соблюдения целостности активов, предупреждения и выявления причин мошенничества и/или ошибки, точности и полноты бухгалтерских записей, а также своевременной подготовки достоверной информации</w:t>
      </w:r>
      <w:r w:rsidR="00A44954" w:rsidRPr="00DC7F4E">
        <w:rPr>
          <w:rFonts w:asciiTheme="majorHAnsi" w:hAnsiTheme="majorHAnsi" w:cs="Times New Roman"/>
          <w:sz w:val="24"/>
          <w:szCs w:val="24"/>
          <w:lang w:val="ru-MD"/>
        </w:rPr>
        <w:t>.</w:t>
      </w:r>
    </w:p>
    <w:p w:rsidR="00125D9C" w:rsidRPr="00DC7F4E" w:rsidRDefault="006E6771" w:rsidP="006E6771">
      <w:pPr>
        <w:pStyle w:val="ListParagraph"/>
        <w:numPr>
          <w:ilvl w:val="0"/>
          <w:numId w:val="1"/>
        </w:numPr>
        <w:spacing w:before="240" w:after="0" w:line="276" w:lineRule="auto"/>
        <w:ind w:left="992" w:hanging="357"/>
        <w:jc w:val="both"/>
        <w:outlineLvl w:val="0"/>
        <w:rPr>
          <w:rFonts w:asciiTheme="majorHAnsi" w:hAnsiTheme="majorHAnsi" w:cs="Times New Roman"/>
          <w:b/>
          <w:sz w:val="28"/>
          <w:szCs w:val="28"/>
          <w:lang w:val="ru-MD"/>
        </w:rPr>
      </w:pPr>
      <w:bookmarkStart w:id="9" w:name="_Toc532292933"/>
      <w:bookmarkStart w:id="10" w:name="_Toc530056762"/>
      <w:r w:rsidRPr="00DC7F4E">
        <w:rPr>
          <w:rFonts w:asciiTheme="majorHAnsi" w:eastAsia="Times New Roman" w:hAnsiTheme="majorHAnsi" w:cstheme="majorHAnsi"/>
          <w:b/>
          <w:sz w:val="28"/>
          <w:szCs w:val="28"/>
          <w:lang w:val="ru-MD"/>
        </w:rPr>
        <w:t>ОТВЕТСТВЕННОСТЬ АУДИТОРА В РАМКАХ АУДИТА ФИНАНСОВОЙ ОТЧЕТНОСТИ</w:t>
      </w:r>
      <w:r w:rsidRPr="00DC7F4E">
        <w:rPr>
          <w:rFonts w:asciiTheme="majorHAnsi" w:hAnsiTheme="majorHAnsi" w:cs="Times New Roman"/>
          <w:b/>
          <w:sz w:val="28"/>
          <w:szCs w:val="28"/>
          <w:lang w:val="ru-MD"/>
        </w:rPr>
        <w:t xml:space="preserve"> </w:t>
      </w:r>
      <w:bookmarkEnd w:id="9"/>
      <w:r w:rsidR="00125D9C" w:rsidRPr="00DC7F4E">
        <w:rPr>
          <w:rFonts w:asciiTheme="majorHAnsi" w:hAnsiTheme="majorHAnsi" w:cs="Times New Roman"/>
          <w:b/>
          <w:sz w:val="28"/>
          <w:szCs w:val="28"/>
          <w:lang w:val="ru-MD"/>
        </w:rPr>
        <w:t xml:space="preserve"> </w:t>
      </w:r>
      <w:bookmarkEnd w:id="10"/>
    </w:p>
    <w:p w:rsidR="00125D9C" w:rsidRPr="00DC7F4E" w:rsidRDefault="00F612FA" w:rsidP="000229ED">
      <w:pPr>
        <w:pStyle w:val="Default"/>
        <w:spacing w:line="276" w:lineRule="auto"/>
        <w:jc w:val="both"/>
        <w:rPr>
          <w:rFonts w:asciiTheme="majorHAnsi" w:hAnsiTheme="majorHAnsi" w:cstheme="minorHAnsi"/>
          <w:color w:val="auto"/>
          <w:lang w:val="ru-MD"/>
        </w:rPr>
      </w:pPr>
      <w:r w:rsidRPr="00DC7F4E">
        <w:rPr>
          <w:rFonts w:asciiTheme="majorHAnsi" w:hAnsiTheme="majorHAnsi" w:cs="Times New Roman"/>
          <w:lang w:val="ru-MD"/>
        </w:rPr>
        <w:lastRenderedPageBreak/>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задача заключалась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125D9C" w:rsidRPr="00DC7F4E">
        <w:rPr>
          <w:rFonts w:asciiTheme="majorHAnsi" w:hAnsiTheme="majorHAnsi" w:cstheme="minorHAnsi"/>
          <w:color w:val="auto"/>
          <w:lang w:val="ru-MD"/>
        </w:rPr>
        <w:t>.</w:t>
      </w:r>
    </w:p>
    <w:p w:rsidR="00125D9C" w:rsidRPr="00DC7F4E" w:rsidRDefault="00F612FA" w:rsidP="000229ED">
      <w:pPr>
        <w:pStyle w:val="Default"/>
        <w:spacing w:line="276" w:lineRule="auto"/>
        <w:jc w:val="both"/>
        <w:rPr>
          <w:rFonts w:asciiTheme="majorHAnsi" w:hAnsiTheme="majorHAnsi" w:cstheme="minorHAnsi"/>
          <w:color w:val="auto"/>
          <w:lang w:val="ru-MD"/>
        </w:rPr>
      </w:pPr>
      <w:r w:rsidRPr="00DC7F4E">
        <w:rPr>
          <w:rFonts w:asciiTheme="majorHAnsi" w:hAnsiTheme="majorHAnsi" w:cstheme="majorHAnsi"/>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консолидированной финансовой отчетности</w:t>
      </w:r>
      <w:r w:rsidR="00125D9C" w:rsidRPr="00DC7F4E">
        <w:rPr>
          <w:rFonts w:asciiTheme="majorHAnsi" w:hAnsiTheme="majorHAnsi" w:cstheme="minorHAnsi"/>
          <w:color w:val="auto"/>
          <w:lang w:val="ru-MD"/>
        </w:rPr>
        <w:t xml:space="preserve">. </w:t>
      </w:r>
    </w:p>
    <w:p w:rsidR="00F775AF" w:rsidRPr="00DC7F4E" w:rsidRDefault="00C56260" w:rsidP="00EF27CB">
      <w:pPr>
        <w:spacing w:line="276" w:lineRule="auto"/>
        <w:jc w:val="both"/>
        <w:rPr>
          <w:rFonts w:asciiTheme="majorHAnsi" w:hAnsiTheme="majorHAnsi" w:cstheme="minorHAnsi"/>
          <w:sz w:val="16"/>
          <w:szCs w:val="16"/>
          <w:lang w:val="ru-MD"/>
        </w:rPr>
      </w:pPr>
      <w:r w:rsidRPr="00DC7F4E">
        <w:rPr>
          <w:rFonts w:asciiTheme="majorHAnsi" w:eastAsia="Times New Roman"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0E5C20" w:rsidRPr="00DC7F4E">
        <w:rPr>
          <w:rFonts w:asciiTheme="majorHAnsi" w:hAnsiTheme="majorHAnsi" w:cstheme="minorHAnsi"/>
          <w:sz w:val="24"/>
          <w:szCs w:val="24"/>
          <w:lang w:val="ru-MD"/>
        </w:rPr>
        <w:t>:</w:t>
      </w:r>
      <w:r w:rsidR="000E5C20" w:rsidRPr="00DC7F4E">
        <w:rPr>
          <w:rFonts w:ascii="Times New Roman" w:hAnsi="Times New Roman" w:cs="Times New Roman"/>
          <w:sz w:val="24"/>
          <w:szCs w:val="24"/>
          <w:lang w:val="ru-MD"/>
        </w:rPr>
        <w:t xml:space="preserve"> </w:t>
      </w:r>
      <w:hyperlink r:id="rId11" w:history="1">
        <w:r w:rsidR="000E5C20" w:rsidRPr="00DC7F4E">
          <w:rPr>
            <w:rStyle w:val="Hyperlink"/>
            <w:rFonts w:ascii="Times New Roman" w:hAnsi="Times New Roman" w:cs="Times New Roman"/>
            <w:sz w:val="24"/>
            <w:szCs w:val="24"/>
            <w:lang w:val="ru-MD"/>
          </w:rPr>
          <w:t>https://www.ccrm.md/ro/responsabilitati-in-auditul-financiar-3596.html</w:t>
        </w:r>
      </w:hyperlink>
      <w:r w:rsidR="00F775AF" w:rsidRPr="00DC7F4E">
        <w:rPr>
          <w:rFonts w:asciiTheme="majorHAnsi" w:hAnsiTheme="majorHAnsi" w:cstheme="minorHAnsi"/>
          <w:sz w:val="24"/>
          <w:szCs w:val="24"/>
          <w:lang w:val="ru-MD"/>
        </w:rPr>
        <w:t>.</w:t>
      </w:r>
      <w:r w:rsidR="000E5C20" w:rsidRPr="00DC7F4E">
        <w:rPr>
          <w:rFonts w:asciiTheme="majorHAnsi" w:hAnsiTheme="majorHAnsi" w:cstheme="minorHAnsi"/>
          <w:sz w:val="24"/>
          <w:szCs w:val="24"/>
          <w:lang w:val="ru-MD"/>
        </w:rPr>
        <w:t xml:space="preserve"> </w:t>
      </w:r>
      <w:r w:rsidRPr="00DC7F4E">
        <w:rPr>
          <w:rFonts w:asciiTheme="majorHAnsi" w:eastAsia="Times New Roman" w:hAnsiTheme="majorHAnsi" w:cstheme="majorHAnsi"/>
          <w:sz w:val="24"/>
          <w:szCs w:val="24"/>
          <w:lang w:val="ru-MD"/>
        </w:rPr>
        <w:t>Это описание является частью нашего Отчета аудита</w:t>
      </w:r>
      <w:r w:rsidR="000E5C20" w:rsidRPr="00DC7F4E">
        <w:rPr>
          <w:rFonts w:asciiTheme="majorHAnsi" w:hAnsiTheme="majorHAnsi" w:cstheme="minorHAnsi"/>
          <w:sz w:val="24"/>
          <w:szCs w:val="24"/>
          <w:lang w:val="ru-MD"/>
        </w:rPr>
        <w:t>.</w:t>
      </w:r>
    </w:p>
    <w:p w:rsidR="00BA5B21" w:rsidRPr="00DC7F4E" w:rsidRDefault="00461430" w:rsidP="00D375D1">
      <w:pPr>
        <w:spacing w:after="0" w:line="276" w:lineRule="auto"/>
        <w:jc w:val="both"/>
        <w:rPr>
          <w:rFonts w:asciiTheme="majorHAnsi" w:eastAsia="Times New Roman" w:hAnsiTheme="majorHAnsi" w:cs="Times New Roman"/>
          <w:b/>
          <w:i/>
          <w:sz w:val="24"/>
          <w:szCs w:val="24"/>
          <w:lang w:val="ru-MD" w:eastAsia="ro-MD"/>
        </w:rPr>
      </w:pPr>
      <w:r w:rsidRPr="00DC7F4E">
        <w:rPr>
          <w:rFonts w:asciiTheme="majorHAnsi" w:eastAsia="Times New Roman" w:hAnsiTheme="majorHAnsi" w:cs="Times New Roman"/>
          <w:b/>
          <w:i/>
          <w:sz w:val="24"/>
          <w:szCs w:val="24"/>
          <w:lang w:val="ru-MD" w:eastAsia="ro-MD"/>
        </w:rPr>
        <w:t>Ответственный за составление Отчета аудита</w:t>
      </w:r>
      <w:r w:rsidR="00BA5B21" w:rsidRPr="00DC7F4E">
        <w:rPr>
          <w:rFonts w:asciiTheme="majorHAnsi" w:eastAsia="Times New Roman" w:hAnsiTheme="majorHAnsi" w:cs="Times New Roman"/>
          <w:b/>
          <w:i/>
          <w:sz w:val="24"/>
          <w:szCs w:val="24"/>
          <w:lang w:val="ru-MD" w:eastAsia="ro-MD"/>
        </w:rPr>
        <w:t>:</w:t>
      </w:r>
      <w:r w:rsidR="009116C2" w:rsidRPr="00DC7F4E">
        <w:rPr>
          <w:rFonts w:asciiTheme="majorHAnsi" w:eastAsia="Times New Roman" w:hAnsiTheme="majorHAnsi" w:cs="Times New Roman"/>
          <w:b/>
          <w:i/>
          <w:sz w:val="24"/>
          <w:szCs w:val="24"/>
          <w:lang w:val="ru-MD" w:eastAsia="ro-MD"/>
        </w:rPr>
        <w:t xml:space="preserve"> </w:t>
      </w:r>
    </w:p>
    <w:p w:rsidR="00BA5B21" w:rsidRPr="00DC7F4E" w:rsidRDefault="00461430" w:rsidP="00D375D1">
      <w:pPr>
        <w:spacing w:after="0" w:line="276" w:lineRule="auto"/>
        <w:jc w:val="both"/>
        <w:rPr>
          <w:rFonts w:asciiTheme="majorHAnsi" w:eastAsia="Times New Roman" w:hAnsiTheme="majorHAnsi" w:cs="Times New Roman"/>
          <w:sz w:val="24"/>
          <w:szCs w:val="24"/>
          <w:lang w:val="ru-MD" w:eastAsia="ro-MD"/>
        </w:rPr>
      </w:pPr>
      <w:r w:rsidRPr="00DC7F4E">
        <w:rPr>
          <w:rFonts w:asciiTheme="majorHAnsi" w:eastAsia="Times New Roman" w:hAnsiTheme="majorHAnsi" w:cs="Times New Roman"/>
          <w:sz w:val="24"/>
          <w:szCs w:val="24"/>
          <w:lang w:val="ru-MD" w:eastAsia="ro-MD"/>
        </w:rPr>
        <w:t>Руководитель аудиторской группы</w:t>
      </w:r>
      <w:r w:rsidR="00B714E2" w:rsidRPr="00DC7F4E">
        <w:rPr>
          <w:rFonts w:asciiTheme="majorHAnsi" w:eastAsia="Times New Roman" w:hAnsiTheme="majorHAnsi" w:cs="Times New Roman"/>
          <w:sz w:val="24"/>
          <w:szCs w:val="24"/>
          <w:lang w:val="ru-MD" w:eastAsia="ro-MD"/>
        </w:rPr>
        <w:t>,</w:t>
      </w:r>
    </w:p>
    <w:p w:rsidR="00BA5B21" w:rsidRPr="00DC7F4E" w:rsidRDefault="00461430" w:rsidP="00D375D1">
      <w:pPr>
        <w:spacing w:after="0" w:line="276" w:lineRule="auto"/>
        <w:jc w:val="both"/>
        <w:rPr>
          <w:rFonts w:asciiTheme="majorHAnsi" w:eastAsia="Times New Roman" w:hAnsiTheme="majorHAnsi" w:cs="Times New Roman"/>
          <w:sz w:val="24"/>
          <w:szCs w:val="24"/>
          <w:lang w:val="ru-MD" w:eastAsia="ro-MD"/>
        </w:rPr>
      </w:pPr>
      <w:r w:rsidRPr="00DC7F4E">
        <w:rPr>
          <w:rFonts w:asciiTheme="majorHAnsi" w:eastAsia="Times New Roman" w:hAnsiTheme="majorHAnsi" w:cs="Times New Roman"/>
          <w:sz w:val="24"/>
          <w:szCs w:val="24"/>
          <w:lang w:val="ru-MD" w:eastAsia="ro-MD"/>
        </w:rPr>
        <w:t xml:space="preserve">И.О. начальника Управления аудита </w:t>
      </w:r>
      <w:r w:rsidR="008C1855" w:rsidRPr="00DC7F4E">
        <w:rPr>
          <w:rFonts w:asciiTheme="majorHAnsi" w:eastAsia="Times New Roman" w:hAnsiTheme="majorHAnsi" w:cs="Times New Roman"/>
          <w:sz w:val="24"/>
          <w:szCs w:val="24"/>
          <w:lang w:val="ru-MD" w:eastAsia="ro-MD"/>
        </w:rPr>
        <w:t xml:space="preserve">III   </w:t>
      </w:r>
      <w:r w:rsidR="008723C6" w:rsidRPr="00DC7F4E">
        <w:rPr>
          <w:rFonts w:asciiTheme="majorHAnsi" w:hAnsiTheme="majorHAnsi" w:cs="Times New Roman"/>
          <w:sz w:val="24"/>
          <w:szCs w:val="24"/>
          <w:lang w:val="ru-MD"/>
        </w:rPr>
        <w:tab/>
      </w:r>
      <w:r w:rsidR="008723C6" w:rsidRPr="00DC7F4E">
        <w:rPr>
          <w:rFonts w:asciiTheme="majorHAnsi" w:hAnsiTheme="majorHAnsi" w:cs="Times New Roman"/>
          <w:sz w:val="24"/>
          <w:szCs w:val="24"/>
          <w:lang w:val="ru-MD"/>
        </w:rPr>
        <w:tab/>
      </w:r>
      <w:r w:rsidR="008723C6" w:rsidRPr="00DC7F4E">
        <w:rPr>
          <w:rFonts w:asciiTheme="majorHAnsi" w:hAnsiTheme="majorHAnsi" w:cs="Times New Roman"/>
          <w:sz w:val="24"/>
          <w:szCs w:val="24"/>
          <w:lang w:val="ru-MD"/>
        </w:rPr>
        <w:tab/>
      </w:r>
      <w:r w:rsidR="008723C6" w:rsidRPr="00DC7F4E">
        <w:rPr>
          <w:rFonts w:asciiTheme="majorHAnsi" w:hAnsiTheme="majorHAnsi" w:cs="Times New Roman"/>
          <w:sz w:val="24"/>
          <w:szCs w:val="24"/>
          <w:lang w:val="ru-MD"/>
        </w:rPr>
        <w:tab/>
      </w:r>
      <w:r w:rsidRPr="00DC7F4E">
        <w:rPr>
          <w:rFonts w:asciiTheme="majorHAnsi" w:hAnsiTheme="majorHAnsi" w:cs="Times New Roman"/>
          <w:sz w:val="24"/>
          <w:szCs w:val="24"/>
          <w:lang w:val="ru-MD"/>
        </w:rPr>
        <w:t>Ольга ПОЯНЭ</w:t>
      </w:r>
      <w:r w:rsidR="00BA5B21" w:rsidRPr="00DC7F4E">
        <w:rPr>
          <w:rFonts w:asciiTheme="majorHAnsi" w:hAnsiTheme="majorHAnsi" w:cs="Times New Roman"/>
          <w:sz w:val="24"/>
          <w:szCs w:val="24"/>
          <w:lang w:val="ru-MD"/>
        </w:rPr>
        <w:t xml:space="preserve"> </w:t>
      </w:r>
    </w:p>
    <w:p w:rsidR="00BA5B21" w:rsidRPr="00DC7F4E" w:rsidRDefault="00461430" w:rsidP="00D375D1">
      <w:pPr>
        <w:spacing w:after="0" w:line="276" w:lineRule="auto"/>
        <w:jc w:val="both"/>
        <w:rPr>
          <w:rFonts w:asciiTheme="majorHAnsi" w:eastAsia="Times New Roman" w:hAnsiTheme="majorHAnsi" w:cs="Times New Roman"/>
          <w:b/>
          <w:i/>
          <w:sz w:val="24"/>
          <w:szCs w:val="24"/>
          <w:lang w:val="ru-MD" w:eastAsia="ro-MD"/>
        </w:rPr>
      </w:pPr>
      <w:r w:rsidRPr="00DC7F4E">
        <w:rPr>
          <w:rFonts w:asciiTheme="majorHAnsi" w:eastAsia="Times New Roman" w:hAnsiTheme="majorHAnsi" w:cs="Times New Roman"/>
          <w:b/>
          <w:i/>
          <w:sz w:val="24"/>
          <w:szCs w:val="24"/>
          <w:lang w:val="ru-MD" w:eastAsia="ro-MD"/>
        </w:rPr>
        <w:t>Члены аудиторской группы</w:t>
      </w:r>
      <w:r w:rsidR="00BA5B21" w:rsidRPr="00DC7F4E">
        <w:rPr>
          <w:rFonts w:asciiTheme="majorHAnsi" w:eastAsia="Times New Roman" w:hAnsiTheme="majorHAnsi" w:cs="Times New Roman"/>
          <w:b/>
          <w:i/>
          <w:sz w:val="24"/>
          <w:szCs w:val="24"/>
          <w:lang w:val="ru-MD" w:eastAsia="ro-MD"/>
        </w:rPr>
        <w:t>:</w:t>
      </w:r>
    </w:p>
    <w:p w:rsidR="00BA5B21" w:rsidRPr="00DC7F4E" w:rsidRDefault="00461430" w:rsidP="00461430">
      <w:pPr>
        <w:tabs>
          <w:tab w:val="left" w:pos="6480"/>
        </w:tabs>
        <w:spacing w:after="0" w:line="276" w:lineRule="auto"/>
        <w:jc w:val="both"/>
        <w:rPr>
          <w:rFonts w:asciiTheme="majorHAnsi" w:hAnsiTheme="majorHAnsi" w:cs="Times New Roman"/>
          <w:sz w:val="24"/>
          <w:szCs w:val="24"/>
          <w:lang w:val="ru-MD"/>
        </w:rPr>
      </w:pPr>
      <w:r w:rsidRPr="00DC7F4E">
        <w:rPr>
          <w:rFonts w:asciiTheme="majorHAnsi" w:eastAsia="Times New Roman" w:hAnsiTheme="majorHAnsi" w:cs="Times New Roman"/>
          <w:sz w:val="24"/>
          <w:szCs w:val="24"/>
          <w:lang w:val="ru-MD" w:eastAsia="ro-MD"/>
        </w:rPr>
        <w:t>Старший публичный аудитор</w:t>
      </w:r>
      <w:r w:rsidR="009116C2" w:rsidRPr="00DC7F4E">
        <w:rPr>
          <w:rFonts w:asciiTheme="majorHAnsi" w:hAnsiTheme="majorHAnsi" w:cs="Times New Roman"/>
          <w:sz w:val="24"/>
          <w:szCs w:val="24"/>
          <w:lang w:val="ru-MD"/>
        </w:rPr>
        <w:tab/>
      </w:r>
      <w:r w:rsidRPr="00DC7F4E">
        <w:rPr>
          <w:rFonts w:asciiTheme="majorHAnsi" w:hAnsiTheme="majorHAnsi" w:cs="Times New Roman"/>
          <w:sz w:val="24"/>
          <w:szCs w:val="24"/>
          <w:lang w:val="ru-MD"/>
        </w:rPr>
        <w:t>Татьяна ВРЕДНИК</w:t>
      </w:r>
    </w:p>
    <w:p w:rsidR="00BA5B21" w:rsidRPr="00DC7F4E" w:rsidRDefault="00461430" w:rsidP="00D375D1">
      <w:pPr>
        <w:spacing w:after="0" w:line="276" w:lineRule="auto"/>
        <w:jc w:val="both"/>
        <w:rPr>
          <w:rFonts w:asciiTheme="majorHAnsi" w:hAnsiTheme="majorHAnsi" w:cs="Times New Roman"/>
          <w:b/>
          <w:sz w:val="24"/>
          <w:szCs w:val="24"/>
          <w:lang w:val="ru-MD"/>
        </w:rPr>
      </w:pPr>
      <w:r w:rsidRPr="00DC7F4E">
        <w:rPr>
          <w:rFonts w:asciiTheme="majorHAnsi" w:hAnsiTheme="majorHAnsi" w:cs="Times New Roman"/>
          <w:sz w:val="24"/>
          <w:szCs w:val="24"/>
          <w:lang w:val="ru-MD"/>
        </w:rPr>
        <w:t>публичный аудитор</w:t>
      </w:r>
      <w:r w:rsidR="00BA5B21" w:rsidRPr="00DC7F4E">
        <w:rPr>
          <w:rFonts w:asciiTheme="majorHAnsi" w:hAnsiTheme="majorHAnsi" w:cs="Times New Roman"/>
          <w:sz w:val="24"/>
          <w:szCs w:val="24"/>
          <w:lang w:val="ru-MD"/>
        </w:rPr>
        <w:t xml:space="preserve">                                                                          </w:t>
      </w:r>
      <w:r w:rsidR="00D375D1" w:rsidRPr="00DC7F4E">
        <w:rPr>
          <w:rFonts w:asciiTheme="majorHAnsi" w:hAnsiTheme="majorHAnsi" w:cs="Times New Roman"/>
          <w:sz w:val="24"/>
          <w:szCs w:val="24"/>
          <w:lang w:val="ru-MD"/>
        </w:rPr>
        <w:t xml:space="preserve">         </w:t>
      </w:r>
      <w:r w:rsidRPr="00DC7F4E">
        <w:rPr>
          <w:rFonts w:asciiTheme="majorHAnsi" w:hAnsiTheme="majorHAnsi" w:cs="Times New Roman"/>
          <w:sz w:val="24"/>
          <w:szCs w:val="24"/>
          <w:lang w:val="ru-MD"/>
        </w:rPr>
        <w:t>Ольга КЭПЭЦИНЭ</w:t>
      </w:r>
    </w:p>
    <w:p w:rsidR="00461430" w:rsidRPr="00DC7F4E" w:rsidRDefault="00461430" w:rsidP="00461430">
      <w:pPr>
        <w:spacing w:after="0" w:line="276" w:lineRule="auto"/>
        <w:jc w:val="both"/>
        <w:rPr>
          <w:rFonts w:asciiTheme="majorHAnsi" w:eastAsia="Times New Roman" w:hAnsiTheme="majorHAnsi" w:cs="Times New Roman"/>
          <w:b/>
          <w:i/>
          <w:sz w:val="24"/>
          <w:szCs w:val="24"/>
          <w:lang w:val="ru-MD"/>
        </w:rPr>
      </w:pPr>
      <w:r w:rsidRPr="00DC7F4E">
        <w:rPr>
          <w:rFonts w:asciiTheme="majorHAnsi" w:eastAsia="Times New Roman" w:hAnsiTheme="majorHAnsi" w:cs="Times New Roman"/>
          <w:b/>
          <w:i/>
          <w:sz w:val="24"/>
          <w:szCs w:val="24"/>
          <w:lang w:val="ru-MD"/>
        </w:rPr>
        <w:t>Ответственный за аудит:</w:t>
      </w:r>
    </w:p>
    <w:p w:rsidR="003E33AE" w:rsidRPr="00DC7F4E" w:rsidRDefault="00461430" w:rsidP="00461430">
      <w:pPr>
        <w:spacing w:after="0" w:line="276" w:lineRule="auto"/>
        <w:jc w:val="both"/>
        <w:rPr>
          <w:rFonts w:asciiTheme="majorHAnsi" w:hAnsiTheme="majorHAnsi" w:cs="Times New Roman"/>
          <w:sz w:val="24"/>
          <w:szCs w:val="24"/>
          <w:lang w:val="ru-MD"/>
        </w:rPr>
      </w:pPr>
      <w:r w:rsidRPr="00DC7F4E">
        <w:rPr>
          <w:rFonts w:asciiTheme="majorHAnsi" w:hAnsiTheme="majorHAnsi" w:cs="Times New Roman"/>
          <w:sz w:val="24"/>
          <w:szCs w:val="24"/>
          <w:lang w:val="ru-MD"/>
        </w:rPr>
        <w:t>Начальник Главного управления аудита IV</w:t>
      </w:r>
      <w:r w:rsidR="00BA5B21" w:rsidRPr="00DC7F4E">
        <w:rPr>
          <w:rFonts w:asciiTheme="majorHAnsi" w:hAnsiTheme="majorHAnsi" w:cs="Times New Roman"/>
          <w:sz w:val="24"/>
          <w:szCs w:val="24"/>
          <w:lang w:val="ru-MD"/>
        </w:rPr>
        <w:tab/>
      </w:r>
      <w:r w:rsidR="00BA5B21" w:rsidRPr="00DC7F4E">
        <w:rPr>
          <w:rFonts w:asciiTheme="majorHAnsi" w:hAnsiTheme="majorHAnsi" w:cs="Times New Roman"/>
          <w:sz w:val="24"/>
          <w:szCs w:val="24"/>
          <w:lang w:val="ru-MD"/>
        </w:rPr>
        <w:tab/>
      </w:r>
      <w:r w:rsidR="00BA5B21" w:rsidRPr="00DC7F4E">
        <w:rPr>
          <w:rFonts w:asciiTheme="majorHAnsi" w:hAnsiTheme="majorHAnsi" w:cs="Times New Roman"/>
          <w:sz w:val="24"/>
          <w:szCs w:val="24"/>
          <w:lang w:val="ru-MD"/>
        </w:rPr>
        <w:tab/>
      </w:r>
      <w:r w:rsidR="00BA5B21" w:rsidRPr="00DC7F4E">
        <w:rPr>
          <w:rFonts w:asciiTheme="majorHAnsi" w:hAnsiTheme="majorHAnsi" w:cs="Times New Roman"/>
          <w:sz w:val="24"/>
          <w:szCs w:val="24"/>
          <w:lang w:val="ru-MD"/>
        </w:rPr>
        <w:tab/>
      </w:r>
      <w:r w:rsidRPr="00DC7F4E">
        <w:rPr>
          <w:rFonts w:asciiTheme="majorHAnsi" w:hAnsiTheme="majorHAnsi" w:cs="Times New Roman"/>
          <w:sz w:val="24"/>
          <w:szCs w:val="24"/>
          <w:lang w:val="ru-MD"/>
        </w:rPr>
        <w:t>Василе МОШОЙ</w:t>
      </w:r>
    </w:p>
    <w:sectPr w:rsidR="003E33AE" w:rsidRPr="00DC7F4E" w:rsidSect="00F87F2E">
      <w:footerReference w:type="default" r:id="rId12"/>
      <w:pgSz w:w="11906" w:h="16838" w:code="9"/>
      <w:pgMar w:top="1135" w:right="849"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F2" w:rsidRDefault="005C01F2" w:rsidP="00125D9C">
      <w:pPr>
        <w:spacing w:after="0" w:line="240" w:lineRule="auto"/>
      </w:pPr>
      <w:r>
        <w:separator/>
      </w:r>
    </w:p>
  </w:endnote>
  <w:endnote w:type="continuationSeparator" w:id="0">
    <w:p w:rsidR="005C01F2" w:rsidRDefault="005C01F2"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2540"/>
      <w:docPartObj>
        <w:docPartGallery w:val="Page Numbers (Bottom of Page)"/>
        <w:docPartUnique/>
      </w:docPartObj>
    </w:sdtPr>
    <w:sdtEndPr>
      <w:rPr>
        <w:noProof/>
      </w:rPr>
    </w:sdtEndPr>
    <w:sdtContent>
      <w:p w:rsidR="00B07F3D" w:rsidRDefault="00C22F51">
        <w:pPr>
          <w:pStyle w:val="Footer"/>
          <w:jc w:val="right"/>
        </w:pPr>
        <w:r>
          <w:fldChar w:fldCharType="begin"/>
        </w:r>
        <w:r>
          <w:instrText xml:space="preserve"> PAGE   \* MERGEFORMAT </w:instrText>
        </w:r>
        <w:r>
          <w:fldChar w:fldCharType="separate"/>
        </w:r>
        <w:r w:rsidR="008D1875">
          <w:rPr>
            <w:noProof/>
          </w:rPr>
          <w:t>7</w:t>
        </w:r>
        <w:r>
          <w:rPr>
            <w:noProof/>
          </w:rPr>
          <w:fldChar w:fldCharType="end"/>
        </w:r>
      </w:p>
    </w:sdtContent>
  </w:sdt>
  <w:p w:rsidR="00B07F3D" w:rsidRDefault="005C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F2" w:rsidRDefault="005C01F2" w:rsidP="00125D9C">
      <w:pPr>
        <w:spacing w:after="0" w:line="240" w:lineRule="auto"/>
      </w:pPr>
      <w:r>
        <w:separator/>
      </w:r>
    </w:p>
  </w:footnote>
  <w:footnote w:type="continuationSeparator" w:id="0">
    <w:p w:rsidR="005C01F2" w:rsidRDefault="005C01F2" w:rsidP="00125D9C">
      <w:pPr>
        <w:spacing w:after="0" w:line="240" w:lineRule="auto"/>
      </w:pPr>
      <w:r>
        <w:continuationSeparator/>
      </w:r>
    </w:p>
  </w:footnote>
  <w:footnote w:id="1">
    <w:p w:rsidR="00505649" w:rsidRPr="00DC7F4E" w:rsidRDefault="00505649" w:rsidP="00505649">
      <w:pPr>
        <w:pStyle w:val="FootnoteText"/>
        <w:ind w:right="-285"/>
        <w:jc w:val="both"/>
        <w:rPr>
          <w:rFonts w:asciiTheme="majorHAnsi" w:hAnsiTheme="majorHAnsi" w:cstheme="majorHAnsi"/>
          <w:lang w:val="ru-MD"/>
        </w:rPr>
      </w:pPr>
      <w:r w:rsidRPr="00DC7F4E">
        <w:rPr>
          <w:rFonts w:asciiTheme="majorHAnsi" w:eastAsia="Times New Roman" w:hAnsiTheme="majorHAnsi" w:cstheme="majorHAnsi"/>
          <w:vertAlign w:val="superscript"/>
          <w:lang w:val="ru-MD"/>
        </w:rPr>
        <w:footnoteRef/>
      </w:r>
      <w:r w:rsidRPr="00DC7F4E">
        <w:rPr>
          <w:rFonts w:asciiTheme="majorHAnsi" w:eastAsia="Times New Roman" w:hAnsiTheme="majorHAnsi" w:cstheme="majorHAnsi"/>
          <w:lang w:val="ru-MD"/>
        </w:rPr>
        <w:t xml:space="preserve"> 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DC7F4E">
        <w:rPr>
          <w:rFonts w:ascii="Calibri Light" w:hAnsi="Calibri Light" w:cs="Calibri Light"/>
          <w:lang w:val="ru-MD"/>
        </w:rPr>
        <w:t>Приказ министра финансов №164 от 30.12.2016 „</w:t>
      </w:r>
      <w:r w:rsidRPr="00DC7F4E">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DC7F4E">
        <w:rPr>
          <w:rFonts w:ascii="Calibri Light" w:hAnsi="Calibri Light" w:cs="Calibri Light"/>
          <w:lang w:val="ru-MD"/>
        </w:rPr>
        <w:t>”</w:t>
      </w:r>
      <w:r w:rsidRPr="00DC7F4E">
        <w:rPr>
          <w:rFonts w:asciiTheme="majorHAnsi" w:eastAsia="Times New Roman" w:hAnsiTheme="majorHAnsi" w:cstheme="majorHAnsi"/>
          <w:lang w:val="ru-MD"/>
        </w:rPr>
        <w:t xml:space="preserve">. </w:t>
      </w:r>
    </w:p>
  </w:footnote>
  <w:footnote w:id="2">
    <w:p w:rsidR="00DC7F4E" w:rsidRPr="00DC7F4E" w:rsidRDefault="00DC7F4E" w:rsidP="00DC7F4E">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Pr>
          <w:rFonts w:asciiTheme="majorHAnsi" w:eastAsia="Times New Roman" w:hAnsiTheme="majorHAnsi" w:cstheme="majorHAnsi"/>
          <w:lang w:val="ru-MD"/>
        </w:rPr>
        <w:t>П</w:t>
      </w:r>
      <w:r w:rsidRPr="00DC7F4E">
        <w:rPr>
          <w:rFonts w:asciiTheme="majorHAnsi" w:eastAsia="Times New Roman" w:hAnsiTheme="majorHAnsi" w:cstheme="majorHAnsi"/>
          <w:lang w:val="ru-MD"/>
        </w:rPr>
        <w:t>.3.3.47. Приказ</w:t>
      </w:r>
      <w:r>
        <w:rPr>
          <w:rFonts w:asciiTheme="majorHAnsi" w:eastAsia="Times New Roman" w:hAnsiTheme="majorHAnsi" w:cstheme="majorHAnsi"/>
          <w:lang w:val="ru-MD"/>
        </w:rPr>
        <w:t>а</w:t>
      </w:r>
      <w:r w:rsidRPr="00DC7F4E">
        <w:rPr>
          <w:rFonts w:asciiTheme="majorHAnsi" w:eastAsia="Times New Roman" w:hAnsiTheme="majorHAnsi" w:cstheme="majorHAnsi"/>
          <w:lang w:val="ru-MD"/>
        </w:rPr>
        <w:t xml:space="preserve">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3">
    <w:p w:rsidR="00C43902" w:rsidRPr="00DC7F4E" w:rsidRDefault="00C43902" w:rsidP="009D00AE">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sidR="00C2373F" w:rsidRPr="00C2373F">
        <w:rPr>
          <w:rFonts w:asciiTheme="majorHAnsi" w:eastAsia="Times New Roman" w:hAnsiTheme="majorHAnsi" w:cstheme="majorHAnsi"/>
          <w:lang w:val="ru-MD"/>
        </w:rPr>
        <w:t xml:space="preserve">Отмечается, что в 2022 году ПУ НОРМР подписало Акты передачи осуществляемых инвестиций сообществам-бенефициарам в размере 174,32 млн. леев от общей суммы 191,74 млн. леев, таким образом, предыдущая рекомендация Счетной палаты </w:t>
      </w:r>
      <w:r w:rsidR="00272615" w:rsidRPr="00C2373F">
        <w:rPr>
          <w:rFonts w:asciiTheme="majorHAnsi" w:eastAsia="Times New Roman" w:hAnsiTheme="majorHAnsi" w:cstheme="majorHAnsi"/>
          <w:lang w:val="ru-MD"/>
        </w:rPr>
        <w:t xml:space="preserve">была реализована </w:t>
      </w:r>
      <w:r w:rsidR="00C2373F" w:rsidRPr="00C2373F">
        <w:rPr>
          <w:rFonts w:asciiTheme="majorHAnsi" w:eastAsia="Times New Roman" w:hAnsiTheme="majorHAnsi" w:cstheme="majorHAnsi"/>
          <w:lang w:val="ru-MD"/>
        </w:rPr>
        <w:t>на уровне около 90%.</w:t>
      </w:r>
    </w:p>
  </w:footnote>
  <w:footnote w:id="4">
    <w:p w:rsidR="00CB7A0E" w:rsidRPr="00DC7F4E" w:rsidRDefault="00CB7A0E" w:rsidP="00CB7A0E">
      <w:pPr>
        <w:pStyle w:val="FootnoteText"/>
        <w:rPr>
          <w:rFonts w:asciiTheme="majorHAnsi" w:eastAsia="Times New Roman"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DC7F4E">
        <w:rPr>
          <w:rFonts w:asciiTheme="majorHAnsi" w:eastAsia="Times New Roman" w:hAnsiTheme="majorHAnsi" w:cstheme="majorHAnsi"/>
          <w:lang w:val="ru-MD"/>
        </w:rPr>
        <w:t xml:space="preserve">.  </w:t>
      </w:r>
    </w:p>
  </w:footnote>
  <w:footnote w:id="5">
    <w:p w:rsidR="00104E68" w:rsidRPr="00DC7F4E" w:rsidRDefault="00104E68" w:rsidP="00104E68">
      <w:pPr>
        <w:pStyle w:val="FootnoteText"/>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hyperlink r:id="rId1" w:history="1">
        <w:r w:rsidRPr="00DC7F4E">
          <w:rPr>
            <w:rFonts w:asciiTheme="majorHAnsi" w:hAnsiTheme="majorHAnsi" w:cstheme="majorHAnsi"/>
            <w:i/>
            <w:color w:val="002060"/>
            <w:u w:val="single"/>
            <w:lang w:val="ru-MD"/>
          </w:rPr>
          <w:t>https://www.parlament.md/ProcesulLegislativ/Proiectedeactelegislative/tabid/61/LegislativId/6407/language/ro-RO/Default.aspx</w:t>
        </w:r>
      </w:hyperlink>
      <w:r w:rsidRPr="00DC7F4E">
        <w:rPr>
          <w:rStyle w:val="Hyperlink"/>
          <w:rFonts w:asciiTheme="majorHAnsi" w:hAnsiTheme="majorHAnsi" w:cstheme="majorHAnsi"/>
          <w:color w:val="002060"/>
          <w:lang w:val="ru-MD"/>
        </w:rPr>
        <w:t xml:space="preserve"> </w:t>
      </w:r>
    </w:p>
  </w:footnote>
  <w:footnote w:id="6">
    <w:p w:rsidR="004722E7" w:rsidRPr="00DC7F4E" w:rsidRDefault="004722E7" w:rsidP="004722E7">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sidR="003A5909" w:rsidRPr="00DC7F4E">
        <w:rPr>
          <w:rFonts w:asciiTheme="majorHAnsi" w:hAnsiTheme="majorHAnsi" w:cstheme="majorHAnsi"/>
          <w:lang w:val="ru-MD"/>
        </w:rPr>
        <w:t>Приложение №</w:t>
      </w:r>
      <w:r w:rsidRPr="00DC7F4E">
        <w:rPr>
          <w:rFonts w:asciiTheme="majorHAnsi" w:hAnsiTheme="majorHAnsi" w:cstheme="majorHAnsi"/>
          <w:lang w:val="ru-MD"/>
        </w:rPr>
        <w:t xml:space="preserve">1 </w:t>
      </w:r>
      <w:r w:rsidR="003A5909" w:rsidRPr="00DC7F4E">
        <w:rPr>
          <w:rFonts w:asciiTheme="majorHAnsi" w:hAnsiTheme="majorHAnsi" w:cstheme="majorHAnsi"/>
          <w:lang w:val="ru-MD"/>
        </w:rPr>
        <w:t>к Постановлению Правительства №</w:t>
      </w:r>
      <w:r w:rsidRPr="00DC7F4E">
        <w:rPr>
          <w:rFonts w:asciiTheme="majorHAnsi" w:eastAsia="Times New Roman" w:hAnsiTheme="majorHAnsi" w:cstheme="majorHAnsi"/>
          <w:lang w:val="ru-MD"/>
        </w:rPr>
        <w:t xml:space="preserve">285 </w:t>
      </w:r>
      <w:r w:rsidR="003A5909" w:rsidRPr="00DC7F4E">
        <w:rPr>
          <w:rFonts w:asciiTheme="majorHAnsi" w:eastAsia="Times New Roman" w:hAnsiTheme="majorHAnsi" w:cstheme="majorHAnsi"/>
          <w:lang w:val="ru-MD"/>
        </w:rPr>
        <w:t>от</w:t>
      </w:r>
      <w:r w:rsidRPr="00DC7F4E">
        <w:rPr>
          <w:rFonts w:asciiTheme="majorHAnsi" w:eastAsia="Times New Roman" w:hAnsiTheme="majorHAnsi" w:cstheme="majorHAnsi"/>
          <w:lang w:val="ru-MD"/>
        </w:rPr>
        <w:t xml:space="preserve"> 23.05.96 </w:t>
      </w:r>
      <w:r w:rsidR="003A5909" w:rsidRPr="00DC7F4E">
        <w:rPr>
          <w:rFonts w:asciiTheme="majorHAnsi" w:eastAsia="Times New Roman" w:hAnsiTheme="majorHAnsi" w:cstheme="majorHAnsi"/>
          <w:lang w:val="ru-MD"/>
        </w:rPr>
        <w:t>об утверждении Положения о приемке строительных работ и установленного оборудования</w:t>
      </w:r>
      <w:r w:rsidRPr="00DC7F4E">
        <w:rPr>
          <w:rFonts w:asciiTheme="majorHAnsi" w:eastAsia="Times New Roman" w:hAnsiTheme="majorHAnsi" w:cstheme="majorHAnsi"/>
          <w:lang w:val="ru-MD"/>
        </w:rPr>
        <w:t>.</w:t>
      </w:r>
    </w:p>
  </w:footnote>
  <w:footnote w:id="7">
    <w:p w:rsidR="006904E3" w:rsidRPr="00DC7F4E" w:rsidRDefault="006904E3" w:rsidP="006904E3">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sidR="002034DD" w:rsidRPr="00DC7F4E">
        <w:rPr>
          <w:rFonts w:asciiTheme="majorHAnsi" w:hAnsiTheme="majorHAnsi" w:cstheme="majorHAnsi"/>
          <w:lang w:val="ru-MD"/>
        </w:rPr>
        <w:t>Передан в</w:t>
      </w:r>
      <w:r w:rsidR="00623665" w:rsidRPr="00DC7F4E">
        <w:rPr>
          <w:rFonts w:asciiTheme="majorHAnsi" w:hAnsiTheme="majorHAnsi" w:cstheme="majorHAnsi"/>
          <w:lang w:val="ru-MD"/>
        </w:rPr>
        <w:t xml:space="preserve"> ходе</w:t>
      </w:r>
      <w:r w:rsidR="002034DD" w:rsidRPr="00DC7F4E">
        <w:rPr>
          <w:rFonts w:asciiTheme="majorHAnsi" w:hAnsiTheme="majorHAnsi" w:cstheme="majorHAnsi"/>
          <w:lang w:val="ru-MD"/>
        </w:rPr>
        <w:t xml:space="preserve"> реформы центрального отраслевого публичного управления</w:t>
      </w:r>
      <w:r w:rsidR="00623665" w:rsidRPr="00DC7F4E">
        <w:rPr>
          <w:rFonts w:asciiTheme="majorHAnsi" w:hAnsiTheme="majorHAnsi" w:cstheme="majorHAnsi"/>
          <w:lang w:val="ru-MD"/>
        </w:rPr>
        <w:t>,</w:t>
      </w:r>
      <w:r w:rsidR="002034DD" w:rsidRPr="00DC7F4E">
        <w:rPr>
          <w:rFonts w:asciiTheme="majorHAnsi" w:hAnsiTheme="majorHAnsi" w:cstheme="majorHAnsi"/>
          <w:lang w:val="ru-MD"/>
        </w:rPr>
        <w:t xml:space="preserve"> от Министерства транспорта и дорожной инфраструктуры, стоимостью 1,45 млн. леев</w:t>
      </w:r>
      <w:r w:rsidRPr="00DC7F4E">
        <w:rPr>
          <w:rFonts w:asciiTheme="majorHAnsi" w:hAnsiTheme="majorHAnsi" w:cstheme="majorHAnsi"/>
          <w:lang w:val="ru-MD"/>
        </w:rPr>
        <w:t>.</w:t>
      </w:r>
    </w:p>
  </w:footnote>
  <w:footnote w:id="8">
    <w:p w:rsidR="00CF533C" w:rsidRPr="00DC7F4E" w:rsidRDefault="00CF533C" w:rsidP="009D00AE">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sidR="002034DD" w:rsidRPr="00DC7F4E">
        <w:rPr>
          <w:rFonts w:asciiTheme="majorHAnsi" w:hAnsiTheme="majorHAnsi" w:cstheme="majorHAnsi"/>
          <w:lang w:val="ru-MD"/>
        </w:rPr>
        <w:t>Ст</w:t>
      </w:r>
      <w:r w:rsidRPr="00DC7F4E">
        <w:rPr>
          <w:rFonts w:asciiTheme="majorHAnsi" w:hAnsiTheme="majorHAnsi" w:cstheme="majorHAnsi"/>
          <w:lang w:val="ru-MD"/>
        </w:rPr>
        <w:t>.7 (3)</w:t>
      </w:r>
      <w:r w:rsidR="002034DD" w:rsidRPr="00DC7F4E">
        <w:rPr>
          <w:rFonts w:asciiTheme="majorHAnsi" w:hAnsiTheme="majorHAnsi" w:cstheme="majorHAnsi"/>
          <w:lang w:val="ru-MD"/>
        </w:rPr>
        <w:t xml:space="preserve"> </w:t>
      </w:r>
      <w:r w:rsidRPr="00DC7F4E">
        <w:rPr>
          <w:rFonts w:asciiTheme="majorHAnsi" w:hAnsiTheme="majorHAnsi" w:cstheme="majorHAnsi"/>
          <w:lang w:val="ru-MD"/>
        </w:rPr>
        <w:t xml:space="preserve">d) </w:t>
      </w:r>
      <w:r w:rsidR="002034DD" w:rsidRPr="00DC7F4E">
        <w:rPr>
          <w:rFonts w:asciiTheme="majorHAnsi" w:hAnsiTheme="majorHAnsi" w:cstheme="majorHAnsi"/>
          <w:lang w:val="ru-MD"/>
        </w:rPr>
        <w:t>Закона об управлении публичной собственностью и ее разгосударствлении №</w:t>
      </w:r>
      <w:r w:rsidRPr="00DC7F4E">
        <w:rPr>
          <w:rFonts w:asciiTheme="majorHAnsi" w:hAnsiTheme="majorHAnsi" w:cstheme="majorHAnsi"/>
          <w:lang w:val="ru-MD"/>
        </w:rPr>
        <w:t>121</w:t>
      </w:r>
      <w:r w:rsidR="002034DD" w:rsidRPr="00DC7F4E">
        <w:rPr>
          <w:rFonts w:asciiTheme="majorHAnsi" w:hAnsiTheme="majorHAnsi" w:cstheme="majorHAnsi"/>
          <w:lang w:val="ru-MD"/>
        </w:rPr>
        <w:t>-</w:t>
      </w:r>
      <w:r w:rsidRPr="00DC7F4E">
        <w:rPr>
          <w:rFonts w:asciiTheme="majorHAnsi" w:hAnsiTheme="majorHAnsi" w:cstheme="majorHAnsi"/>
          <w:lang w:val="ru-MD"/>
        </w:rPr>
        <w:t xml:space="preserve">XVI </w:t>
      </w:r>
      <w:r w:rsidR="002034DD" w:rsidRPr="00DC7F4E">
        <w:rPr>
          <w:rFonts w:asciiTheme="majorHAnsi" w:hAnsiTheme="majorHAnsi" w:cstheme="majorHAnsi"/>
          <w:lang w:val="ru-MD"/>
        </w:rPr>
        <w:t xml:space="preserve">от </w:t>
      </w:r>
      <w:r w:rsidRPr="00DC7F4E">
        <w:rPr>
          <w:rFonts w:asciiTheme="majorHAnsi" w:hAnsiTheme="majorHAnsi" w:cstheme="majorHAnsi"/>
          <w:lang w:val="ru-MD"/>
        </w:rPr>
        <w:t>04.05.2007.</w:t>
      </w:r>
    </w:p>
  </w:footnote>
  <w:footnote w:id="9">
    <w:p w:rsidR="00F612FA" w:rsidRPr="00DC7F4E" w:rsidRDefault="00F612FA" w:rsidP="00F612FA">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Ст.13 (2) </w:t>
      </w:r>
      <w:r w:rsidRPr="00DC7F4E">
        <w:rPr>
          <w:rFonts w:asciiTheme="majorHAnsi" w:eastAsia="Times New Roman" w:hAnsiTheme="majorHAnsi" w:cstheme="majorHAnsi"/>
          <w:lang w:val="ru-MD"/>
        </w:rPr>
        <w:t>Закона о бухгалтерском учете №</w:t>
      </w:r>
      <w:r w:rsidRPr="00DC7F4E">
        <w:rPr>
          <w:rFonts w:asciiTheme="majorHAnsi" w:hAnsiTheme="majorHAnsi" w:cstheme="majorHAnsi"/>
          <w:lang w:val="ru-MD"/>
        </w:rPr>
        <w:t xml:space="preserve">113-XVI от 27.04.2007; п.1.4.1.3.  Приложения №1 к </w:t>
      </w:r>
      <w:r w:rsidRPr="00DC7F4E">
        <w:rPr>
          <w:rFonts w:asciiTheme="majorHAnsi" w:eastAsia="Times New Roman" w:hAnsiTheme="majorHAnsi" w:cstheme="majorHAnsi"/>
          <w:lang w:val="ru-MD"/>
        </w:rPr>
        <w:t>Приказу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10">
    <w:p w:rsidR="00F612FA" w:rsidRPr="00DC7F4E" w:rsidRDefault="00F612FA" w:rsidP="00F612FA">
      <w:pPr>
        <w:pStyle w:val="FootnoteText"/>
        <w:jc w:val="both"/>
        <w:rPr>
          <w:rFonts w:asciiTheme="majorHAnsi" w:hAnsiTheme="majorHAnsi" w:cstheme="majorHAnsi"/>
          <w:lang w:val="ru-MD"/>
        </w:rPr>
      </w:pPr>
      <w:r w:rsidRPr="00DC7F4E">
        <w:rPr>
          <w:rStyle w:val="FootnoteReference"/>
          <w:rFonts w:asciiTheme="majorHAnsi" w:hAnsiTheme="majorHAnsi" w:cstheme="majorHAnsi"/>
          <w:lang w:val="ru-MD"/>
        </w:rPr>
        <w:footnoteRef/>
      </w:r>
      <w:r w:rsidRPr="00DC7F4E">
        <w:rPr>
          <w:rFonts w:asciiTheme="majorHAnsi" w:hAnsiTheme="majorHAnsi" w:cstheme="majorHAnsi"/>
          <w:lang w:val="ru-MD"/>
        </w:rPr>
        <w:t xml:space="preserve"> </w:t>
      </w:r>
      <w:r w:rsidRPr="00DC7F4E">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DC7F4E">
        <w:rPr>
          <w:rFonts w:asciiTheme="majorHAnsi" w:hAnsiTheme="majorHAnsi" w:cstheme="majorHAnsi"/>
          <w:lang w:val="ru-MD"/>
        </w:rPr>
        <w:t>Приказ министра финансов №164 от 30.12.2016 „</w:t>
      </w:r>
      <w:r w:rsidRPr="00DC7F4E">
        <w:rPr>
          <w:rFonts w:asciiTheme="majorHAnsi"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DC7F4E">
        <w:rPr>
          <w:rFonts w:asciiTheme="majorHAnsi" w:hAnsiTheme="majorHAnsi" w:cstheme="majorHAnsi"/>
          <w:lang w:val="ru-MD"/>
        </w:rPr>
        <w:t>”</w:t>
      </w:r>
      <w:r w:rsidRPr="00DC7F4E">
        <w:rPr>
          <w:rFonts w:asciiTheme="majorHAnsi" w:eastAsia="Times New Roman"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84A"/>
    <w:multiLevelType w:val="hybridMultilevel"/>
    <w:tmpl w:val="0BE23050"/>
    <w:lvl w:ilvl="0" w:tplc="7EF4BC44">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 w15:restartNumberingAfterBreak="0">
    <w:nsid w:val="344E40EF"/>
    <w:multiLevelType w:val="multilevel"/>
    <w:tmpl w:val="8618AEA2"/>
    <w:lvl w:ilvl="0">
      <w:start w:val="6"/>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4"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5"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C63DB"/>
    <w:multiLevelType w:val="multilevel"/>
    <w:tmpl w:val="1610E2F4"/>
    <w:lvl w:ilvl="0">
      <w:start w:val="6"/>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48C3"/>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0"/>
  </w:num>
  <w:num w:numId="2">
    <w:abstractNumId w:val="4"/>
  </w:num>
  <w:num w:numId="3">
    <w:abstractNumId w:val="5"/>
  </w:num>
  <w:num w:numId="4">
    <w:abstractNumId w:val="8"/>
  </w:num>
  <w:num w:numId="5">
    <w:abstractNumId w:val="2"/>
  </w:num>
  <w:num w:numId="6">
    <w:abstractNumId w:val="9"/>
  </w:num>
  <w:num w:numId="7">
    <w:abstractNumId w:val="6"/>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3C9C"/>
    <w:rsid w:val="000064F8"/>
    <w:rsid w:val="00007835"/>
    <w:rsid w:val="00007D89"/>
    <w:rsid w:val="00011303"/>
    <w:rsid w:val="000229ED"/>
    <w:rsid w:val="000361A4"/>
    <w:rsid w:val="00043DF6"/>
    <w:rsid w:val="00047CEC"/>
    <w:rsid w:val="0005049B"/>
    <w:rsid w:val="00050DDE"/>
    <w:rsid w:val="000568BD"/>
    <w:rsid w:val="00056BB1"/>
    <w:rsid w:val="00056E6A"/>
    <w:rsid w:val="000571DB"/>
    <w:rsid w:val="00061AD5"/>
    <w:rsid w:val="00061D3B"/>
    <w:rsid w:val="00077E05"/>
    <w:rsid w:val="00081085"/>
    <w:rsid w:val="000828C8"/>
    <w:rsid w:val="0008557E"/>
    <w:rsid w:val="00085662"/>
    <w:rsid w:val="00085796"/>
    <w:rsid w:val="000A7C1C"/>
    <w:rsid w:val="000A7D63"/>
    <w:rsid w:val="000B1071"/>
    <w:rsid w:val="000B78B8"/>
    <w:rsid w:val="000B7AA7"/>
    <w:rsid w:val="000C096D"/>
    <w:rsid w:val="000C48CC"/>
    <w:rsid w:val="000D3006"/>
    <w:rsid w:val="000E23B6"/>
    <w:rsid w:val="000E3679"/>
    <w:rsid w:val="000E5C20"/>
    <w:rsid w:val="000E7C16"/>
    <w:rsid w:val="000F1E0A"/>
    <w:rsid w:val="000F7F95"/>
    <w:rsid w:val="00100B45"/>
    <w:rsid w:val="001032B1"/>
    <w:rsid w:val="00104E68"/>
    <w:rsid w:val="00106292"/>
    <w:rsid w:val="0011150A"/>
    <w:rsid w:val="00111D63"/>
    <w:rsid w:val="001127C1"/>
    <w:rsid w:val="00112C8B"/>
    <w:rsid w:val="00113C19"/>
    <w:rsid w:val="001216EF"/>
    <w:rsid w:val="00125D9C"/>
    <w:rsid w:val="00127123"/>
    <w:rsid w:val="00132B2A"/>
    <w:rsid w:val="00132C7D"/>
    <w:rsid w:val="001334DA"/>
    <w:rsid w:val="00136C2A"/>
    <w:rsid w:val="001525D2"/>
    <w:rsid w:val="0015539E"/>
    <w:rsid w:val="00155C04"/>
    <w:rsid w:val="00155D7C"/>
    <w:rsid w:val="00157FD2"/>
    <w:rsid w:val="0016053B"/>
    <w:rsid w:val="0017222E"/>
    <w:rsid w:val="00175A55"/>
    <w:rsid w:val="001819BB"/>
    <w:rsid w:val="00187A71"/>
    <w:rsid w:val="00194EBE"/>
    <w:rsid w:val="001A0EA6"/>
    <w:rsid w:val="001A4506"/>
    <w:rsid w:val="001A51BE"/>
    <w:rsid w:val="001A7556"/>
    <w:rsid w:val="001B1957"/>
    <w:rsid w:val="001D6C36"/>
    <w:rsid w:val="001E0AD8"/>
    <w:rsid w:val="001E2D3C"/>
    <w:rsid w:val="001E66FA"/>
    <w:rsid w:val="001F43B4"/>
    <w:rsid w:val="001F4E4A"/>
    <w:rsid w:val="001F6717"/>
    <w:rsid w:val="002034DD"/>
    <w:rsid w:val="00215465"/>
    <w:rsid w:val="0021655D"/>
    <w:rsid w:val="00231C6F"/>
    <w:rsid w:val="002330D4"/>
    <w:rsid w:val="00234C78"/>
    <w:rsid w:val="00237F23"/>
    <w:rsid w:val="002433CB"/>
    <w:rsid w:val="00250773"/>
    <w:rsid w:val="002508FA"/>
    <w:rsid w:val="00250A88"/>
    <w:rsid w:val="002553F0"/>
    <w:rsid w:val="00256207"/>
    <w:rsid w:val="00262346"/>
    <w:rsid w:val="00262D28"/>
    <w:rsid w:val="00272615"/>
    <w:rsid w:val="00294279"/>
    <w:rsid w:val="002A5620"/>
    <w:rsid w:val="002A606C"/>
    <w:rsid w:val="002A7A13"/>
    <w:rsid w:val="002B5CA5"/>
    <w:rsid w:val="002C7E61"/>
    <w:rsid w:val="002D0859"/>
    <w:rsid w:val="002D3FAB"/>
    <w:rsid w:val="002D4B10"/>
    <w:rsid w:val="002E311E"/>
    <w:rsid w:val="002F0B68"/>
    <w:rsid w:val="002F763F"/>
    <w:rsid w:val="00303A00"/>
    <w:rsid w:val="0030423E"/>
    <w:rsid w:val="003053B0"/>
    <w:rsid w:val="00305A2B"/>
    <w:rsid w:val="00305F9B"/>
    <w:rsid w:val="00315A6D"/>
    <w:rsid w:val="00320F2A"/>
    <w:rsid w:val="0033101A"/>
    <w:rsid w:val="00342752"/>
    <w:rsid w:val="00346E3E"/>
    <w:rsid w:val="00350139"/>
    <w:rsid w:val="00361942"/>
    <w:rsid w:val="00362F11"/>
    <w:rsid w:val="00363058"/>
    <w:rsid w:val="00370E67"/>
    <w:rsid w:val="00382A78"/>
    <w:rsid w:val="00392494"/>
    <w:rsid w:val="003A08D3"/>
    <w:rsid w:val="003A28E1"/>
    <w:rsid w:val="003A4B95"/>
    <w:rsid w:val="003A5909"/>
    <w:rsid w:val="003A5E33"/>
    <w:rsid w:val="003B140C"/>
    <w:rsid w:val="003B40AB"/>
    <w:rsid w:val="003B5F9F"/>
    <w:rsid w:val="003B6D70"/>
    <w:rsid w:val="003C2B3B"/>
    <w:rsid w:val="003D097B"/>
    <w:rsid w:val="003E1994"/>
    <w:rsid w:val="003E2A41"/>
    <w:rsid w:val="003E2CC2"/>
    <w:rsid w:val="003E33AE"/>
    <w:rsid w:val="003E4DF8"/>
    <w:rsid w:val="003E5814"/>
    <w:rsid w:val="003E5C13"/>
    <w:rsid w:val="003F1302"/>
    <w:rsid w:val="003F160D"/>
    <w:rsid w:val="004043CE"/>
    <w:rsid w:val="004045B0"/>
    <w:rsid w:val="004065E0"/>
    <w:rsid w:val="0041572A"/>
    <w:rsid w:val="00425458"/>
    <w:rsid w:val="0042719A"/>
    <w:rsid w:val="00431598"/>
    <w:rsid w:val="00434866"/>
    <w:rsid w:val="00435D67"/>
    <w:rsid w:val="00443D45"/>
    <w:rsid w:val="00447279"/>
    <w:rsid w:val="00461430"/>
    <w:rsid w:val="004637FE"/>
    <w:rsid w:val="00464DDE"/>
    <w:rsid w:val="00464F52"/>
    <w:rsid w:val="004715E4"/>
    <w:rsid w:val="004722E7"/>
    <w:rsid w:val="00476A00"/>
    <w:rsid w:val="00477B03"/>
    <w:rsid w:val="00492FF7"/>
    <w:rsid w:val="00495340"/>
    <w:rsid w:val="0049747C"/>
    <w:rsid w:val="004A0564"/>
    <w:rsid w:val="004A3DCE"/>
    <w:rsid w:val="004A7902"/>
    <w:rsid w:val="004B07DC"/>
    <w:rsid w:val="004B312C"/>
    <w:rsid w:val="004B7017"/>
    <w:rsid w:val="004D0B6D"/>
    <w:rsid w:val="004D2886"/>
    <w:rsid w:val="004D3252"/>
    <w:rsid w:val="004D49A6"/>
    <w:rsid w:val="004E4C17"/>
    <w:rsid w:val="004F2AA3"/>
    <w:rsid w:val="004F54CC"/>
    <w:rsid w:val="004F56FF"/>
    <w:rsid w:val="005025C5"/>
    <w:rsid w:val="00505649"/>
    <w:rsid w:val="0050579F"/>
    <w:rsid w:val="005063C9"/>
    <w:rsid w:val="00507384"/>
    <w:rsid w:val="00515989"/>
    <w:rsid w:val="00516697"/>
    <w:rsid w:val="0052053A"/>
    <w:rsid w:val="00525684"/>
    <w:rsid w:val="00526429"/>
    <w:rsid w:val="005269A6"/>
    <w:rsid w:val="00535BF6"/>
    <w:rsid w:val="00535CA3"/>
    <w:rsid w:val="005451E4"/>
    <w:rsid w:val="00546062"/>
    <w:rsid w:val="00546162"/>
    <w:rsid w:val="00552B95"/>
    <w:rsid w:val="005546A9"/>
    <w:rsid w:val="00556A20"/>
    <w:rsid w:val="005638B6"/>
    <w:rsid w:val="00567031"/>
    <w:rsid w:val="005746D4"/>
    <w:rsid w:val="00577587"/>
    <w:rsid w:val="00577987"/>
    <w:rsid w:val="00581BE8"/>
    <w:rsid w:val="005850AA"/>
    <w:rsid w:val="00586F96"/>
    <w:rsid w:val="00587361"/>
    <w:rsid w:val="005A15C9"/>
    <w:rsid w:val="005A1D30"/>
    <w:rsid w:val="005B0AA3"/>
    <w:rsid w:val="005B5C14"/>
    <w:rsid w:val="005B637F"/>
    <w:rsid w:val="005B7517"/>
    <w:rsid w:val="005C01F2"/>
    <w:rsid w:val="005C681C"/>
    <w:rsid w:val="005C6A94"/>
    <w:rsid w:val="005E1341"/>
    <w:rsid w:val="005E4823"/>
    <w:rsid w:val="005E64BC"/>
    <w:rsid w:val="005F15FC"/>
    <w:rsid w:val="006111FC"/>
    <w:rsid w:val="00612A98"/>
    <w:rsid w:val="00613CB1"/>
    <w:rsid w:val="00615974"/>
    <w:rsid w:val="0061789A"/>
    <w:rsid w:val="006202F9"/>
    <w:rsid w:val="00623665"/>
    <w:rsid w:val="00626F4D"/>
    <w:rsid w:val="00630B90"/>
    <w:rsid w:val="0064108E"/>
    <w:rsid w:val="00653540"/>
    <w:rsid w:val="0066080A"/>
    <w:rsid w:val="00662C3E"/>
    <w:rsid w:val="00665398"/>
    <w:rsid w:val="006662FA"/>
    <w:rsid w:val="00666DA3"/>
    <w:rsid w:val="00667747"/>
    <w:rsid w:val="006710E8"/>
    <w:rsid w:val="00682AF6"/>
    <w:rsid w:val="0068386A"/>
    <w:rsid w:val="00686ECD"/>
    <w:rsid w:val="00687D34"/>
    <w:rsid w:val="006904E3"/>
    <w:rsid w:val="006916A9"/>
    <w:rsid w:val="006927BD"/>
    <w:rsid w:val="006A7171"/>
    <w:rsid w:val="006B0D9C"/>
    <w:rsid w:val="006B2A37"/>
    <w:rsid w:val="006E519F"/>
    <w:rsid w:val="006E6771"/>
    <w:rsid w:val="006E6963"/>
    <w:rsid w:val="00701879"/>
    <w:rsid w:val="007030FD"/>
    <w:rsid w:val="00704151"/>
    <w:rsid w:val="00704A54"/>
    <w:rsid w:val="0070529A"/>
    <w:rsid w:val="007076F2"/>
    <w:rsid w:val="007203A0"/>
    <w:rsid w:val="007434CE"/>
    <w:rsid w:val="00743ACF"/>
    <w:rsid w:val="007479EB"/>
    <w:rsid w:val="00766247"/>
    <w:rsid w:val="00766C72"/>
    <w:rsid w:val="00771CF5"/>
    <w:rsid w:val="007911AE"/>
    <w:rsid w:val="00792FD0"/>
    <w:rsid w:val="00796AC1"/>
    <w:rsid w:val="007A5C8C"/>
    <w:rsid w:val="007B27E3"/>
    <w:rsid w:val="007C4950"/>
    <w:rsid w:val="007C5D08"/>
    <w:rsid w:val="007D01ED"/>
    <w:rsid w:val="007D27BF"/>
    <w:rsid w:val="007D61EB"/>
    <w:rsid w:val="007D7AFF"/>
    <w:rsid w:val="007F2C09"/>
    <w:rsid w:val="007F32DF"/>
    <w:rsid w:val="008114DE"/>
    <w:rsid w:val="00812312"/>
    <w:rsid w:val="00820983"/>
    <w:rsid w:val="008209D5"/>
    <w:rsid w:val="00821F09"/>
    <w:rsid w:val="00821F6C"/>
    <w:rsid w:val="008245BB"/>
    <w:rsid w:val="00825026"/>
    <w:rsid w:val="0082618D"/>
    <w:rsid w:val="00830AE8"/>
    <w:rsid w:val="00837805"/>
    <w:rsid w:val="008400C2"/>
    <w:rsid w:val="00841F57"/>
    <w:rsid w:val="00843C22"/>
    <w:rsid w:val="00845A1B"/>
    <w:rsid w:val="00851621"/>
    <w:rsid w:val="00865400"/>
    <w:rsid w:val="008723C6"/>
    <w:rsid w:val="00880E60"/>
    <w:rsid w:val="00891A78"/>
    <w:rsid w:val="008933D5"/>
    <w:rsid w:val="008A1274"/>
    <w:rsid w:val="008A2E03"/>
    <w:rsid w:val="008A504D"/>
    <w:rsid w:val="008A6964"/>
    <w:rsid w:val="008A6DC9"/>
    <w:rsid w:val="008B47BC"/>
    <w:rsid w:val="008B5431"/>
    <w:rsid w:val="008C1721"/>
    <w:rsid w:val="008C1855"/>
    <w:rsid w:val="008C6AA5"/>
    <w:rsid w:val="008D1875"/>
    <w:rsid w:val="008D2F8F"/>
    <w:rsid w:val="008E21B7"/>
    <w:rsid w:val="008E5797"/>
    <w:rsid w:val="008F0B19"/>
    <w:rsid w:val="008F4DDD"/>
    <w:rsid w:val="008F7459"/>
    <w:rsid w:val="00900127"/>
    <w:rsid w:val="0091091E"/>
    <w:rsid w:val="009116C2"/>
    <w:rsid w:val="0091454A"/>
    <w:rsid w:val="00914602"/>
    <w:rsid w:val="009207C6"/>
    <w:rsid w:val="00930CBC"/>
    <w:rsid w:val="009311FC"/>
    <w:rsid w:val="009370C4"/>
    <w:rsid w:val="00937DDF"/>
    <w:rsid w:val="00946F42"/>
    <w:rsid w:val="00955CCF"/>
    <w:rsid w:val="00962074"/>
    <w:rsid w:val="009627BF"/>
    <w:rsid w:val="009642B2"/>
    <w:rsid w:val="00964401"/>
    <w:rsid w:val="00967B2F"/>
    <w:rsid w:val="009768E1"/>
    <w:rsid w:val="009809B2"/>
    <w:rsid w:val="00981169"/>
    <w:rsid w:val="00991095"/>
    <w:rsid w:val="00995CCF"/>
    <w:rsid w:val="00995DD2"/>
    <w:rsid w:val="00996071"/>
    <w:rsid w:val="009C074A"/>
    <w:rsid w:val="009C4B41"/>
    <w:rsid w:val="009D00AE"/>
    <w:rsid w:val="009D0D9E"/>
    <w:rsid w:val="009E3388"/>
    <w:rsid w:val="009E6ABD"/>
    <w:rsid w:val="009F0E59"/>
    <w:rsid w:val="009F1409"/>
    <w:rsid w:val="009F204D"/>
    <w:rsid w:val="009F3366"/>
    <w:rsid w:val="00A00CDA"/>
    <w:rsid w:val="00A01797"/>
    <w:rsid w:val="00A03FE5"/>
    <w:rsid w:val="00A16EB4"/>
    <w:rsid w:val="00A17B1B"/>
    <w:rsid w:val="00A20A1F"/>
    <w:rsid w:val="00A215B9"/>
    <w:rsid w:val="00A33BCA"/>
    <w:rsid w:val="00A4085C"/>
    <w:rsid w:val="00A41B99"/>
    <w:rsid w:val="00A4436A"/>
    <w:rsid w:val="00A44954"/>
    <w:rsid w:val="00A45727"/>
    <w:rsid w:val="00A513CF"/>
    <w:rsid w:val="00A51996"/>
    <w:rsid w:val="00A60004"/>
    <w:rsid w:val="00A612D7"/>
    <w:rsid w:val="00A61487"/>
    <w:rsid w:val="00A7396B"/>
    <w:rsid w:val="00A76A5E"/>
    <w:rsid w:val="00A81B63"/>
    <w:rsid w:val="00A82EDD"/>
    <w:rsid w:val="00A9451B"/>
    <w:rsid w:val="00AB34DC"/>
    <w:rsid w:val="00AB3617"/>
    <w:rsid w:val="00AC0127"/>
    <w:rsid w:val="00AC0D3A"/>
    <w:rsid w:val="00AC3621"/>
    <w:rsid w:val="00AC5001"/>
    <w:rsid w:val="00AC6D63"/>
    <w:rsid w:val="00AD5A29"/>
    <w:rsid w:val="00AF6205"/>
    <w:rsid w:val="00B00FBC"/>
    <w:rsid w:val="00B05D12"/>
    <w:rsid w:val="00B06BE1"/>
    <w:rsid w:val="00B217C8"/>
    <w:rsid w:val="00B46550"/>
    <w:rsid w:val="00B46AAE"/>
    <w:rsid w:val="00B52B0C"/>
    <w:rsid w:val="00B60131"/>
    <w:rsid w:val="00B714E2"/>
    <w:rsid w:val="00B73BAD"/>
    <w:rsid w:val="00B75C32"/>
    <w:rsid w:val="00B76855"/>
    <w:rsid w:val="00B95FEF"/>
    <w:rsid w:val="00BA5B21"/>
    <w:rsid w:val="00BB366F"/>
    <w:rsid w:val="00BB5FC3"/>
    <w:rsid w:val="00BC0BE0"/>
    <w:rsid w:val="00BC7993"/>
    <w:rsid w:val="00BD7729"/>
    <w:rsid w:val="00BD7B9B"/>
    <w:rsid w:val="00BE759E"/>
    <w:rsid w:val="00BF70CD"/>
    <w:rsid w:val="00C035C2"/>
    <w:rsid w:val="00C03D42"/>
    <w:rsid w:val="00C04BF3"/>
    <w:rsid w:val="00C06312"/>
    <w:rsid w:val="00C12B1C"/>
    <w:rsid w:val="00C1513B"/>
    <w:rsid w:val="00C15B07"/>
    <w:rsid w:val="00C22F51"/>
    <w:rsid w:val="00C2373F"/>
    <w:rsid w:val="00C278FC"/>
    <w:rsid w:val="00C30432"/>
    <w:rsid w:val="00C32BAC"/>
    <w:rsid w:val="00C32C10"/>
    <w:rsid w:val="00C331AD"/>
    <w:rsid w:val="00C374CE"/>
    <w:rsid w:val="00C43902"/>
    <w:rsid w:val="00C4491D"/>
    <w:rsid w:val="00C45030"/>
    <w:rsid w:val="00C56260"/>
    <w:rsid w:val="00C64DD3"/>
    <w:rsid w:val="00C73325"/>
    <w:rsid w:val="00C74456"/>
    <w:rsid w:val="00C77A88"/>
    <w:rsid w:val="00C84E93"/>
    <w:rsid w:val="00C855F3"/>
    <w:rsid w:val="00C934FE"/>
    <w:rsid w:val="00CA1B54"/>
    <w:rsid w:val="00CA1DC8"/>
    <w:rsid w:val="00CB062A"/>
    <w:rsid w:val="00CB79C4"/>
    <w:rsid w:val="00CB7A0E"/>
    <w:rsid w:val="00CD2398"/>
    <w:rsid w:val="00CE093F"/>
    <w:rsid w:val="00CE1A90"/>
    <w:rsid w:val="00CE1EA9"/>
    <w:rsid w:val="00CE2A06"/>
    <w:rsid w:val="00CE4BD0"/>
    <w:rsid w:val="00CF533C"/>
    <w:rsid w:val="00D01CD7"/>
    <w:rsid w:val="00D01D00"/>
    <w:rsid w:val="00D028F8"/>
    <w:rsid w:val="00D04E10"/>
    <w:rsid w:val="00D0504E"/>
    <w:rsid w:val="00D06F70"/>
    <w:rsid w:val="00D10582"/>
    <w:rsid w:val="00D13B94"/>
    <w:rsid w:val="00D24B8E"/>
    <w:rsid w:val="00D268EE"/>
    <w:rsid w:val="00D3657A"/>
    <w:rsid w:val="00D375D1"/>
    <w:rsid w:val="00D47110"/>
    <w:rsid w:val="00D529D0"/>
    <w:rsid w:val="00D53D19"/>
    <w:rsid w:val="00D55A52"/>
    <w:rsid w:val="00D644C6"/>
    <w:rsid w:val="00D6468F"/>
    <w:rsid w:val="00D66BDB"/>
    <w:rsid w:val="00D734FD"/>
    <w:rsid w:val="00D7450C"/>
    <w:rsid w:val="00D76589"/>
    <w:rsid w:val="00D76FC0"/>
    <w:rsid w:val="00D84505"/>
    <w:rsid w:val="00D85EC6"/>
    <w:rsid w:val="00D862AD"/>
    <w:rsid w:val="00D95E02"/>
    <w:rsid w:val="00D9677B"/>
    <w:rsid w:val="00DA3853"/>
    <w:rsid w:val="00DA4065"/>
    <w:rsid w:val="00DB0446"/>
    <w:rsid w:val="00DB73B5"/>
    <w:rsid w:val="00DC5354"/>
    <w:rsid w:val="00DC5A8D"/>
    <w:rsid w:val="00DC7F4E"/>
    <w:rsid w:val="00DD48E2"/>
    <w:rsid w:val="00DE52BB"/>
    <w:rsid w:val="00DF1DB3"/>
    <w:rsid w:val="00DF62E7"/>
    <w:rsid w:val="00E0142C"/>
    <w:rsid w:val="00E01D10"/>
    <w:rsid w:val="00E14523"/>
    <w:rsid w:val="00E167B3"/>
    <w:rsid w:val="00E16C43"/>
    <w:rsid w:val="00E21D07"/>
    <w:rsid w:val="00E26175"/>
    <w:rsid w:val="00E26516"/>
    <w:rsid w:val="00E341E8"/>
    <w:rsid w:val="00E35AA0"/>
    <w:rsid w:val="00E37724"/>
    <w:rsid w:val="00E43BA1"/>
    <w:rsid w:val="00E4413D"/>
    <w:rsid w:val="00E53B52"/>
    <w:rsid w:val="00E678FD"/>
    <w:rsid w:val="00E67D38"/>
    <w:rsid w:val="00E700A1"/>
    <w:rsid w:val="00E71EF3"/>
    <w:rsid w:val="00E73ABD"/>
    <w:rsid w:val="00E74480"/>
    <w:rsid w:val="00E7707E"/>
    <w:rsid w:val="00E83C77"/>
    <w:rsid w:val="00E875AC"/>
    <w:rsid w:val="00E9331A"/>
    <w:rsid w:val="00E945B8"/>
    <w:rsid w:val="00EA2202"/>
    <w:rsid w:val="00EB18BE"/>
    <w:rsid w:val="00EB4818"/>
    <w:rsid w:val="00EB79BD"/>
    <w:rsid w:val="00EC1567"/>
    <w:rsid w:val="00EC4A10"/>
    <w:rsid w:val="00EC649A"/>
    <w:rsid w:val="00EC729F"/>
    <w:rsid w:val="00ED75C1"/>
    <w:rsid w:val="00EF27CB"/>
    <w:rsid w:val="00EF29B9"/>
    <w:rsid w:val="00EF3F65"/>
    <w:rsid w:val="00F01709"/>
    <w:rsid w:val="00F0340C"/>
    <w:rsid w:val="00F06E08"/>
    <w:rsid w:val="00F14B17"/>
    <w:rsid w:val="00F22819"/>
    <w:rsid w:val="00F25BDB"/>
    <w:rsid w:val="00F2633E"/>
    <w:rsid w:val="00F4473E"/>
    <w:rsid w:val="00F6024B"/>
    <w:rsid w:val="00F612FA"/>
    <w:rsid w:val="00F708F2"/>
    <w:rsid w:val="00F731D6"/>
    <w:rsid w:val="00F76010"/>
    <w:rsid w:val="00F761F4"/>
    <w:rsid w:val="00F775AF"/>
    <w:rsid w:val="00F83D3F"/>
    <w:rsid w:val="00F86728"/>
    <w:rsid w:val="00F87F2E"/>
    <w:rsid w:val="00F9041E"/>
    <w:rsid w:val="00F90F79"/>
    <w:rsid w:val="00F9581D"/>
    <w:rsid w:val="00FB035B"/>
    <w:rsid w:val="00FB12FC"/>
    <w:rsid w:val="00FB2A47"/>
    <w:rsid w:val="00FD6EC7"/>
    <w:rsid w:val="00FE07C0"/>
    <w:rsid w:val="00FE2953"/>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D9C"/>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125D9C"/>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125D9C"/>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125D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25D9C"/>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25D9C"/>
    <w:rPr>
      <w:rFonts w:ascii="Times New Roman" w:eastAsia="Times New Roman" w:hAnsi="Times New Roman" w:cs="Times New Roman"/>
      <w:sz w:val="20"/>
      <w:szCs w:val="20"/>
      <w:lang w:val="lv-LV" w:eastAsia="lv-LV"/>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5D9C"/>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125D9C"/>
    <w:rPr>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rsid w:val="00125D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561673721">
      <w:bodyDiv w:val="1"/>
      <w:marLeft w:val="0"/>
      <w:marRight w:val="0"/>
      <w:marTop w:val="0"/>
      <w:marBottom w:val="0"/>
      <w:divBdr>
        <w:top w:val="none" w:sz="0" w:space="0" w:color="auto"/>
        <w:left w:val="none" w:sz="0" w:space="0" w:color="auto"/>
        <w:bottom w:val="none" w:sz="0" w:space="0" w:color="auto"/>
        <w:right w:val="none" w:sz="0" w:space="0" w:color="auto"/>
      </w:divBdr>
    </w:div>
    <w:div w:id="12488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md/ProcesulLegislativ/Proiectedeactelegislative/tabid/61/LegislativId/6407/language/ro-R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6C42-83AB-45B5-B396-B52246B6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13113</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cp:lastPrinted>2023-06-08T06:09:00Z</cp:lastPrinted>
  <dcterms:created xsi:type="dcterms:W3CDTF">2023-08-16T15:55:00Z</dcterms:created>
  <dcterms:modified xsi:type="dcterms:W3CDTF">2023-08-16T15:55:00Z</dcterms:modified>
</cp:coreProperties>
</file>