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404FE" w14:textId="77777777" w:rsidR="00B749E7" w:rsidRPr="00D932D4" w:rsidRDefault="00B749E7" w:rsidP="00B749E7">
      <w:pPr>
        <w:tabs>
          <w:tab w:val="left" w:pos="720"/>
        </w:tabs>
        <w:spacing w:after="0" w:line="276" w:lineRule="auto"/>
        <w:jc w:val="right"/>
        <w:rPr>
          <w:rFonts w:asciiTheme="majorHAnsi" w:eastAsia="Times New Roman" w:hAnsiTheme="majorHAnsi" w:cstheme="majorHAnsi"/>
          <w:bCs/>
          <w:sz w:val="28"/>
          <w:szCs w:val="28"/>
          <w:lang w:val="ru-RU"/>
        </w:rPr>
      </w:pPr>
      <w:bookmarkStart w:id="0" w:name="_Toc468866344"/>
      <w:bookmarkStart w:id="1" w:name="_GoBack"/>
      <w:bookmarkEnd w:id="1"/>
      <w:r>
        <w:rPr>
          <w:rFonts w:asciiTheme="majorHAnsi" w:eastAsia="Times New Roman" w:hAnsiTheme="majorHAnsi" w:cstheme="majorHAnsi"/>
          <w:b/>
          <w:bCs/>
          <w:sz w:val="28"/>
          <w:szCs w:val="28"/>
          <w:u w:val="single"/>
          <w:lang w:val="ru-RU"/>
        </w:rPr>
        <w:t>ПЕРЕВОД</w:t>
      </w:r>
    </w:p>
    <w:p w14:paraId="57F05738" w14:textId="77777777" w:rsidR="00B749E7" w:rsidRPr="00E82CC1" w:rsidRDefault="00B749E7" w:rsidP="00B749E7">
      <w:pPr>
        <w:tabs>
          <w:tab w:val="left" w:pos="720"/>
        </w:tabs>
        <w:spacing w:after="0" w:line="276" w:lineRule="auto"/>
        <w:jc w:val="right"/>
        <w:rPr>
          <w:rFonts w:asciiTheme="majorHAnsi" w:eastAsia="Times New Roman" w:hAnsiTheme="majorHAnsi" w:cstheme="majorHAnsi"/>
          <w:bCs/>
          <w:sz w:val="28"/>
          <w:szCs w:val="28"/>
          <w:lang w:val="ro-RO"/>
        </w:rPr>
      </w:pPr>
      <w:r>
        <w:rPr>
          <w:rFonts w:asciiTheme="majorHAnsi" w:eastAsia="Times New Roman" w:hAnsiTheme="majorHAnsi" w:cstheme="majorHAnsi"/>
          <w:bCs/>
          <w:sz w:val="28"/>
          <w:szCs w:val="28"/>
          <w:lang w:val="ru-RU"/>
        </w:rPr>
        <w:t>Приложение</w:t>
      </w:r>
      <w:r w:rsidRPr="00E82CC1">
        <w:rPr>
          <w:rFonts w:asciiTheme="majorHAnsi" w:eastAsia="Times New Roman" w:hAnsiTheme="majorHAnsi" w:cstheme="majorHAnsi"/>
          <w:bCs/>
          <w:sz w:val="28"/>
          <w:szCs w:val="28"/>
          <w:lang w:val="ro-RO"/>
        </w:rPr>
        <w:t xml:space="preserve"> </w:t>
      </w:r>
    </w:p>
    <w:p w14:paraId="3A4EDC1B" w14:textId="6FB47201" w:rsidR="00B749E7" w:rsidRPr="00E82CC1" w:rsidRDefault="00FF7443" w:rsidP="00B749E7">
      <w:pPr>
        <w:tabs>
          <w:tab w:val="left" w:pos="720"/>
        </w:tabs>
        <w:spacing w:after="0" w:line="276" w:lineRule="auto"/>
        <w:jc w:val="right"/>
        <w:rPr>
          <w:rFonts w:asciiTheme="majorHAnsi" w:eastAsia="Times New Roman" w:hAnsiTheme="majorHAnsi" w:cstheme="majorHAnsi"/>
          <w:bCs/>
          <w:sz w:val="28"/>
          <w:szCs w:val="28"/>
          <w:lang w:val="ro-RO"/>
        </w:rPr>
      </w:pPr>
      <w:r>
        <w:rPr>
          <w:rFonts w:asciiTheme="majorHAnsi" w:eastAsia="Times New Roman" w:hAnsiTheme="majorHAnsi" w:cstheme="majorHAnsi"/>
          <w:bCs/>
          <w:sz w:val="28"/>
          <w:szCs w:val="28"/>
          <w:lang w:val="ru-RU"/>
        </w:rPr>
        <w:t>к</w:t>
      </w:r>
      <w:r w:rsidR="00B749E7">
        <w:rPr>
          <w:rFonts w:asciiTheme="majorHAnsi" w:eastAsia="Times New Roman" w:hAnsiTheme="majorHAnsi" w:cstheme="majorHAnsi"/>
          <w:bCs/>
          <w:sz w:val="28"/>
          <w:szCs w:val="28"/>
          <w:lang w:val="ru-RU"/>
        </w:rPr>
        <w:t xml:space="preserve"> Постановлению Счетной палаты</w:t>
      </w:r>
      <w:r w:rsidR="00B749E7" w:rsidRPr="00E82CC1">
        <w:rPr>
          <w:rFonts w:asciiTheme="majorHAnsi" w:eastAsia="Times New Roman" w:hAnsiTheme="majorHAnsi" w:cstheme="majorHAnsi"/>
          <w:bCs/>
          <w:sz w:val="28"/>
          <w:szCs w:val="28"/>
          <w:lang w:val="ro-RO"/>
        </w:rPr>
        <w:t xml:space="preserve"> </w:t>
      </w:r>
    </w:p>
    <w:p w14:paraId="7E5ECCB3" w14:textId="2590C8DA" w:rsidR="00B749E7" w:rsidRPr="00D932D4" w:rsidRDefault="00B749E7" w:rsidP="00B749E7">
      <w:pPr>
        <w:tabs>
          <w:tab w:val="left" w:pos="720"/>
        </w:tabs>
        <w:spacing w:after="0" w:line="276" w:lineRule="auto"/>
        <w:jc w:val="right"/>
        <w:rPr>
          <w:rFonts w:asciiTheme="majorHAnsi" w:eastAsia="Times New Roman" w:hAnsiTheme="majorHAnsi" w:cstheme="majorHAnsi"/>
          <w:bCs/>
          <w:color w:val="1F4E79" w:themeColor="accent1" w:themeShade="80"/>
          <w:sz w:val="28"/>
          <w:szCs w:val="28"/>
          <w:lang w:val="ru-RU"/>
        </w:rPr>
      </w:pPr>
      <w:r w:rsidRPr="00E82CC1">
        <w:rPr>
          <w:rFonts w:asciiTheme="majorHAnsi" w:eastAsia="Times New Roman" w:hAnsiTheme="majorHAnsi" w:cstheme="majorHAnsi"/>
          <w:bCs/>
          <w:sz w:val="28"/>
          <w:szCs w:val="28"/>
          <w:lang w:val="ro-RO"/>
        </w:rPr>
        <w:t xml:space="preserve"> </w:t>
      </w:r>
      <w:r>
        <w:rPr>
          <w:rFonts w:asciiTheme="majorHAnsi" w:eastAsia="Times New Roman" w:hAnsiTheme="majorHAnsi" w:cstheme="majorHAnsi"/>
          <w:bCs/>
          <w:sz w:val="28"/>
          <w:szCs w:val="28"/>
          <w:lang w:val="ru-RU"/>
        </w:rPr>
        <w:t>№</w:t>
      </w:r>
      <w:r w:rsidR="00FF7443">
        <w:rPr>
          <w:rFonts w:asciiTheme="majorHAnsi" w:eastAsia="Times New Roman" w:hAnsiTheme="majorHAnsi" w:cstheme="majorHAnsi"/>
          <w:bCs/>
          <w:sz w:val="28"/>
          <w:szCs w:val="28"/>
          <w:lang w:val="ru-RU"/>
        </w:rPr>
        <w:t xml:space="preserve">18 </w:t>
      </w:r>
      <w:r>
        <w:rPr>
          <w:rFonts w:asciiTheme="majorHAnsi" w:eastAsia="Times New Roman" w:hAnsiTheme="majorHAnsi" w:cstheme="majorHAnsi"/>
          <w:bCs/>
          <w:sz w:val="28"/>
          <w:szCs w:val="28"/>
          <w:lang w:val="ru-RU"/>
        </w:rPr>
        <w:t>от</w:t>
      </w:r>
      <w:r w:rsidRPr="00E82CC1">
        <w:rPr>
          <w:rFonts w:asciiTheme="majorHAnsi" w:eastAsia="Times New Roman" w:hAnsiTheme="majorHAnsi" w:cstheme="majorHAnsi"/>
          <w:bCs/>
          <w:sz w:val="28"/>
          <w:szCs w:val="28"/>
          <w:lang w:val="ro-RO"/>
        </w:rPr>
        <w:t xml:space="preserve"> 2</w:t>
      </w:r>
      <w:r>
        <w:rPr>
          <w:rFonts w:asciiTheme="majorHAnsi" w:eastAsia="Times New Roman" w:hAnsiTheme="majorHAnsi" w:cstheme="majorHAnsi"/>
          <w:bCs/>
          <w:sz w:val="28"/>
          <w:szCs w:val="28"/>
          <w:lang w:val="ro-RO"/>
        </w:rPr>
        <w:t>5</w:t>
      </w:r>
      <w:r w:rsidRPr="00E82CC1">
        <w:rPr>
          <w:rFonts w:asciiTheme="majorHAnsi" w:eastAsia="Times New Roman" w:hAnsiTheme="majorHAnsi" w:cstheme="majorHAnsi"/>
          <w:bCs/>
          <w:sz w:val="28"/>
          <w:szCs w:val="28"/>
          <w:lang w:val="ro-RO"/>
        </w:rPr>
        <w:t xml:space="preserve"> </w:t>
      </w:r>
      <w:r>
        <w:rPr>
          <w:rFonts w:asciiTheme="majorHAnsi" w:eastAsia="Times New Roman" w:hAnsiTheme="majorHAnsi" w:cstheme="majorHAnsi"/>
          <w:bCs/>
          <w:sz w:val="28"/>
          <w:szCs w:val="28"/>
          <w:lang w:val="ru-RU"/>
        </w:rPr>
        <w:t>мая</w:t>
      </w:r>
      <w:r w:rsidRPr="00E82CC1">
        <w:rPr>
          <w:rFonts w:asciiTheme="majorHAnsi" w:eastAsia="Times New Roman" w:hAnsiTheme="majorHAnsi" w:cstheme="majorHAnsi"/>
          <w:bCs/>
          <w:sz w:val="28"/>
          <w:szCs w:val="28"/>
          <w:lang w:val="ro-RO"/>
        </w:rPr>
        <w:t xml:space="preserve"> 202</w:t>
      </w:r>
      <w:r>
        <w:rPr>
          <w:rFonts w:asciiTheme="majorHAnsi" w:eastAsia="Times New Roman" w:hAnsiTheme="majorHAnsi" w:cstheme="majorHAnsi"/>
          <w:bCs/>
          <w:sz w:val="28"/>
          <w:szCs w:val="28"/>
          <w:lang w:val="ro-RO"/>
        </w:rPr>
        <w:t>3</w:t>
      </w:r>
      <w:r>
        <w:rPr>
          <w:rFonts w:asciiTheme="majorHAnsi" w:eastAsia="Times New Roman" w:hAnsiTheme="majorHAnsi" w:cstheme="majorHAnsi"/>
          <w:bCs/>
          <w:sz w:val="28"/>
          <w:szCs w:val="28"/>
          <w:lang w:val="ru-RU"/>
        </w:rPr>
        <w:t xml:space="preserve"> года</w:t>
      </w:r>
    </w:p>
    <w:p w14:paraId="15DFE784" w14:textId="77777777" w:rsidR="00B749E7" w:rsidRPr="00E82CC1" w:rsidRDefault="00B749E7" w:rsidP="00B749E7">
      <w:pPr>
        <w:tabs>
          <w:tab w:val="left" w:pos="7200"/>
        </w:tabs>
        <w:spacing w:after="0" w:line="276" w:lineRule="auto"/>
        <w:rPr>
          <w:rFonts w:asciiTheme="majorHAnsi" w:hAnsiTheme="majorHAnsi" w:cstheme="majorHAnsi"/>
          <w:lang w:val="ro-RO"/>
        </w:rPr>
      </w:pPr>
    </w:p>
    <w:p w14:paraId="49C1696D" w14:textId="77777777" w:rsidR="00B749E7" w:rsidRPr="00E82CC1" w:rsidRDefault="00B749E7" w:rsidP="00B749E7">
      <w:pPr>
        <w:spacing w:after="0" w:line="276" w:lineRule="auto"/>
        <w:rPr>
          <w:rFonts w:asciiTheme="majorHAnsi" w:hAnsiTheme="majorHAnsi" w:cstheme="majorHAnsi"/>
          <w:lang w:val="ro-RO"/>
        </w:rPr>
      </w:pPr>
    </w:p>
    <w:p w14:paraId="1BF65676" w14:textId="77777777" w:rsidR="00B749E7" w:rsidRPr="00E82CC1" w:rsidRDefault="00B749E7" w:rsidP="00B749E7">
      <w:pPr>
        <w:spacing w:after="0" w:line="276" w:lineRule="auto"/>
        <w:rPr>
          <w:rFonts w:asciiTheme="majorHAnsi" w:hAnsiTheme="majorHAnsi" w:cstheme="majorHAnsi"/>
          <w:lang w:val="ro-RO"/>
        </w:rPr>
      </w:pPr>
    </w:p>
    <w:p w14:paraId="545FBADE" w14:textId="77777777" w:rsidR="00B749E7" w:rsidRPr="00E82CC1" w:rsidRDefault="00B749E7" w:rsidP="00B749E7">
      <w:pPr>
        <w:spacing w:after="0" w:line="276" w:lineRule="auto"/>
        <w:jc w:val="center"/>
        <w:rPr>
          <w:rFonts w:asciiTheme="majorHAnsi" w:hAnsiTheme="majorHAnsi" w:cstheme="majorHAnsi"/>
          <w:b/>
          <w:sz w:val="28"/>
          <w:szCs w:val="28"/>
          <w:lang w:val="ro-RO"/>
        </w:rPr>
      </w:pPr>
    </w:p>
    <w:p w14:paraId="7790B3DB" w14:textId="77777777" w:rsidR="00B749E7" w:rsidRPr="00E82CC1" w:rsidRDefault="00B749E7" w:rsidP="00B749E7">
      <w:pPr>
        <w:spacing w:after="0" w:line="276" w:lineRule="auto"/>
        <w:jc w:val="center"/>
        <w:rPr>
          <w:rFonts w:asciiTheme="majorHAnsi" w:hAnsiTheme="majorHAnsi" w:cstheme="majorHAnsi"/>
          <w:b/>
          <w:sz w:val="28"/>
          <w:szCs w:val="28"/>
          <w:lang w:val="ro-RO"/>
        </w:rPr>
      </w:pPr>
      <w:r w:rsidRPr="00E82CC1">
        <w:rPr>
          <w:rFonts w:asciiTheme="majorHAnsi" w:hAnsiTheme="majorHAnsi" w:cstheme="majorHAnsi"/>
          <w:b/>
          <w:noProof/>
          <w:sz w:val="28"/>
          <w:szCs w:val="28"/>
          <w:lang w:val="ru-RU" w:eastAsia="ru-RU"/>
        </w:rPr>
        <w:drawing>
          <wp:inline distT="0" distB="0" distL="0" distR="0" wp14:anchorId="5C5FCB96" wp14:editId="62122982">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0550D744" w14:textId="77777777" w:rsidR="00B749E7" w:rsidRPr="00E82CC1" w:rsidRDefault="00B749E7" w:rsidP="00B749E7">
      <w:pPr>
        <w:spacing w:after="0" w:line="276" w:lineRule="auto"/>
        <w:rPr>
          <w:rFonts w:asciiTheme="majorHAnsi" w:hAnsiTheme="majorHAnsi" w:cstheme="majorHAnsi"/>
          <w:i/>
          <w:sz w:val="24"/>
          <w:szCs w:val="24"/>
          <w:lang w:val="ro-RO"/>
        </w:rPr>
      </w:pPr>
    </w:p>
    <w:p w14:paraId="095F052D" w14:textId="77777777" w:rsidR="00B749E7" w:rsidRPr="00E82CC1" w:rsidRDefault="00B749E7" w:rsidP="00B749E7">
      <w:pPr>
        <w:spacing w:after="0" w:line="276" w:lineRule="auto"/>
        <w:rPr>
          <w:rFonts w:asciiTheme="majorHAnsi" w:hAnsiTheme="majorHAnsi" w:cstheme="majorHAnsi"/>
          <w:i/>
          <w:sz w:val="24"/>
          <w:szCs w:val="24"/>
          <w:lang w:val="ro-RO"/>
        </w:rPr>
      </w:pPr>
    </w:p>
    <w:p w14:paraId="1D564F0A" w14:textId="77777777" w:rsidR="00B749E7" w:rsidRPr="00E82CC1" w:rsidRDefault="00B749E7" w:rsidP="00B749E7">
      <w:pPr>
        <w:spacing w:after="0" w:line="276" w:lineRule="auto"/>
        <w:rPr>
          <w:rFonts w:asciiTheme="majorHAnsi" w:hAnsiTheme="majorHAnsi" w:cstheme="majorHAnsi"/>
          <w:i/>
          <w:sz w:val="24"/>
          <w:szCs w:val="24"/>
          <w:lang w:val="ro-RO"/>
        </w:rPr>
      </w:pPr>
    </w:p>
    <w:p w14:paraId="1322F53F" w14:textId="77777777" w:rsidR="00B749E7" w:rsidRPr="00E82CC1" w:rsidRDefault="00B749E7" w:rsidP="00B749E7">
      <w:pPr>
        <w:spacing w:after="0" w:line="276" w:lineRule="auto"/>
        <w:rPr>
          <w:rFonts w:asciiTheme="majorHAnsi" w:hAnsiTheme="majorHAnsi" w:cstheme="majorHAnsi"/>
          <w:b/>
          <w:sz w:val="24"/>
          <w:szCs w:val="24"/>
          <w:lang w:val="ro-RO"/>
        </w:rPr>
      </w:pPr>
    </w:p>
    <w:p w14:paraId="3F2737B8" w14:textId="77777777" w:rsidR="00B749E7" w:rsidRPr="00E82CC1" w:rsidRDefault="00B749E7" w:rsidP="00B749E7">
      <w:pPr>
        <w:spacing w:after="0" w:line="276" w:lineRule="auto"/>
        <w:jc w:val="center"/>
        <w:rPr>
          <w:rFonts w:asciiTheme="majorHAnsi" w:hAnsiTheme="majorHAnsi" w:cstheme="majorHAnsi"/>
          <w:sz w:val="24"/>
          <w:szCs w:val="24"/>
          <w:lang w:val="ro-RO"/>
        </w:rPr>
      </w:pPr>
      <w:r w:rsidRPr="00C2403C">
        <w:rPr>
          <w:rFonts w:asciiTheme="majorHAnsi" w:hAnsiTheme="majorHAnsi" w:cstheme="majorHAnsi"/>
          <w:b/>
          <w:bCs/>
          <w:sz w:val="28"/>
          <w:szCs w:val="28"/>
          <w:lang w:val="ro-RO"/>
        </w:rPr>
        <w:t>СЧЕТНАЯ ПАЛАТА РЕСПУБЛИКИ МОЛДОВА</w:t>
      </w:r>
    </w:p>
    <w:p w14:paraId="5E9172C5" w14:textId="77777777" w:rsidR="00B749E7" w:rsidRPr="00E82CC1" w:rsidRDefault="00B749E7" w:rsidP="00B749E7">
      <w:pPr>
        <w:spacing w:after="0" w:line="276" w:lineRule="auto"/>
        <w:rPr>
          <w:rFonts w:asciiTheme="majorHAnsi" w:hAnsiTheme="majorHAnsi" w:cstheme="majorHAnsi"/>
          <w:sz w:val="24"/>
          <w:szCs w:val="24"/>
          <w:lang w:val="ro-RO"/>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B749E7" w:rsidRPr="002C203D" w14:paraId="59605807" w14:textId="77777777" w:rsidTr="000E41FD">
        <w:trPr>
          <w:trHeight w:val="396"/>
          <w:jc w:val="center"/>
        </w:trPr>
        <w:tc>
          <w:tcPr>
            <w:tcW w:w="9350" w:type="dxa"/>
            <w:tcBorders>
              <w:top w:val="thinThickSmallGap" w:sz="12" w:space="0" w:color="00000A"/>
              <w:bottom w:val="thickThinSmallGap" w:sz="12" w:space="0" w:color="00000A"/>
            </w:tcBorders>
            <w:shd w:val="clear" w:color="auto" w:fill="auto"/>
          </w:tcPr>
          <w:p w14:paraId="0CECE31C" w14:textId="77777777" w:rsidR="00B749E7" w:rsidRPr="00046B6A" w:rsidRDefault="00B749E7" w:rsidP="000E41FD">
            <w:pPr>
              <w:spacing w:after="0" w:line="276" w:lineRule="auto"/>
              <w:jc w:val="center"/>
              <w:rPr>
                <w:rFonts w:asciiTheme="majorHAnsi" w:hAnsiTheme="majorHAnsi" w:cstheme="majorHAnsi"/>
                <w:lang w:val="ro-RO"/>
              </w:rPr>
            </w:pPr>
            <w:r w:rsidRPr="00046B6A">
              <w:rPr>
                <w:rFonts w:asciiTheme="majorHAnsi" w:hAnsiTheme="majorHAnsi" w:cstheme="majorHAnsi"/>
                <w:lang w:val="ro-RO"/>
              </w:rPr>
              <w:t>MD-2001, mun. Chișinău, bd. Ștefan cel Mare și Sfânt 69, tel.: (+373) 22 26 60 02,</w:t>
            </w:r>
          </w:p>
          <w:p w14:paraId="76D16017" w14:textId="77777777" w:rsidR="00B749E7" w:rsidRPr="005C2D79" w:rsidRDefault="00B749E7" w:rsidP="000E41FD">
            <w:pPr>
              <w:spacing w:after="0" w:line="276" w:lineRule="auto"/>
              <w:jc w:val="center"/>
              <w:rPr>
                <w:rFonts w:asciiTheme="majorHAnsi" w:hAnsiTheme="majorHAnsi" w:cstheme="majorHAnsi"/>
                <w:b/>
                <w:lang w:val="ro-RO"/>
              </w:rPr>
            </w:pPr>
            <w:r w:rsidRPr="00046B6A">
              <w:rPr>
                <w:rFonts w:asciiTheme="majorHAnsi" w:hAnsiTheme="majorHAnsi" w:cstheme="majorHAnsi"/>
                <w:lang w:val="ro-RO"/>
              </w:rPr>
              <w:t xml:space="preserve">fax: (+373) 22 26 61 00, </w:t>
            </w:r>
            <w:hyperlink r:id="rId9">
              <w:r w:rsidRPr="00046B6A">
                <w:rPr>
                  <w:rStyle w:val="LegturInternet"/>
                  <w:rFonts w:asciiTheme="majorHAnsi" w:hAnsiTheme="majorHAnsi" w:cstheme="majorHAnsi"/>
                  <w:lang w:val="ro-RO"/>
                </w:rPr>
                <w:t>www.ccrm.md</w:t>
              </w:r>
            </w:hyperlink>
            <w:r w:rsidRPr="00046B6A">
              <w:rPr>
                <w:rFonts w:asciiTheme="majorHAnsi" w:hAnsiTheme="majorHAnsi" w:cstheme="majorHAnsi"/>
                <w:u w:val="single"/>
                <w:lang w:val="ro-RO"/>
              </w:rPr>
              <w:t>;</w:t>
            </w:r>
            <w:r w:rsidRPr="00046B6A">
              <w:rPr>
                <w:rFonts w:asciiTheme="majorHAnsi" w:hAnsiTheme="majorHAnsi" w:cstheme="majorHAnsi"/>
                <w:lang w:val="ro-RO"/>
              </w:rPr>
              <w:t xml:space="preserve"> e-mail: </w:t>
            </w:r>
            <w:hyperlink r:id="rId10">
              <w:r w:rsidRPr="00046B6A">
                <w:rPr>
                  <w:rStyle w:val="LegturInternet"/>
                  <w:rFonts w:asciiTheme="majorHAnsi" w:hAnsiTheme="majorHAnsi" w:cstheme="majorHAnsi"/>
                  <w:lang w:val="ro-RO"/>
                </w:rPr>
                <w:t>ccrm@ccrm.md</w:t>
              </w:r>
            </w:hyperlink>
          </w:p>
        </w:tc>
      </w:tr>
    </w:tbl>
    <w:p w14:paraId="601DE02E" w14:textId="77777777" w:rsidR="00B749E7" w:rsidRPr="005C2D79" w:rsidRDefault="00B749E7" w:rsidP="00B749E7">
      <w:pPr>
        <w:spacing w:after="0" w:line="276" w:lineRule="auto"/>
        <w:rPr>
          <w:rFonts w:asciiTheme="majorHAnsi" w:eastAsia="Times New Roman" w:hAnsiTheme="majorHAnsi" w:cstheme="majorHAnsi"/>
          <w:sz w:val="24"/>
          <w:szCs w:val="24"/>
          <w:lang w:val="ro-RO"/>
        </w:rPr>
      </w:pPr>
      <w:r w:rsidRPr="005C2D79">
        <w:rPr>
          <w:rFonts w:asciiTheme="majorHAnsi" w:eastAsia="Times New Roman" w:hAnsiTheme="majorHAnsi" w:cstheme="majorHAnsi"/>
          <w:sz w:val="24"/>
          <w:szCs w:val="24"/>
          <w:lang w:val="ro-RO"/>
        </w:rPr>
        <w:br/>
      </w:r>
    </w:p>
    <w:p w14:paraId="752E242B" w14:textId="77777777" w:rsidR="00B749E7" w:rsidRPr="003B110E" w:rsidRDefault="00B749E7" w:rsidP="00B749E7">
      <w:pPr>
        <w:tabs>
          <w:tab w:val="left" w:pos="720"/>
        </w:tabs>
        <w:spacing w:after="0" w:line="276" w:lineRule="auto"/>
        <w:jc w:val="center"/>
        <w:rPr>
          <w:rFonts w:asciiTheme="majorHAnsi" w:eastAsia="Times New Roman" w:hAnsiTheme="majorHAnsi" w:cstheme="majorHAnsi"/>
          <w:b/>
          <w:bCs/>
          <w:sz w:val="28"/>
          <w:szCs w:val="28"/>
          <w:lang w:val="ru-MD"/>
        </w:rPr>
      </w:pPr>
      <w:r w:rsidRPr="003B110E">
        <w:rPr>
          <w:rFonts w:asciiTheme="majorHAnsi" w:eastAsia="Times New Roman" w:hAnsiTheme="majorHAnsi" w:cstheme="majorHAnsi"/>
          <w:b/>
          <w:bCs/>
          <w:sz w:val="28"/>
          <w:szCs w:val="28"/>
          <w:lang w:val="ru-MD"/>
        </w:rPr>
        <w:t xml:space="preserve">ОТЧЕТ </w:t>
      </w:r>
    </w:p>
    <w:p w14:paraId="062E6F33" w14:textId="77777777" w:rsidR="00B749E7" w:rsidRPr="003B110E" w:rsidRDefault="00B749E7" w:rsidP="00B749E7">
      <w:pPr>
        <w:tabs>
          <w:tab w:val="left" w:pos="720"/>
        </w:tabs>
        <w:spacing w:after="0" w:line="276" w:lineRule="auto"/>
        <w:jc w:val="center"/>
        <w:rPr>
          <w:rFonts w:asciiTheme="majorHAnsi" w:eastAsia="Times New Roman" w:hAnsiTheme="majorHAnsi" w:cstheme="majorHAnsi"/>
          <w:b/>
          <w:bCs/>
          <w:sz w:val="28"/>
          <w:szCs w:val="28"/>
          <w:lang w:val="ru-MD"/>
        </w:rPr>
      </w:pPr>
      <w:r w:rsidRPr="003B110E">
        <w:rPr>
          <w:rFonts w:asciiTheme="majorHAnsi" w:eastAsia="Times New Roman" w:hAnsiTheme="majorHAnsi" w:cstheme="majorHAnsi"/>
          <w:b/>
          <w:bCs/>
          <w:sz w:val="28"/>
          <w:szCs w:val="28"/>
          <w:lang w:val="ru-MD"/>
        </w:rPr>
        <w:t>финансового аудита Отчета Правительства об исполнении</w:t>
      </w:r>
    </w:p>
    <w:p w14:paraId="3E6CA875" w14:textId="77777777" w:rsidR="00B749E7" w:rsidRPr="003B110E" w:rsidRDefault="00B749E7" w:rsidP="00B749E7">
      <w:pPr>
        <w:tabs>
          <w:tab w:val="left" w:pos="720"/>
        </w:tabs>
        <w:spacing w:after="0" w:line="276" w:lineRule="auto"/>
        <w:jc w:val="center"/>
        <w:rPr>
          <w:rFonts w:asciiTheme="majorHAnsi" w:eastAsia="Times New Roman" w:hAnsiTheme="majorHAnsi" w:cstheme="majorHAnsi"/>
          <w:b/>
          <w:bCs/>
          <w:sz w:val="28"/>
          <w:szCs w:val="28"/>
          <w:lang w:val="ru-MD"/>
        </w:rPr>
      </w:pPr>
      <w:r w:rsidRPr="003B110E">
        <w:rPr>
          <w:rFonts w:asciiTheme="majorHAnsi" w:eastAsia="Times New Roman" w:hAnsiTheme="majorHAnsi" w:cstheme="majorHAnsi"/>
          <w:b/>
          <w:bCs/>
          <w:sz w:val="28"/>
          <w:szCs w:val="28"/>
          <w:lang w:val="ru-MD"/>
        </w:rPr>
        <w:t xml:space="preserve"> бюджета государственного социального страхования</w:t>
      </w:r>
      <w:r>
        <w:rPr>
          <w:rFonts w:asciiTheme="majorHAnsi" w:eastAsia="Times New Roman" w:hAnsiTheme="majorHAnsi" w:cstheme="majorHAnsi"/>
          <w:b/>
          <w:bCs/>
          <w:sz w:val="28"/>
          <w:szCs w:val="28"/>
          <w:lang w:val="ru-MD"/>
        </w:rPr>
        <w:t>,</w:t>
      </w:r>
    </w:p>
    <w:p w14:paraId="69875B6E" w14:textId="1CAB26E0" w:rsidR="00B749E7" w:rsidRDefault="00B749E7" w:rsidP="00B749E7">
      <w:pPr>
        <w:tabs>
          <w:tab w:val="left" w:pos="720"/>
        </w:tabs>
        <w:spacing w:after="0" w:line="276" w:lineRule="auto"/>
        <w:jc w:val="center"/>
        <w:rPr>
          <w:rFonts w:asciiTheme="majorHAnsi" w:eastAsia="Times New Roman" w:hAnsiTheme="majorHAnsi" w:cstheme="majorHAnsi"/>
          <w:b/>
          <w:bCs/>
          <w:sz w:val="28"/>
          <w:szCs w:val="28"/>
          <w:lang w:val="ru-MD"/>
        </w:rPr>
      </w:pPr>
      <w:r w:rsidRPr="003B110E">
        <w:rPr>
          <w:rFonts w:asciiTheme="majorHAnsi" w:eastAsia="Times New Roman" w:hAnsiTheme="majorHAnsi" w:cstheme="majorHAnsi"/>
          <w:b/>
          <w:bCs/>
          <w:sz w:val="28"/>
          <w:szCs w:val="28"/>
          <w:lang w:val="ru-MD"/>
        </w:rPr>
        <w:t xml:space="preserve"> за 20</w:t>
      </w:r>
      <w:r>
        <w:rPr>
          <w:rFonts w:asciiTheme="majorHAnsi" w:eastAsia="Times New Roman" w:hAnsiTheme="majorHAnsi" w:cstheme="majorHAnsi"/>
          <w:b/>
          <w:bCs/>
          <w:sz w:val="28"/>
          <w:szCs w:val="28"/>
          <w:lang w:val="ru-MD"/>
        </w:rPr>
        <w:t>22</w:t>
      </w:r>
      <w:r w:rsidRPr="003B110E">
        <w:rPr>
          <w:rFonts w:asciiTheme="majorHAnsi" w:eastAsia="Times New Roman" w:hAnsiTheme="majorHAnsi" w:cstheme="majorHAnsi"/>
          <w:b/>
          <w:bCs/>
          <w:sz w:val="28"/>
          <w:szCs w:val="28"/>
          <w:lang w:val="ru-MD"/>
        </w:rPr>
        <w:t xml:space="preserve"> год</w:t>
      </w:r>
      <w:r w:rsidR="009F1FC2">
        <w:rPr>
          <w:rFonts w:asciiTheme="majorHAnsi" w:eastAsia="Times New Roman" w:hAnsiTheme="majorHAnsi" w:cstheme="majorHAnsi"/>
          <w:b/>
          <w:bCs/>
          <w:sz w:val="28"/>
          <w:szCs w:val="28"/>
          <w:lang w:val="ru-MD"/>
        </w:rPr>
        <w:t xml:space="preserve"> </w:t>
      </w:r>
      <w:r w:rsidRPr="003B110E">
        <w:rPr>
          <w:rFonts w:asciiTheme="majorHAnsi" w:eastAsia="Times New Roman" w:hAnsiTheme="majorHAnsi" w:cstheme="majorHAnsi"/>
          <w:b/>
          <w:bCs/>
          <w:sz w:val="28"/>
          <w:szCs w:val="28"/>
          <w:lang w:val="ru-MD"/>
        </w:rPr>
        <w:t xml:space="preserve"> </w:t>
      </w:r>
    </w:p>
    <w:p w14:paraId="08CB7D61" w14:textId="77777777" w:rsidR="00B749E7" w:rsidRPr="00E82CC1" w:rsidRDefault="00B749E7" w:rsidP="00B749E7">
      <w:pPr>
        <w:spacing w:after="0" w:line="276" w:lineRule="auto"/>
        <w:jc w:val="center"/>
        <w:rPr>
          <w:rFonts w:asciiTheme="majorHAnsi" w:eastAsia="Times New Roman" w:hAnsiTheme="majorHAnsi" w:cstheme="majorHAnsi"/>
          <w:b/>
          <w:bCs/>
          <w:sz w:val="28"/>
          <w:szCs w:val="28"/>
          <w:lang w:val="ro-RO"/>
        </w:rPr>
      </w:pPr>
    </w:p>
    <w:p w14:paraId="0195B3BB" w14:textId="77777777" w:rsidR="00B749E7" w:rsidRPr="00E82CC1" w:rsidRDefault="00B749E7" w:rsidP="00B749E7">
      <w:pPr>
        <w:spacing w:after="0" w:line="276" w:lineRule="auto"/>
        <w:rPr>
          <w:rFonts w:asciiTheme="majorHAnsi" w:hAnsiTheme="majorHAnsi" w:cstheme="majorHAnsi"/>
          <w:sz w:val="28"/>
          <w:szCs w:val="28"/>
          <w:lang w:val="ro-RO"/>
        </w:rPr>
      </w:pPr>
    </w:p>
    <w:p w14:paraId="671CB6F7" w14:textId="77777777" w:rsidR="00B749E7" w:rsidRPr="00E82CC1" w:rsidRDefault="00B749E7" w:rsidP="00B749E7">
      <w:pPr>
        <w:spacing w:after="0" w:line="276" w:lineRule="auto"/>
        <w:rPr>
          <w:rFonts w:asciiTheme="majorHAnsi" w:hAnsiTheme="majorHAnsi" w:cstheme="majorHAnsi"/>
          <w:lang w:val="ro-RO"/>
        </w:rPr>
      </w:pPr>
    </w:p>
    <w:p w14:paraId="53A41E1D" w14:textId="77777777" w:rsidR="00B749E7" w:rsidRPr="00E82CC1" w:rsidRDefault="00B749E7" w:rsidP="00B749E7">
      <w:pPr>
        <w:spacing w:after="0" w:line="276" w:lineRule="auto"/>
        <w:jc w:val="center"/>
        <w:rPr>
          <w:rFonts w:asciiTheme="majorHAnsi" w:hAnsiTheme="majorHAnsi" w:cstheme="majorHAnsi"/>
          <w:lang w:val="ro-RO"/>
        </w:rPr>
      </w:pPr>
      <w:r w:rsidRPr="00E82CC1">
        <w:rPr>
          <w:rFonts w:asciiTheme="majorHAnsi" w:hAnsiTheme="majorHAnsi" w:cstheme="majorHAnsi"/>
          <w:lang w:val="ro-RO"/>
        </w:rPr>
        <w:br w:type="page"/>
      </w:r>
    </w:p>
    <w:p w14:paraId="5A24118E" w14:textId="77777777" w:rsidR="00B749E7" w:rsidRPr="00E82CC1" w:rsidRDefault="00B749E7" w:rsidP="00B749E7">
      <w:pPr>
        <w:tabs>
          <w:tab w:val="left" w:pos="720"/>
        </w:tabs>
        <w:spacing w:after="0" w:line="276" w:lineRule="auto"/>
        <w:jc w:val="center"/>
        <w:rPr>
          <w:rFonts w:asciiTheme="majorHAnsi" w:eastAsia="Times New Roman" w:hAnsiTheme="majorHAnsi" w:cs="Times New Roman"/>
          <w:b/>
          <w:bCs/>
          <w:sz w:val="28"/>
          <w:szCs w:val="28"/>
          <w:lang w:val="ro-RO"/>
        </w:rPr>
      </w:pPr>
      <w:r>
        <w:rPr>
          <w:rFonts w:asciiTheme="majorHAnsi" w:eastAsia="Times New Roman" w:hAnsiTheme="majorHAnsi" w:cs="Times New Roman"/>
          <w:b/>
          <w:bCs/>
          <w:sz w:val="28"/>
          <w:szCs w:val="28"/>
          <w:lang w:val="ru-RU"/>
        </w:rPr>
        <w:lastRenderedPageBreak/>
        <w:t>Список акронимов</w:t>
      </w:r>
      <w:r w:rsidRPr="00E82CC1">
        <w:rPr>
          <w:rFonts w:asciiTheme="majorHAnsi" w:eastAsia="Times New Roman" w:hAnsiTheme="majorHAnsi" w:cs="Times New Roman"/>
          <w:b/>
          <w:bCs/>
          <w:sz w:val="28"/>
          <w:szCs w:val="28"/>
          <w:lang w:val="ro-RO"/>
        </w:rPr>
        <w:t xml:space="preserve"> </w:t>
      </w:r>
    </w:p>
    <w:p w14:paraId="34C25851" w14:textId="77777777" w:rsidR="00B749E7" w:rsidRPr="00E82CC1" w:rsidRDefault="00B749E7" w:rsidP="00B749E7">
      <w:pPr>
        <w:tabs>
          <w:tab w:val="left" w:pos="720"/>
        </w:tabs>
        <w:spacing w:after="0" w:line="276" w:lineRule="auto"/>
        <w:jc w:val="center"/>
        <w:rPr>
          <w:rFonts w:asciiTheme="majorHAnsi" w:eastAsia="Times New Roman" w:hAnsiTheme="majorHAnsi" w:cs="Times New Roman"/>
          <w:b/>
          <w:bCs/>
          <w:sz w:val="28"/>
          <w:szCs w:val="28"/>
          <w:lang w:val="ro-RO"/>
        </w:rPr>
      </w:pPr>
    </w:p>
    <w:tbl>
      <w:tblPr>
        <w:tblStyle w:val="-1"/>
        <w:tblW w:w="0" w:type="auto"/>
        <w:jc w:val="center"/>
        <w:tblInd w:w="0" w:type="dxa"/>
        <w:tblLook w:val="04A0" w:firstRow="1" w:lastRow="0" w:firstColumn="1" w:lastColumn="0" w:noHBand="0" w:noVBand="1"/>
      </w:tblPr>
      <w:tblGrid>
        <w:gridCol w:w="1555"/>
        <w:gridCol w:w="7229"/>
      </w:tblGrid>
      <w:tr w:rsidR="00B749E7" w:rsidRPr="00E82CC1" w14:paraId="1E6E467F" w14:textId="77777777" w:rsidTr="000E41F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EC2EC33" w14:textId="77777777" w:rsidR="00B749E7" w:rsidRPr="00E82CC1" w:rsidRDefault="00B749E7" w:rsidP="000E41FD">
            <w:pPr>
              <w:tabs>
                <w:tab w:val="left" w:pos="720"/>
              </w:tabs>
              <w:spacing w:line="276" w:lineRule="auto"/>
              <w:jc w:val="center"/>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u-RU"/>
              </w:rPr>
              <w:t>Акроним</w:t>
            </w:r>
          </w:p>
        </w:tc>
        <w:tc>
          <w:tcPr>
            <w:tcW w:w="722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6EC3306" w14:textId="77777777" w:rsidR="00B749E7" w:rsidRPr="00E82CC1" w:rsidRDefault="00B749E7" w:rsidP="000E41FD">
            <w:pPr>
              <w:tabs>
                <w:tab w:val="left" w:pos="72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u-RU"/>
              </w:rPr>
              <w:t>Сокращенный термин</w:t>
            </w:r>
          </w:p>
        </w:tc>
      </w:tr>
      <w:tr w:rsidR="00B749E7" w:rsidRPr="00E82CC1" w14:paraId="43D95547" w14:textId="77777777" w:rsidTr="000E41FD">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933D66" w14:textId="77777777" w:rsidR="00B749E7" w:rsidRPr="00E82CC1" w:rsidRDefault="00B749E7" w:rsidP="000E41FD">
            <w:pPr>
              <w:tabs>
                <w:tab w:val="left" w:pos="720"/>
              </w:tabs>
              <w:spacing w:line="276" w:lineRule="auto"/>
              <w:jc w:val="center"/>
              <w:rPr>
                <w:rFonts w:asciiTheme="majorHAnsi" w:eastAsia="Times New Roman" w:hAnsiTheme="majorHAnsi" w:cstheme="majorHAnsi"/>
                <w:sz w:val="24"/>
                <w:szCs w:val="24"/>
                <w:lang w:val="ro-RO"/>
              </w:rPr>
            </w:pPr>
            <w:r w:rsidRPr="00434BA8">
              <w:rPr>
                <w:rFonts w:asciiTheme="majorHAnsi" w:eastAsia="Times New Roman" w:hAnsiTheme="majorHAnsi" w:cstheme="majorHAnsi"/>
                <w:sz w:val="24"/>
                <w:szCs w:val="24"/>
                <w:lang w:val="ru-MD"/>
              </w:rPr>
              <w:t>АЭУ</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A71B91" w14:textId="77777777" w:rsidR="00B749E7" w:rsidRPr="00E82CC1" w:rsidRDefault="00B749E7" w:rsidP="000E41FD">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434BA8">
              <w:rPr>
                <w:rFonts w:asciiTheme="majorHAnsi" w:eastAsia="Times New Roman" w:hAnsiTheme="majorHAnsi" w:cstheme="majorHAnsi"/>
                <w:bCs/>
                <w:sz w:val="24"/>
                <w:szCs w:val="24"/>
                <w:lang w:val="ru-MD"/>
              </w:rPr>
              <w:t>Агентство электронного управления</w:t>
            </w:r>
          </w:p>
        </w:tc>
      </w:tr>
      <w:tr w:rsidR="00B749E7" w:rsidRPr="00D932D4" w14:paraId="4253C6A7" w14:textId="77777777" w:rsidTr="000E41FD">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A96933" w14:textId="77777777" w:rsidR="00B749E7" w:rsidRPr="00E82CC1" w:rsidRDefault="00B749E7" w:rsidP="000E41FD">
            <w:pPr>
              <w:tabs>
                <w:tab w:val="left" w:pos="720"/>
              </w:tabs>
              <w:spacing w:line="276" w:lineRule="auto"/>
              <w:jc w:val="center"/>
              <w:rPr>
                <w:rFonts w:asciiTheme="majorHAnsi" w:eastAsia="Times New Roman" w:hAnsiTheme="majorHAnsi" w:cstheme="majorHAnsi"/>
                <w:sz w:val="24"/>
                <w:szCs w:val="24"/>
                <w:lang w:val="ro-RO"/>
              </w:rPr>
            </w:pPr>
            <w:r w:rsidRPr="00434BA8">
              <w:rPr>
                <w:rFonts w:asciiTheme="majorHAnsi" w:eastAsia="Times New Roman" w:hAnsiTheme="majorHAnsi" w:cstheme="majorHAnsi"/>
                <w:sz w:val="24"/>
                <w:szCs w:val="24"/>
                <w:lang w:val="ru-MD"/>
              </w:rPr>
              <w:t>НАЗН</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358C4B" w14:textId="77777777" w:rsidR="00B749E7" w:rsidRPr="00E82CC1" w:rsidRDefault="00B749E7" w:rsidP="000E41FD">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434BA8">
              <w:rPr>
                <w:rFonts w:asciiTheme="majorHAnsi" w:eastAsia="Times New Roman" w:hAnsiTheme="majorHAnsi" w:cstheme="majorHAnsi"/>
                <w:bCs/>
                <w:sz w:val="24"/>
                <w:szCs w:val="24"/>
                <w:lang w:val="ru-MD"/>
              </w:rPr>
              <w:t>Национальное агентство занятости населения</w:t>
            </w:r>
          </w:p>
        </w:tc>
      </w:tr>
      <w:tr w:rsidR="00B749E7" w:rsidRPr="00E82CC1" w14:paraId="771662C9" w14:textId="77777777" w:rsidTr="000E41FD">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2F8D15B" w14:textId="77777777" w:rsidR="00B749E7" w:rsidRPr="00E82CC1" w:rsidRDefault="00B749E7" w:rsidP="000E41FD">
            <w:pPr>
              <w:tabs>
                <w:tab w:val="left" w:pos="720"/>
              </w:tabs>
              <w:spacing w:line="276" w:lineRule="auto"/>
              <w:jc w:val="center"/>
              <w:rPr>
                <w:rFonts w:asciiTheme="majorHAnsi" w:eastAsia="Times New Roman" w:hAnsiTheme="majorHAnsi" w:cstheme="majorHAnsi"/>
                <w:sz w:val="24"/>
                <w:szCs w:val="24"/>
                <w:lang w:val="ro-RO"/>
              </w:rPr>
            </w:pPr>
            <w:r w:rsidRPr="00434BA8">
              <w:rPr>
                <w:rFonts w:asciiTheme="majorHAnsi" w:eastAsia="Times New Roman" w:hAnsiTheme="majorHAnsi" w:cstheme="majorHAnsi"/>
                <w:sz w:val="24"/>
                <w:szCs w:val="24"/>
                <w:lang w:val="ru-MD"/>
              </w:rPr>
              <w:t>СП</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E845DFC" w14:textId="77777777" w:rsidR="00B749E7" w:rsidRPr="00E82CC1" w:rsidRDefault="00B749E7" w:rsidP="000E41FD">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434BA8">
              <w:rPr>
                <w:rFonts w:asciiTheme="majorHAnsi" w:eastAsia="Times New Roman" w:hAnsiTheme="majorHAnsi" w:cstheme="majorHAnsi"/>
                <w:bCs/>
                <w:sz w:val="24"/>
                <w:szCs w:val="24"/>
                <w:lang w:val="ru-MD"/>
              </w:rPr>
              <w:t>Социальная помощь</w:t>
            </w:r>
          </w:p>
        </w:tc>
      </w:tr>
      <w:tr w:rsidR="00B749E7" w:rsidRPr="00E82CC1" w14:paraId="12EA498C" w14:textId="77777777" w:rsidTr="000E41FD">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0D8BBD8" w14:textId="77777777" w:rsidR="00B749E7" w:rsidRPr="00E82CC1" w:rsidRDefault="00B749E7" w:rsidP="000E41FD">
            <w:pPr>
              <w:tabs>
                <w:tab w:val="left" w:pos="720"/>
              </w:tabs>
              <w:spacing w:line="276" w:lineRule="auto"/>
              <w:jc w:val="center"/>
              <w:rPr>
                <w:rFonts w:asciiTheme="majorHAnsi" w:eastAsia="Times New Roman" w:hAnsiTheme="majorHAnsi" w:cstheme="majorHAnsi"/>
                <w:sz w:val="24"/>
                <w:szCs w:val="24"/>
                <w:lang w:val="ro-RO"/>
              </w:rPr>
            </w:pPr>
            <w:r w:rsidRPr="00434BA8">
              <w:rPr>
                <w:rFonts w:asciiTheme="majorHAnsi" w:eastAsia="Times New Roman" w:hAnsiTheme="majorHAnsi" w:cstheme="majorHAnsi"/>
                <w:sz w:val="24"/>
                <w:szCs w:val="24"/>
                <w:lang w:val="ru-MD"/>
              </w:rPr>
              <w:t>АПУ</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5AB2D02" w14:textId="77777777" w:rsidR="00B749E7" w:rsidRPr="00E82CC1" w:rsidRDefault="00B749E7" w:rsidP="000E41FD">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434BA8">
              <w:rPr>
                <w:rFonts w:asciiTheme="majorHAnsi" w:eastAsia="Times New Roman" w:hAnsiTheme="majorHAnsi" w:cstheme="majorHAnsi"/>
                <w:bCs/>
                <w:sz w:val="24"/>
                <w:szCs w:val="24"/>
                <w:lang w:val="ru-MD"/>
              </w:rPr>
              <w:t>Агентство публичных услуг</w:t>
            </w:r>
          </w:p>
        </w:tc>
      </w:tr>
      <w:tr w:rsidR="00B749E7" w:rsidRPr="002C203D" w14:paraId="0F001F3E" w14:textId="77777777" w:rsidTr="000E41FD">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1142C98" w14:textId="77777777" w:rsidR="00B749E7" w:rsidRPr="00E82CC1" w:rsidRDefault="00B749E7" w:rsidP="000E41FD">
            <w:pPr>
              <w:tabs>
                <w:tab w:val="left" w:pos="720"/>
              </w:tabs>
              <w:spacing w:line="276" w:lineRule="auto"/>
              <w:jc w:val="center"/>
              <w:rPr>
                <w:rFonts w:asciiTheme="majorHAnsi" w:eastAsia="Times New Roman" w:hAnsiTheme="majorHAnsi" w:cstheme="majorHAnsi"/>
                <w:sz w:val="24"/>
                <w:szCs w:val="24"/>
                <w:lang w:val="ro-RO"/>
              </w:rPr>
            </w:pPr>
            <w:r w:rsidRPr="00434BA8">
              <w:rPr>
                <w:rFonts w:asciiTheme="majorHAnsi" w:eastAsia="Times New Roman" w:hAnsiTheme="majorHAnsi" w:cstheme="majorHAnsi"/>
                <w:sz w:val="24"/>
                <w:szCs w:val="24"/>
                <w:lang w:val="ru-MD"/>
              </w:rPr>
              <w:t>ПХПГ</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DFF878E" w14:textId="77777777" w:rsidR="00B749E7" w:rsidRPr="00E82CC1" w:rsidRDefault="00B749E7" w:rsidP="000E41FD">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434BA8">
              <w:rPr>
                <w:rFonts w:asciiTheme="majorHAnsi" w:eastAsia="Times New Roman" w:hAnsiTheme="majorHAnsi" w:cstheme="majorHAnsi"/>
                <w:bCs/>
                <w:sz w:val="24"/>
                <w:szCs w:val="24"/>
                <w:lang w:val="ru-MD"/>
              </w:rPr>
              <w:t>Пособие на холодный период года</w:t>
            </w:r>
          </w:p>
        </w:tc>
      </w:tr>
      <w:tr w:rsidR="00B749E7" w:rsidRPr="00D932D4" w14:paraId="39431E0B" w14:textId="77777777" w:rsidTr="000E41FD">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BB3A09" w14:textId="77777777" w:rsidR="00B749E7" w:rsidRPr="00E82CC1" w:rsidRDefault="00B749E7" w:rsidP="000E41FD">
            <w:pPr>
              <w:tabs>
                <w:tab w:val="left" w:pos="720"/>
              </w:tabs>
              <w:spacing w:line="276" w:lineRule="auto"/>
              <w:jc w:val="center"/>
              <w:rPr>
                <w:rFonts w:asciiTheme="majorHAnsi" w:eastAsia="Times New Roman" w:hAnsiTheme="majorHAnsi" w:cstheme="majorHAnsi"/>
                <w:sz w:val="24"/>
                <w:szCs w:val="24"/>
                <w:lang w:val="ro-RO"/>
              </w:rPr>
            </w:pPr>
            <w:r w:rsidRPr="00434BA8">
              <w:rPr>
                <w:rFonts w:asciiTheme="majorHAnsi" w:eastAsia="Times New Roman" w:hAnsiTheme="majorHAnsi" w:cstheme="majorHAnsi"/>
                <w:sz w:val="24"/>
                <w:szCs w:val="24"/>
                <w:lang w:val="ru-MD"/>
              </w:rPr>
              <w:t>БГСС</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AE1AB3" w14:textId="77777777" w:rsidR="00B749E7" w:rsidRPr="00E82CC1" w:rsidRDefault="00B749E7" w:rsidP="000E41FD">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434BA8">
              <w:rPr>
                <w:rFonts w:asciiTheme="majorHAnsi" w:eastAsia="Times New Roman" w:hAnsiTheme="majorHAnsi" w:cstheme="majorHAnsi"/>
                <w:bCs/>
                <w:sz w:val="24"/>
                <w:szCs w:val="24"/>
                <w:lang w:val="ru-MD"/>
              </w:rPr>
              <w:t>Бюджет государственного социального страхования</w:t>
            </w:r>
          </w:p>
        </w:tc>
      </w:tr>
      <w:tr w:rsidR="00B749E7" w:rsidRPr="00E82CC1" w14:paraId="194CD3B5" w14:textId="77777777" w:rsidTr="000E41FD">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E45DBE" w14:textId="77777777" w:rsidR="00B749E7" w:rsidRPr="00E82CC1" w:rsidRDefault="00B749E7" w:rsidP="000E41FD">
            <w:pPr>
              <w:tabs>
                <w:tab w:val="left" w:pos="720"/>
              </w:tabs>
              <w:spacing w:line="276" w:lineRule="auto"/>
              <w:jc w:val="center"/>
              <w:rPr>
                <w:rFonts w:asciiTheme="majorHAnsi" w:eastAsia="Times New Roman" w:hAnsiTheme="majorHAnsi" w:cstheme="majorHAnsi"/>
                <w:sz w:val="24"/>
                <w:szCs w:val="24"/>
                <w:lang w:val="ro-RO"/>
              </w:rPr>
            </w:pPr>
            <w:r w:rsidRPr="00434BA8">
              <w:rPr>
                <w:rFonts w:asciiTheme="majorHAnsi" w:eastAsia="Times New Roman" w:hAnsiTheme="majorHAnsi" w:cstheme="majorHAnsi"/>
                <w:sz w:val="24"/>
                <w:szCs w:val="24"/>
                <w:lang w:val="ru-MD"/>
              </w:rPr>
              <w:t>НПБ</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ED2261" w14:textId="77777777" w:rsidR="00B749E7" w:rsidRPr="00E82CC1" w:rsidRDefault="00B749E7" w:rsidP="000E41FD">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434BA8">
              <w:rPr>
                <w:rFonts w:asciiTheme="majorHAnsi" w:eastAsia="Times New Roman" w:hAnsiTheme="majorHAnsi" w:cstheme="majorHAnsi"/>
                <w:bCs/>
                <w:sz w:val="24"/>
                <w:szCs w:val="24"/>
                <w:lang w:val="ru-MD"/>
              </w:rPr>
              <w:t>Национальный публичный бюджет</w:t>
            </w:r>
          </w:p>
        </w:tc>
      </w:tr>
      <w:tr w:rsidR="00B749E7" w:rsidRPr="00E82CC1" w14:paraId="622D941D" w14:textId="77777777" w:rsidTr="000E41FD">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6292F5" w14:textId="77777777" w:rsidR="00B749E7" w:rsidRPr="00E82CC1" w:rsidRDefault="00B749E7" w:rsidP="000E41FD">
            <w:pPr>
              <w:tabs>
                <w:tab w:val="left" w:pos="720"/>
              </w:tabs>
              <w:spacing w:line="276" w:lineRule="auto"/>
              <w:jc w:val="center"/>
              <w:rPr>
                <w:rFonts w:asciiTheme="majorHAnsi" w:eastAsia="Times New Roman" w:hAnsiTheme="majorHAnsi" w:cstheme="majorHAnsi"/>
                <w:sz w:val="24"/>
                <w:szCs w:val="24"/>
                <w:lang w:val="ro-RO"/>
              </w:rPr>
            </w:pPr>
            <w:r w:rsidRPr="00434BA8">
              <w:rPr>
                <w:rFonts w:asciiTheme="majorHAnsi" w:eastAsia="Times New Roman" w:hAnsiTheme="majorHAnsi" w:cstheme="majorHAnsi"/>
                <w:sz w:val="24"/>
                <w:szCs w:val="24"/>
                <w:lang w:val="ru-MD"/>
              </w:rPr>
              <w:t>ГБ</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AC906D" w14:textId="77777777" w:rsidR="00B749E7" w:rsidRPr="00E82CC1" w:rsidRDefault="00B749E7" w:rsidP="000E41FD">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434BA8">
              <w:rPr>
                <w:rFonts w:asciiTheme="majorHAnsi" w:eastAsia="Times New Roman" w:hAnsiTheme="majorHAnsi" w:cstheme="majorHAnsi"/>
                <w:bCs/>
                <w:sz w:val="24"/>
                <w:szCs w:val="24"/>
                <w:lang w:val="ru-MD"/>
              </w:rPr>
              <w:t>Государственный бюджет</w:t>
            </w:r>
          </w:p>
        </w:tc>
      </w:tr>
      <w:tr w:rsidR="00B749E7" w:rsidRPr="00E82CC1" w14:paraId="2436B0C1" w14:textId="77777777" w:rsidTr="000E41FD">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9819AB" w14:textId="77777777" w:rsidR="00B749E7" w:rsidRPr="00E82CC1" w:rsidRDefault="00B749E7" w:rsidP="000E41FD">
            <w:pPr>
              <w:tabs>
                <w:tab w:val="left" w:pos="720"/>
              </w:tabs>
              <w:spacing w:line="276" w:lineRule="auto"/>
              <w:jc w:val="center"/>
              <w:rPr>
                <w:rFonts w:asciiTheme="majorHAnsi" w:eastAsia="Times New Roman" w:hAnsiTheme="majorHAnsi" w:cstheme="majorHAnsi"/>
                <w:sz w:val="24"/>
                <w:szCs w:val="24"/>
                <w:lang w:val="ro-RO"/>
              </w:rPr>
            </w:pPr>
            <w:r w:rsidRPr="00434BA8">
              <w:rPr>
                <w:rFonts w:asciiTheme="majorHAnsi" w:eastAsia="Times New Roman" w:hAnsiTheme="majorHAnsi" w:cstheme="majorHAnsi"/>
                <w:sz w:val="24"/>
                <w:szCs w:val="24"/>
                <w:lang w:val="ru-MD"/>
              </w:rPr>
              <w:t>ВУК</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1D75A3" w14:textId="77777777" w:rsidR="00B749E7" w:rsidRPr="00E82CC1" w:rsidRDefault="00B749E7" w:rsidP="000E41FD">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434BA8">
              <w:rPr>
                <w:rFonts w:asciiTheme="majorHAnsi" w:eastAsia="Times New Roman" w:hAnsiTheme="majorHAnsi" w:cstheme="majorHAnsi"/>
                <w:bCs/>
                <w:sz w:val="24"/>
                <w:szCs w:val="24"/>
                <w:lang w:val="ru-MD"/>
              </w:rPr>
              <w:t>Внутренний управленческий контроль</w:t>
            </w:r>
          </w:p>
        </w:tc>
      </w:tr>
      <w:tr w:rsidR="00B749E7" w:rsidRPr="00D932D4" w14:paraId="615EA4D0" w14:textId="77777777" w:rsidTr="000E41FD">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279AFA" w14:textId="77777777" w:rsidR="00B749E7" w:rsidRPr="00E82CC1" w:rsidRDefault="00B749E7" w:rsidP="000E41FD">
            <w:pPr>
              <w:tabs>
                <w:tab w:val="left" w:pos="720"/>
              </w:tabs>
              <w:spacing w:line="276" w:lineRule="auto"/>
              <w:jc w:val="center"/>
              <w:rPr>
                <w:rFonts w:asciiTheme="majorHAnsi" w:eastAsia="Times New Roman" w:hAnsiTheme="majorHAnsi" w:cstheme="majorHAnsi"/>
                <w:sz w:val="24"/>
                <w:szCs w:val="24"/>
                <w:lang w:val="ro-RO"/>
              </w:rPr>
            </w:pPr>
            <w:r w:rsidRPr="00434BA8">
              <w:rPr>
                <w:rFonts w:asciiTheme="majorHAnsi" w:eastAsia="Times New Roman" w:hAnsiTheme="majorHAnsi" w:cstheme="majorHAnsi"/>
                <w:sz w:val="24"/>
                <w:szCs w:val="24"/>
                <w:lang w:val="ru-MD"/>
              </w:rPr>
              <w:t>НКСС</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7151DF" w14:textId="77777777" w:rsidR="00B749E7" w:rsidRPr="00E82CC1" w:rsidRDefault="00B749E7" w:rsidP="000E41FD">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434BA8">
              <w:rPr>
                <w:rFonts w:asciiTheme="majorHAnsi" w:eastAsia="Times New Roman" w:hAnsiTheme="majorHAnsi" w:cstheme="majorHAnsi"/>
                <w:bCs/>
                <w:sz w:val="24"/>
                <w:szCs w:val="24"/>
                <w:lang w:val="ru-MD"/>
              </w:rPr>
              <w:t>Национальная касса социального страхования</w:t>
            </w:r>
          </w:p>
        </w:tc>
      </w:tr>
      <w:tr w:rsidR="00B749E7" w:rsidRPr="00D932D4" w14:paraId="48C88194" w14:textId="77777777" w:rsidTr="000E41FD">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E5A060" w14:textId="77777777" w:rsidR="00B749E7" w:rsidRPr="00E82CC1" w:rsidRDefault="00B749E7" w:rsidP="000E41FD">
            <w:pPr>
              <w:tabs>
                <w:tab w:val="left" w:pos="720"/>
              </w:tabs>
              <w:spacing w:line="276" w:lineRule="auto"/>
              <w:jc w:val="center"/>
              <w:rPr>
                <w:rFonts w:asciiTheme="majorHAnsi" w:eastAsia="Times New Roman" w:hAnsiTheme="majorHAnsi" w:cstheme="majorHAnsi"/>
                <w:sz w:val="24"/>
                <w:szCs w:val="24"/>
                <w:lang w:val="ro-RO"/>
              </w:rPr>
            </w:pPr>
            <w:r w:rsidRPr="00434BA8">
              <w:rPr>
                <w:rFonts w:asciiTheme="majorHAnsi" w:eastAsia="Times New Roman" w:hAnsiTheme="majorHAnsi" w:cstheme="majorHAnsi"/>
                <w:sz w:val="24"/>
                <w:szCs w:val="24"/>
                <w:lang w:val="ru-MD"/>
              </w:rPr>
              <w:t>ТКСС</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462A10" w14:textId="77777777" w:rsidR="00B749E7" w:rsidRPr="00E82CC1" w:rsidRDefault="00B749E7" w:rsidP="000E41FD">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434BA8">
              <w:rPr>
                <w:rFonts w:asciiTheme="majorHAnsi" w:eastAsia="Times New Roman" w:hAnsiTheme="majorHAnsi" w:cstheme="majorHAnsi"/>
                <w:bCs/>
                <w:sz w:val="24"/>
                <w:szCs w:val="24"/>
                <w:lang w:val="ru-MD"/>
              </w:rPr>
              <w:t>Территориальная касса социального страхования</w:t>
            </w:r>
          </w:p>
        </w:tc>
      </w:tr>
      <w:tr w:rsidR="00B749E7" w:rsidRPr="002C203D" w14:paraId="14BAEBA9" w14:textId="77777777" w:rsidTr="000E41FD">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F1FD578" w14:textId="77777777" w:rsidR="00B749E7" w:rsidRPr="00E27755" w:rsidRDefault="00B749E7" w:rsidP="000E41FD">
            <w:pPr>
              <w:tabs>
                <w:tab w:val="left" w:pos="720"/>
              </w:tabs>
              <w:spacing w:line="276" w:lineRule="auto"/>
              <w:jc w:val="center"/>
              <w:rPr>
                <w:rFonts w:asciiTheme="majorHAnsi" w:eastAsia="Times New Roman" w:hAnsiTheme="majorHAnsi" w:cstheme="majorHAnsi"/>
                <w:sz w:val="24"/>
                <w:szCs w:val="24"/>
                <w:lang w:val="ru-RU"/>
              </w:rPr>
            </w:pPr>
            <w:r>
              <w:rPr>
                <w:rFonts w:asciiTheme="majorHAnsi" w:eastAsia="Times New Roman" w:hAnsiTheme="majorHAnsi" w:cstheme="majorHAnsi"/>
                <w:sz w:val="24"/>
                <w:szCs w:val="24"/>
                <w:lang w:val="ru-RU"/>
              </w:rPr>
              <w:t>ЦИТФ</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4D3A1B" w14:textId="77777777" w:rsidR="00B749E7" w:rsidRPr="00E82CC1" w:rsidRDefault="00B749E7" w:rsidP="000E41FD">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Pr>
                <w:rFonts w:asciiTheme="majorHAnsi" w:eastAsia="Times New Roman" w:hAnsiTheme="majorHAnsi" w:cstheme="majorHAnsi"/>
                <w:bCs/>
                <w:sz w:val="24"/>
                <w:szCs w:val="24"/>
                <w:lang w:val="ru-RU"/>
              </w:rPr>
              <w:t>Центр информационных технологий в финансах</w:t>
            </w:r>
          </w:p>
        </w:tc>
      </w:tr>
      <w:tr w:rsidR="00B749E7" w:rsidRPr="00E82CC1" w14:paraId="256DA167" w14:textId="77777777" w:rsidTr="000E41FD">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EF81AB" w14:textId="77777777" w:rsidR="00B749E7" w:rsidRPr="00E82CC1" w:rsidRDefault="00B749E7" w:rsidP="000E41FD">
            <w:pPr>
              <w:tabs>
                <w:tab w:val="left" w:pos="720"/>
              </w:tabs>
              <w:spacing w:line="276" w:lineRule="auto"/>
              <w:jc w:val="center"/>
              <w:rPr>
                <w:rFonts w:asciiTheme="majorHAnsi" w:eastAsia="Times New Roman" w:hAnsiTheme="majorHAnsi" w:cstheme="majorHAnsi"/>
                <w:sz w:val="24"/>
                <w:szCs w:val="24"/>
                <w:lang w:val="ro-RO"/>
              </w:rPr>
            </w:pPr>
            <w:r w:rsidRPr="00434BA8">
              <w:rPr>
                <w:rFonts w:asciiTheme="majorHAnsi" w:eastAsia="Times New Roman" w:hAnsiTheme="majorHAnsi" w:cstheme="majorHAnsi"/>
                <w:sz w:val="24"/>
                <w:szCs w:val="24"/>
                <w:lang w:val="ru-MD"/>
              </w:rPr>
              <w:t>ПМСУ</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4E5DB4" w14:textId="77777777" w:rsidR="00B749E7" w:rsidRPr="00E82CC1" w:rsidRDefault="00B749E7" w:rsidP="000E41FD">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434BA8">
              <w:rPr>
                <w:rFonts w:asciiTheme="majorHAnsi" w:eastAsia="Times New Roman" w:hAnsiTheme="majorHAnsi" w:cstheme="majorHAnsi"/>
                <w:bCs/>
                <w:sz w:val="24"/>
                <w:szCs w:val="24"/>
                <w:lang w:val="ru-MD"/>
              </w:rPr>
              <w:t>Публичное медико-</w:t>
            </w:r>
            <w:r>
              <w:rPr>
                <w:rFonts w:asciiTheme="majorHAnsi" w:eastAsia="Times New Roman" w:hAnsiTheme="majorHAnsi" w:cstheme="majorHAnsi"/>
                <w:bCs/>
                <w:sz w:val="24"/>
                <w:szCs w:val="24"/>
                <w:lang w:val="ru-MD"/>
              </w:rPr>
              <w:t>с</w:t>
            </w:r>
            <w:r w:rsidRPr="00434BA8">
              <w:rPr>
                <w:rFonts w:asciiTheme="majorHAnsi" w:eastAsia="Times New Roman" w:hAnsiTheme="majorHAnsi" w:cstheme="majorHAnsi"/>
                <w:bCs/>
                <w:sz w:val="24"/>
                <w:szCs w:val="24"/>
                <w:lang w:val="ru-MD"/>
              </w:rPr>
              <w:t>анитарное учреждение</w:t>
            </w:r>
          </w:p>
        </w:tc>
      </w:tr>
      <w:tr w:rsidR="00B749E7" w:rsidRPr="002C203D" w14:paraId="1F91FEE5" w14:textId="77777777" w:rsidTr="000E41FD">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9D5AC2E" w14:textId="77777777" w:rsidR="00B749E7" w:rsidRPr="00E82CC1" w:rsidRDefault="00B749E7" w:rsidP="000E41FD">
            <w:pPr>
              <w:tabs>
                <w:tab w:val="left" w:pos="720"/>
              </w:tabs>
              <w:spacing w:line="276" w:lineRule="auto"/>
              <w:jc w:val="center"/>
              <w:rPr>
                <w:rFonts w:asciiTheme="majorHAnsi" w:eastAsia="Times New Roman" w:hAnsiTheme="majorHAnsi" w:cstheme="majorHAnsi"/>
                <w:sz w:val="24"/>
                <w:szCs w:val="24"/>
                <w:lang w:val="ro-RO"/>
              </w:rPr>
            </w:pPr>
            <w:r w:rsidRPr="00434BA8">
              <w:rPr>
                <w:rFonts w:asciiTheme="majorHAnsi" w:eastAsia="Times New Roman" w:hAnsiTheme="majorHAnsi" w:cstheme="majorHAnsi"/>
                <w:sz w:val="24"/>
                <w:szCs w:val="24"/>
                <w:lang w:val="ru-MD"/>
              </w:rPr>
              <w:t>МТСЗ</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53B50A8" w14:textId="77777777" w:rsidR="00B749E7" w:rsidRPr="00E82CC1" w:rsidRDefault="00B749E7" w:rsidP="000E41FD">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434BA8">
              <w:rPr>
                <w:rFonts w:asciiTheme="majorHAnsi" w:eastAsia="Times New Roman" w:hAnsiTheme="majorHAnsi" w:cstheme="majorHAnsi"/>
                <w:bCs/>
                <w:sz w:val="24"/>
                <w:szCs w:val="24"/>
                <w:lang w:val="ru-MD"/>
              </w:rPr>
              <w:t>Министерство труда и социальной защиты</w:t>
            </w:r>
          </w:p>
        </w:tc>
      </w:tr>
      <w:tr w:rsidR="00B749E7" w:rsidRPr="00E82CC1" w14:paraId="444EA512" w14:textId="77777777" w:rsidTr="000E41FD">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EC6411" w14:textId="77777777" w:rsidR="00B749E7" w:rsidRPr="00E82CC1" w:rsidRDefault="00B749E7" w:rsidP="000E41FD">
            <w:pPr>
              <w:tabs>
                <w:tab w:val="left" w:pos="720"/>
              </w:tabs>
              <w:spacing w:line="276" w:lineRule="auto"/>
              <w:jc w:val="center"/>
              <w:rPr>
                <w:rFonts w:asciiTheme="majorHAnsi" w:eastAsia="Times New Roman" w:hAnsiTheme="majorHAnsi" w:cstheme="majorHAnsi"/>
                <w:sz w:val="24"/>
                <w:szCs w:val="24"/>
                <w:lang w:val="ro-RO"/>
              </w:rPr>
            </w:pPr>
            <w:r w:rsidRPr="00434BA8">
              <w:rPr>
                <w:rFonts w:asciiTheme="majorHAnsi" w:eastAsia="Times New Roman" w:hAnsiTheme="majorHAnsi" w:cstheme="majorHAnsi"/>
                <w:sz w:val="24"/>
                <w:szCs w:val="24"/>
                <w:lang w:val="ru-MD"/>
              </w:rPr>
              <w:t>ВВП</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C7C7F4" w14:textId="77777777" w:rsidR="00B749E7" w:rsidRPr="00E82CC1" w:rsidRDefault="00B749E7" w:rsidP="000E41FD">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434BA8">
              <w:rPr>
                <w:rFonts w:asciiTheme="majorHAnsi" w:eastAsia="Times New Roman" w:hAnsiTheme="majorHAnsi" w:cstheme="majorHAnsi"/>
                <w:bCs/>
                <w:sz w:val="24"/>
                <w:szCs w:val="24"/>
                <w:lang w:val="ru-MD"/>
              </w:rPr>
              <w:t>Валовой внутренний продукт</w:t>
            </w:r>
          </w:p>
        </w:tc>
      </w:tr>
      <w:tr w:rsidR="00B749E7" w:rsidRPr="00E82CC1" w14:paraId="2F974299" w14:textId="77777777" w:rsidTr="000E41FD">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1F7DAE" w14:textId="77777777" w:rsidR="00B749E7" w:rsidRPr="00E82CC1" w:rsidRDefault="00B749E7" w:rsidP="000E41FD">
            <w:pPr>
              <w:tabs>
                <w:tab w:val="left" w:pos="720"/>
              </w:tabs>
              <w:spacing w:line="276" w:lineRule="auto"/>
              <w:jc w:val="center"/>
              <w:rPr>
                <w:rFonts w:asciiTheme="majorHAnsi" w:eastAsia="Times New Roman" w:hAnsiTheme="majorHAnsi" w:cstheme="majorHAnsi"/>
                <w:sz w:val="24"/>
                <w:szCs w:val="24"/>
                <w:lang w:val="ro-RO"/>
              </w:rPr>
            </w:pPr>
            <w:r w:rsidRPr="00434BA8">
              <w:rPr>
                <w:rFonts w:asciiTheme="majorHAnsi" w:eastAsia="Times New Roman" w:hAnsiTheme="majorHAnsi" w:cstheme="majorHAnsi"/>
                <w:sz w:val="24"/>
                <w:szCs w:val="24"/>
                <w:lang w:val="ru-MD"/>
              </w:rPr>
              <w:t>ИС</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254365" w14:textId="77777777" w:rsidR="00B749E7" w:rsidRPr="00E82CC1" w:rsidRDefault="00B749E7" w:rsidP="000E41FD">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434BA8">
              <w:rPr>
                <w:rFonts w:asciiTheme="majorHAnsi" w:eastAsia="Times New Roman" w:hAnsiTheme="majorHAnsi" w:cstheme="majorHAnsi"/>
                <w:bCs/>
                <w:sz w:val="24"/>
                <w:szCs w:val="24"/>
                <w:lang w:val="ru-MD"/>
              </w:rPr>
              <w:t>Информационная система</w:t>
            </w:r>
          </w:p>
        </w:tc>
      </w:tr>
    </w:tbl>
    <w:p w14:paraId="58E2B74E" w14:textId="77777777" w:rsidR="00B749E7" w:rsidRPr="00E82CC1" w:rsidRDefault="00B749E7" w:rsidP="00B749E7">
      <w:pPr>
        <w:spacing w:after="0" w:line="276" w:lineRule="auto"/>
        <w:jc w:val="center"/>
        <w:rPr>
          <w:rFonts w:asciiTheme="majorHAnsi" w:hAnsiTheme="majorHAnsi" w:cstheme="majorHAnsi"/>
          <w:lang w:val="ro-RO"/>
        </w:rPr>
      </w:pPr>
    </w:p>
    <w:p w14:paraId="0C9F0F5E" w14:textId="77777777" w:rsidR="00B749E7" w:rsidRPr="00E82CC1" w:rsidRDefault="00B749E7" w:rsidP="00B749E7">
      <w:pPr>
        <w:spacing w:after="0" w:line="276" w:lineRule="auto"/>
        <w:rPr>
          <w:rFonts w:asciiTheme="majorHAnsi" w:hAnsiTheme="majorHAnsi" w:cstheme="majorHAnsi"/>
          <w:lang w:val="ro-RO"/>
        </w:rPr>
      </w:pPr>
    </w:p>
    <w:p w14:paraId="4D1D4F6E" w14:textId="77777777" w:rsidR="00B749E7" w:rsidRPr="00E82CC1" w:rsidRDefault="00B749E7" w:rsidP="00B749E7">
      <w:pPr>
        <w:spacing w:after="0" w:line="276" w:lineRule="auto"/>
        <w:rPr>
          <w:rFonts w:asciiTheme="majorHAnsi" w:hAnsiTheme="majorHAnsi" w:cstheme="majorHAnsi"/>
          <w:lang w:val="ro-RO"/>
        </w:rPr>
      </w:pPr>
    </w:p>
    <w:p w14:paraId="787D1755" w14:textId="77777777" w:rsidR="00B749E7" w:rsidRPr="00E82CC1" w:rsidRDefault="00B749E7" w:rsidP="00B749E7">
      <w:pPr>
        <w:spacing w:after="0" w:line="276" w:lineRule="auto"/>
        <w:rPr>
          <w:rFonts w:asciiTheme="majorHAnsi" w:hAnsiTheme="majorHAnsi" w:cstheme="majorHAnsi"/>
          <w:lang w:val="ro-RO"/>
        </w:rPr>
      </w:pPr>
    </w:p>
    <w:p w14:paraId="71F5190D" w14:textId="77777777" w:rsidR="00B749E7" w:rsidRDefault="00B749E7" w:rsidP="00B749E7">
      <w:pPr>
        <w:pStyle w:val="1"/>
        <w:numPr>
          <w:ilvl w:val="0"/>
          <w:numId w:val="0"/>
        </w:numPr>
        <w:spacing w:before="0"/>
        <w:jc w:val="left"/>
        <w:rPr>
          <w:rFonts w:asciiTheme="majorHAnsi" w:hAnsiTheme="majorHAnsi" w:cstheme="majorHAnsi"/>
          <w:sz w:val="28"/>
          <w:szCs w:val="28"/>
          <w:lang w:val="ro-RO"/>
        </w:rPr>
      </w:pPr>
      <w:bookmarkStart w:id="2" w:name="_Toc35000680"/>
      <w:bookmarkEnd w:id="0"/>
      <w:r w:rsidRPr="00E82CC1">
        <w:rPr>
          <w:rFonts w:asciiTheme="majorHAnsi" w:hAnsiTheme="majorHAnsi" w:cstheme="majorHAnsi"/>
          <w:sz w:val="28"/>
          <w:szCs w:val="28"/>
          <w:lang w:val="ro-RO"/>
        </w:rPr>
        <w:br w:type="page"/>
      </w:r>
    </w:p>
    <w:p w14:paraId="62CF0D9E" w14:textId="77777777" w:rsidR="00B749E7" w:rsidRPr="00E82CC1" w:rsidRDefault="00B749E7" w:rsidP="00B749E7">
      <w:pPr>
        <w:pStyle w:val="1"/>
        <w:numPr>
          <w:ilvl w:val="0"/>
          <w:numId w:val="2"/>
        </w:numPr>
        <w:spacing w:before="0"/>
        <w:jc w:val="left"/>
        <w:rPr>
          <w:rFonts w:asciiTheme="majorHAnsi" w:hAnsiTheme="majorHAnsi" w:cstheme="majorHAnsi"/>
          <w:sz w:val="28"/>
          <w:szCs w:val="28"/>
          <w:lang w:val="ro-RO"/>
        </w:rPr>
      </w:pPr>
      <w:r>
        <w:rPr>
          <w:rFonts w:asciiTheme="majorHAnsi" w:hAnsiTheme="majorHAnsi" w:cstheme="majorHAnsi"/>
          <w:sz w:val="28"/>
          <w:szCs w:val="28"/>
          <w:lang w:val="ro-RO"/>
        </w:rPr>
        <w:t>M</w:t>
      </w:r>
      <w:r w:rsidRPr="00965AF1">
        <w:rPr>
          <w:rFonts w:asciiTheme="majorHAnsi" w:hAnsiTheme="majorHAnsi" w:cstheme="majorHAnsi"/>
          <w:sz w:val="28"/>
          <w:szCs w:val="28"/>
          <w:lang w:val="ro-RO"/>
        </w:rPr>
        <w:t xml:space="preserve">НЕНИЕ </w:t>
      </w:r>
    </w:p>
    <w:p w14:paraId="3C4A5704" w14:textId="77777777" w:rsidR="00B749E7" w:rsidRPr="00965AF1" w:rsidRDefault="00B749E7" w:rsidP="00B749E7">
      <w:pPr>
        <w:pStyle w:val="a6"/>
        <w:spacing w:line="276" w:lineRule="auto"/>
        <w:rPr>
          <w:rFonts w:asciiTheme="majorHAnsi" w:hAnsiTheme="majorHAnsi" w:cstheme="majorHAnsi"/>
          <w:lang w:val="ro-RO"/>
        </w:rPr>
      </w:pPr>
      <w:r w:rsidRPr="00011202">
        <w:rPr>
          <w:rFonts w:asciiTheme="majorHAnsi" w:hAnsiTheme="majorHAnsi" w:cstheme="majorHAnsi"/>
          <w:lang w:val="ru-MD"/>
        </w:rPr>
        <w:t xml:space="preserve">Мы провели аудит </w:t>
      </w:r>
      <w:r w:rsidRPr="00011202">
        <w:rPr>
          <w:rFonts w:asciiTheme="majorHAnsi" w:hAnsiTheme="majorHAnsi" w:cstheme="majorHAnsi"/>
          <w:bCs/>
          <w:lang w:val="ru-MD"/>
        </w:rPr>
        <w:t>Отчета Правительства об исполнении бюджета государственного социального страхования за 202</w:t>
      </w:r>
      <w:r>
        <w:rPr>
          <w:rFonts w:asciiTheme="majorHAnsi" w:hAnsiTheme="majorHAnsi" w:cstheme="majorHAnsi"/>
          <w:bCs/>
          <w:lang w:val="ru-MD"/>
        </w:rPr>
        <w:t>2</w:t>
      </w:r>
      <w:r w:rsidRPr="00011202">
        <w:rPr>
          <w:rFonts w:asciiTheme="majorHAnsi" w:hAnsiTheme="majorHAnsi" w:cstheme="majorHAnsi"/>
          <w:bCs/>
          <w:lang w:val="ru-MD"/>
        </w:rPr>
        <w:t xml:space="preserve"> год</w:t>
      </w:r>
      <w:r w:rsidRPr="00011202">
        <w:rPr>
          <w:rFonts w:asciiTheme="majorHAnsi" w:hAnsiTheme="majorHAnsi" w:cstheme="majorHAnsi"/>
          <w:lang w:val="ru-MD"/>
        </w:rPr>
        <w:t>, составленного Национальной кассой социального страхования, который включает: Формуляр №1 НКСС, Формуляр №2 НКСС, Формуляр №4 НКСС, Формуляр №4.1 НКСС</w:t>
      </w:r>
      <w:r>
        <w:rPr>
          <w:rFonts w:asciiTheme="majorHAnsi" w:hAnsiTheme="majorHAnsi" w:cstheme="majorHAnsi"/>
          <w:lang w:val="ru-MD"/>
        </w:rPr>
        <w:t xml:space="preserve">, </w:t>
      </w:r>
      <w:r w:rsidRPr="00011202">
        <w:rPr>
          <w:rFonts w:asciiTheme="majorHAnsi" w:hAnsiTheme="majorHAnsi" w:cstheme="majorHAnsi"/>
          <w:lang w:val="ru-MD"/>
        </w:rPr>
        <w:t>Формуляр №4.</w:t>
      </w:r>
      <w:r>
        <w:rPr>
          <w:rFonts w:asciiTheme="majorHAnsi" w:hAnsiTheme="majorHAnsi" w:cstheme="majorHAnsi"/>
          <w:lang w:val="ru-MD"/>
        </w:rPr>
        <w:t>2</w:t>
      </w:r>
      <w:r w:rsidRPr="00011202">
        <w:rPr>
          <w:rFonts w:asciiTheme="majorHAnsi" w:hAnsiTheme="majorHAnsi" w:cstheme="majorHAnsi"/>
          <w:lang w:val="ru-MD"/>
        </w:rPr>
        <w:t xml:space="preserve"> НКСС и Пояснительную записку</w:t>
      </w:r>
      <w:r w:rsidRPr="00011202">
        <w:rPr>
          <w:rStyle w:val="a5"/>
          <w:rFonts w:asciiTheme="majorHAnsi" w:hAnsiTheme="majorHAnsi" w:cstheme="majorHAnsi"/>
          <w:lang w:val="ru-MD"/>
        </w:rPr>
        <w:footnoteReference w:id="1"/>
      </w:r>
      <w:r w:rsidRPr="00011202">
        <w:rPr>
          <w:rFonts w:asciiTheme="majorHAnsi" w:hAnsiTheme="majorHAnsi" w:cstheme="majorHAnsi"/>
          <w:lang w:val="ru-MD"/>
        </w:rPr>
        <w:t>, включая краткое изложение существенных аспектов учетной политики</w:t>
      </w:r>
      <w:r w:rsidRPr="00965AF1">
        <w:rPr>
          <w:rFonts w:asciiTheme="majorHAnsi" w:hAnsiTheme="majorHAnsi" w:cstheme="majorHAnsi"/>
          <w:lang w:val="ro-RO"/>
        </w:rPr>
        <w:t>.</w:t>
      </w:r>
    </w:p>
    <w:p w14:paraId="0AF90E85" w14:textId="77777777" w:rsidR="00B749E7" w:rsidRDefault="00B749E7" w:rsidP="00B749E7">
      <w:pPr>
        <w:pStyle w:val="a6"/>
        <w:spacing w:line="276" w:lineRule="auto"/>
        <w:ind w:firstLine="0"/>
        <w:rPr>
          <w:rFonts w:asciiTheme="majorHAnsi" w:hAnsiTheme="majorHAnsi" w:cstheme="majorHAnsi"/>
          <w:lang w:val="ro-RO"/>
        </w:rPr>
      </w:pPr>
      <w:r w:rsidRPr="00011202">
        <w:rPr>
          <w:rFonts w:asciiTheme="majorHAnsi" w:hAnsiTheme="majorHAnsi" w:cstheme="majorHAnsi"/>
          <w:lang w:val="ru-MD"/>
        </w:rPr>
        <w:t xml:space="preserve">По нашему мнению, </w:t>
      </w:r>
      <w:r w:rsidRPr="00011202">
        <w:rPr>
          <w:rFonts w:asciiTheme="majorHAnsi" w:hAnsiTheme="majorHAnsi" w:cstheme="majorHAnsi"/>
          <w:bCs/>
          <w:lang w:val="ru-MD"/>
        </w:rPr>
        <w:t>Отчет Правительства об исполнении бюджета государственного социального страхования</w:t>
      </w:r>
      <w:r w:rsidRPr="00011202">
        <w:rPr>
          <w:rFonts w:asciiTheme="majorHAnsi" w:hAnsiTheme="majorHAnsi" w:cstheme="majorHAnsi"/>
          <w:lang w:val="ru-MD"/>
        </w:rPr>
        <w:t xml:space="preserve"> представляет, во всех существенных аспектах, правильное и достоверное отражение ситуации, в соответствии с применяемой базой по финансовой отчетности</w:t>
      </w:r>
      <w:r w:rsidRPr="00011202">
        <w:rPr>
          <w:rStyle w:val="a5"/>
          <w:rFonts w:asciiTheme="majorHAnsi" w:hAnsiTheme="majorHAnsi" w:cstheme="majorHAnsi"/>
          <w:lang w:val="ru-MD"/>
        </w:rPr>
        <w:footnoteReference w:id="2"/>
      </w:r>
      <w:r>
        <w:rPr>
          <w:rFonts w:asciiTheme="majorHAnsi" w:hAnsiTheme="majorHAnsi" w:cstheme="majorHAnsi"/>
          <w:lang w:val="ro-RO"/>
        </w:rPr>
        <w:t>.</w:t>
      </w:r>
    </w:p>
    <w:p w14:paraId="0FAEC489" w14:textId="77777777" w:rsidR="00B749E7" w:rsidRPr="00E82CC1" w:rsidRDefault="00B749E7" w:rsidP="00B749E7">
      <w:pPr>
        <w:pStyle w:val="1"/>
        <w:numPr>
          <w:ilvl w:val="0"/>
          <w:numId w:val="2"/>
        </w:numPr>
        <w:tabs>
          <w:tab w:val="left" w:pos="720"/>
        </w:tabs>
        <w:spacing w:line="240" w:lineRule="auto"/>
        <w:jc w:val="both"/>
        <w:rPr>
          <w:rFonts w:asciiTheme="majorHAnsi" w:hAnsiTheme="majorHAnsi" w:cstheme="minorHAnsi"/>
          <w:bCs/>
          <w:sz w:val="28"/>
          <w:szCs w:val="24"/>
          <w:lang w:val="ro-RO"/>
        </w:rPr>
      </w:pPr>
      <w:r w:rsidRPr="00965AF1">
        <w:rPr>
          <w:rFonts w:asciiTheme="majorHAnsi" w:hAnsiTheme="majorHAnsi" w:cstheme="minorHAnsi"/>
          <w:bCs/>
          <w:sz w:val="28"/>
          <w:szCs w:val="24"/>
          <w:lang w:val="ro-RO"/>
        </w:rPr>
        <w:t>ОСНОВА</w:t>
      </w:r>
      <w:r>
        <w:rPr>
          <w:rFonts w:asciiTheme="majorHAnsi" w:hAnsiTheme="majorHAnsi" w:cstheme="minorHAnsi"/>
          <w:bCs/>
          <w:sz w:val="28"/>
          <w:szCs w:val="24"/>
          <w:lang w:val="ru-RU"/>
        </w:rPr>
        <w:t>НИЕ</w:t>
      </w:r>
      <w:r w:rsidRPr="00965AF1">
        <w:rPr>
          <w:rFonts w:asciiTheme="majorHAnsi" w:hAnsiTheme="majorHAnsi" w:cstheme="minorHAnsi"/>
          <w:bCs/>
          <w:sz w:val="28"/>
          <w:szCs w:val="24"/>
          <w:lang w:val="ro-RO"/>
        </w:rPr>
        <w:t xml:space="preserve"> ДЛЯ МНЕНИЯ</w:t>
      </w:r>
      <w:r>
        <w:rPr>
          <w:rFonts w:asciiTheme="majorHAnsi" w:hAnsiTheme="majorHAnsi" w:cstheme="minorHAnsi"/>
          <w:bCs/>
          <w:sz w:val="28"/>
          <w:szCs w:val="24"/>
          <w:lang w:val="ro-RO"/>
        </w:rPr>
        <w:t xml:space="preserve"> </w:t>
      </w:r>
    </w:p>
    <w:p w14:paraId="3EB6626F" w14:textId="77777777" w:rsidR="00B749E7" w:rsidRDefault="00B749E7" w:rsidP="00B749E7">
      <w:pPr>
        <w:spacing w:after="0" w:line="276" w:lineRule="auto"/>
        <w:jc w:val="both"/>
        <w:rPr>
          <w:rFonts w:asciiTheme="majorHAnsi" w:hAnsiTheme="majorHAnsi" w:cstheme="majorHAnsi"/>
          <w:sz w:val="24"/>
          <w:szCs w:val="24"/>
          <w:lang w:val="ro-RO"/>
        </w:rPr>
      </w:pPr>
      <w:r w:rsidRPr="003B110E">
        <w:rPr>
          <w:rFonts w:asciiTheme="majorHAnsi" w:eastAsia="Times New Roman" w:hAnsiTheme="majorHAnsi" w:cstheme="majorHAnsi"/>
          <w:color w:val="000000" w:themeColor="text1"/>
          <w:sz w:val="24"/>
          <w:szCs w:val="24"/>
          <w:lang w:val="ru-MD"/>
        </w:rPr>
        <w:t>Мы провели аудиторскую миссию в соответствии с Международными стандартами Высших органов аудита</w:t>
      </w:r>
      <w:r w:rsidRPr="003B110E">
        <w:rPr>
          <w:rFonts w:asciiTheme="majorHAnsi" w:eastAsia="Times New Roman" w:hAnsiTheme="majorHAnsi" w:cstheme="majorHAnsi"/>
          <w:color w:val="000000" w:themeColor="text1"/>
          <w:sz w:val="24"/>
          <w:szCs w:val="24"/>
          <w:vertAlign w:val="superscript"/>
          <w:lang w:val="ru-MD"/>
        </w:rPr>
        <w:footnoteReference w:id="3"/>
      </w:r>
      <w:r w:rsidRPr="003B110E">
        <w:rPr>
          <w:rFonts w:asciiTheme="majorHAnsi" w:eastAsia="Times New Roman" w:hAnsiTheme="majorHAnsi" w:cstheme="majorHAnsi"/>
          <w:color w:val="000000" w:themeColor="text1"/>
          <w:sz w:val="24"/>
          <w:szCs w:val="24"/>
          <w:lang w:val="ru-MD"/>
        </w:rPr>
        <w:t xml:space="preserve">. Наши обязанности, согласно указанным стандартам, изложены в Разделе </w:t>
      </w:r>
      <w:r w:rsidRPr="003B110E">
        <w:rPr>
          <w:rFonts w:asciiTheme="majorHAnsi" w:eastAsia="Times New Roman" w:hAnsiTheme="majorHAnsi" w:cstheme="majorHAnsi"/>
          <w:i/>
          <w:color w:val="000000" w:themeColor="text1"/>
          <w:sz w:val="24"/>
          <w:szCs w:val="24"/>
          <w:lang w:val="ru-MD"/>
        </w:rPr>
        <w:t>Ответственность аудитора в рамках аудита финансовой отчетности</w:t>
      </w:r>
      <w:r w:rsidRPr="003B110E">
        <w:rPr>
          <w:rFonts w:asciiTheme="majorHAnsi" w:eastAsia="Times New Roman" w:hAnsiTheme="majorHAnsi" w:cstheme="majorHAnsi"/>
          <w:color w:val="000000" w:themeColor="text1"/>
          <w:sz w:val="24"/>
          <w:szCs w:val="24"/>
          <w:lang w:val="ru-MD"/>
        </w:rPr>
        <w:t xml:space="preserve"> настоящего Отчета. Мы независимы от аудируемого субъекта и соблюдали обязанности по этике, в соответствии с требованиями Кодекса этики Счетной палаты. Считаем, что полученные нами аудиторские доказательства являются достаточными и уместными для того, чтобы служить основанием для </w:t>
      </w:r>
      <w:r>
        <w:rPr>
          <w:rFonts w:asciiTheme="majorHAnsi" w:eastAsia="Times New Roman" w:hAnsiTheme="majorHAnsi" w:cstheme="majorHAnsi"/>
          <w:color w:val="000000" w:themeColor="text1"/>
          <w:sz w:val="24"/>
          <w:szCs w:val="24"/>
          <w:lang w:val="ru-MD"/>
        </w:rPr>
        <w:t>наше</w:t>
      </w:r>
      <w:r w:rsidRPr="003B110E">
        <w:rPr>
          <w:rFonts w:asciiTheme="majorHAnsi" w:eastAsia="Times New Roman" w:hAnsiTheme="majorHAnsi" w:cstheme="majorHAnsi"/>
          <w:color w:val="000000" w:themeColor="text1"/>
          <w:sz w:val="24"/>
          <w:szCs w:val="24"/>
          <w:lang w:val="ru-MD"/>
        </w:rPr>
        <w:t>го мнения</w:t>
      </w:r>
      <w:r w:rsidRPr="00965AF1">
        <w:rPr>
          <w:rFonts w:asciiTheme="majorHAnsi" w:hAnsiTheme="majorHAnsi" w:cstheme="majorHAnsi"/>
          <w:sz w:val="24"/>
          <w:szCs w:val="24"/>
          <w:lang w:val="ro-RO"/>
        </w:rPr>
        <w:t>.</w:t>
      </w:r>
    </w:p>
    <w:p w14:paraId="75EB0BAC" w14:textId="77777777" w:rsidR="00B749E7" w:rsidRDefault="00B749E7" w:rsidP="00B749E7">
      <w:pPr>
        <w:pStyle w:val="1"/>
        <w:numPr>
          <w:ilvl w:val="0"/>
          <w:numId w:val="2"/>
        </w:numPr>
        <w:tabs>
          <w:tab w:val="left" w:pos="709"/>
        </w:tabs>
        <w:spacing w:before="120" w:after="120"/>
        <w:jc w:val="left"/>
        <w:rPr>
          <w:rFonts w:asciiTheme="majorHAnsi" w:hAnsiTheme="majorHAnsi" w:cstheme="majorHAnsi"/>
          <w:sz w:val="28"/>
          <w:szCs w:val="28"/>
          <w:lang w:val="ro-RO"/>
        </w:rPr>
      </w:pPr>
      <w:r w:rsidRPr="004C0A19">
        <w:rPr>
          <w:rFonts w:asciiTheme="majorHAnsi" w:hAnsiTheme="majorHAnsi" w:cstheme="majorHAnsi"/>
          <w:sz w:val="28"/>
          <w:szCs w:val="28"/>
          <w:lang w:val="ro-RO"/>
        </w:rPr>
        <w:t>ВЫДЕЛЕНИЕ НЕКОТОРЫХ АСПЕКТОВ</w:t>
      </w:r>
      <w:r w:rsidRPr="00965AF1">
        <w:rPr>
          <w:rFonts w:asciiTheme="majorHAnsi" w:hAnsiTheme="majorHAnsi" w:cstheme="majorHAnsi"/>
          <w:sz w:val="28"/>
          <w:szCs w:val="28"/>
          <w:lang w:val="ro-RO"/>
        </w:rPr>
        <w:t xml:space="preserve"> </w:t>
      </w:r>
    </w:p>
    <w:p w14:paraId="552BAD09" w14:textId="3E6D2EC0" w:rsidR="00B749E7" w:rsidRPr="00AE635F" w:rsidRDefault="00B749E7" w:rsidP="00B749E7">
      <w:pPr>
        <w:pStyle w:val="aa"/>
        <w:numPr>
          <w:ilvl w:val="1"/>
          <w:numId w:val="2"/>
        </w:numPr>
        <w:ind w:left="0" w:firstLine="0"/>
        <w:jc w:val="both"/>
        <w:rPr>
          <w:rFonts w:asciiTheme="majorHAnsi" w:hAnsiTheme="majorHAnsi" w:cstheme="majorHAnsi"/>
          <w:b/>
          <w:sz w:val="24"/>
          <w:szCs w:val="24"/>
          <w:lang w:val="ru-MD"/>
        </w:rPr>
      </w:pPr>
      <w:r w:rsidRPr="00AE635F">
        <w:rPr>
          <w:rFonts w:asciiTheme="majorHAnsi" w:hAnsiTheme="majorHAnsi" w:cstheme="majorHAnsi"/>
          <w:b/>
          <w:sz w:val="24"/>
          <w:lang w:val="ru-MD"/>
        </w:rPr>
        <w:t xml:space="preserve">Аудит обращает внимание на то, что действующие </w:t>
      </w:r>
      <w:r w:rsidR="00FF7443">
        <w:rPr>
          <w:rFonts w:asciiTheme="majorHAnsi" w:hAnsiTheme="majorHAnsi" w:cstheme="majorHAnsi"/>
          <w:b/>
          <w:sz w:val="24"/>
          <w:lang w:val="ru-MD"/>
        </w:rPr>
        <w:t>нормы</w:t>
      </w:r>
      <w:r w:rsidRPr="00AE635F">
        <w:rPr>
          <w:rFonts w:asciiTheme="majorHAnsi" w:hAnsiTheme="majorHAnsi" w:cstheme="majorHAnsi"/>
          <w:b/>
          <w:sz w:val="24"/>
          <w:lang w:val="ru-MD"/>
        </w:rPr>
        <w:t xml:space="preserve"> по отчетности, согласованные с Министерством финансов по исполнению БГСС, не соответствуют порядку ведения учета активов и обязательств бюджетных учреждений, финансируемых из государственного бюджета. </w:t>
      </w:r>
    </w:p>
    <w:p w14:paraId="079A0D50" w14:textId="6FB6EA22" w:rsidR="00B749E7" w:rsidRPr="00276FED" w:rsidRDefault="00B749E7" w:rsidP="00B749E7">
      <w:pPr>
        <w:pStyle w:val="a6"/>
        <w:spacing w:after="240" w:line="276" w:lineRule="auto"/>
        <w:ind w:firstLine="0"/>
        <w:rPr>
          <w:rFonts w:asciiTheme="majorHAnsi" w:eastAsiaTheme="minorHAnsi" w:hAnsiTheme="majorHAnsi" w:cstheme="majorHAnsi"/>
          <w:lang w:val="ru-MD"/>
        </w:rPr>
      </w:pPr>
      <w:r w:rsidRPr="00276FED">
        <w:rPr>
          <w:rFonts w:asciiTheme="majorHAnsi" w:eastAsiaTheme="minorHAnsi" w:hAnsiTheme="majorHAnsi" w:cstheme="majorHAnsi"/>
          <w:lang w:val="ru-MD"/>
        </w:rPr>
        <w:t>Обращаем внимание на нормативные положения, предусматривающие порядок отчетности БГСС, который является специфическим бюджетом, по которому учет обеспечивается на основе собственных планов счетов с использованием специальных информационных систем, соответствующим областям деятельности. Так, Приказ министра Финансов №38 от 17.02.2017 „</w:t>
      </w:r>
      <w:r w:rsidRPr="00276FED">
        <w:rPr>
          <w:rFonts w:asciiTheme="majorHAnsi" w:eastAsiaTheme="minorHAnsi" w:hAnsiTheme="majorHAnsi" w:cstheme="majorHAnsi"/>
          <w:bCs/>
          <w:lang w:val="ru-MD"/>
        </w:rPr>
        <w:t>Об утверждении формуляров Отчетов об исполнении бюджета государственного социального страхования и Методологических норм о порядке их составления</w:t>
      </w:r>
      <w:r w:rsidRPr="00276FED">
        <w:rPr>
          <w:rFonts w:asciiTheme="majorHAnsi" w:eastAsiaTheme="minorHAnsi" w:hAnsiTheme="majorHAnsi" w:cstheme="majorHAnsi"/>
          <w:lang w:val="ru-MD"/>
        </w:rPr>
        <w:t xml:space="preserve">” </w:t>
      </w:r>
      <w:r w:rsidR="00FF7443">
        <w:rPr>
          <w:rFonts w:asciiTheme="majorHAnsi" w:eastAsiaTheme="minorHAnsi" w:hAnsiTheme="majorHAnsi" w:cstheme="majorHAnsi"/>
          <w:lang w:val="ru-MD"/>
        </w:rPr>
        <w:t>раскрыва</w:t>
      </w:r>
      <w:r w:rsidRPr="00276FED">
        <w:rPr>
          <w:rFonts w:asciiTheme="majorHAnsi" w:eastAsiaTheme="minorHAnsi" w:hAnsiTheme="majorHAnsi" w:cstheme="majorHAnsi"/>
          <w:lang w:val="ru-MD"/>
        </w:rPr>
        <w:t>ет порядок представления финансовых отчетов. Национальная касса социального страхования ведет бухгалтерский учет согласно положениям Закона о бухгалтерском учете, в соответствии с планом собственных счетов бухгалтерского учета и методологией, согласованной с Министерством финансов. Кроме того, формат бухгалтерского баланса, составленного НКСС, утверждается приказом НКСС</w:t>
      </w:r>
      <w:r w:rsidRPr="00276FED">
        <w:rPr>
          <w:rStyle w:val="a5"/>
          <w:rFonts w:asciiTheme="majorHAnsi" w:eastAsiaTheme="minorHAnsi" w:hAnsiTheme="majorHAnsi" w:cstheme="majorHAnsi"/>
          <w:lang w:val="ru-MD"/>
        </w:rPr>
        <w:footnoteReference w:id="4"/>
      </w:r>
      <w:r w:rsidRPr="00276FED">
        <w:rPr>
          <w:rFonts w:asciiTheme="majorHAnsi" w:eastAsiaTheme="minorHAnsi" w:hAnsiTheme="majorHAnsi" w:cstheme="majorHAnsi"/>
          <w:lang w:val="ru-MD"/>
        </w:rPr>
        <w:t xml:space="preserve">, и </w:t>
      </w:r>
      <w:r w:rsidR="000E41FD">
        <w:rPr>
          <w:rFonts w:asciiTheme="majorHAnsi" w:eastAsiaTheme="minorHAnsi" w:hAnsiTheme="majorHAnsi" w:cstheme="majorHAnsi"/>
          <w:lang w:val="ru-MD"/>
        </w:rPr>
        <w:t xml:space="preserve">он </w:t>
      </w:r>
      <w:r w:rsidRPr="00276FED">
        <w:rPr>
          <w:rFonts w:asciiTheme="majorHAnsi" w:eastAsiaTheme="minorHAnsi" w:hAnsiTheme="majorHAnsi" w:cstheme="majorHAnsi"/>
          <w:lang w:val="ru-MD"/>
        </w:rPr>
        <w:t xml:space="preserve">ежегодно представляется Правительству и Министерству финансов. В этой связи отмечается, что бухгалтерский баланс составляется по </w:t>
      </w:r>
      <w:r w:rsidR="000E41FD">
        <w:rPr>
          <w:rFonts w:asciiTheme="majorHAnsi" w:eastAsiaTheme="minorHAnsi" w:hAnsiTheme="majorHAnsi" w:cstheme="majorHAnsi"/>
          <w:lang w:val="ru-MD"/>
        </w:rPr>
        <w:t>отдельн</w:t>
      </w:r>
      <w:r w:rsidRPr="00276FED">
        <w:rPr>
          <w:rFonts w:asciiTheme="majorHAnsi" w:eastAsiaTheme="minorHAnsi" w:hAnsiTheme="majorHAnsi" w:cstheme="majorHAnsi"/>
          <w:lang w:val="ru-MD"/>
        </w:rPr>
        <w:t>ому формату, который не соответствует бухгалтерскому балансу для бюджетных учреждений, финансируемых из государственного бюджета и местных бюджетов (Приказ министра финансов №216/2015).</w:t>
      </w:r>
    </w:p>
    <w:p w14:paraId="3BFD5DC6" w14:textId="376E912B" w:rsidR="00B749E7" w:rsidRPr="00276FED" w:rsidRDefault="00B749E7" w:rsidP="00B749E7">
      <w:pPr>
        <w:pStyle w:val="a6"/>
        <w:spacing w:after="240" w:line="276" w:lineRule="auto"/>
        <w:ind w:firstLine="0"/>
        <w:rPr>
          <w:rFonts w:asciiTheme="majorHAnsi" w:eastAsiaTheme="minorHAnsi" w:hAnsiTheme="majorHAnsi" w:cstheme="majorHAnsi"/>
          <w:lang w:val="ru-MD"/>
        </w:rPr>
      </w:pPr>
      <w:r w:rsidRPr="00276FED">
        <w:rPr>
          <w:rFonts w:asciiTheme="majorHAnsi" w:eastAsiaTheme="minorHAnsi" w:hAnsiTheme="majorHAnsi" w:cstheme="majorHAnsi"/>
          <w:lang w:val="ru-MD"/>
        </w:rPr>
        <w:t>Основные принципы и качественные характеристики предполагаю</w:t>
      </w:r>
      <w:r w:rsidR="00EE6541">
        <w:rPr>
          <w:rFonts w:asciiTheme="majorHAnsi" w:eastAsiaTheme="minorHAnsi" w:hAnsiTheme="majorHAnsi" w:cstheme="majorHAnsi"/>
          <w:lang w:val="ru-MD"/>
        </w:rPr>
        <w:t>т</w:t>
      </w:r>
      <w:r w:rsidRPr="00276FED">
        <w:rPr>
          <w:rFonts w:asciiTheme="majorHAnsi" w:eastAsiaTheme="minorHAnsi" w:hAnsiTheme="majorHAnsi" w:cstheme="majorHAnsi"/>
          <w:lang w:val="ru-MD"/>
        </w:rPr>
        <w:t xml:space="preserve"> ведение учета на основе бухгалтерского учета методом начисления и разделения активов и долгов. В то же время, „</w:t>
      </w:r>
      <w:r w:rsidR="00EE6541">
        <w:rPr>
          <w:rFonts w:asciiTheme="majorHAnsi" w:eastAsiaTheme="minorHAnsi" w:hAnsiTheme="majorHAnsi" w:cstheme="majorHAnsi"/>
          <w:lang w:val="ru-MD"/>
        </w:rPr>
        <w:t>с</w:t>
      </w:r>
      <w:r w:rsidRPr="00276FED">
        <w:rPr>
          <w:rFonts w:asciiTheme="majorHAnsi" w:eastAsiaTheme="minorHAnsi" w:hAnsiTheme="majorHAnsi" w:cstheme="majorHAnsi"/>
          <w:lang w:val="ru-MD"/>
        </w:rPr>
        <w:t>убъект, применяющий систему бухгалтерского учета путем двойной записи, обязан вести учет активов, собственного капитала, обязательств, затрат, расходов и доходов на основе счетов бухгалтерского учета”</w:t>
      </w:r>
      <w:r w:rsidRPr="00276FED">
        <w:rPr>
          <w:rStyle w:val="a5"/>
          <w:rFonts w:asciiTheme="majorHAnsi" w:hAnsiTheme="majorHAnsi" w:cstheme="majorHAnsi"/>
          <w:lang w:val="ru-MD"/>
        </w:rPr>
        <w:footnoteReference w:id="5"/>
      </w:r>
      <w:r w:rsidRPr="00276FED">
        <w:rPr>
          <w:rFonts w:asciiTheme="majorHAnsi" w:eastAsiaTheme="minorHAnsi" w:hAnsiTheme="majorHAnsi" w:cstheme="majorHAnsi"/>
          <w:lang w:val="ru-MD"/>
        </w:rPr>
        <w:t>.</w:t>
      </w:r>
      <w:r w:rsidRPr="00276FED">
        <w:rPr>
          <w:lang w:val="ru-MD"/>
        </w:rPr>
        <w:t xml:space="preserve"> </w:t>
      </w:r>
      <w:r w:rsidRPr="00276FED">
        <w:rPr>
          <w:rFonts w:asciiTheme="majorHAnsi" w:eastAsiaTheme="minorHAnsi" w:hAnsiTheme="majorHAnsi" w:cstheme="majorHAnsi"/>
          <w:lang w:val="ru-MD"/>
        </w:rPr>
        <w:t xml:space="preserve">Таким образом, </w:t>
      </w:r>
      <w:r w:rsidR="00EE6541">
        <w:rPr>
          <w:rFonts w:asciiTheme="majorHAnsi" w:eastAsiaTheme="minorHAnsi" w:hAnsiTheme="majorHAnsi" w:cstheme="majorHAnsi"/>
          <w:lang w:val="ru-MD"/>
        </w:rPr>
        <w:t>нормы</w:t>
      </w:r>
      <w:r w:rsidRPr="00276FED">
        <w:rPr>
          <w:rFonts w:asciiTheme="majorHAnsi" w:eastAsiaTheme="minorHAnsi" w:hAnsiTheme="majorHAnsi" w:cstheme="majorHAnsi"/>
          <w:lang w:val="ru-MD"/>
        </w:rPr>
        <w:t xml:space="preserve"> отчетности, согласованные с Министерством финансов, не включают единую структуру отчетности по бухгалтерскому балансу НКСС, в условиях наличия и утверждения другого формата для него. МФ консолидирует Баланс Правительства с помощью таблиц транспонирования балансовых счетов НКСС в балансовые счета бюджетных учреждений. Следовательно, действующие правила отчетности усложняют консолидацию активов и обязательств Правительства в едином финансовом отчете.</w:t>
      </w:r>
    </w:p>
    <w:p w14:paraId="557E5B64" w14:textId="3F34E69B" w:rsidR="00B749E7" w:rsidRPr="00756405" w:rsidRDefault="00B749E7" w:rsidP="00B749E7">
      <w:pPr>
        <w:pStyle w:val="a6"/>
        <w:spacing w:line="276" w:lineRule="auto"/>
        <w:ind w:right="-23"/>
        <w:rPr>
          <w:rFonts w:asciiTheme="majorHAnsi" w:hAnsiTheme="majorHAnsi" w:cstheme="majorHAnsi"/>
          <w:bdr w:val="none" w:sz="0" w:space="0" w:color="auto" w:frame="1"/>
          <w:lang w:val="ru-RU" w:eastAsia="ru-RU"/>
        </w:rPr>
      </w:pPr>
      <w:r w:rsidRPr="00415A65">
        <w:rPr>
          <w:rFonts w:asciiTheme="majorHAnsi" w:eastAsiaTheme="minorHAnsi" w:hAnsiTheme="majorHAnsi" w:cstheme="majorHAnsi"/>
          <w:lang w:val="ru-MD"/>
        </w:rPr>
        <w:t xml:space="preserve">Аудит отмечает, что в контексте утвержденных стратегических политик, направленных на  развитие </w:t>
      </w:r>
      <w:r>
        <w:rPr>
          <w:rFonts w:asciiTheme="majorHAnsi" w:eastAsiaTheme="minorHAnsi" w:hAnsiTheme="majorHAnsi" w:cstheme="majorHAnsi"/>
          <w:lang w:val="ru-MD"/>
        </w:rPr>
        <w:t>менеджмента</w:t>
      </w:r>
      <w:r w:rsidRPr="00415A65">
        <w:rPr>
          <w:rFonts w:asciiTheme="majorHAnsi" w:eastAsiaTheme="minorHAnsi" w:hAnsiTheme="majorHAnsi" w:cstheme="majorHAnsi"/>
          <w:lang w:val="ru-MD"/>
        </w:rPr>
        <w:t xml:space="preserve"> публичны</w:t>
      </w:r>
      <w:r>
        <w:rPr>
          <w:rFonts w:asciiTheme="majorHAnsi" w:eastAsiaTheme="minorHAnsi" w:hAnsiTheme="majorHAnsi" w:cstheme="majorHAnsi"/>
          <w:lang w:val="ru-MD"/>
        </w:rPr>
        <w:t>х</w:t>
      </w:r>
      <w:r w:rsidRPr="00415A65">
        <w:rPr>
          <w:rFonts w:asciiTheme="majorHAnsi" w:eastAsiaTheme="minorHAnsi" w:hAnsiTheme="majorHAnsi" w:cstheme="majorHAnsi"/>
          <w:lang w:val="ru-MD"/>
        </w:rPr>
        <w:t xml:space="preserve"> финанс</w:t>
      </w:r>
      <w:r>
        <w:rPr>
          <w:rFonts w:asciiTheme="majorHAnsi" w:eastAsiaTheme="minorHAnsi" w:hAnsiTheme="majorHAnsi" w:cstheme="majorHAnsi"/>
          <w:lang w:val="ru-MD"/>
        </w:rPr>
        <w:t>ов</w:t>
      </w:r>
      <w:r w:rsidRPr="00415A65">
        <w:rPr>
          <w:rFonts w:asciiTheme="majorHAnsi" w:eastAsiaTheme="minorHAnsi" w:hAnsiTheme="majorHAnsi" w:cstheme="majorHAnsi"/>
          <w:vertAlign w:val="superscript"/>
          <w:lang w:val="ru-MD"/>
        </w:rPr>
        <w:footnoteReference w:id="6"/>
      </w:r>
      <w:r w:rsidRPr="00415A65">
        <w:rPr>
          <w:rFonts w:asciiTheme="majorHAnsi" w:eastAsiaTheme="minorHAnsi" w:hAnsiTheme="majorHAnsi" w:cstheme="majorHAnsi"/>
          <w:lang w:val="ru-MD"/>
        </w:rPr>
        <w:t xml:space="preserve">, перспектива включения БГСС в реализацию целей Компонента 3 ”Исполнение бюджета, Бухгалтерский учет и отчетность” и Компонента 7 „Прозрачность публичных финансов”, необходима, в том числе, путем: усовершенствования бюджетного анализа и перспектив в области публичных финансов путем расширения Отчета об исполнении бюджета с информацией о денежных потоках, представленной в финансовых отчетах; разработки стандартов бухгалтерского учета в публичном секторе на основе международных стандартов IPSAS (International Public Sector Accounting Standards); </w:t>
      </w:r>
      <w:r w:rsidR="00EE6541">
        <w:rPr>
          <w:rFonts w:asciiTheme="majorHAnsi" w:eastAsiaTheme="minorHAnsi" w:hAnsiTheme="majorHAnsi" w:cstheme="majorHAnsi"/>
          <w:lang w:val="ru-RU"/>
        </w:rPr>
        <w:t>консолидации</w:t>
      </w:r>
      <w:r w:rsidRPr="00415A65">
        <w:rPr>
          <w:rFonts w:asciiTheme="majorHAnsi" w:eastAsiaTheme="minorHAnsi" w:hAnsiTheme="majorHAnsi" w:cstheme="majorHAnsi"/>
          <w:lang w:val="ru-RU"/>
        </w:rPr>
        <w:t xml:space="preserve"> возможностей</w:t>
      </w:r>
      <w:r w:rsidRPr="00415A65">
        <w:rPr>
          <w:rFonts w:asciiTheme="majorHAnsi" w:eastAsiaTheme="minorHAnsi" w:hAnsiTheme="majorHAnsi" w:cstheme="majorHAnsi"/>
          <w:lang w:val="ru-MD"/>
        </w:rPr>
        <w:t xml:space="preserve"> </w:t>
      </w:r>
      <w:r>
        <w:rPr>
          <w:rFonts w:asciiTheme="majorHAnsi" w:eastAsiaTheme="minorHAnsi" w:hAnsiTheme="majorHAnsi" w:cstheme="majorHAnsi"/>
          <w:lang w:val="ru-MD"/>
        </w:rPr>
        <w:t>для</w:t>
      </w:r>
      <w:r w:rsidRPr="00415A65">
        <w:rPr>
          <w:rFonts w:asciiTheme="majorHAnsi" w:eastAsiaTheme="minorHAnsi" w:hAnsiTheme="majorHAnsi" w:cstheme="majorHAnsi"/>
          <w:lang w:val="ru-MD"/>
        </w:rPr>
        <w:t xml:space="preserve"> внедрени</w:t>
      </w:r>
      <w:r>
        <w:rPr>
          <w:rFonts w:asciiTheme="majorHAnsi" w:eastAsiaTheme="minorHAnsi" w:hAnsiTheme="majorHAnsi" w:cstheme="majorHAnsi"/>
          <w:lang w:val="ru-MD"/>
        </w:rPr>
        <w:t>я</w:t>
      </w:r>
      <w:r w:rsidRPr="00415A65">
        <w:rPr>
          <w:rFonts w:asciiTheme="majorHAnsi" w:eastAsiaTheme="minorHAnsi" w:hAnsiTheme="majorHAnsi" w:cstheme="majorHAnsi"/>
          <w:lang w:val="ru-MD"/>
        </w:rPr>
        <w:t xml:space="preserve"> Национальных стандартов бухгалтерского учета в публичном секторе; </w:t>
      </w:r>
      <w:r w:rsidR="00EE6541">
        <w:rPr>
          <w:rFonts w:asciiTheme="majorHAnsi" w:eastAsiaTheme="minorHAnsi" w:hAnsiTheme="majorHAnsi" w:cstheme="majorHAnsi"/>
          <w:lang w:val="ru-RU"/>
        </w:rPr>
        <w:t>дальнейшего</w:t>
      </w:r>
      <w:r w:rsidRPr="00415A65">
        <w:rPr>
          <w:rFonts w:asciiTheme="majorHAnsi" w:eastAsiaTheme="minorHAnsi" w:hAnsiTheme="majorHAnsi" w:cstheme="majorHAnsi"/>
          <w:lang w:val="ru-MD"/>
        </w:rPr>
        <w:t xml:space="preserve"> внедрения и корректировки, в соответствии с утвержденными стандартами, </w:t>
      </w:r>
      <w:r w:rsidR="00EE6541">
        <w:rPr>
          <w:rFonts w:asciiTheme="majorHAnsi" w:eastAsiaTheme="minorHAnsi" w:hAnsiTheme="majorHAnsi" w:cstheme="majorHAnsi"/>
          <w:lang w:val="ru-MD"/>
        </w:rPr>
        <w:t>И</w:t>
      </w:r>
      <w:r w:rsidRPr="00415A65">
        <w:rPr>
          <w:rFonts w:asciiTheme="majorHAnsi" w:eastAsiaTheme="minorHAnsi" w:hAnsiTheme="majorHAnsi" w:cstheme="majorHAnsi"/>
          <w:lang w:val="ru-MD"/>
        </w:rPr>
        <w:t>нформационной системы  „Единый бюджетный учет” в обязательном порядке для всех бюджетных органов/учреждений; развити</w:t>
      </w:r>
      <w:r>
        <w:rPr>
          <w:rFonts w:asciiTheme="majorHAnsi" w:eastAsiaTheme="minorHAnsi" w:hAnsiTheme="majorHAnsi" w:cstheme="majorHAnsi"/>
          <w:lang w:val="ru-MD"/>
        </w:rPr>
        <w:t>я</w:t>
      </w:r>
      <w:r w:rsidRPr="00415A65">
        <w:rPr>
          <w:rFonts w:asciiTheme="majorHAnsi" w:eastAsiaTheme="minorHAnsi" w:hAnsiTheme="majorHAnsi" w:cstheme="majorHAnsi"/>
          <w:lang w:val="ru-MD"/>
        </w:rPr>
        <w:t xml:space="preserve"> потенциала и совершенствовани</w:t>
      </w:r>
      <w:r>
        <w:rPr>
          <w:rFonts w:asciiTheme="majorHAnsi" w:eastAsiaTheme="minorHAnsi" w:hAnsiTheme="majorHAnsi" w:cstheme="majorHAnsi"/>
          <w:lang w:val="ru-MD"/>
        </w:rPr>
        <w:t>я</w:t>
      </w:r>
      <w:r w:rsidRPr="00415A65">
        <w:rPr>
          <w:rFonts w:asciiTheme="majorHAnsi" w:eastAsiaTheme="minorHAnsi" w:hAnsiTheme="majorHAnsi" w:cstheme="majorHAnsi"/>
          <w:lang w:val="ru-MD"/>
        </w:rPr>
        <w:t xml:space="preserve"> формата представления бюджета </w:t>
      </w:r>
      <w:r>
        <w:rPr>
          <w:rFonts w:asciiTheme="majorHAnsi" w:eastAsiaTheme="minorHAnsi" w:hAnsiTheme="majorHAnsi" w:cstheme="majorHAnsi"/>
          <w:lang w:val="ru-MD"/>
        </w:rPr>
        <w:t xml:space="preserve">для </w:t>
      </w:r>
      <w:r w:rsidRPr="00415A65">
        <w:rPr>
          <w:rFonts w:asciiTheme="majorHAnsi" w:eastAsiaTheme="minorHAnsi" w:hAnsiTheme="majorHAnsi" w:cstheme="majorHAnsi"/>
          <w:lang w:val="ru-MD"/>
        </w:rPr>
        <w:t>граждан</w:t>
      </w:r>
      <w:r>
        <w:rPr>
          <w:rFonts w:asciiTheme="majorHAnsi" w:eastAsiaTheme="minorHAnsi" w:hAnsiTheme="majorHAnsi" w:cstheme="majorHAnsi"/>
          <w:lang w:val="ru-MD"/>
        </w:rPr>
        <w:t>,</w:t>
      </w:r>
      <w:r w:rsidRPr="00415A65">
        <w:rPr>
          <w:rFonts w:asciiTheme="majorHAnsi" w:eastAsiaTheme="minorHAnsi" w:hAnsiTheme="majorHAnsi" w:cstheme="majorHAnsi"/>
          <w:lang w:val="ru-MD"/>
        </w:rPr>
        <w:t xml:space="preserve"> с целью улучшения доступа общественности к бюджетной информации и т. д.</w:t>
      </w:r>
      <w:r w:rsidR="00EE6541">
        <w:rPr>
          <w:rFonts w:asciiTheme="majorHAnsi" w:eastAsiaTheme="minorHAnsi" w:hAnsiTheme="majorHAnsi" w:cstheme="majorHAnsi"/>
          <w:lang w:val="ru-MD"/>
        </w:rPr>
        <w:t xml:space="preserve"> </w:t>
      </w:r>
      <w:r>
        <w:rPr>
          <w:rFonts w:asciiTheme="majorHAnsi" w:eastAsiaTheme="minorHAnsi" w:hAnsiTheme="majorHAnsi" w:cstheme="majorHAnsi"/>
          <w:lang w:val="ru-MD"/>
        </w:rPr>
        <w:t>У</w:t>
      </w:r>
      <w:r w:rsidRPr="00415A65">
        <w:rPr>
          <w:rFonts w:asciiTheme="majorHAnsi" w:eastAsiaTheme="minorHAnsi" w:hAnsiTheme="majorHAnsi" w:cstheme="majorHAnsi"/>
          <w:lang w:val="ru-MD"/>
        </w:rPr>
        <w:t xml:space="preserve">точняем, что Министерство финансов сообщило, что </w:t>
      </w:r>
      <w:r w:rsidRPr="003F3E9B">
        <w:rPr>
          <w:rFonts w:asciiTheme="majorHAnsi" w:hAnsiTheme="majorHAnsi" w:cstheme="majorHAnsi"/>
          <w:color w:val="002033"/>
          <w:bdr w:val="none" w:sz="0" w:space="0" w:color="auto" w:frame="1"/>
          <w:lang w:val="ru-RU" w:eastAsia="ru-RU"/>
        </w:rPr>
        <w:t xml:space="preserve"> </w:t>
      </w:r>
      <w:r w:rsidRPr="00415A65">
        <w:rPr>
          <w:rFonts w:asciiTheme="majorHAnsi" w:eastAsiaTheme="minorHAnsi" w:hAnsiTheme="majorHAnsi" w:cstheme="majorHAnsi"/>
          <w:lang w:val="ru-MD"/>
        </w:rPr>
        <w:t>„</w:t>
      </w:r>
      <w:r w:rsidRPr="00420F8C">
        <w:rPr>
          <w:rFonts w:asciiTheme="majorHAnsi" w:hAnsiTheme="majorHAnsi" w:cstheme="majorHAnsi"/>
          <w:i/>
          <w:bdr w:val="none" w:sz="0" w:space="0" w:color="auto" w:frame="1"/>
          <w:lang w:val="ru-RU" w:eastAsia="ru-RU"/>
        </w:rPr>
        <w:t xml:space="preserve">достижение заявленных целей, связанных с развитием управления </w:t>
      </w:r>
      <w:r w:rsidR="00EE6541">
        <w:rPr>
          <w:rFonts w:asciiTheme="majorHAnsi" w:hAnsiTheme="majorHAnsi" w:cstheme="majorHAnsi"/>
          <w:i/>
          <w:bdr w:val="none" w:sz="0" w:space="0" w:color="auto" w:frame="1"/>
          <w:lang w:val="ru-RU" w:eastAsia="ru-RU"/>
        </w:rPr>
        <w:t>публич</w:t>
      </w:r>
      <w:r w:rsidRPr="00420F8C">
        <w:rPr>
          <w:rFonts w:asciiTheme="majorHAnsi" w:hAnsiTheme="majorHAnsi" w:cstheme="majorHAnsi"/>
          <w:i/>
          <w:bdr w:val="none" w:sz="0" w:space="0" w:color="auto" w:frame="1"/>
          <w:lang w:val="ru-RU" w:eastAsia="ru-RU"/>
        </w:rPr>
        <w:t xml:space="preserve">ными финансами, </w:t>
      </w:r>
      <w:r w:rsidR="00170C6B">
        <w:rPr>
          <w:rFonts w:asciiTheme="majorHAnsi" w:hAnsiTheme="majorHAnsi" w:cstheme="majorHAnsi"/>
          <w:i/>
          <w:bdr w:val="none" w:sz="0" w:space="0" w:color="auto" w:frame="1"/>
          <w:lang w:val="ru-RU" w:eastAsia="ru-RU"/>
        </w:rPr>
        <w:t xml:space="preserve">является </w:t>
      </w:r>
      <w:r w:rsidRPr="00420F8C">
        <w:rPr>
          <w:rFonts w:asciiTheme="majorHAnsi" w:hAnsiTheme="majorHAnsi" w:cstheme="majorHAnsi"/>
          <w:i/>
          <w:bdr w:val="none" w:sz="0" w:space="0" w:color="auto" w:frame="1"/>
          <w:lang w:val="ru-RU" w:eastAsia="ru-RU"/>
        </w:rPr>
        <w:t>действ</w:t>
      </w:r>
      <w:r w:rsidR="00170C6B">
        <w:rPr>
          <w:rFonts w:asciiTheme="majorHAnsi" w:hAnsiTheme="majorHAnsi" w:cstheme="majorHAnsi"/>
          <w:i/>
          <w:bdr w:val="none" w:sz="0" w:space="0" w:color="auto" w:frame="1"/>
          <w:lang w:val="ru-RU" w:eastAsia="ru-RU"/>
        </w:rPr>
        <w:t>ующим</w:t>
      </w:r>
      <w:r w:rsidRPr="00420F8C">
        <w:rPr>
          <w:rFonts w:asciiTheme="majorHAnsi" w:hAnsiTheme="majorHAnsi" w:cstheme="majorHAnsi"/>
          <w:i/>
          <w:bdr w:val="none" w:sz="0" w:space="0" w:color="auto" w:frame="1"/>
          <w:lang w:val="ru-RU" w:eastAsia="ru-RU"/>
        </w:rPr>
        <w:t xml:space="preserve"> для  бюджетных органов/учреждений, и на данный момент у Министерства финансов нет оснований для </w:t>
      </w:r>
      <w:r w:rsidR="00170C6B">
        <w:rPr>
          <w:rFonts w:asciiTheme="majorHAnsi" w:hAnsiTheme="majorHAnsi" w:cstheme="majorHAnsi"/>
          <w:i/>
          <w:bdr w:val="none" w:sz="0" w:space="0" w:color="auto" w:frame="1"/>
          <w:lang w:val="ru-RU" w:eastAsia="ru-RU"/>
        </w:rPr>
        <w:t>под</w:t>
      </w:r>
      <w:r w:rsidRPr="00420F8C">
        <w:rPr>
          <w:rFonts w:asciiTheme="majorHAnsi" w:hAnsiTheme="majorHAnsi" w:cstheme="majorHAnsi"/>
          <w:i/>
          <w:bdr w:val="none" w:sz="0" w:space="0" w:color="auto" w:frame="1"/>
          <w:lang w:val="ru-RU" w:eastAsia="ru-RU"/>
        </w:rPr>
        <w:t xml:space="preserve">ключения НКСС </w:t>
      </w:r>
      <w:r w:rsidR="00170C6B">
        <w:rPr>
          <w:rFonts w:asciiTheme="majorHAnsi" w:hAnsiTheme="majorHAnsi" w:cstheme="majorHAnsi"/>
          <w:i/>
          <w:bdr w:val="none" w:sz="0" w:space="0" w:color="auto" w:frame="1"/>
          <w:lang w:val="ru-RU" w:eastAsia="ru-RU"/>
        </w:rPr>
        <w:t>к</w:t>
      </w:r>
      <w:r w:rsidRPr="00420F8C">
        <w:rPr>
          <w:rFonts w:asciiTheme="majorHAnsi" w:hAnsiTheme="majorHAnsi" w:cstheme="majorHAnsi"/>
          <w:i/>
          <w:bdr w:val="none" w:sz="0" w:space="0" w:color="auto" w:frame="1"/>
          <w:lang w:val="ru-RU" w:eastAsia="ru-RU"/>
        </w:rPr>
        <w:t xml:space="preserve"> их реализаци</w:t>
      </w:r>
      <w:r w:rsidR="00170C6B">
        <w:rPr>
          <w:rFonts w:asciiTheme="majorHAnsi" w:hAnsiTheme="majorHAnsi" w:cstheme="majorHAnsi"/>
          <w:i/>
          <w:bdr w:val="none" w:sz="0" w:space="0" w:color="auto" w:frame="1"/>
          <w:lang w:val="ru-RU" w:eastAsia="ru-RU"/>
        </w:rPr>
        <w:t>и</w:t>
      </w:r>
      <w:r w:rsidRPr="00420F8C">
        <w:rPr>
          <w:rFonts w:asciiTheme="majorHAnsi" w:eastAsiaTheme="minorHAnsi" w:hAnsiTheme="majorHAnsi" w:cstheme="majorHAnsi"/>
          <w:i/>
          <w:lang w:val="ro-RO"/>
        </w:rPr>
        <w:t>”</w:t>
      </w:r>
      <w:r w:rsidRPr="00420F8C">
        <w:rPr>
          <w:rFonts w:asciiTheme="majorHAnsi" w:hAnsiTheme="majorHAnsi" w:cstheme="majorHAnsi"/>
          <w:i/>
          <w:bdr w:val="none" w:sz="0" w:space="0" w:color="auto" w:frame="1"/>
          <w:lang w:val="ru-RU" w:eastAsia="ru-RU"/>
        </w:rPr>
        <w:t>.</w:t>
      </w:r>
      <w:r w:rsidR="00756405">
        <w:rPr>
          <w:rFonts w:asciiTheme="majorHAnsi" w:hAnsiTheme="majorHAnsi" w:cstheme="majorHAnsi"/>
          <w:i/>
          <w:bdr w:val="none" w:sz="0" w:space="0" w:color="auto" w:frame="1"/>
          <w:lang w:val="ru-RU" w:eastAsia="ru-RU"/>
        </w:rPr>
        <w:t xml:space="preserve">  </w:t>
      </w:r>
    </w:p>
    <w:p w14:paraId="6B84EB76" w14:textId="528FA3C1" w:rsidR="00B749E7" w:rsidRPr="00756405" w:rsidRDefault="00756405" w:rsidP="00756405">
      <w:pPr>
        <w:pStyle w:val="a6"/>
        <w:spacing w:line="276" w:lineRule="auto"/>
        <w:ind w:right="-23"/>
        <w:rPr>
          <w:rFonts w:asciiTheme="majorHAnsi" w:hAnsiTheme="majorHAnsi" w:cstheme="majorHAnsi"/>
          <w:lang w:val="ru-RU"/>
        </w:rPr>
      </w:pPr>
      <w:r w:rsidRPr="00756405">
        <w:rPr>
          <w:rFonts w:asciiTheme="majorHAnsi" w:hAnsiTheme="majorHAnsi" w:cstheme="majorHAnsi"/>
          <w:lang w:val="ru-RU"/>
        </w:rPr>
        <w:t xml:space="preserve">В этом контексте считается целесообразным включить </w:t>
      </w:r>
      <w:r>
        <w:rPr>
          <w:rFonts w:asciiTheme="majorHAnsi" w:hAnsiTheme="majorHAnsi" w:cstheme="majorHAnsi"/>
          <w:lang w:val="ru-RU"/>
        </w:rPr>
        <w:t>БГСС</w:t>
      </w:r>
      <w:r w:rsidRPr="00756405">
        <w:rPr>
          <w:rFonts w:asciiTheme="majorHAnsi" w:hAnsiTheme="majorHAnsi" w:cstheme="majorHAnsi"/>
          <w:lang w:val="ru-RU"/>
        </w:rPr>
        <w:t xml:space="preserve"> в реализацию Стратегии развития управления </w:t>
      </w:r>
      <w:r>
        <w:rPr>
          <w:rFonts w:asciiTheme="majorHAnsi" w:hAnsiTheme="majorHAnsi" w:cstheme="majorHAnsi"/>
          <w:lang w:val="ru-RU"/>
        </w:rPr>
        <w:t>публич</w:t>
      </w:r>
      <w:r w:rsidRPr="00756405">
        <w:rPr>
          <w:rFonts w:asciiTheme="majorHAnsi" w:hAnsiTheme="majorHAnsi" w:cstheme="majorHAnsi"/>
          <w:lang w:val="ru-RU"/>
        </w:rPr>
        <w:t xml:space="preserve">ными финансами, которая направлена на интеграцию существующей стратегической </w:t>
      </w:r>
      <w:r>
        <w:rPr>
          <w:rFonts w:asciiTheme="majorHAnsi" w:hAnsiTheme="majorHAnsi" w:cstheme="majorHAnsi"/>
          <w:lang w:val="ru-RU"/>
        </w:rPr>
        <w:t>основ</w:t>
      </w:r>
      <w:r w:rsidRPr="00756405">
        <w:rPr>
          <w:rFonts w:asciiTheme="majorHAnsi" w:hAnsiTheme="majorHAnsi" w:cstheme="majorHAnsi"/>
          <w:lang w:val="ru-RU"/>
        </w:rPr>
        <w:t xml:space="preserve">ы, специфичной для компонентов управления </w:t>
      </w:r>
      <w:r>
        <w:rPr>
          <w:rFonts w:asciiTheme="majorHAnsi" w:hAnsiTheme="majorHAnsi" w:cstheme="majorHAnsi"/>
          <w:lang w:val="ru-RU"/>
        </w:rPr>
        <w:t>публич</w:t>
      </w:r>
      <w:r w:rsidRPr="00756405">
        <w:rPr>
          <w:rFonts w:asciiTheme="majorHAnsi" w:hAnsiTheme="majorHAnsi" w:cstheme="majorHAnsi"/>
          <w:lang w:val="ru-RU"/>
        </w:rPr>
        <w:t xml:space="preserve">ными финансами, </w:t>
      </w:r>
      <w:r>
        <w:rPr>
          <w:rFonts w:asciiTheme="majorHAnsi" w:hAnsiTheme="majorHAnsi" w:cstheme="majorHAnsi"/>
          <w:lang w:val="ru-RU"/>
        </w:rPr>
        <w:t>в</w:t>
      </w:r>
      <w:r w:rsidRPr="00756405">
        <w:rPr>
          <w:rFonts w:asciiTheme="majorHAnsi" w:hAnsiTheme="majorHAnsi" w:cstheme="majorHAnsi"/>
          <w:lang w:val="ru-RU"/>
        </w:rPr>
        <w:t xml:space="preserve"> цел</w:t>
      </w:r>
      <w:r>
        <w:rPr>
          <w:rFonts w:asciiTheme="majorHAnsi" w:hAnsiTheme="majorHAnsi" w:cstheme="majorHAnsi"/>
          <w:lang w:val="ru-RU"/>
        </w:rPr>
        <w:t>ях</w:t>
      </w:r>
      <w:r w:rsidRPr="00756405">
        <w:rPr>
          <w:rFonts w:asciiTheme="majorHAnsi" w:hAnsiTheme="majorHAnsi" w:cstheme="majorHAnsi"/>
          <w:lang w:val="ru-RU"/>
        </w:rPr>
        <w:t xml:space="preserve"> продолжения логической цепочки реформ, реализованных или инициированных в последнее время</w:t>
      </w:r>
      <w:r w:rsidR="00B749E7">
        <w:rPr>
          <w:rFonts w:asciiTheme="majorHAnsi" w:eastAsiaTheme="minorHAnsi" w:hAnsiTheme="majorHAnsi" w:cstheme="majorHAnsi"/>
          <w:lang w:val="ru-MD"/>
        </w:rPr>
        <w:t>.</w:t>
      </w:r>
    </w:p>
    <w:p w14:paraId="654A006E" w14:textId="77777777" w:rsidR="00B749E7" w:rsidRPr="00DD4184" w:rsidRDefault="00B749E7" w:rsidP="00B749E7">
      <w:pPr>
        <w:rPr>
          <w:lang w:val="ro-RO"/>
        </w:rPr>
      </w:pPr>
    </w:p>
    <w:p w14:paraId="62FF71D2" w14:textId="3A7A3403" w:rsidR="00B749E7" w:rsidRPr="00E370C3" w:rsidRDefault="00B749E7" w:rsidP="00434634">
      <w:pPr>
        <w:pStyle w:val="aa"/>
        <w:numPr>
          <w:ilvl w:val="0"/>
          <w:numId w:val="37"/>
        </w:numPr>
        <w:ind w:left="0" w:firstLine="360"/>
        <w:jc w:val="both"/>
        <w:rPr>
          <w:rFonts w:asciiTheme="majorHAnsi" w:hAnsiTheme="majorHAnsi" w:cstheme="majorHAnsi"/>
          <w:sz w:val="24"/>
          <w:szCs w:val="24"/>
          <w:lang w:val="ru-MD"/>
        </w:rPr>
      </w:pPr>
      <w:bookmarkStart w:id="3" w:name="_Toc35000683"/>
      <w:bookmarkEnd w:id="2"/>
      <w:r w:rsidRPr="00E370C3">
        <w:rPr>
          <w:rFonts w:asciiTheme="majorHAnsi" w:hAnsiTheme="majorHAnsi" w:cstheme="majorHAnsi"/>
          <w:b/>
          <w:sz w:val="24"/>
          <w:szCs w:val="24"/>
          <w:lang w:val="ru-MD"/>
        </w:rPr>
        <w:t xml:space="preserve">НКСС и ГНС используют разные способы учета задолженностей и долгов, связанных с взносами государственного социального страхования, что может привести к их неоднозначной отчетности. </w:t>
      </w:r>
      <w:r w:rsidRPr="00E370C3">
        <w:rPr>
          <w:rFonts w:asciiTheme="majorHAnsi" w:hAnsiTheme="majorHAnsi" w:cstheme="majorHAnsi"/>
          <w:sz w:val="24"/>
          <w:szCs w:val="24"/>
          <w:lang w:val="ru-MD"/>
        </w:rPr>
        <w:t xml:space="preserve">Так, в Формуляре 4.2 представлены задолженности на сумму 2 169 011,80 тыс. леев и долги на сумму 139 467,60 тыс. леев. Одновременно, согласно информации, представленной ГНС, по состоянию </w:t>
      </w:r>
      <w:r w:rsidRPr="00AB162B">
        <w:rPr>
          <w:rFonts w:asciiTheme="majorHAnsi" w:hAnsiTheme="majorHAnsi" w:cstheme="majorHAnsi"/>
          <w:sz w:val="24"/>
          <w:szCs w:val="24"/>
          <w:lang w:val="ru-MD"/>
        </w:rPr>
        <w:t>на 31.12.2022,</w:t>
      </w:r>
      <w:r w:rsidR="00434634">
        <w:rPr>
          <w:rFonts w:asciiTheme="majorHAnsi" w:hAnsiTheme="majorHAnsi" w:cstheme="majorHAnsi"/>
          <w:sz w:val="24"/>
          <w:szCs w:val="24"/>
          <w:lang w:val="ru-MD"/>
        </w:rPr>
        <w:t xml:space="preserve"> </w:t>
      </w:r>
      <w:r w:rsidR="00434634" w:rsidRPr="00434634">
        <w:rPr>
          <w:rFonts w:asciiTheme="majorHAnsi" w:hAnsiTheme="majorHAnsi" w:cstheme="majorHAnsi"/>
          <w:sz w:val="24"/>
          <w:szCs w:val="24"/>
          <w:lang w:val="ru-MD"/>
        </w:rPr>
        <w:t>обязательства (задолженность) налогоплательщиков составляли 356 397,26 тыс. леев, а авансовые платежи – 796 172,4 тыс. леев.</w:t>
      </w:r>
      <w:r w:rsidRPr="00AB162B">
        <w:rPr>
          <w:rFonts w:asciiTheme="majorHAnsi" w:hAnsiTheme="majorHAnsi" w:cstheme="majorHAnsi"/>
          <w:sz w:val="24"/>
          <w:szCs w:val="24"/>
          <w:lang w:val="ru-MD"/>
        </w:rPr>
        <w:t xml:space="preserve"> </w:t>
      </w:r>
      <w:r w:rsidR="00434634">
        <w:rPr>
          <w:rFonts w:asciiTheme="majorHAnsi" w:hAnsiTheme="majorHAnsi" w:cstheme="majorHAnsi"/>
          <w:sz w:val="24"/>
          <w:szCs w:val="24"/>
          <w:lang w:val="ru-MD"/>
        </w:rPr>
        <w:t>В</w:t>
      </w:r>
      <w:r w:rsidRPr="00AB162B">
        <w:rPr>
          <w:rFonts w:asciiTheme="majorHAnsi" w:hAnsiTheme="majorHAnsi" w:cstheme="majorHAnsi"/>
          <w:sz w:val="24"/>
          <w:szCs w:val="24"/>
          <w:lang w:val="ru-MD"/>
        </w:rPr>
        <w:t xml:space="preserve"> то же время</w:t>
      </w:r>
      <w:r w:rsidRPr="00E370C3">
        <w:rPr>
          <w:rFonts w:asciiTheme="majorHAnsi" w:hAnsiTheme="majorHAnsi" w:cstheme="majorHAnsi"/>
          <w:sz w:val="24"/>
          <w:szCs w:val="24"/>
          <w:lang w:val="ru-MD"/>
        </w:rPr>
        <w:t xml:space="preserve">, сохраняющиеся разницы обусловлены исторической задолженностью неплатежеспособных предприятий (находящихся на специальном учете), которые в НКСС составляют 475,3 млн. леев, а согласно информации, представленной ГНС, </w:t>
      </w:r>
      <w:r w:rsidR="00434634">
        <w:rPr>
          <w:rFonts w:asciiTheme="majorHAnsi" w:hAnsiTheme="majorHAnsi" w:cstheme="majorHAnsi"/>
          <w:sz w:val="24"/>
          <w:szCs w:val="24"/>
          <w:lang w:val="ru-MD"/>
        </w:rPr>
        <w:t xml:space="preserve">они </w:t>
      </w:r>
      <w:r w:rsidRPr="00E370C3">
        <w:rPr>
          <w:rFonts w:asciiTheme="majorHAnsi" w:hAnsiTheme="majorHAnsi" w:cstheme="majorHAnsi"/>
          <w:sz w:val="24"/>
          <w:szCs w:val="24"/>
          <w:lang w:val="ru-MD"/>
        </w:rPr>
        <w:t>составля</w:t>
      </w:r>
      <w:r w:rsidR="00434634">
        <w:rPr>
          <w:rFonts w:asciiTheme="majorHAnsi" w:hAnsiTheme="majorHAnsi" w:cstheme="majorHAnsi"/>
          <w:sz w:val="24"/>
          <w:szCs w:val="24"/>
          <w:lang w:val="ru-MD"/>
        </w:rPr>
        <w:t>ли, по состоянию</w:t>
      </w:r>
      <w:r w:rsidRPr="00E370C3">
        <w:rPr>
          <w:rFonts w:asciiTheme="majorHAnsi" w:hAnsiTheme="majorHAnsi" w:cstheme="majorHAnsi"/>
          <w:sz w:val="24"/>
          <w:szCs w:val="24"/>
          <w:lang w:val="ru-MD"/>
        </w:rPr>
        <w:t xml:space="preserve"> на 31.12.2022 – 73,4 млн. леев. </w:t>
      </w:r>
    </w:p>
    <w:p w14:paraId="7CBE7AC6" w14:textId="0EAD265D" w:rsidR="00B749E7" w:rsidRPr="00434634" w:rsidRDefault="00B749E7" w:rsidP="00B749E7">
      <w:pPr>
        <w:spacing w:line="276" w:lineRule="auto"/>
        <w:jc w:val="both"/>
        <w:rPr>
          <w:rFonts w:asciiTheme="majorHAnsi" w:hAnsiTheme="majorHAnsi" w:cstheme="majorHAnsi"/>
          <w:sz w:val="24"/>
          <w:szCs w:val="24"/>
          <w:lang w:val="ru-RU"/>
        </w:rPr>
      </w:pPr>
      <w:r w:rsidRPr="00E370C3">
        <w:rPr>
          <w:rFonts w:asciiTheme="majorHAnsi" w:hAnsiTheme="majorHAnsi" w:cstheme="majorHAnsi"/>
          <w:sz w:val="24"/>
          <w:szCs w:val="24"/>
          <w:lang w:val="ru-MD"/>
        </w:rPr>
        <w:t xml:space="preserve">Одновременно, ГНС </w:t>
      </w:r>
      <w:r w:rsidR="00434634">
        <w:rPr>
          <w:rFonts w:asciiTheme="majorHAnsi" w:hAnsiTheme="majorHAnsi" w:cstheme="majorHAnsi"/>
          <w:sz w:val="24"/>
          <w:szCs w:val="24"/>
          <w:lang w:val="ru-MD"/>
        </w:rPr>
        <w:t>проинформирова</w:t>
      </w:r>
      <w:r w:rsidRPr="00E370C3">
        <w:rPr>
          <w:rFonts w:asciiTheme="majorHAnsi" w:hAnsiTheme="majorHAnsi" w:cstheme="majorHAnsi"/>
          <w:sz w:val="24"/>
          <w:szCs w:val="24"/>
          <w:lang w:val="ru-MD"/>
        </w:rPr>
        <w:t>ла, что „разница между суммами задолженности по БГСС, представленной ГНС, по отношению к суммам, представленным НКСС, возникает из-за метода ведения учета обязательств каждым учреждением: НКСС ведет учет обязательств по методу расчета, а ГНС ведет учет обязательств по кассовому методу. В итоге, сумма задолженности по БГСС по состоянию на 31.12.2022, по данным НКСС, включает обязательства (рассчитанные суммы), относящиеся к периоду январь-декабрь 2022 года”</w:t>
      </w:r>
      <w:r w:rsidRPr="003B063E">
        <w:rPr>
          <w:rFonts w:asciiTheme="majorHAnsi" w:hAnsiTheme="majorHAnsi" w:cstheme="majorHAnsi"/>
          <w:sz w:val="24"/>
          <w:szCs w:val="24"/>
          <w:lang w:val="ro-RO"/>
        </w:rPr>
        <w:t>.</w:t>
      </w:r>
      <w:r w:rsidR="00434634">
        <w:rPr>
          <w:rFonts w:asciiTheme="majorHAnsi" w:hAnsiTheme="majorHAnsi" w:cstheme="majorHAnsi"/>
          <w:sz w:val="24"/>
          <w:szCs w:val="24"/>
          <w:lang w:val="ru-RU"/>
        </w:rPr>
        <w:t xml:space="preserve"> Кроме того</w:t>
      </w:r>
      <w:r w:rsidR="00434634" w:rsidRPr="00434634">
        <w:rPr>
          <w:rFonts w:asciiTheme="majorHAnsi" w:hAnsiTheme="majorHAnsi" w:cstheme="majorHAnsi"/>
          <w:sz w:val="24"/>
          <w:szCs w:val="24"/>
          <w:lang w:val="ru-RU"/>
        </w:rPr>
        <w:t>, после закрытия 2022 года, ГНС совместно с НКСС провела проверку итоговой информации по экономическим классификациям и операциям на уровне остатков. Таким образом, расхождения между суммой транзакций, представленной НКСС в течение 2022 года, и данными, зарегистрированными в ИС ГНС, не были установлены, и обеими сторонами был подписан соответствующий акт</w:t>
      </w:r>
      <w:r w:rsidR="00434634">
        <w:rPr>
          <w:rFonts w:asciiTheme="majorHAnsi" w:hAnsiTheme="majorHAnsi" w:cstheme="majorHAnsi"/>
          <w:sz w:val="24"/>
          <w:szCs w:val="24"/>
          <w:lang w:val="ru-RU"/>
        </w:rPr>
        <w:t>.</w:t>
      </w:r>
    </w:p>
    <w:p w14:paraId="3278F6F1" w14:textId="77777777" w:rsidR="00B749E7" w:rsidRPr="0077416B" w:rsidRDefault="00B749E7" w:rsidP="00B749E7">
      <w:pPr>
        <w:pStyle w:val="a6"/>
        <w:spacing w:line="276" w:lineRule="auto"/>
        <w:ind w:right="-23" w:firstLine="0"/>
        <w:rPr>
          <w:rFonts w:asciiTheme="majorHAnsi" w:eastAsiaTheme="minorHAnsi" w:hAnsiTheme="majorHAnsi" w:cstheme="majorHAnsi"/>
          <w:lang w:val="ro-MD"/>
        </w:rPr>
      </w:pPr>
    </w:p>
    <w:p w14:paraId="65A63C83" w14:textId="77777777" w:rsidR="00B749E7" w:rsidRPr="0030097D" w:rsidRDefault="00B749E7" w:rsidP="00B749E7">
      <w:pPr>
        <w:pStyle w:val="aa"/>
        <w:numPr>
          <w:ilvl w:val="0"/>
          <w:numId w:val="2"/>
        </w:numPr>
        <w:shd w:val="clear" w:color="auto" w:fill="FFFFFF"/>
        <w:spacing w:after="0" w:line="276" w:lineRule="auto"/>
        <w:jc w:val="both"/>
        <w:outlineLvl w:val="0"/>
        <w:rPr>
          <w:rFonts w:asciiTheme="majorHAnsi" w:eastAsia="Times New Roman" w:hAnsiTheme="majorHAnsi" w:cstheme="majorHAnsi"/>
          <w:b/>
          <w:color w:val="000000"/>
          <w:spacing w:val="8"/>
          <w:sz w:val="24"/>
          <w:szCs w:val="24"/>
          <w:lang w:val="ro-MD"/>
        </w:rPr>
      </w:pPr>
      <w:r>
        <w:rPr>
          <w:rFonts w:asciiTheme="majorHAnsi" w:eastAsia="Times New Roman" w:hAnsiTheme="majorHAnsi" w:cstheme="majorHAnsi"/>
          <w:b/>
          <w:bCs/>
          <w:sz w:val="24"/>
          <w:szCs w:val="24"/>
          <w:lang w:val="ru-RU"/>
        </w:rPr>
        <w:t>ПРЕДСТАВЛЕНИЕ БЮДЖЕТА</w:t>
      </w:r>
    </w:p>
    <w:p w14:paraId="356C59F0" w14:textId="4AA6297D" w:rsidR="00B749E7" w:rsidRPr="0075278B" w:rsidRDefault="00B749E7" w:rsidP="00B749E7">
      <w:pPr>
        <w:pStyle w:val="aa"/>
        <w:spacing w:line="276" w:lineRule="auto"/>
        <w:ind w:left="0"/>
        <w:jc w:val="both"/>
        <w:rPr>
          <w:rFonts w:asciiTheme="majorHAnsi" w:hAnsiTheme="majorHAnsi" w:cstheme="majorHAnsi"/>
          <w:sz w:val="24"/>
          <w:szCs w:val="24"/>
          <w:lang w:val="ro-RO"/>
        </w:rPr>
      </w:pPr>
      <w:r w:rsidRPr="0075278B">
        <w:rPr>
          <w:rFonts w:asciiTheme="majorHAnsi" w:hAnsiTheme="majorHAnsi" w:cstheme="majorHAnsi"/>
          <w:iCs/>
          <w:sz w:val="24"/>
          <w:szCs w:val="24"/>
          <w:lang w:val="ru-MD" w:eastAsia="ru-RU"/>
        </w:rPr>
        <w:t>Бюджет государственного социального страхования</w:t>
      </w:r>
      <w:r w:rsidRPr="0075278B">
        <w:rPr>
          <w:rFonts w:asciiTheme="majorHAnsi" w:hAnsiTheme="majorHAnsi" w:cstheme="majorHAnsi"/>
          <w:sz w:val="24"/>
          <w:szCs w:val="24"/>
          <w:lang w:val="ru-MD" w:eastAsia="ru-RU"/>
        </w:rPr>
        <w:t> представляет собой совокупность доходов, расходов и источников финансирования, предназначенных для реализации функций государственной системы социального страхования и управления ею</w:t>
      </w:r>
      <w:r w:rsidRPr="003B110E">
        <w:rPr>
          <w:rStyle w:val="a5"/>
          <w:rFonts w:asciiTheme="majorHAnsi" w:hAnsiTheme="majorHAnsi" w:cstheme="majorHAnsi"/>
          <w:color w:val="333333"/>
          <w:sz w:val="24"/>
          <w:szCs w:val="24"/>
          <w:shd w:val="clear" w:color="auto" w:fill="FFFFFF"/>
          <w:lang w:val="ru-MD"/>
        </w:rPr>
        <w:footnoteReference w:id="7"/>
      </w:r>
      <w:r w:rsidRPr="0075278B">
        <w:rPr>
          <w:rFonts w:asciiTheme="majorHAnsi" w:hAnsiTheme="majorHAnsi" w:cstheme="majorHAnsi"/>
          <w:sz w:val="24"/>
          <w:szCs w:val="24"/>
          <w:lang w:val="ru-MD"/>
        </w:rPr>
        <w:t>. Он является составной частью национального публичного бюджета и администрируется независимо от других бюджетов–компонентов национального публичного бюджета</w:t>
      </w:r>
      <w:r w:rsidRPr="00E82CC1">
        <w:rPr>
          <w:rStyle w:val="a5"/>
          <w:rFonts w:asciiTheme="majorHAnsi" w:hAnsiTheme="majorHAnsi" w:cstheme="majorHAnsi"/>
          <w:sz w:val="24"/>
          <w:szCs w:val="24"/>
          <w:lang w:val="ro-RO"/>
        </w:rPr>
        <w:footnoteReference w:id="8"/>
      </w:r>
      <w:r w:rsidRPr="0075278B">
        <w:rPr>
          <w:rFonts w:asciiTheme="majorHAnsi" w:hAnsiTheme="majorHAnsi" w:cstheme="majorHAnsi"/>
          <w:sz w:val="24"/>
          <w:szCs w:val="24"/>
          <w:lang w:val="ro-RO"/>
        </w:rPr>
        <w:t xml:space="preserve">. </w:t>
      </w:r>
      <w:r w:rsidRPr="0075278B">
        <w:rPr>
          <w:rFonts w:asciiTheme="majorHAnsi" w:hAnsiTheme="majorHAnsi" w:cstheme="majorHAnsi"/>
          <w:sz w:val="24"/>
          <w:szCs w:val="24"/>
          <w:lang w:val="ru-RU"/>
        </w:rPr>
        <w:t>А</w:t>
      </w:r>
      <w:r w:rsidRPr="0075278B">
        <w:rPr>
          <w:rFonts w:asciiTheme="majorHAnsi" w:hAnsiTheme="majorHAnsi" w:cstheme="majorHAnsi"/>
          <w:sz w:val="24"/>
          <w:szCs w:val="24"/>
          <w:lang w:val="ru-MD"/>
        </w:rPr>
        <w:t>дминистрирование бюджета государственного социального страхования и внедрение программ в соответствии с принятыми задачами и показателями результативности возложены на Национальную кассу социального страхования</w:t>
      </w:r>
      <w:r w:rsidRPr="00E82CC1">
        <w:rPr>
          <w:rStyle w:val="a5"/>
          <w:rFonts w:asciiTheme="majorHAnsi" w:hAnsiTheme="majorHAnsi" w:cstheme="majorHAnsi"/>
          <w:sz w:val="24"/>
          <w:szCs w:val="24"/>
          <w:lang w:val="ro-RO"/>
        </w:rPr>
        <w:footnoteReference w:id="9"/>
      </w:r>
      <w:r w:rsidRPr="0075278B">
        <w:rPr>
          <w:rFonts w:asciiTheme="majorHAnsi" w:eastAsia="Times New Roman" w:hAnsiTheme="majorHAnsi" w:cstheme="majorHAnsi"/>
          <w:sz w:val="24"/>
          <w:szCs w:val="24"/>
          <w:lang w:val="ru-MD" w:eastAsia="ro-RO"/>
        </w:rPr>
        <w:t xml:space="preserve">. Таким образом, миссия </w:t>
      </w:r>
      <w:r w:rsidR="00EB555D">
        <w:rPr>
          <w:rFonts w:asciiTheme="majorHAnsi" w:eastAsia="Times New Roman" w:hAnsiTheme="majorHAnsi" w:cstheme="majorHAnsi"/>
          <w:sz w:val="24"/>
          <w:szCs w:val="24"/>
          <w:lang w:val="ru-MD" w:eastAsia="ro-RO"/>
        </w:rPr>
        <w:t xml:space="preserve">этого субъекта </w:t>
      </w:r>
      <w:r w:rsidRPr="0075278B">
        <w:rPr>
          <w:rFonts w:asciiTheme="majorHAnsi" w:eastAsia="Times New Roman" w:hAnsiTheme="majorHAnsi" w:cstheme="majorHAnsi"/>
          <w:sz w:val="24"/>
          <w:szCs w:val="24"/>
          <w:lang w:val="ru-MD" w:eastAsia="ro-RO"/>
        </w:rPr>
        <w:t>заключается в реализации государственной политики, направленной на обеспечение социальных прав граждан посредством администрирования государственной системы социального страхования и управления бюджетом государственного социального страхования</w:t>
      </w:r>
      <w:r w:rsidRPr="0075278B">
        <w:rPr>
          <w:rFonts w:asciiTheme="majorHAnsi" w:hAnsiTheme="majorHAnsi" w:cstheme="majorHAnsi"/>
          <w:sz w:val="24"/>
          <w:szCs w:val="24"/>
          <w:lang w:val="ro-RO"/>
        </w:rPr>
        <w:t>.</w:t>
      </w:r>
    </w:p>
    <w:p w14:paraId="18C318B1" w14:textId="17DE6E73" w:rsidR="00B749E7" w:rsidRPr="00A912F0" w:rsidRDefault="00B749E7" w:rsidP="00B749E7">
      <w:pPr>
        <w:spacing w:line="276" w:lineRule="auto"/>
        <w:jc w:val="both"/>
        <w:rPr>
          <w:rFonts w:asciiTheme="majorHAnsi" w:hAnsiTheme="majorHAnsi" w:cstheme="majorHAnsi"/>
          <w:sz w:val="24"/>
          <w:szCs w:val="24"/>
          <w:lang w:val="ru-MD"/>
        </w:rPr>
      </w:pPr>
      <w:r w:rsidRPr="00A912F0">
        <w:rPr>
          <w:rFonts w:asciiTheme="majorHAnsi" w:hAnsiTheme="majorHAnsi" w:cstheme="majorHAnsi"/>
          <w:sz w:val="24"/>
          <w:szCs w:val="24"/>
          <w:lang w:val="ru-MD"/>
        </w:rPr>
        <w:t>Бюджет государственного социального страхования представляет собой годовой финансовый план, который отражает образование, распределение и использование денежных средств, необходимых для защиты пенсионеров, работников и членов их семей. Через государственную систему социального страхования государство гарантирует гражданам право на социальную защиту при наступлении старости, безработицы, болезни, инвалидности, потери кормильца, посредством социальных выплат – пенсии, пособия и други</w:t>
      </w:r>
      <w:r w:rsidR="00EB555D">
        <w:rPr>
          <w:rFonts w:asciiTheme="majorHAnsi" w:hAnsiTheme="majorHAnsi" w:cstheme="majorHAnsi"/>
          <w:sz w:val="24"/>
          <w:szCs w:val="24"/>
          <w:lang w:val="ru-MD"/>
        </w:rPr>
        <w:t>х</w:t>
      </w:r>
      <w:r w:rsidRPr="00A912F0">
        <w:rPr>
          <w:rFonts w:asciiTheme="majorHAnsi" w:hAnsiTheme="majorHAnsi" w:cstheme="majorHAnsi"/>
          <w:sz w:val="24"/>
          <w:szCs w:val="24"/>
          <w:lang w:val="ru-MD"/>
        </w:rPr>
        <w:t xml:space="preserve"> социальны</w:t>
      </w:r>
      <w:r w:rsidR="00EB555D">
        <w:rPr>
          <w:rFonts w:asciiTheme="majorHAnsi" w:hAnsiTheme="majorHAnsi" w:cstheme="majorHAnsi"/>
          <w:sz w:val="24"/>
          <w:szCs w:val="24"/>
          <w:lang w:val="ru-MD"/>
        </w:rPr>
        <w:t>х</w:t>
      </w:r>
      <w:r w:rsidRPr="00A912F0">
        <w:rPr>
          <w:rFonts w:asciiTheme="majorHAnsi" w:hAnsiTheme="majorHAnsi" w:cstheme="majorHAnsi"/>
          <w:sz w:val="24"/>
          <w:szCs w:val="24"/>
          <w:lang w:val="ru-MD"/>
        </w:rPr>
        <w:t xml:space="preserve"> выплат. В то же время, через НКСС определенным категориям граждан предоставляются выплаты социальной помощи, финансирование которых осуществляется за счет средств государственного бюджета.</w:t>
      </w:r>
    </w:p>
    <w:p w14:paraId="0F97033D" w14:textId="77777777" w:rsidR="00B749E7" w:rsidRPr="00A912F0" w:rsidRDefault="00B749E7" w:rsidP="00B749E7">
      <w:pPr>
        <w:spacing w:line="276" w:lineRule="auto"/>
        <w:jc w:val="both"/>
        <w:rPr>
          <w:rFonts w:asciiTheme="majorHAnsi" w:hAnsiTheme="majorHAnsi" w:cstheme="majorHAnsi"/>
          <w:sz w:val="24"/>
          <w:szCs w:val="24"/>
          <w:lang w:val="ru-MD"/>
        </w:rPr>
      </w:pPr>
      <w:r w:rsidRPr="00A912F0">
        <w:rPr>
          <w:rFonts w:asciiTheme="majorHAnsi" w:hAnsiTheme="majorHAnsi" w:cstheme="majorHAnsi"/>
          <w:sz w:val="24"/>
          <w:szCs w:val="24"/>
          <w:lang w:val="ru-MD"/>
        </w:rPr>
        <w:t>В этом контексте отмечается существенное/качественное значение данного бюджета, поскольку он ориентирован на граждан с целью обеспечения рисков, возникающих но протяжении жизни (болезнь, старость и т. д.). В управлении БГСС более 2,31 миллионов получателей пособий, которые в течение 2022 года обращались к этому бюджету и получали как минимум одно пособие.</w:t>
      </w:r>
    </w:p>
    <w:p w14:paraId="2F63F2D5" w14:textId="77777777" w:rsidR="00B749E7" w:rsidRPr="00A912F0" w:rsidRDefault="00B749E7" w:rsidP="00B749E7">
      <w:pPr>
        <w:spacing w:line="276" w:lineRule="auto"/>
        <w:jc w:val="both"/>
        <w:rPr>
          <w:rFonts w:asciiTheme="majorHAnsi" w:hAnsiTheme="majorHAnsi" w:cstheme="majorHAnsi"/>
          <w:sz w:val="24"/>
          <w:szCs w:val="24"/>
          <w:lang w:val="ru-MD"/>
        </w:rPr>
      </w:pPr>
      <w:r w:rsidRPr="00A912F0">
        <w:rPr>
          <w:rFonts w:asciiTheme="majorHAnsi" w:hAnsiTheme="majorHAnsi" w:cstheme="majorHAnsi"/>
          <w:sz w:val="24"/>
          <w:szCs w:val="24"/>
          <w:lang w:val="ru-MD"/>
        </w:rPr>
        <w:t xml:space="preserve">Бюджет государственного социального страхования на 2022 год был первоначально утвержден по доходам и расходам в равных суммах 31 224,2 млн. леев. </w:t>
      </w:r>
      <w:r w:rsidRPr="00A912F0">
        <w:rPr>
          <w:rFonts w:asciiTheme="majorHAnsi" w:eastAsia="Times New Roman" w:hAnsiTheme="majorHAnsi" w:cstheme="majorHAnsi"/>
          <w:sz w:val="24"/>
          <w:szCs w:val="24"/>
          <w:lang w:val="ru-MD"/>
        </w:rPr>
        <w:t xml:space="preserve">В результате </w:t>
      </w:r>
      <w:r w:rsidRPr="00A912F0">
        <w:rPr>
          <w:rFonts w:asciiTheme="majorHAnsi" w:hAnsiTheme="majorHAnsi" w:cstheme="majorHAnsi"/>
          <w:sz w:val="24"/>
          <w:szCs w:val="24"/>
          <w:lang w:val="ru-MD"/>
        </w:rPr>
        <w:t>внесения изменений и дополнений, параметры БГСС были уточнены до 34 200,6 млн. леев, что на 2 976,4 млн. леев больше.</w:t>
      </w:r>
    </w:p>
    <w:p w14:paraId="2867ADA5" w14:textId="77777777" w:rsidR="00B749E7" w:rsidRPr="00A912F0" w:rsidRDefault="00B749E7" w:rsidP="00B749E7">
      <w:pPr>
        <w:spacing w:after="0" w:line="276" w:lineRule="auto"/>
        <w:jc w:val="both"/>
        <w:rPr>
          <w:rFonts w:asciiTheme="majorHAnsi" w:hAnsiTheme="majorHAnsi" w:cstheme="majorHAnsi"/>
          <w:sz w:val="24"/>
          <w:szCs w:val="24"/>
          <w:lang w:val="ru-MD"/>
        </w:rPr>
      </w:pPr>
      <w:r w:rsidRPr="00A912F0">
        <w:rPr>
          <w:rFonts w:asciiTheme="majorHAnsi" w:hAnsiTheme="majorHAnsi" w:cstheme="majorHAnsi"/>
          <w:sz w:val="24"/>
          <w:szCs w:val="24"/>
          <w:lang w:val="ru-MD"/>
        </w:rPr>
        <w:t>Что касается удельного веса общих исполненных расходов бюджета государственного социального страхования в НПБ, отмечается, что они составили 33,6%, а как удельный вес в ВВП – 12,2%. По сравнению с 2021 годом, удельный вес расходов бюджета государственного социального страхования в НПБ увеличился на 0,5 процентных пункта, а удельный вес в ВВП увеличился на один процентный пункт, ситуация представлена в таблице ниже.</w:t>
      </w:r>
    </w:p>
    <w:p w14:paraId="2C7D6BBC" w14:textId="77777777" w:rsidR="00B749E7" w:rsidRDefault="00B749E7" w:rsidP="00B749E7">
      <w:pPr>
        <w:tabs>
          <w:tab w:val="left" w:pos="162"/>
        </w:tabs>
        <w:spacing w:after="0" w:line="276" w:lineRule="auto"/>
        <w:jc w:val="right"/>
        <w:rPr>
          <w:rFonts w:asciiTheme="majorHAnsi" w:eastAsia="Times New Roman" w:hAnsiTheme="majorHAnsi" w:cstheme="majorHAnsi"/>
          <w:b/>
          <w:sz w:val="24"/>
          <w:szCs w:val="24"/>
          <w:lang w:val="ro-RO"/>
        </w:rPr>
      </w:pPr>
    </w:p>
    <w:p w14:paraId="629AC823" w14:textId="77777777" w:rsidR="00B749E7" w:rsidRPr="005F6348" w:rsidRDefault="00B749E7" w:rsidP="00B749E7">
      <w:pPr>
        <w:tabs>
          <w:tab w:val="left" w:pos="162"/>
        </w:tabs>
        <w:spacing w:after="0" w:line="276" w:lineRule="auto"/>
        <w:jc w:val="right"/>
        <w:rPr>
          <w:rFonts w:asciiTheme="majorHAnsi" w:eastAsia="Times New Roman" w:hAnsiTheme="majorHAnsi" w:cstheme="majorHAnsi"/>
          <w:b/>
          <w:sz w:val="24"/>
          <w:szCs w:val="24"/>
          <w:lang w:val="ro-RO"/>
        </w:rPr>
      </w:pPr>
      <w:r>
        <w:rPr>
          <w:rFonts w:asciiTheme="majorHAnsi" w:eastAsia="Times New Roman" w:hAnsiTheme="majorHAnsi" w:cstheme="majorHAnsi"/>
          <w:b/>
          <w:sz w:val="24"/>
          <w:szCs w:val="24"/>
          <w:lang w:val="ru-RU"/>
        </w:rPr>
        <w:t>Таблица №</w:t>
      </w:r>
      <w:r w:rsidRPr="00430849">
        <w:rPr>
          <w:rFonts w:asciiTheme="majorHAnsi" w:eastAsia="Times New Roman" w:hAnsiTheme="majorHAnsi" w:cstheme="majorHAnsi"/>
          <w:b/>
          <w:sz w:val="24"/>
          <w:szCs w:val="24"/>
          <w:lang w:val="ro-RO"/>
        </w:rPr>
        <w:t>1</w:t>
      </w:r>
    </w:p>
    <w:p w14:paraId="66FCD36F" w14:textId="77777777" w:rsidR="00B749E7" w:rsidRPr="0094481F" w:rsidRDefault="00B749E7" w:rsidP="00B749E7">
      <w:pPr>
        <w:pStyle w:val="a6"/>
        <w:ind w:firstLine="0"/>
        <w:rPr>
          <w:rFonts w:asciiTheme="majorHAnsi" w:hAnsiTheme="majorHAnsi" w:cstheme="majorHAnsi"/>
          <w:b/>
          <w:lang w:val="ru-MD"/>
        </w:rPr>
      </w:pPr>
      <w:r w:rsidRPr="0094481F">
        <w:rPr>
          <w:rFonts w:asciiTheme="majorHAnsi" w:hAnsiTheme="majorHAnsi" w:cstheme="majorHAnsi"/>
          <w:b/>
          <w:lang w:val="ru-MD"/>
        </w:rPr>
        <w:t xml:space="preserve">Динамика исполнения бюджета государственного социального страхования за 2018-2022 годы </w:t>
      </w:r>
    </w:p>
    <w:tbl>
      <w:tblPr>
        <w:tblStyle w:val="af1"/>
        <w:tblW w:w="10258" w:type="dxa"/>
        <w:tblLayout w:type="fixed"/>
        <w:tblLook w:val="04A0" w:firstRow="1" w:lastRow="0" w:firstColumn="1" w:lastColumn="0" w:noHBand="0" w:noVBand="1"/>
      </w:tblPr>
      <w:tblGrid>
        <w:gridCol w:w="2196"/>
        <w:gridCol w:w="1099"/>
        <w:gridCol w:w="1572"/>
        <w:gridCol w:w="1355"/>
        <w:gridCol w:w="1428"/>
        <w:gridCol w:w="1305"/>
        <w:gridCol w:w="1303"/>
      </w:tblGrid>
      <w:tr w:rsidR="00B749E7" w:rsidRPr="00421C75" w14:paraId="05F05CF8" w14:textId="77777777" w:rsidTr="000E41FD">
        <w:trPr>
          <w:trHeight w:val="17"/>
        </w:trPr>
        <w:tc>
          <w:tcPr>
            <w:tcW w:w="2196" w:type="dxa"/>
            <w:vMerge w:val="restart"/>
            <w:hideMark/>
          </w:tcPr>
          <w:p w14:paraId="0C4838AC" w14:textId="77777777" w:rsidR="00B749E7" w:rsidRPr="00421C75" w:rsidRDefault="00B749E7" w:rsidP="000E41FD">
            <w:pPr>
              <w:spacing w:line="276" w:lineRule="auto"/>
              <w:jc w:val="both"/>
              <w:rPr>
                <w:rFonts w:asciiTheme="majorHAnsi" w:hAnsiTheme="majorHAnsi" w:cstheme="majorHAnsi"/>
                <w:b/>
                <w:i/>
                <w:szCs w:val="24"/>
                <w:lang w:val="ru-MD"/>
              </w:rPr>
            </w:pPr>
            <w:r w:rsidRPr="00421C75">
              <w:rPr>
                <w:rFonts w:asciiTheme="majorHAnsi" w:hAnsiTheme="majorHAnsi" w:cstheme="majorHAnsi"/>
                <w:b/>
                <w:i/>
                <w:szCs w:val="24"/>
                <w:lang w:val="ru-MD"/>
              </w:rPr>
              <w:t> </w:t>
            </w:r>
          </w:p>
        </w:tc>
        <w:tc>
          <w:tcPr>
            <w:tcW w:w="1099" w:type="dxa"/>
            <w:vMerge w:val="restart"/>
            <w:vAlign w:val="center"/>
            <w:hideMark/>
          </w:tcPr>
          <w:p w14:paraId="49B2CED0" w14:textId="77777777" w:rsidR="00B749E7" w:rsidRPr="00421C75" w:rsidRDefault="00B749E7" w:rsidP="000E41FD">
            <w:pPr>
              <w:spacing w:line="276" w:lineRule="auto"/>
              <w:jc w:val="center"/>
              <w:rPr>
                <w:rFonts w:asciiTheme="majorHAnsi" w:hAnsiTheme="majorHAnsi" w:cstheme="majorHAnsi"/>
                <w:b/>
                <w:bCs/>
                <w:i/>
                <w:szCs w:val="24"/>
                <w:lang w:val="ru-MD"/>
              </w:rPr>
            </w:pPr>
            <w:r w:rsidRPr="00421C75">
              <w:rPr>
                <w:rFonts w:asciiTheme="majorHAnsi" w:hAnsiTheme="majorHAnsi" w:cstheme="majorHAnsi"/>
                <w:b/>
                <w:bCs/>
                <w:i/>
                <w:szCs w:val="24"/>
                <w:lang w:val="ru-MD"/>
              </w:rPr>
              <w:t>Единица измере</w:t>
            </w:r>
          </w:p>
          <w:p w14:paraId="6BB4E178" w14:textId="77777777" w:rsidR="00B749E7" w:rsidRPr="00421C75" w:rsidRDefault="00B749E7" w:rsidP="000E41FD">
            <w:pPr>
              <w:spacing w:line="276" w:lineRule="auto"/>
              <w:jc w:val="center"/>
              <w:rPr>
                <w:rFonts w:asciiTheme="majorHAnsi" w:hAnsiTheme="majorHAnsi" w:cstheme="majorHAnsi"/>
                <w:b/>
                <w:bCs/>
                <w:i/>
                <w:szCs w:val="24"/>
                <w:lang w:val="ru-MD"/>
              </w:rPr>
            </w:pPr>
            <w:r w:rsidRPr="00421C75">
              <w:rPr>
                <w:rFonts w:asciiTheme="majorHAnsi" w:hAnsiTheme="majorHAnsi" w:cstheme="majorHAnsi"/>
                <w:b/>
                <w:bCs/>
                <w:i/>
                <w:szCs w:val="24"/>
                <w:lang w:val="ru-MD"/>
              </w:rPr>
              <w:t>ния</w:t>
            </w:r>
          </w:p>
        </w:tc>
        <w:tc>
          <w:tcPr>
            <w:tcW w:w="6963" w:type="dxa"/>
            <w:gridSpan w:val="5"/>
            <w:hideMark/>
          </w:tcPr>
          <w:p w14:paraId="153AA59E" w14:textId="77777777" w:rsidR="00B749E7" w:rsidRPr="00421C75" w:rsidRDefault="00B749E7" w:rsidP="000E41FD">
            <w:pPr>
              <w:spacing w:line="276" w:lineRule="auto"/>
              <w:jc w:val="center"/>
              <w:rPr>
                <w:rFonts w:asciiTheme="majorHAnsi" w:hAnsiTheme="majorHAnsi" w:cstheme="majorHAnsi"/>
                <w:b/>
                <w:bCs/>
                <w:i/>
                <w:szCs w:val="24"/>
                <w:lang w:val="ru-MD"/>
              </w:rPr>
            </w:pPr>
            <w:r w:rsidRPr="00421C75">
              <w:rPr>
                <w:rFonts w:asciiTheme="majorHAnsi" w:hAnsiTheme="majorHAnsi" w:cstheme="majorHAnsi"/>
                <w:b/>
                <w:bCs/>
                <w:i/>
                <w:szCs w:val="24"/>
                <w:lang w:val="ru-MD"/>
              </w:rPr>
              <w:t>Исполнено</w:t>
            </w:r>
          </w:p>
        </w:tc>
      </w:tr>
      <w:tr w:rsidR="00B749E7" w:rsidRPr="00421C75" w14:paraId="643E5F48" w14:textId="77777777" w:rsidTr="000E41FD">
        <w:trPr>
          <w:trHeight w:val="17"/>
        </w:trPr>
        <w:tc>
          <w:tcPr>
            <w:tcW w:w="2196" w:type="dxa"/>
            <w:vMerge/>
            <w:hideMark/>
          </w:tcPr>
          <w:p w14:paraId="712B3CE7" w14:textId="77777777" w:rsidR="00B749E7" w:rsidRPr="00421C75" w:rsidRDefault="00B749E7" w:rsidP="000E41FD">
            <w:pPr>
              <w:spacing w:line="276" w:lineRule="auto"/>
              <w:jc w:val="both"/>
              <w:rPr>
                <w:rFonts w:asciiTheme="majorHAnsi" w:hAnsiTheme="majorHAnsi" w:cstheme="majorHAnsi"/>
                <w:b/>
                <w:i/>
                <w:szCs w:val="24"/>
                <w:lang w:val="ru-MD"/>
              </w:rPr>
            </w:pPr>
          </w:p>
        </w:tc>
        <w:tc>
          <w:tcPr>
            <w:tcW w:w="1099" w:type="dxa"/>
            <w:vMerge/>
            <w:hideMark/>
          </w:tcPr>
          <w:p w14:paraId="22CC6D92" w14:textId="77777777" w:rsidR="00B749E7" w:rsidRPr="00421C75" w:rsidRDefault="00B749E7" w:rsidP="000E41FD">
            <w:pPr>
              <w:spacing w:line="276" w:lineRule="auto"/>
              <w:jc w:val="both"/>
              <w:rPr>
                <w:rFonts w:asciiTheme="majorHAnsi" w:hAnsiTheme="majorHAnsi" w:cstheme="majorHAnsi"/>
                <w:b/>
                <w:bCs/>
                <w:i/>
                <w:szCs w:val="24"/>
                <w:lang w:val="ru-MD"/>
              </w:rPr>
            </w:pPr>
          </w:p>
        </w:tc>
        <w:tc>
          <w:tcPr>
            <w:tcW w:w="1572" w:type="dxa"/>
            <w:vAlign w:val="center"/>
            <w:hideMark/>
          </w:tcPr>
          <w:p w14:paraId="17943310" w14:textId="77777777" w:rsidR="00B749E7" w:rsidRPr="00421C75" w:rsidRDefault="00B749E7" w:rsidP="000E41FD">
            <w:pPr>
              <w:spacing w:line="276" w:lineRule="auto"/>
              <w:jc w:val="center"/>
              <w:rPr>
                <w:rFonts w:asciiTheme="majorHAnsi" w:hAnsiTheme="majorHAnsi" w:cstheme="majorHAnsi"/>
                <w:b/>
                <w:bCs/>
                <w:i/>
                <w:szCs w:val="24"/>
                <w:lang w:val="ru-MD"/>
              </w:rPr>
            </w:pPr>
            <w:r w:rsidRPr="00421C75">
              <w:rPr>
                <w:rFonts w:asciiTheme="majorHAnsi" w:hAnsiTheme="majorHAnsi" w:cstheme="majorHAnsi"/>
                <w:b/>
                <w:bCs/>
                <w:i/>
                <w:szCs w:val="24"/>
                <w:lang w:val="ru-MD"/>
              </w:rPr>
              <w:t xml:space="preserve">2018 год </w:t>
            </w:r>
          </w:p>
        </w:tc>
        <w:tc>
          <w:tcPr>
            <w:tcW w:w="1355" w:type="dxa"/>
            <w:vAlign w:val="center"/>
            <w:hideMark/>
          </w:tcPr>
          <w:p w14:paraId="2B77A90E" w14:textId="77777777" w:rsidR="00B749E7" w:rsidRPr="00421C75" w:rsidRDefault="00B749E7" w:rsidP="000E41FD">
            <w:pPr>
              <w:spacing w:line="276" w:lineRule="auto"/>
              <w:jc w:val="center"/>
              <w:rPr>
                <w:rFonts w:asciiTheme="majorHAnsi" w:hAnsiTheme="majorHAnsi" w:cstheme="majorHAnsi"/>
                <w:b/>
                <w:bCs/>
                <w:i/>
                <w:szCs w:val="24"/>
                <w:lang w:val="ru-MD"/>
              </w:rPr>
            </w:pPr>
            <w:r w:rsidRPr="00421C75">
              <w:rPr>
                <w:rFonts w:asciiTheme="majorHAnsi" w:hAnsiTheme="majorHAnsi" w:cstheme="majorHAnsi"/>
                <w:b/>
                <w:bCs/>
                <w:i/>
                <w:szCs w:val="24"/>
                <w:lang w:val="ru-MD"/>
              </w:rPr>
              <w:t>2019 год</w:t>
            </w:r>
          </w:p>
        </w:tc>
        <w:tc>
          <w:tcPr>
            <w:tcW w:w="1428" w:type="dxa"/>
            <w:vAlign w:val="center"/>
            <w:hideMark/>
          </w:tcPr>
          <w:p w14:paraId="289D596D" w14:textId="77777777" w:rsidR="00B749E7" w:rsidRPr="00421C75" w:rsidRDefault="00B749E7" w:rsidP="000E41FD">
            <w:pPr>
              <w:spacing w:line="276" w:lineRule="auto"/>
              <w:jc w:val="center"/>
              <w:rPr>
                <w:rFonts w:asciiTheme="majorHAnsi" w:hAnsiTheme="majorHAnsi" w:cstheme="majorHAnsi"/>
                <w:b/>
                <w:bCs/>
                <w:i/>
                <w:szCs w:val="24"/>
                <w:lang w:val="ru-MD"/>
              </w:rPr>
            </w:pPr>
            <w:r w:rsidRPr="00421C75">
              <w:rPr>
                <w:rFonts w:asciiTheme="majorHAnsi" w:hAnsiTheme="majorHAnsi" w:cstheme="majorHAnsi"/>
                <w:b/>
                <w:bCs/>
                <w:i/>
                <w:szCs w:val="24"/>
                <w:lang w:val="ru-MD"/>
              </w:rPr>
              <w:t>2020 год</w:t>
            </w:r>
          </w:p>
        </w:tc>
        <w:tc>
          <w:tcPr>
            <w:tcW w:w="1305" w:type="dxa"/>
            <w:vAlign w:val="center"/>
            <w:hideMark/>
          </w:tcPr>
          <w:p w14:paraId="377C6E2F" w14:textId="77777777" w:rsidR="00B749E7" w:rsidRPr="00421C75" w:rsidRDefault="00B749E7" w:rsidP="000E41FD">
            <w:pPr>
              <w:spacing w:line="276" w:lineRule="auto"/>
              <w:jc w:val="center"/>
              <w:rPr>
                <w:rFonts w:asciiTheme="majorHAnsi" w:hAnsiTheme="majorHAnsi" w:cstheme="majorHAnsi"/>
                <w:b/>
                <w:bCs/>
                <w:i/>
                <w:szCs w:val="24"/>
                <w:lang w:val="ru-MD"/>
              </w:rPr>
            </w:pPr>
            <w:r w:rsidRPr="00421C75">
              <w:rPr>
                <w:rFonts w:asciiTheme="majorHAnsi" w:hAnsiTheme="majorHAnsi" w:cstheme="majorHAnsi"/>
                <w:b/>
                <w:bCs/>
                <w:i/>
                <w:szCs w:val="24"/>
                <w:lang w:val="ru-MD"/>
              </w:rPr>
              <w:t>2021 год</w:t>
            </w:r>
          </w:p>
        </w:tc>
        <w:tc>
          <w:tcPr>
            <w:tcW w:w="1303" w:type="dxa"/>
            <w:vAlign w:val="center"/>
          </w:tcPr>
          <w:p w14:paraId="3B9BD4C5" w14:textId="77777777" w:rsidR="00B749E7" w:rsidRPr="00421C75" w:rsidRDefault="00B749E7" w:rsidP="000E41FD">
            <w:pPr>
              <w:spacing w:line="276" w:lineRule="auto"/>
              <w:jc w:val="center"/>
              <w:rPr>
                <w:rFonts w:asciiTheme="majorHAnsi" w:hAnsiTheme="majorHAnsi" w:cstheme="majorHAnsi"/>
                <w:b/>
                <w:bCs/>
                <w:i/>
                <w:szCs w:val="24"/>
                <w:lang w:val="ru-MD"/>
              </w:rPr>
            </w:pPr>
            <w:r w:rsidRPr="00421C75">
              <w:rPr>
                <w:rFonts w:asciiTheme="majorHAnsi" w:hAnsiTheme="majorHAnsi" w:cstheme="majorHAnsi"/>
                <w:b/>
                <w:bCs/>
                <w:i/>
                <w:szCs w:val="24"/>
                <w:lang w:val="ru-MD"/>
              </w:rPr>
              <w:t>2022 год</w:t>
            </w:r>
          </w:p>
        </w:tc>
      </w:tr>
      <w:tr w:rsidR="00B749E7" w:rsidRPr="00421C75" w14:paraId="0859A9F4" w14:textId="77777777" w:rsidTr="000E41FD">
        <w:trPr>
          <w:trHeight w:val="17"/>
        </w:trPr>
        <w:tc>
          <w:tcPr>
            <w:tcW w:w="2196" w:type="dxa"/>
            <w:hideMark/>
          </w:tcPr>
          <w:p w14:paraId="47DA4591" w14:textId="77777777" w:rsidR="00B749E7" w:rsidRPr="00421C75" w:rsidRDefault="00B749E7" w:rsidP="000E41FD">
            <w:pPr>
              <w:spacing w:line="276" w:lineRule="auto"/>
              <w:jc w:val="both"/>
              <w:rPr>
                <w:rFonts w:asciiTheme="majorHAnsi" w:hAnsiTheme="majorHAnsi" w:cstheme="majorHAnsi"/>
                <w:b/>
                <w:bCs/>
                <w:i/>
                <w:iCs/>
                <w:lang w:val="ru-MD"/>
              </w:rPr>
            </w:pPr>
            <w:r w:rsidRPr="00421C75">
              <w:rPr>
                <w:rFonts w:asciiTheme="majorHAnsi" w:hAnsiTheme="majorHAnsi" w:cstheme="majorHAnsi"/>
                <w:b/>
                <w:bCs/>
                <w:i/>
                <w:iCs/>
                <w:lang w:val="ru-MD"/>
              </w:rPr>
              <w:t>ВВП</w:t>
            </w:r>
          </w:p>
        </w:tc>
        <w:tc>
          <w:tcPr>
            <w:tcW w:w="1099" w:type="dxa"/>
            <w:vAlign w:val="center"/>
            <w:hideMark/>
          </w:tcPr>
          <w:p w14:paraId="1BABA18C" w14:textId="77777777" w:rsidR="00B749E7" w:rsidRPr="00421C75" w:rsidRDefault="00B749E7" w:rsidP="000E41FD">
            <w:pPr>
              <w:spacing w:line="276" w:lineRule="auto"/>
              <w:jc w:val="center"/>
              <w:rPr>
                <w:rFonts w:asciiTheme="majorHAnsi" w:hAnsiTheme="majorHAnsi" w:cstheme="majorHAnsi"/>
                <w:bCs/>
                <w:i/>
                <w:iCs/>
                <w:szCs w:val="24"/>
                <w:lang w:val="ru-MD"/>
              </w:rPr>
            </w:pPr>
            <w:r w:rsidRPr="00421C75">
              <w:rPr>
                <w:rFonts w:asciiTheme="majorHAnsi" w:hAnsiTheme="majorHAnsi" w:cstheme="majorHAnsi"/>
                <w:bCs/>
                <w:i/>
                <w:iCs/>
                <w:szCs w:val="24"/>
                <w:lang w:val="ru-MD"/>
              </w:rPr>
              <w:t>млн. леев</w:t>
            </w:r>
          </w:p>
        </w:tc>
        <w:tc>
          <w:tcPr>
            <w:tcW w:w="1572" w:type="dxa"/>
            <w:noWrap/>
            <w:vAlign w:val="bottom"/>
            <w:hideMark/>
          </w:tcPr>
          <w:p w14:paraId="2261317B"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192 508,50</w:t>
            </w:r>
          </w:p>
        </w:tc>
        <w:tc>
          <w:tcPr>
            <w:tcW w:w="1355" w:type="dxa"/>
            <w:noWrap/>
            <w:vAlign w:val="bottom"/>
            <w:hideMark/>
          </w:tcPr>
          <w:p w14:paraId="05B40950"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210 378,00</w:t>
            </w:r>
          </w:p>
        </w:tc>
        <w:tc>
          <w:tcPr>
            <w:tcW w:w="1428" w:type="dxa"/>
            <w:noWrap/>
            <w:vAlign w:val="bottom"/>
            <w:hideMark/>
          </w:tcPr>
          <w:p w14:paraId="66D5FC6E"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205 432,30</w:t>
            </w:r>
          </w:p>
        </w:tc>
        <w:tc>
          <w:tcPr>
            <w:tcW w:w="1305" w:type="dxa"/>
            <w:vAlign w:val="bottom"/>
            <w:hideMark/>
          </w:tcPr>
          <w:p w14:paraId="3A41F4E8"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241 871,00</w:t>
            </w:r>
          </w:p>
        </w:tc>
        <w:tc>
          <w:tcPr>
            <w:tcW w:w="1303" w:type="dxa"/>
            <w:vAlign w:val="bottom"/>
          </w:tcPr>
          <w:p w14:paraId="0F5D462B"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272 555,90</w:t>
            </w:r>
          </w:p>
        </w:tc>
      </w:tr>
      <w:tr w:rsidR="00B749E7" w:rsidRPr="00421C75" w14:paraId="04A8AD4D" w14:textId="77777777" w:rsidTr="000E41FD">
        <w:trPr>
          <w:trHeight w:val="17"/>
        </w:trPr>
        <w:tc>
          <w:tcPr>
            <w:tcW w:w="2196" w:type="dxa"/>
            <w:hideMark/>
          </w:tcPr>
          <w:p w14:paraId="72D9B04F" w14:textId="77777777" w:rsidR="00B749E7" w:rsidRPr="00421C75" w:rsidRDefault="00B749E7" w:rsidP="000E41FD">
            <w:pPr>
              <w:spacing w:line="276" w:lineRule="auto"/>
              <w:jc w:val="both"/>
              <w:rPr>
                <w:rFonts w:asciiTheme="majorHAnsi" w:hAnsiTheme="majorHAnsi" w:cstheme="majorHAnsi"/>
                <w:b/>
                <w:bCs/>
                <w:i/>
                <w:iCs/>
                <w:lang w:val="ru-MD"/>
              </w:rPr>
            </w:pPr>
            <w:r w:rsidRPr="00421C75">
              <w:rPr>
                <w:rFonts w:asciiTheme="majorHAnsi" w:hAnsiTheme="majorHAnsi" w:cstheme="majorHAnsi"/>
                <w:b/>
                <w:bCs/>
                <w:i/>
                <w:iCs/>
                <w:lang w:val="ru-MD"/>
              </w:rPr>
              <w:t>НПБ, доходы</w:t>
            </w:r>
          </w:p>
        </w:tc>
        <w:tc>
          <w:tcPr>
            <w:tcW w:w="1099" w:type="dxa"/>
            <w:vAlign w:val="center"/>
            <w:hideMark/>
          </w:tcPr>
          <w:p w14:paraId="244DA928" w14:textId="77777777" w:rsidR="00B749E7" w:rsidRPr="00421C75" w:rsidRDefault="00B749E7" w:rsidP="000E41FD">
            <w:pPr>
              <w:spacing w:line="276" w:lineRule="auto"/>
              <w:jc w:val="center"/>
              <w:rPr>
                <w:rFonts w:asciiTheme="majorHAnsi" w:hAnsiTheme="majorHAnsi" w:cstheme="majorHAnsi"/>
                <w:bCs/>
                <w:i/>
                <w:iCs/>
                <w:szCs w:val="24"/>
                <w:lang w:val="ru-MD"/>
              </w:rPr>
            </w:pPr>
            <w:r w:rsidRPr="00421C75">
              <w:rPr>
                <w:rFonts w:asciiTheme="majorHAnsi" w:hAnsiTheme="majorHAnsi" w:cstheme="majorHAnsi"/>
                <w:bCs/>
                <w:i/>
                <w:iCs/>
                <w:szCs w:val="24"/>
                <w:lang w:val="ru-MD"/>
              </w:rPr>
              <w:t>млн. леев</w:t>
            </w:r>
          </w:p>
        </w:tc>
        <w:tc>
          <w:tcPr>
            <w:tcW w:w="1572" w:type="dxa"/>
            <w:vAlign w:val="bottom"/>
            <w:hideMark/>
          </w:tcPr>
          <w:p w14:paraId="525F3115"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57 964,90</w:t>
            </w:r>
          </w:p>
        </w:tc>
        <w:tc>
          <w:tcPr>
            <w:tcW w:w="1355" w:type="dxa"/>
            <w:vAlign w:val="bottom"/>
            <w:hideMark/>
          </w:tcPr>
          <w:p w14:paraId="28EACC65"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62 949,20</w:t>
            </w:r>
          </w:p>
        </w:tc>
        <w:tc>
          <w:tcPr>
            <w:tcW w:w="1428" w:type="dxa"/>
            <w:noWrap/>
            <w:vAlign w:val="bottom"/>
            <w:hideMark/>
          </w:tcPr>
          <w:p w14:paraId="52B00965"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62 650,00</w:t>
            </w:r>
          </w:p>
        </w:tc>
        <w:tc>
          <w:tcPr>
            <w:tcW w:w="1305" w:type="dxa"/>
            <w:vAlign w:val="bottom"/>
            <w:hideMark/>
          </w:tcPr>
          <w:p w14:paraId="46654534"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77 373,10</w:t>
            </w:r>
          </w:p>
        </w:tc>
        <w:tc>
          <w:tcPr>
            <w:tcW w:w="1303" w:type="dxa"/>
            <w:vAlign w:val="bottom"/>
          </w:tcPr>
          <w:p w14:paraId="361CA9BE"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91 505,40</w:t>
            </w:r>
          </w:p>
        </w:tc>
      </w:tr>
      <w:tr w:rsidR="00B749E7" w:rsidRPr="00421C75" w14:paraId="7AF34CEA" w14:textId="77777777" w:rsidTr="000E41FD">
        <w:trPr>
          <w:trHeight w:val="17"/>
        </w:trPr>
        <w:tc>
          <w:tcPr>
            <w:tcW w:w="2196" w:type="dxa"/>
            <w:hideMark/>
          </w:tcPr>
          <w:p w14:paraId="560D1D31" w14:textId="77777777" w:rsidR="00B749E7" w:rsidRPr="00421C75" w:rsidRDefault="00B749E7" w:rsidP="000E41FD">
            <w:pPr>
              <w:spacing w:line="276" w:lineRule="auto"/>
              <w:jc w:val="both"/>
              <w:rPr>
                <w:rFonts w:asciiTheme="majorHAnsi" w:hAnsiTheme="majorHAnsi" w:cstheme="majorHAnsi"/>
                <w:b/>
                <w:bCs/>
                <w:i/>
                <w:iCs/>
                <w:lang w:val="ru-MD"/>
              </w:rPr>
            </w:pPr>
            <w:r w:rsidRPr="00421C75">
              <w:rPr>
                <w:rFonts w:asciiTheme="majorHAnsi" w:hAnsiTheme="majorHAnsi" w:cstheme="majorHAnsi"/>
                <w:b/>
                <w:bCs/>
                <w:i/>
                <w:iCs/>
                <w:lang w:val="ru-MD"/>
              </w:rPr>
              <w:t>Доходы, всего</w:t>
            </w:r>
          </w:p>
        </w:tc>
        <w:tc>
          <w:tcPr>
            <w:tcW w:w="1099" w:type="dxa"/>
            <w:vAlign w:val="center"/>
            <w:hideMark/>
          </w:tcPr>
          <w:p w14:paraId="5025BFCF" w14:textId="77777777" w:rsidR="00B749E7" w:rsidRPr="00421C75" w:rsidRDefault="00B749E7" w:rsidP="000E41FD">
            <w:pPr>
              <w:spacing w:line="276" w:lineRule="auto"/>
              <w:jc w:val="center"/>
              <w:rPr>
                <w:rFonts w:asciiTheme="majorHAnsi" w:hAnsiTheme="majorHAnsi" w:cstheme="majorHAnsi"/>
                <w:bCs/>
                <w:i/>
                <w:iCs/>
                <w:szCs w:val="24"/>
                <w:lang w:val="ru-MD"/>
              </w:rPr>
            </w:pPr>
            <w:r w:rsidRPr="00421C75">
              <w:rPr>
                <w:rFonts w:asciiTheme="majorHAnsi" w:hAnsiTheme="majorHAnsi" w:cstheme="majorHAnsi"/>
                <w:bCs/>
                <w:i/>
                <w:iCs/>
                <w:szCs w:val="24"/>
                <w:lang w:val="ru-MD"/>
              </w:rPr>
              <w:t>млн. леев</w:t>
            </w:r>
          </w:p>
        </w:tc>
        <w:tc>
          <w:tcPr>
            <w:tcW w:w="1572" w:type="dxa"/>
            <w:vAlign w:val="bottom"/>
            <w:hideMark/>
          </w:tcPr>
          <w:p w14:paraId="533C4E53"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19 790,30</w:t>
            </w:r>
          </w:p>
        </w:tc>
        <w:tc>
          <w:tcPr>
            <w:tcW w:w="1355" w:type="dxa"/>
            <w:vAlign w:val="bottom"/>
            <w:hideMark/>
          </w:tcPr>
          <w:p w14:paraId="4B95B618"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21 748,30</w:t>
            </w:r>
          </w:p>
        </w:tc>
        <w:tc>
          <w:tcPr>
            <w:tcW w:w="1428" w:type="dxa"/>
            <w:vAlign w:val="bottom"/>
            <w:hideMark/>
          </w:tcPr>
          <w:p w14:paraId="49779ECB"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24 285,50</w:t>
            </w:r>
          </w:p>
        </w:tc>
        <w:tc>
          <w:tcPr>
            <w:tcW w:w="1305" w:type="dxa"/>
            <w:vAlign w:val="bottom"/>
            <w:hideMark/>
          </w:tcPr>
          <w:p w14:paraId="0D13B70D"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27 246,80</w:t>
            </w:r>
          </w:p>
        </w:tc>
        <w:tc>
          <w:tcPr>
            <w:tcW w:w="1303" w:type="dxa"/>
            <w:vAlign w:val="bottom"/>
          </w:tcPr>
          <w:p w14:paraId="48623761"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33 796,07</w:t>
            </w:r>
          </w:p>
        </w:tc>
      </w:tr>
      <w:tr w:rsidR="00B749E7" w:rsidRPr="00421C75" w14:paraId="6968FF74" w14:textId="77777777" w:rsidTr="000E41FD">
        <w:trPr>
          <w:trHeight w:val="17"/>
        </w:trPr>
        <w:tc>
          <w:tcPr>
            <w:tcW w:w="2196" w:type="dxa"/>
            <w:hideMark/>
          </w:tcPr>
          <w:p w14:paraId="62DAB48D" w14:textId="77777777" w:rsidR="00B749E7" w:rsidRPr="00421C75" w:rsidRDefault="00B749E7" w:rsidP="000E41FD">
            <w:pPr>
              <w:spacing w:line="276" w:lineRule="auto"/>
              <w:jc w:val="both"/>
              <w:rPr>
                <w:rFonts w:asciiTheme="majorHAnsi" w:hAnsiTheme="majorHAnsi" w:cstheme="majorHAnsi"/>
                <w:b/>
                <w:i/>
                <w:lang w:val="ru-MD"/>
              </w:rPr>
            </w:pPr>
            <w:r w:rsidRPr="00421C75">
              <w:rPr>
                <w:rFonts w:asciiTheme="majorHAnsi" w:hAnsiTheme="majorHAnsi" w:cstheme="majorHAnsi"/>
                <w:b/>
                <w:i/>
                <w:lang w:val="ru-MD"/>
              </w:rPr>
              <w:t>Отклонения +/- по сравнению с предыдущим годом</w:t>
            </w:r>
          </w:p>
        </w:tc>
        <w:tc>
          <w:tcPr>
            <w:tcW w:w="1099" w:type="dxa"/>
            <w:vAlign w:val="center"/>
            <w:hideMark/>
          </w:tcPr>
          <w:p w14:paraId="7B4D75B0" w14:textId="77777777" w:rsidR="00B749E7" w:rsidRPr="00421C75" w:rsidRDefault="00B749E7" w:rsidP="000E41FD">
            <w:pPr>
              <w:spacing w:line="276" w:lineRule="auto"/>
              <w:jc w:val="center"/>
              <w:rPr>
                <w:rFonts w:asciiTheme="majorHAnsi" w:hAnsiTheme="majorHAnsi" w:cstheme="majorHAnsi"/>
                <w:i/>
                <w:szCs w:val="24"/>
                <w:lang w:val="ru-MD"/>
              </w:rPr>
            </w:pPr>
            <w:r w:rsidRPr="00421C75">
              <w:rPr>
                <w:rFonts w:asciiTheme="majorHAnsi" w:hAnsiTheme="majorHAnsi" w:cstheme="majorHAnsi"/>
                <w:i/>
                <w:szCs w:val="24"/>
                <w:lang w:val="ru-MD"/>
              </w:rPr>
              <w:t>млн. леев</w:t>
            </w:r>
          </w:p>
        </w:tc>
        <w:tc>
          <w:tcPr>
            <w:tcW w:w="1572" w:type="dxa"/>
            <w:vAlign w:val="bottom"/>
            <w:hideMark/>
          </w:tcPr>
          <w:p w14:paraId="65A8D36D"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1 971,60</w:t>
            </w:r>
          </w:p>
        </w:tc>
        <w:tc>
          <w:tcPr>
            <w:tcW w:w="1355" w:type="dxa"/>
            <w:vAlign w:val="bottom"/>
            <w:hideMark/>
          </w:tcPr>
          <w:p w14:paraId="18C3EB6B"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1 958,00</w:t>
            </w:r>
          </w:p>
        </w:tc>
        <w:tc>
          <w:tcPr>
            <w:tcW w:w="1428" w:type="dxa"/>
            <w:vAlign w:val="bottom"/>
            <w:hideMark/>
          </w:tcPr>
          <w:p w14:paraId="2F2B3426"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2 537,20</w:t>
            </w:r>
          </w:p>
        </w:tc>
        <w:tc>
          <w:tcPr>
            <w:tcW w:w="1305" w:type="dxa"/>
            <w:vAlign w:val="bottom"/>
            <w:hideMark/>
          </w:tcPr>
          <w:p w14:paraId="277C6C33"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2 961,30</w:t>
            </w:r>
          </w:p>
        </w:tc>
        <w:tc>
          <w:tcPr>
            <w:tcW w:w="1303" w:type="dxa"/>
            <w:vAlign w:val="bottom"/>
          </w:tcPr>
          <w:p w14:paraId="6B4FA48F"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6 549,20</w:t>
            </w:r>
          </w:p>
        </w:tc>
      </w:tr>
      <w:tr w:rsidR="00B749E7" w:rsidRPr="00421C75" w14:paraId="59354DEB" w14:textId="77777777" w:rsidTr="000E41FD">
        <w:trPr>
          <w:trHeight w:val="17"/>
        </w:trPr>
        <w:tc>
          <w:tcPr>
            <w:tcW w:w="2196" w:type="dxa"/>
            <w:hideMark/>
          </w:tcPr>
          <w:p w14:paraId="7C1CE891" w14:textId="77777777" w:rsidR="00B749E7" w:rsidRPr="00421C75" w:rsidRDefault="00B749E7" w:rsidP="000E41FD">
            <w:pPr>
              <w:spacing w:line="276" w:lineRule="auto"/>
              <w:jc w:val="both"/>
              <w:rPr>
                <w:rFonts w:asciiTheme="majorHAnsi" w:hAnsiTheme="majorHAnsi" w:cstheme="majorHAnsi"/>
                <w:b/>
                <w:i/>
                <w:lang w:val="ru-MD"/>
              </w:rPr>
            </w:pPr>
            <w:r w:rsidRPr="00421C75">
              <w:rPr>
                <w:rFonts w:asciiTheme="majorHAnsi" w:hAnsiTheme="majorHAnsi" w:cstheme="majorHAnsi"/>
                <w:b/>
                <w:i/>
                <w:lang w:val="ru-MD"/>
              </w:rPr>
              <w:t>Удельный вес в НПБ</w:t>
            </w:r>
          </w:p>
        </w:tc>
        <w:tc>
          <w:tcPr>
            <w:tcW w:w="1099" w:type="dxa"/>
            <w:vAlign w:val="center"/>
            <w:hideMark/>
          </w:tcPr>
          <w:p w14:paraId="7C13044C" w14:textId="77777777" w:rsidR="00B749E7" w:rsidRPr="00421C75" w:rsidRDefault="00B749E7" w:rsidP="000E41FD">
            <w:pPr>
              <w:spacing w:line="276" w:lineRule="auto"/>
              <w:jc w:val="center"/>
              <w:rPr>
                <w:rFonts w:asciiTheme="majorHAnsi" w:hAnsiTheme="majorHAnsi" w:cstheme="majorHAnsi"/>
                <w:i/>
                <w:szCs w:val="24"/>
                <w:lang w:val="ru-MD"/>
              </w:rPr>
            </w:pPr>
            <w:r w:rsidRPr="00421C75">
              <w:rPr>
                <w:rFonts w:asciiTheme="majorHAnsi" w:hAnsiTheme="majorHAnsi" w:cstheme="majorHAnsi"/>
                <w:i/>
                <w:szCs w:val="24"/>
                <w:lang w:val="ru-MD"/>
              </w:rPr>
              <w:t>%</w:t>
            </w:r>
          </w:p>
        </w:tc>
        <w:tc>
          <w:tcPr>
            <w:tcW w:w="1572" w:type="dxa"/>
            <w:vAlign w:val="bottom"/>
            <w:hideMark/>
          </w:tcPr>
          <w:p w14:paraId="0098E11B"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34,10</w:t>
            </w:r>
          </w:p>
        </w:tc>
        <w:tc>
          <w:tcPr>
            <w:tcW w:w="1355" w:type="dxa"/>
            <w:vAlign w:val="bottom"/>
            <w:hideMark/>
          </w:tcPr>
          <w:p w14:paraId="04008847"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34,50</w:t>
            </w:r>
          </w:p>
        </w:tc>
        <w:tc>
          <w:tcPr>
            <w:tcW w:w="1428" w:type="dxa"/>
            <w:vAlign w:val="bottom"/>
            <w:hideMark/>
          </w:tcPr>
          <w:p w14:paraId="2378B981"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38,80</w:t>
            </w:r>
          </w:p>
        </w:tc>
        <w:tc>
          <w:tcPr>
            <w:tcW w:w="1305" w:type="dxa"/>
            <w:vAlign w:val="bottom"/>
            <w:hideMark/>
          </w:tcPr>
          <w:p w14:paraId="69714131"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35,20</w:t>
            </w:r>
          </w:p>
        </w:tc>
        <w:tc>
          <w:tcPr>
            <w:tcW w:w="1303" w:type="dxa"/>
            <w:vAlign w:val="bottom"/>
          </w:tcPr>
          <w:p w14:paraId="38DEDF9D"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36,90</w:t>
            </w:r>
          </w:p>
        </w:tc>
      </w:tr>
      <w:tr w:rsidR="00B749E7" w:rsidRPr="00421C75" w14:paraId="121168E8" w14:textId="77777777" w:rsidTr="000E41FD">
        <w:trPr>
          <w:trHeight w:val="17"/>
        </w:trPr>
        <w:tc>
          <w:tcPr>
            <w:tcW w:w="2196" w:type="dxa"/>
            <w:hideMark/>
          </w:tcPr>
          <w:p w14:paraId="6CFB1FF0" w14:textId="77777777" w:rsidR="00B749E7" w:rsidRPr="00421C75" w:rsidRDefault="00B749E7" w:rsidP="000E41FD">
            <w:pPr>
              <w:spacing w:line="276" w:lineRule="auto"/>
              <w:jc w:val="both"/>
              <w:rPr>
                <w:rFonts w:asciiTheme="majorHAnsi" w:hAnsiTheme="majorHAnsi" w:cstheme="majorHAnsi"/>
                <w:b/>
                <w:i/>
                <w:lang w:val="ru-MD"/>
              </w:rPr>
            </w:pPr>
            <w:r w:rsidRPr="00421C75">
              <w:rPr>
                <w:rFonts w:asciiTheme="majorHAnsi" w:hAnsiTheme="majorHAnsi" w:cstheme="majorHAnsi"/>
                <w:b/>
                <w:i/>
                <w:lang w:val="ru-MD"/>
              </w:rPr>
              <w:t>Удельный вес в ВВП</w:t>
            </w:r>
          </w:p>
        </w:tc>
        <w:tc>
          <w:tcPr>
            <w:tcW w:w="1099" w:type="dxa"/>
            <w:vAlign w:val="center"/>
            <w:hideMark/>
          </w:tcPr>
          <w:p w14:paraId="790525C8" w14:textId="77777777" w:rsidR="00B749E7" w:rsidRPr="00421C75" w:rsidRDefault="00B749E7" w:rsidP="000E41FD">
            <w:pPr>
              <w:spacing w:line="276" w:lineRule="auto"/>
              <w:jc w:val="center"/>
              <w:rPr>
                <w:rFonts w:asciiTheme="majorHAnsi" w:hAnsiTheme="majorHAnsi" w:cstheme="majorHAnsi"/>
                <w:i/>
                <w:szCs w:val="24"/>
                <w:lang w:val="ru-MD"/>
              </w:rPr>
            </w:pPr>
            <w:r w:rsidRPr="00421C75">
              <w:rPr>
                <w:rFonts w:asciiTheme="majorHAnsi" w:hAnsiTheme="majorHAnsi" w:cstheme="majorHAnsi"/>
                <w:i/>
                <w:szCs w:val="24"/>
                <w:lang w:val="ru-MD"/>
              </w:rPr>
              <w:t>%</w:t>
            </w:r>
          </w:p>
        </w:tc>
        <w:tc>
          <w:tcPr>
            <w:tcW w:w="1572" w:type="dxa"/>
            <w:vAlign w:val="bottom"/>
            <w:hideMark/>
          </w:tcPr>
          <w:p w14:paraId="55876390"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10,30</w:t>
            </w:r>
          </w:p>
        </w:tc>
        <w:tc>
          <w:tcPr>
            <w:tcW w:w="1355" w:type="dxa"/>
            <w:vAlign w:val="bottom"/>
            <w:hideMark/>
          </w:tcPr>
          <w:p w14:paraId="46037988"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10,40</w:t>
            </w:r>
          </w:p>
        </w:tc>
        <w:tc>
          <w:tcPr>
            <w:tcW w:w="1428" w:type="dxa"/>
            <w:vAlign w:val="bottom"/>
            <w:hideMark/>
          </w:tcPr>
          <w:p w14:paraId="0E5A37AB"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11,80</w:t>
            </w:r>
          </w:p>
        </w:tc>
        <w:tc>
          <w:tcPr>
            <w:tcW w:w="1305" w:type="dxa"/>
            <w:vAlign w:val="bottom"/>
            <w:hideMark/>
          </w:tcPr>
          <w:p w14:paraId="361645C2"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11,70</w:t>
            </w:r>
          </w:p>
        </w:tc>
        <w:tc>
          <w:tcPr>
            <w:tcW w:w="1303" w:type="dxa"/>
            <w:vAlign w:val="bottom"/>
          </w:tcPr>
          <w:p w14:paraId="0F7EE485"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12,40</w:t>
            </w:r>
          </w:p>
        </w:tc>
      </w:tr>
      <w:tr w:rsidR="00B749E7" w:rsidRPr="00421C75" w14:paraId="3091BBDE" w14:textId="77777777" w:rsidTr="000E41FD">
        <w:trPr>
          <w:trHeight w:val="17"/>
        </w:trPr>
        <w:tc>
          <w:tcPr>
            <w:tcW w:w="2196" w:type="dxa"/>
            <w:hideMark/>
          </w:tcPr>
          <w:p w14:paraId="40F254AA" w14:textId="77777777" w:rsidR="00B749E7" w:rsidRPr="00421C75" w:rsidRDefault="00B749E7" w:rsidP="000E41FD">
            <w:pPr>
              <w:spacing w:line="276" w:lineRule="auto"/>
              <w:jc w:val="both"/>
              <w:rPr>
                <w:rFonts w:asciiTheme="majorHAnsi" w:hAnsiTheme="majorHAnsi" w:cstheme="majorHAnsi"/>
                <w:b/>
                <w:bCs/>
                <w:i/>
                <w:iCs/>
                <w:lang w:val="ru-MD"/>
              </w:rPr>
            </w:pPr>
            <w:r w:rsidRPr="00421C75">
              <w:rPr>
                <w:rFonts w:asciiTheme="majorHAnsi" w:hAnsiTheme="majorHAnsi" w:cstheme="majorHAnsi"/>
                <w:b/>
                <w:bCs/>
                <w:i/>
                <w:iCs/>
                <w:lang w:val="ru-MD"/>
              </w:rPr>
              <w:t>НПБ, расходы</w:t>
            </w:r>
          </w:p>
        </w:tc>
        <w:tc>
          <w:tcPr>
            <w:tcW w:w="1099" w:type="dxa"/>
            <w:vAlign w:val="center"/>
            <w:hideMark/>
          </w:tcPr>
          <w:p w14:paraId="2BA6C311" w14:textId="77777777" w:rsidR="00B749E7" w:rsidRPr="00421C75" w:rsidRDefault="00B749E7" w:rsidP="000E41FD">
            <w:pPr>
              <w:spacing w:line="276" w:lineRule="auto"/>
              <w:jc w:val="center"/>
              <w:rPr>
                <w:rFonts w:asciiTheme="majorHAnsi" w:hAnsiTheme="majorHAnsi" w:cstheme="majorHAnsi"/>
                <w:bCs/>
                <w:i/>
                <w:iCs/>
                <w:szCs w:val="24"/>
                <w:lang w:val="ru-MD"/>
              </w:rPr>
            </w:pPr>
            <w:r w:rsidRPr="00421C75">
              <w:rPr>
                <w:rFonts w:asciiTheme="majorHAnsi" w:hAnsiTheme="majorHAnsi" w:cstheme="majorHAnsi"/>
                <w:bCs/>
                <w:i/>
                <w:iCs/>
                <w:szCs w:val="24"/>
                <w:lang w:val="ru-MD"/>
              </w:rPr>
              <w:t>млн. леев</w:t>
            </w:r>
          </w:p>
        </w:tc>
        <w:tc>
          <w:tcPr>
            <w:tcW w:w="1572" w:type="dxa"/>
            <w:vAlign w:val="bottom"/>
            <w:hideMark/>
          </w:tcPr>
          <w:p w14:paraId="37963DB1"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59 576,90</w:t>
            </w:r>
          </w:p>
        </w:tc>
        <w:tc>
          <w:tcPr>
            <w:tcW w:w="1355" w:type="dxa"/>
            <w:vAlign w:val="bottom"/>
            <w:hideMark/>
          </w:tcPr>
          <w:p w14:paraId="19C972F7"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65 975,60</w:t>
            </w:r>
          </w:p>
        </w:tc>
        <w:tc>
          <w:tcPr>
            <w:tcW w:w="1428" w:type="dxa"/>
            <w:noWrap/>
            <w:vAlign w:val="bottom"/>
            <w:hideMark/>
          </w:tcPr>
          <w:p w14:paraId="604C2207"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73 269,80</w:t>
            </w:r>
          </w:p>
        </w:tc>
        <w:tc>
          <w:tcPr>
            <w:tcW w:w="1305" w:type="dxa"/>
            <w:noWrap/>
            <w:vAlign w:val="bottom"/>
            <w:hideMark/>
          </w:tcPr>
          <w:p w14:paraId="63C25E80"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82 013,60</w:t>
            </w:r>
          </w:p>
        </w:tc>
        <w:tc>
          <w:tcPr>
            <w:tcW w:w="1303" w:type="dxa"/>
            <w:vAlign w:val="bottom"/>
          </w:tcPr>
          <w:p w14:paraId="32B04D49"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100 374,00</w:t>
            </w:r>
          </w:p>
        </w:tc>
      </w:tr>
      <w:tr w:rsidR="00B749E7" w:rsidRPr="00421C75" w14:paraId="013E7D81" w14:textId="77777777" w:rsidTr="000E41FD">
        <w:trPr>
          <w:trHeight w:val="17"/>
        </w:trPr>
        <w:tc>
          <w:tcPr>
            <w:tcW w:w="2196" w:type="dxa"/>
            <w:hideMark/>
          </w:tcPr>
          <w:p w14:paraId="61E0FF06" w14:textId="77777777" w:rsidR="00B749E7" w:rsidRPr="00421C75" w:rsidRDefault="00B749E7" w:rsidP="000E41FD">
            <w:pPr>
              <w:spacing w:line="276" w:lineRule="auto"/>
              <w:jc w:val="both"/>
              <w:rPr>
                <w:rFonts w:asciiTheme="majorHAnsi" w:hAnsiTheme="majorHAnsi" w:cstheme="majorHAnsi"/>
                <w:b/>
                <w:bCs/>
                <w:i/>
                <w:iCs/>
                <w:lang w:val="ru-MD"/>
              </w:rPr>
            </w:pPr>
            <w:r w:rsidRPr="00421C75">
              <w:rPr>
                <w:rFonts w:asciiTheme="majorHAnsi" w:hAnsiTheme="majorHAnsi" w:cstheme="majorHAnsi"/>
                <w:b/>
                <w:bCs/>
                <w:i/>
                <w:iCs/>
                <w:lang w:val="ru-MD"/>
              </w:rPr>
              <w:t>Расходы, всего</w:t>
            </w:r>
          </w:p>
        </w:tc>
        <w:tc>
          <w:tcPr>
            <w:tcW w:w="1099" w:type="dxa"/>
            <w:vAlign w:val="center"/>
            <w:hideMark/>
          </w:tcPr>
          <w:p w14:paraId="0FA47F0C" w14:textId="77777777" w:rsidR="00B749E7" w:rsidRPr="00421C75" w:rsidRDefault="00B749E7" w:rsidP="000E41FD">
            <w:pPr>
              <w:spacing w:line="276" w:lineRule="auto"/>
              <w:jc w:val="center"/>
              <w:rPr>
                <w:rFonts w:asciiTheme="majorHAnsi" w:hAnsiTheme="majorHAnsi" w:cstheme="majorHAnsi"/>
                <w:bCs/>
                <w:i/>
                <w:iCs/>
                <w:szCs w:val="24"/>
                <w:lang w:val="ru-MD"/>
              </w:rPr>
            </w:pPr>
            <w:r w:rsidRPr="00421C75">
              <w:rPr>
                <w:rFonts w:asciiTheme="majorHAnsi" w:hAnsiTheme="majorHAnsi" w:cstheme="majorHAnsi"/>
                <w:bCs/>
                <w:i/>
                <w:iCs/>
                <w:szCs w:val="24"/>
                <w:lang w:val="ru-MD"/>
              </w:rPr>
              <w:t>млн. леев</w:t>
            </w:r>
          </w:p>
        </w:tc>
        <w:tc>
          <w:tcPr>
            <w:tcW w:w="1572" w:type="dxa"/>
            <w:vAlign w:val="bottom"/>
            <w:hideMark/>
          </w:tcPr>
          <w:p w14:paraId="34AA981F"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19 426,50</w:t>
            </w:r>
          </w:p>
        </w:tc>
        <w:tc>
          <w:tcPr>
            <w:tcW w:w="1355" w:type="dxa"/>
            <w:vAlign w:val="bottom"/>
            <w:hideMark/>
          </w:tcPr>
          <w:p w14:paraId="0F9AAFE9"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21 602,30</w:t>
            </w:r>
          </w:p>
        </w:tc>
        <w:tc>
          <w:tcPr>
            <w:tcW w:w="1428" w:type="dxa"/>
            <w:vAlign w:val="bottom"/>
            <w:hideMark/>
          </w:tcPr>
          <w:p w14:paraId="3C5B3E88"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24 244,40</w:t>
            </w:r>
          </w:p>
        </w:tc>
        <w:tc>
          <w:tcPr>
            <w:tcW w:w="1305" w:type="dxa"/>
            <w:vAlign w:val="bottom"/>
            <w:hideMark/>
          </w:tcPr>
          <w:p w14:paraId="137ACCCA"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27 186,70</w:t>
            </w:r>
          </w:p>
        </w:tc>
        <w:tc>
          <w:tcPr>
            <w:tcW w:w="1303" w:type="dxa"/>
            <w:vAlign w:val="bottom"/>
          </w:tcPr>
          <w:p w14:paraId="690F0BA4"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33 745,30</w:t>
            </w:r>
          </w:p>
        </w:tc>
      </w:tr>
      <w:tr w:rsidR="00B749E7" w:rsidRPr="00421C75" w14:paraId="6E1B4C32" w14:textId="77777777" w:rsidTr="000E41FD">
        <w:trPr>
          <w:trHeight w:val="17"/>
        </w:trPr>
        <w:tc>
          <w:tcPr>
            <w:tcW w:w="2196" w:type="dxa"/>
            <w:hideMark/>
          </w:tcPr>
          <w:p w14:paraId="5561790E" w14:textId="77777777" w:rsidR="00B749E7" w:rsidRPr="00421C75" w:rsidRDefault="00B749E7" w:rsidP="000E41FD">
            <w:pPr>
              <w:spacing w:line="276" w:lineRule="auto"/>
              <w:jc w:val="both"/>
              <w:rPr>
                <w:rFonts w:asciiTheme="majorHAnsi" w:hAnsiTheme="majorHAnsi" w:cstheme="majorHAnsi"/>
                <w:b/>
                <w:i/>
                <w:lang w:val="ru-MD"/>
              </w:rPr>
            </w:pPr>
            <w:r w:rsidRPr="00421C75">
              <w:rPr>
                <w:rFonts w:asciiTheme="majorHAnsi" w:hAnsiTheme="majorHAnsi" w:cstheme="majorHAnsi"/>
                <w:b/>
                <w:i/>
                <w:lang w:val="ru-MD"/>
              </w:rPr>
              <w:t>Отклонения +/- по сравнению с предыдущим годом</w:t>
            </w:r>
          </w:p>
        </w:tc>
        <w:tc>
          <w:tcPr>
            <w:tcW w:w="1099" w:type="dxa"/>
            <w:vAlign w:val="center"/>
            <w:hideMark/>
          </w:tcPr>
          <w:p w14:paraId="176DFAF6" w14:textId="77777777" w:rsidR="00B749E7" w:rsidRPr="00421C75" w:rsidRDefault="00B749E7" w:rsidP="000E41FD">
            <w:pPr>
              <w:spacing w:line="276" w:lineRule="auto"/>
              <w:jc w:val="center"/>
              <w:rPr>
                <w:rFonts w:asciiTheme="majorHAnsi" w:hAnsiTheme="majorHAnsi" w:cstheme="majorHAnsi"/>
                <w:i/>
                <w:szCs w:val="24"/>
                <w:lang w:val="ru-MD"/>
              </w:rPr>
            </w:pPr>
            <w:r w:rsidRPr="00421C75">
              <w:rPr>
                <w:rFonts w:asciiTheme="majorHAnsi" w:hAnsiTheme="majorHAnsi" w:cstheme="majorHAnsi"/>
                <w:i/>
                <w:szCs w:val="24"/>
                <w:lang w:val="ru-MD"/>
              </w:rPr>
              <w:t>млн. леев</w:t>
            </w:r>
          </w:p>
        </w:tc>
        <w:tc>
          <w:tcPr>
            <w:tcW w:w="1572" w:type="dxa"/>
            <w:vAlign w:val="bottom"/>
            <w:hideMark/>
          </w:tcPr>
          <w:p w14:paraId="71416B62"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1 811,90</w:t>
            </w:r>
          </w:p>
        </w:tc>
        <w:tc>
          <w:tcPr>
            <w:tcW w:w="1355" w:type="dxa"/>
            <w:vAlign w:val="bottom"/>
            <w:hideMark/>
          </w:tcPr>
          <w:p w14:paraId="75C17B65"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2 175,80</w:t>
            </w:r>
          </w:p>
        </w:tc>
        <w:tc>
          <w:tcPr>
            <w:tcW w:w="1428" w:type="dxa"/>
            <w:vAlign w:val="bottom"/>
            <w:hideMark/>
          </w:tcPr>
          <w:p w14:paraId="1AA7C801"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2 642,00</w:t>
            </w:r>
          </w:p>
        </w:tc>
        <w:tc>
          <w:tcPr>
            <w:tcW w:w="1305" w:type="dxa"/>
            <w:vAlign w:val="bottom"/>
            <w:hideMark/>
          </w:tcPr>
          <w:p w14:paraId="31B0A103"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2 942,50</w:t>
            </w:r>
          </w:p>
        </w:tc>
        <w:tc>
          <w:tcPr>
            <w:tcW w:w="1303" w:type="dxa"/>
            <w:vAlign w:val="bottom"/>
          </w:tcPr>
          <w:p w14:paraId="601DB0FA"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6 558,60</w:t>
            </w:r>
          </w:p>
        </w:tc>
      </w:tr>
      <w:tr w:rsidR="00B749E7" w:rsidRPr="00421C75" w14:paraId="48AC93C7" w14:textId="77777777" w:rsidTr="000E41FD">
        <w:trPr>
          <w:trHeight w:val="17"/>
        </w:trPr>
        <w:tc>
          <w:tcPr>
            <w:tcW w:w="2196" w:type="dxa"/>
            <w:hideMark/>
          </w:tcPr>
          <w:p w14:paraId="28471127" w14:textId="77777777" w:rsidR="00B749E7" w:rsidRPr="00421C75" w:rsidRDefault="00B749E7" w:rsidP="000E41FD">
            <w:pPr>
              <w:spacing w:line="276" w:lineRule="auto"/>
              <w:jc w:val="both"/>
              <w:rPr>
                <w:rFonts w:asciiTheme="majorHAnsi" w:hAnsiTheme="majorHAnsi" w:cstheme="majorHAnsi"/>
                <w:b/>
                <w:i/>
                <w:lang w:val="ru-MD"/>
              </w:rPr>
            </w:pPr>
            <w:r w:rsidRPr="00421C75">
              <w:rPr>
                <w:rFonts w:asciiTheme="majorHAnsi" w:hAnsiTheme="majorHAnsi" w:cstheme="majorHAnsi"/>
                <w:b/>
                <w:i/>
                <w:lang w:val="ru-MD"/>
              </w:rPr>
              <w:t>Удельный вес в НПБ</w:t>
            </w:r>
          </w:p>
        </w:tc>
        <w:tc>
          <w:tcPr>
            <w:tcW w:w="1099" w:type="dxa"/>
            <w:vAlign w:val="center"/>
            <w:hideMark/>
          </w:tcPr>
          <w:p w14:paraId="4969C9BA" w14:textId="77777777" w:rsidR="00B749E7" w:rsidRPr="00421C75" w:rsidRDefault="00B749E7" w:rsidP="000E41FD">
            <w:pPr>
              <w:spacing w:line="276" w:lineRule="auto"/>
              <w:jc w:val="center"/>
              <w:rPr>
                <w:rFonts w:asciiTheme="majorHAnsi" w:hAnsiTheme="majorHAnsi" w:cstheme="majorHAnsi"/>
                <w:i/>
                <w:szCs w:val="24"/>
                <w:lang w:val="ru-MD"/>
              </w:rPr>
            </w:pPr>
            <w:r w:rsidRPr="00421C75">
              <w:rPr>
                <w:rFonts w:asciiTheme="majorHAnsi" w:hAnsiTheme="majorHAnsi" w:cstheme="majorHAnsi"/>
                <w:i/>
                <w:szCs w:val="24"/>
                <w:lang w:val="ru-MD"/>
              </w:rPr>
              <w:t>%</w:t>
            </w:r>
          </w:p>
        </w:tc>
        <w:tc>
          <w:tcPr>
            <w:tcW w:w="1572" w:type="dxa"/>
            <w:vAlign w:val="bottom"/>
            <w:hideMark/>
          </w:tcPr>
          <w:p w14:paraId="7A6CC620"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32,60</w:t>
            </w:r>
          </w:p>
        </w:tc>
        <w:tc>
          <w:tcPr>
            <w:tcW w:w="1355" w:type="dxa"/>
            <w:vAlign w:val="bottom"/>
            <w:hideMark/>
          </w:tcPr>
          <w:p w14:paraId="39F9A67F"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32,70</w:t>
            </w:r>
          </w:p>
        </w:tc>
        <w:tc>
          <w:tcPr>
            <w:tcW w:w="1428" w:type="dxa"/>
            <w:vAlign w:val="bottom"/>
            <w:hideMark/>
          </w:tcPr>
          <w:p w14:paraId="39752D21"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33,10</w:t>
            </w:r>
          </w:p>
        </w:tc>
        <w:tc>
          <w:tcPr>
            <w:tcW w:w="1305" w:type="dxa"/>
            <w:vAlign w:val="bottom"/>
            <w:hideMark/>
          </w:tcPr>
          <w:p w14:paraId="5F512068"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33,10</w:t>
            </w:r>
          </w:p>
        </w:tc>
        <w:tc>
          <w:tcPr>
            <w:tcW w:w="1303" w:type="dxa"/>
            <w:vAlign w:val="bottom"/>
          </w:tcPr>
          <w:p w14:paraId="46551251"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33,60</w:t>
            </w:r>
          </w:p>
        </w:tc>
      </w:tr>
      <w:tr w:rsidR="00B749E7" w:rsidRPr="00421C75" w14:paraId="628BF5CB" w14:textId="77777777" w:rsidTr="000E41FD">
        <w:trPr>
          <w:trHeight w:val="17"/>
        </w:trPr>
        <w:tc>
          <w:tcPr>
            <w:tcW w:w="2196" w:type="dxa"/>
            <w:hideMark/>
          </w:tcPr>
          <w:p w14:paraId="1FAE17C8" w14:textId="77777777" w:rsidR="00B749E7" w:rsidRPr="00421C75" w:rsidRDefault="00B749E7" w:rsidP="000E41FD">
            <w:pPr>
              <w:spacing w:line="276" w:lineRule="auto"/>
              <w:jc w:val="both"/>
              <w:rPr>
                <w:rFonts w:asciiTheme="majorHAnsi" w:hAnsiTheme="majorHAnsi" w:cstheme="majorHAnsi"/>
                <w:b/>
                <w:i/>
                <w:lang w:val="ru-MD"/>
              </w:rPr>
            </w:pPr>
            <w:r w:rsidRPr="00421C75">
              <w:rPr>
                <w:rFonts w:asciiTheme="majorHAnsi" w:hAnsiTheme="majorHAnsi" w:cstheme="majorHAnsi"/>
                <w:b/>
                <w:i/>
                <w:lang w:val="ru-MD"/>
              </w:rPr>
              <w:t>Удельный вес в ВВП</w:t>
            </w:r>
          </w:p>
        </w:tc>
        <w:tc>
          <w:tcPr>
            <w:tcW w:w="1099" w:type="dxa"/>
            <w:vAlign w:val="center"/>
            <w:hideMark/>
          </w:tcPr>
          <w:p w14:paraId="74D30901" w14:textId="77777777" w:rsidR="00B749E7" w:rsidRPr="00421C75" w:rsidRDefault="00B749E7" w:rsidP="000E41FD">
            <w:pPr>
              <w:spacing w:line="276" w:lineRule="auto"/>
              <w:jc w:val="center"/>
              <w:rPr>
                <w:rFonts w:asciiTheme="majorHAnsi" w:hAnsiTheme="majorHAnsi" w:cstheme="majorHAnsi"/>
                <w:i/>
                <w:szCs w:val="24"/>
                <w:lang w:val="ru-MD"/>
              </w:rPr>
            </w:pPr>
            <w:r w:rsidRPr="00421C75">
              <w:rPr>
                <w:rFonts w:asciiTheme="majorHAnsi" w:hAnsiTheme="majorHAnsi" w:cstheme="majorHAnsi"/>
                <w:i/>
                <w:szCs w:val="24"/>
                <w:lang w:val="ru-MD"/>
              </w:rPr>
              <w:t>%</w:t>
            </w:r>
          </w:p>
        </w:tc>
        <w:tc>
          <w:tcPr>
            <w:tcW w:w="1572" w:type="dxa"/>
            <w:vAlign w:val="bottom"/>
            <w:hideMark/>
          </w:tcPr>
          <w:p w14:paraId="5F0D51CA"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10,10</w:t>
            </w:r>
          </w:p>
        </w:tc>
        <w:tc>
          <w:tcPr>
            <w:tcW w:w="1355" w:type="dxa"/>
            <w:vAlign w:val="bottom"/>
            <w:hideMark/>
          </w:tcPr>
          <w:p w14:paraId="1D0797EA"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10,30</w:t>
            </w:r>
          </w:p>
        </w:tc>
        <w:tc>
          <w:tcPr>
            <w:tcW w:w="1428" w:type="dxa"/>
            <w:vAlign w:val="bottom"/>
            <w:hideMark/>
          </w:tcPr>
          <w:p w14:paraId="475BA434"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11,70</w:t>
            </w:r>
          </w:p>
        </w:tc>
        <w:tc>
          <w:tcPr>
            <w:tcW w:w="1305" w:type="dxa"/>
            <w:vAlign w:val="bottom"/>
            <w:hideMark/>
          </w:tcPr>
          <w:p w14:paraId="21B74193"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11,20</w:t>
            </w:r>
          </w:p>
        </w:tc>
        <w:tc>
          <w:tcPr>
            <w:tcW w:w="1303" w:type="dxa"/>
            <w:vAlign w:val="bottom"/>
          </w:tcPr>
          <w:p w14:paraId="0E5B6059"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12,40</w:t>
            </w:r>
          </w:p>
        </w:tc>
      </w:tr>
      <w:tr w:rsidR="00B749E7" w:rsidRPr="00421C75" w14:paraId="09561744" w14:textId="77777777" w:rsidTr="000E41FD">
        <w:trPr>
          <w:trHeight w:val="17"/>
        </w:trPr>
        <w:tc>
          <w:tcPr>
            <w:tcW w:w="2196" w:type="dxa"/>
            <w:hideMark/>
          </w:tcPr>
          <w:p w14:paraId="2E61672E" w14:textId="11452FB8" w:rsidR="00B749E7" w:rsidRPr="00421C75" w:rsidRDefault="00B749E7" w:rsidP="000E41FD">
            <w:pPr>
              <w:spacing w:line="276" w:lineRule="auto"/>
              <w:jc w:val="both"/>
              <w:rPr>
                <w:rFonts w:asciiTheme="majorHAnsi" w:hAnsiTheme="majorHAnsi" w:cstheme="majorHAnsi"/>
                <w:b/>
                <w:bCs/>
                <w:i/>
                <w:iCs/>
                <w:lang w:val="ru-MD"/>
              </w:rPr>
            </w:pPr>
            <w:r w:rsidRPr="00421C75">
              <w:rPr>
                <w:rFonts w:asciiTheme="majorHAnsi" w:hAnsiTheme="majorHAnsi" w:cstheme="majorHAnsi"/>
                <w:b/>
                <w:bCs/>
                <w:i/>
                <w:iCs/>
                <w:lang w:val="ru-MD"/>
              </w:rPr>
              <w:t>Дефицит (-)</w:t>
            </w:r>
            <w:r w:rsidR="00EB555D">
              <w:rPr>
                <w:rFonts w:asciiTheme="majorHAnsi" w:hAnsiTheme="majorHAnsi" w:cstheme="majorHAnsi"/>
                <w:b/>
                <w:bCs/>
                <w:i/>
                <w:iCs/>
                <w:lang w:val="ru-MD"/>
              </w:rPr>
              <w:t xml:space="preserve"> </w:t>
            </w:r>
            <w:r w:rsidRPr="00421C75">
              <w:rPr>
                <w:rFonts w:asciiTheme="majorHAnsi" w:hAnsiTheme="majorHAnsi" w:cstheme="majorHAnsi"/>
                <w:b/>
                <w:bCs/>
                <w:i/>
                <w:iCs/>
                <w:lang w:val="ru-MD"/>
              </w:rPr>
              <w:t>/</w:t>
            </w:r>
            <w:r w:rsidR="00EB555D">
              <w:rPr>
                <w:rFonts w:asciiTheme="majorHAnsi" w:hAnsiTheme="majorHAnsi" w:cstheme="majorHAnsi"/>
                <w:b/>
                <w:bCs/>
                <w:i/>
                <w:iCs/>
                <w:lang w:val="ru-MD"/>
              </w:rPr>
              <w:t xml:space="preserve"> </w:t>
            </w:r>
            <w:r w:rsidRPr="00421C75">
              <w:rPr>
                <w:rFonts w:asciiTheme="majorHAnsi" w:hAnsiTheme="majorHAnsi" w:cstheme="majorHAnsi"/>
                <w:b/>
                <w:bCs/>
                <w:i/>
                <w:iCs/>
                <w:lang w:val="ru-MD"/>
              </w:rPr>
              <w:t>Излишек (+)</w:t>
            </w:r>
          </w:p>
        </w:tc>
        <w:tc>
          <w:tcPr>
            <w:tcW w:w="1099" w:type="dxa"/>
            <w:vAlign w:val="center"/>
            <w:hideMark/>
          </w:tcPr>
          <w:p w14:paraId="69C021E8" w14:textId="77777777" w:rsidR="00B749E7" w:rsidRPr="00421C75" w:rsidRDefault="00B749E7" w:rsidP="000E41FD">
            <w:pPr>
              <w:spacing w:line="276" w:lineRule="auto"/>
              <w:jc w:val="center"/>
              <w:rPr>
                <w:rFonts w:asciiTheme="majorHAnsi" w:hAnsiTheme="majorHAnsi" w:cstheme="majorHAnsi"/>
                <w:bCs/>
                <w:i/>
                <w:iCs/>
                <w:szCs w:val="24"/>
                <w:lang w:val="ru-MD"/>
              </w:rPr>
            </w:pPr>
            <w:r w:rsidRPr="00421C75">
              <w:rPr>
                <w:rFonts w:asciiTheme="majorHAnsi" w:hAnsiTheme="majorHAnsi" w:cstheme="majorHAnsi"/>
                <w:bCs/>
                <w:i/>
                <w:iCs/>
                <w:szCs w:val="24"/>
                <w:lang w:val="ru-MD"/>
              </w:rPr>
              <w:t>млн. леев</w:t>
            </w:r>
          </w:p>
        </w:tc>
        <w:tc>
          <w:tcPr>
            <w:tcW w:w="1572" w:type="dxa"/>
            <w:vAlign w:val="bottom"/>
            <w:hideMark/>
          </w:tcPr>
          <w:p w14:paraId="0AE1A517"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363,80</w:t>
            </w:r>
          </w:p>
        </w:tc>
        <w:tc>
          <w:tcPr>
            <w:tcW w:w="1355" w:type="dxa"/>
            <w:vAlign w:val="bottom"/>
            <w:hideMark/>
          </w:tcPr>
          <w:p w14:paraId="0D8714BD"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146,00</w:t>
            </w:r>
          </w:p>
        </w:tc>
        <w:tc>
          <w:tcPr>
            <w:tcW w:w="1428" w:type="dxa"/>
            <w:vAlign w:val="bottom"/>
            <w:hideMark/>
          </w:tcPr>
          <w:p w14:paraId="12333EAD"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41,20</w:t>
            </w:r>
          </w:p>
        </w:tc>
        <w:tc>
          <w:tcPr>
            <w:tcW w:w="1305" w:type="dxa"/>
            <w:vAlign w:val="bottom"/>
            <w:hideMark/>
          </w:tcPr>
          <w:p w14:paraId="52F8262C"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60,00</w:t>
            </w:r>
          </w:p>
        </w:tc>
        <w:tc>
          <w:tcPr>
            <w:tcW w:w="1303" w:type="dxa"/>
            <w:vAlign w:val="bottom"/>
          </w:tcPr>
          <w:p w14:paraId="14DD5016" w14:textId="77777777" w:rsidR="00B749E7" w:rsidRPr="00421C75" w:rsidRDefault="00B749E7" w:rsidP="000E41FD">
            <w:pPr>
              <w:spacing w:line="276" w:lineRule="auto"/>
              <w:jc w:val="right"/>
              <w:rPr>
                <w:rFonts w:asciiTheme="majorHAnsi" w:hAnsiTheme="majorHAnsi" w:cstheme="majorHAnsi"/>
                <w:bCs/>
                <w:i/>
                <w:iCs/>
                <w:szCs w:val="24"/>
                <w:lang w:val="ru-MD"/>
              </w:rPr>
            </w:pPr>
            <w:r w:rsidRPr="00421C75">
              <w:rPr>
                <w:rFonts w:asciiTheme="majorHAnsi" w:hAnsiTheme="majorHAnsi" w:cstheme="majorHAnsi"/>
                <w:bCs/>
                <w:i/>
                <w:iCs/>
                <w:szCs w:val="24"/>
                <w:lang w:val="ru-MD"/>
              </w:rPr>
              <w:t>50,80</w:t>
            </w:r>
          </w:p>
        </w:tc>
      </w:tr>
      <w:tr w:rsidR="00B749E7" w:rsidRPr="00421C75" w14:paraId="2A3FD3F6" w14:textId="77777777" w:rsidTr="000E41FD">
        <w:trPr>
          <w:trHeight w:val="17"/>
        </w:trPr>
        <w:tc>
          <w:tcPr>
            <w:tcW w:w="2196" w:type="dxa"/>
            <w:hideMark/>
          </w:tcPr>
          <w:p w14:paraId="46C732D1" w14:textId="77777777" w:rsidR="00B749E7" w:rsidRPr="00421C75" w:rsidRDefault="00B749E7" w:rsidP="000E41FD">
            <w:pPr>
              <w:spacing w:line="276" w:lineRule="auto"/>
              <w:jc w:val="both"/>
              <w:rPr>
                <w:rFonts w:asciiTheme="majorHAnsi" w:hAnsiTheme="majorHAnsi" w:cstheme="majorHAnsi"/>
                <w:b/>
                <w:i/>
                <w:lang w:val="ru-MD"/>
              </w:rPr>
            </w:pPr>
            <w:r w:rsidRPr="00421C75">
              <w:rPr>
                <w:rFonts w:asciiTheme="majorHAnsi" w:hAnsiTheme="majorHAnsi" w:cstheme="majorHAnsi"/>
                <w:b/>
                <w:i/>
                <w:lang w:val="ru-MD"/>
              </w:rPr>
              <w:t>Отклонения +/- по сравнению с предыдущим годом</w:t>
            </w:r>
          </w:p>
        </w:tc>
        <w:tc>
          <w:tcPr>
            <w:tcW w:w="1099" w:type="dxa"/>
            <w:vAlign w:val="center"/>
            <w:hideMark/>
          </w:tcPr>
          <w:p w14:paraId="62F54EB8" w14:textId="77777777" w:rsidR="00B749E7" w:rsidRPr="00421C75" w:rsidRDefault="00B749E7" w:rsidP="000E41FD">
            <w:pPr>
              <w:spacing w:line="276" w:lineRule="auto"/>
              <w:jc w:val="center"/>
              <w:rPr>
                <w:rFonts w:asciiTheme="majorHAnsi" w:hAnsiTheme="majorHAnsi" w:cstheme="majorHAnsi"/>
                <w:i/>
                <w:szCs w:val="24"/>
                <w:lang w:val="ru-MD"/>
              </w:rPr>
            </w:pPr>
            <w:r w:rsidRPr="00421C75">
              <w:rPr>
                <w:rFonts w:asciiTheme="majorHAnsi" w:hAnsiTheme="majorHAnsi" w:cstheme="majorHAnsi"/>
                <w:i/>
                <w:szCs w:val="24"/>
                <w:lang w:val="ru-MD"/>
              </w:rPr>
              <w:t>млн. леев</w:t>
            </w:r>
          </w:p>
        </w:tc>
        <w:tc>
          <w:tcPr>
            <w:tcW w:w="1572" w:type="dxa"/>
            <w:vAlign w:val="bottom"/>
            <w:hideMark/>
          </w:tcPr>
          <w:p w14:paraId="77D9DE07"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159,60</w:t>
            </w:r>
          </w:p>
        </w:tc>
        <w:tc>
          <w:tcPr>
            <w:tcW w:w="1355" w:type="dxa"/>
            <w:vAlign w:val="bottom"/>
            <w:hideMark/>
          </w:tcPr>
          <w:p w14:paraId="7C27B60A"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-217,80</w:t>
            </w:r>
          </w:p>
        </w:tc>
        <w:tc>
          <w:tcPr>
            <w:tcW w:w="1428" w:type="dxa"/>
            <w:vAlign w:val="bottom"/>
            <w:hideMark/>
          </w:tcPr>
          <w:p w14:paraId="1A7F9572"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-104,80</w:t>
            </w:r>
          </w:p>
        </w:tc>
        <w:tc>
          <w:tcPr>
            <w:tcW w:w="1305" w:type="dxa"/>
            <w:vAlign w:val="bottom"/>
            <w:hideMark/>
          </w:tcPr>
          <w:p w14:paraId="2B94FAFA"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18,80</w:t>
            </w:r>
          </w:p>
        </w:tc>
        <w:tc>
          <w:tcPr>
            <w:tcW w:w="1303" w:type="dxa"/>
            <w:vAlign w:val="bottom"/>
          </w:tcPr>
          <w:p w14:paraId="0D6D0404"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-9,20</w:t>
            </w:r>
          </w:p>
        </w:tc>
      </w:tr>
      <w:tr w:rsidR="00B749E7" w:rsidRPr="00421C75" w14:paraId="243C2DA9" w14:textId="77777777" w:rsidTr="000E41FD">
        <w:trPr>
          <w:trHeight w:val="17"/>
        </w:trPr>
        <w:tc>
          <w:tcPr>
            <w:tcW w:w="2196" w:type="dxa"/>
            <w:hideMark/>
          </w:tcPr>
          <w:p w14:paraId="6DB35B48" w14:textId="77777777" w:rsidR="00B749E7" w:rsidRPr="00421C75" w:rsidRDefault="00B749E7" w:rsidP="000E41FD">
            <w:pPr>
              <w:spacing w:line="276" w:lineRule="auto"/>
              <w:jc w:val="both"/>
              <w:rPr>
                <w:rFonts w:asciiTheme="majorHAnsi" w:hAnsiTheme="majorHAnsi" w:cstheme="majorHAnsi"/>
                <w:b/>
                <w:i/>
                <w:lang w:val="ru-MD"/>
              </w:rPr>
            </w:pPr>
            <w:r w:rsidRPr="00421C75">
              <w:rPr>
                <w:rFonts w:asciiTheme="majorHAnsi" w:hAnsiTheme="majorHAnsi" w:cstheme="majorHAnsi"/>
                <w:b/>
                <w:i/>
                <w:lang w:val="ru-MD"/>
              </w:rPr>
              <w:t>Удельный вес в ВВП</w:t>
            </w:r>
          </w:p>
        </w:tc>
        <w:tc>
          <w:tcPr>
            <w:tcW w:w="1099" w:type="dxa"/>
            <w:vAlign w:val="center"/>
            <w:hideMark/>
          </w:tcPr>
          <w:p w14:paraId="14C1CDF9" w14:textId="77777777" w:rsidR="00B749E7" w:rsidRPr="00421C75" w:rsidRDefault="00B749E7" w:rsidP="000E41FD">
            <w:pPr>
              <w:spacing w:line="276" w:lineRule="auto"/>
              <w:jc w:val="center"/>
              <w:rPr>
                <w:rFonts w:asciiTheme="majorHAnsi" w:hAnsiTheme="majorHAnsi" w:cstheme="majorHAnsi"/>
                <w:i/>
                <w:szCs w:val="24"/>
                <w:lang w:val="ru-MD"/>
              </w:rPr>
            </w:pPr>
            <w:r w:rsidRPr="00421C75">
              <w:rPr>
                <w:rFonts w:asciiTheme="majorHAnsi" w:hAnsiTheme="majorHAnsi" w:cstheme="majorHAnsi"/>
                <w:i/>
                <w:szCs w:val="24"/>
                <w:lang w:val="ru-MD"/>
              </w:rPr>
              <w:t>%</w:t>
            </w:r>
          </w:p>
        </w:tc>
        <w:tc>
          <w:tcPr>
            <w:tcW w:w="1572" w:type="dxa"/>
            <w:vAlign w:val="bottom"/>
            <w:hideMark/>
          </w:tcPr>
          <w:p w14:paraId="6A0783D3"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0,19</w:t>
            </w:r>
          </w:p>
        </w:tc>
        <w:tc>
          <w:tcPr>
            <w:tcW w:w="1355" w:type="dxa"/>
            <w:vAlign w:val="bottom"/>
            <w:hideMark/>
          </w:tcPr>
          <w:p w14:paraId="3D592299"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0,07</w:t>
            </w:r>
          </w:p>
        </w:tc>
        <w:tc>
          <w:tcPr>
            <w:tcW w:w="1428" w:type="dxa"/>
            <w:vAlign w:val="bottom"/>
            <w:hideMark/>
          </w:tcPr>
          <w:p w14:paraId="1F912578"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0,02</w:t>
            </w:r>
          </w:p>
        </w:tc>
        <w:tc>
          <w:tcPr>
            <w:tcW w:w="1305" w:type="dxa"/>
            <w:vAlign w:val="bottom"/>
            <w:hideMark/>
          </w:tcPr>
          <w:p w14:paraId="1E5736ED"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0,02</w:t>
            </w:r>
          </w:p>
        </w:tc>
        <w:tc>
          <w:tcPr>
            <w:tcW w:w="1303" w:type="dxa"/>
            <w:vAlign w:val="bottom"/>
          </w:tcPr>
          <w:p w14:paraId="12E2DCC5" w14:textId="77777777" w:rsidR="00B749E7" w:rsidRPr="00421C75" w:rsidRDefault="00B749E7" w:rsidP="000E41FD">
            <w:pPr>
              <w:spacing w:line="276" w:lineRule="auto"/>
              <w:jc w:val="right"/>
              <w:rPr>
                <w:rFonts w:asciiTheme="majorHAnsi" w:hAnsiTheme="majorHAnsi" w:cstheme="majorHAnsi"/>
                <w:i/>
                <w:szCs w:val="24"/>
                <w:lang w:val="ru-MD"/>
              </w:rPr>
            </w:pPr>
            <w:r w:rsidRPr="00421C75">
              <w:rPr>
                <w:rFonts w:asciiTheme="majorHAnsi" w:hAnsiTheme="majorHAnsi" w:cstheme="majorHAnsi"/>
                <w:i/>
                <w:szCs w:val="24"/>
                <w:lang w:val="ru-MD"/>
              </w:rPr>
              <w:t>0,02</w:t>
            </w:r>
          </w:p>
        </w:tc>
      </w:tr>
    </w:tbl>
    <w:p w14:paraId="33B079CC" w14:textId="77777777" w:rsidR="00B749E7" w:rsidRPr="00421C75" w:rsidRDefault="00B749E7" w:rsidP="00B749E7">
      <w:pPr>
        <w:spacing w:line="276" w:lineRule="auto"/>
        <w:jc w:val="both"/>
        <w:rPr>
          <w:rFonts w:asciiTheme="majorHAnsi" w:hAnsiTheme="majorHAnsi" w:cstheme="majorHAnsi"/>
          <w:lang w:val="ru-MD"/>
        </w:rPr>
      </w:pPr>
      <w:r w:rsidRPr="00421C75">
        <w:rPr>
          <w:rFonts w:asciiTheme="majorHAnsi" w:hAnsiTheme="majorHAnsi" w:cstheme="majorHAnsi"/>
          <w:b/>
          <w:i/>
          <w:lang w:val="ru-MD"/>
        </w:rPr>
        <w:t>Источник:</w:t>
      </w:r>
      <w:r w:rsidRPr="00421C75">
        <w:rPr>
          <w:rFonts w:asciiTheme="majorHAnsi" w:hAnsiTheme="majorHAnsi" w:cstheme="majorHAnsi"/>
          <w:lang w:val="ru-MD"/>
        </w:rPr>
        <w:t xml:space="preserve"> </w:t>
      </w:r>
      <w:r w:rsidRPr="00421C75">
        <w:rPr>
          <w:rFonts w:asciiTheme="majorHAnsi" w:hAnsiTheme="majorHAnsi" w:cstheme="majorHAnsi"/>
          <w:i/>
          <w:lang w:val="ru-MD"/>
        </w:rPr>
        <w:t xml:space="preserve">Отчеты об исполнении бюджета государственного социального страхования за 2018-2022 годы; </w:t>
      </w:r>
      <w:hyperlink r:id="rId11" w:history="1">
        <w:r w:rsidRPr="00421C75">
          <w:rPr>
            <w:rFonts w:asciiTheme="majorHAnsi" w:hAnsiTheme="majorHAnsi" w:cstheme="majorHAnsi"/>
            <w:i/>
            <w:color w:val="0563C1" w:themeColor="hyperlink"/>
            <w:u w:val="single"/>
            <w:lang w:val="ru-MD"/>
          </w:rPr>
          <w:t>www.statistica.md</w:t>
        </w:r>
      </w:hyperlink>
      <w:r w:rsidRPr="00421C75">
        <w:rPr>
          <w:rFonts w:asciiTheme="majorHAnsi" w:hAnsiTheme="majorHAnsi" w:cstheme="majorHAnsi"/>
          <w:i/>
          <w:lang w:val="ru-MD"/>
        </w:rPr>
        <w:t xml:space="preserve"> </w:t>
      </w:r>
    </w:p>
    <w:p w14:paraId="143D52F1" w14:textId="35FFEB12" w:rsidR="00B749E7" w:rsidRPr="008B0788" w:rsidRDefault="00B749E7" w:rsidP="00B749E7">
      <w:pPr>
        <w:spacing w:after="0" w:line="276" w:lineRule="auto"/>
        <w:jc w:val="both"/>
        <w:rPr>
          <w:rFonts w:asciiTheme="majorHAnsi" w:hAnsiTheme="majorHAnsi" w:cstheme="majorHAnsi"/>
          <w:sz w:val="24"/>
          <w:szCs w:val="24"/>
          <w:lang w:val="ru-MD"/>
        </w:rPr>
      </w:pPr>
      <w:r w:rsidRPr="008B0788">
        <w:rPr>
          <w:rFonts w:asciiTheme="majorHAnsi" w:hAnsiTheme="majorHAnsi" w:cstheme="majorHAnsi"/>
          <w:sz w:val="24"/>
          <w:lang w:val="ru-MD"/>
        </w:rPr>
        <w:t>Хотя Закон о публичных финансах и бюджетно-налоговой ответственности</w:t>
      </w:r>
      <w:r w:rsidRPr="008B0788">
        <w:rPr>
          <w:rStyle w:val="a5"/>
          <w:rFonts w:asciiTheme="majorHAnsi" w:hAnsiTheme="majorHAnsi" w:cstheme="majorHAnsi"/>
          <w:sz w:val="24"/>
          <w:lang w:val="ru-MD"/>
        </w:rPr>
        <w:footnoteReference w:id="10"/>
      </w:r>
      <w:r w:rsidRPr="008B0788">
        <w:rPr>
          <w:rFonts w:asciiTheme="majorHAnsi" w:hAnsiTheme="majorHAnsi" w:cstheme="majorHAnsi"/>
          <w:sz w:val="24"/>
          <w:lang w:val="ru-MD"/>
        </w:rPr>
        <w:t xml:space="preserve"> устанавливает общие условия и сроки для внесения изменений/уточнений в утвержденные годовые бюджеты, годовые показатели бюджета государственного социального страхования уточнялись 3 раза</w:t>
      </w:r>
      <w:r w:rsidRPr="008B0788">
        <w:rPr>
          <w:rStyle w:val="a5"/>
          <w:rFonts w:asciiTheme="majorHAnsi" w:hAnsiTheme="majorHAnsi" w:cstheme="majorHAnsi"/>
          <w:sz w:val="24"/>
          <w:szCs w:val="24"/>
          <w:lang w:val="ru-MD"/>
        </w:rPr>
        <w:footnoteReference w:id="11"/>
      </w:r>
      <w:r w:rsidRPr="008B0788">
        <w:rPr>
          <w:rFonts w:asciiTheme="majorHAnsi" w:hAnsiTheme="majorHAnsi" w:cstheme="majorHAnsi"/>
          <w:sz w:val="24"/>
          <w:lang w:val="ru-MD"/>
        </w:rPr>
        <w:t>. Изменения были обусловлены эволюцией показателей бюджета государственного социального страхования в течение 2022 бюджетного года, динамикой бенефициаров и средних размеров социальных пособий, пересмотром Министерством экономического развития и оцифровки прогноза основных макроэкономических показателей на 2022 год, а также необходимостью внедрения новых мер, утвержденных в законодательстве в течение бюджетного года, влияющих на бюджет государственного социального страхования</w:t>
      </w:r>
      <w:r w:rsidRPr="008B0788">
        <w:rPr>
          <w:rFonts w:asciiTheme="majorHAnsi" w:hAnsiTheme="majorHAnsi" w:cstheme="majorHAnsi"/>
          <w:sz w:val="24"/>
          <w:szCs w:val="24"/>
          <w:lang w:val="ru-MD"/>
        </w:rPr>
        <w:t>:</w:t>
      </w:r>
    </w:p>
    <w:p w14:paraId="0FA39423" w14:textId="400670BE" w:rsidR="00B749E7" w:rsidRPr="008B0788" w:rsidRDefault="00EB555D" w:rsidP="00B749E7">
      <w:pPr>
        <w:numPr>
          <w:ilvl w:val="0"/>
          <w:numId w:val="14"/>
        </w:numPr>
        <w:spacing w:after="0" w:line="276" w:lineRule="auto"/>
        <w:contextualSpacing/>
        <w:jc w:val="both"/>
        <w:rPr>
          <w:rFonts w:asciiTheme="majorHAnsi" w:hAnsiTheme="majorHAnsi" w:cstheme="majorHAnsi"/>
          <w:sz w:val="24"/>
          <w:szCs w:val="24"/>
          <w:lang w:val="ru-MD"/>
        </w:rPr>
      </w:pPr>
      <w:r>
        <w:rPr>
          <w:rFonts w:asciiTheme="majorHAnsi" w:hAnsiTheme="majorHAnsi" w:cstheme="majorHAnsi"/>
          <w:sz w:val="24"/>
          <w:szCs w:val="24"/>
          <w:lang w:val="ru-MD"/>
        </w:rPr>
        <w:t>и</w:t>
      </w:r>
      <w:r w:rsidR="00B749E7" w:rsidRPr="008B0788">
        <w:rPr>
          <w:rFonts w:asciiTheme="majorHAnsi" w:hAnsiTheme="majorHAnsi" w:cstheme="majorHAnsi"/>
          <w:sz w:val="24"/>
          <w:szCs w:val="24"/>
          <w:lang w:val="ru-MD"/>
        </w:rPr>
        <w:t>зменение способа определения коэффициента индексации пенсий 1 апреля 202</w:t>
      </w:r>
      <w:r>
        <w:rPr>
          <w:rFonts w:asciiTheme="majorHAnsi" w:hAnsiTheme="majorHAnsi" w:cstheme="majorHAnsi"/>
          <w:sz w:val="24"/>
          <w:szCs w:val="24"/>
          <w:lang w:val="ru-MD"/>
        </w:rPr>
        <w:t>2</w:t>
      </w:r>
      <w:r w:rsidR="00B749E7" w:rsidRPr="008B0788">
        <w:rPr>
          <w:rFonts w:asciiTheme="majorHAnsi" w:hAnsiTheme="majorHAnsi" w:cstheme="majorHAnsi"/>
          <w:sz w:val="24"/>
          <w:szCs w:val="24"/>
          <w:lang w:val="ru-MD"/>
        </w:rPr>
        <w:t xml:space="preserve"> года: рост потребительских цен в декабре предыдущего года по сравнению с тем же месяцем предшествующего года, вместо годового роста индекса потребительских цен за год, предшествующий году индексации;</w:t>
      </w:r>
    </w:p>
    <w:p w14:paraId="1176B91E" w14:textId="6BFFB452" w:rsidR="00B749E7" w:rsidRPr="008B0788" w:rsidRDefault="00EB555D" w:rsidP="00B749E7">
      <w:pPr>
        <w:numPr>
          <w:ilvl w:val="0"/>
          <w:numId w:val="14"/>
        </w:numPr>
        <w:spacing w:after="0" w:line="276" w:lineRule="auto"/>
        <w:contextualSpacing/>
        <w:jc w:val="both"/>
        <w:rPr>
          <w:rFonts w:asciiTheme="majorHAnsi" w:hAnsiTheme="majorHAnsi" w:cstheme="majorHAnsi"/>
          <w:sz w:val="24"/>
          <w:szCs w:val="24"/>
          <w:lang w:val="ru-MD"/>
        </w:rPr>
      </w:pPr>
      <w:r>
        <w:rPr>
          <w:rFonts w:asciiTheme="majorHAnsi" w:hAnsiTheme="majorHAnsi" w:cstheme="majorHAnsi"/>
          <w:sz w:val="24"/>
          <w:szCs w:val="24"/>
          <w:lang w:val="ru-MD"/>
        </w:rPr>
        <w:t>и</w:t>
      </w:r>
      <w:r w:rsidR="00B749E7" w:rsidRPr="008B0788">
        <w:rPr>
          <w:rFonts w:asciiTheme="majorHAnsi" w:hAnsiTheme="majorHAnsi" w:cstheme="majorHAnsi"/>
          <w:sz w:val="24"/>
          <w:szCs w:val="24"/>
          <w:lang w:val="ru-MD"/>
        </w:rPr>
        <w:t>зменение способа индексации на 2022 год, коэффициент индексации применяется только к той части пенсии, которая не превышает среднемесячную заработную плату по экономике, прогнозируемую на 2022 год в размере 9 900 леев;</w:t>
      </w:r>
    </w:p>
    <w:p w14:paraId="12A8626F" w14:textId="042E025C" w:rsidR="00B749E7" w:rsidRPr="005F6348" w:rsidRDefault="00EC45E5" w:rsidP="00B749E7">
      <w:pPr>
        <w:numPr>
          <w:ilvl w:val="0"/>
          <w:numId w:val="14"/>
        </w:numPr>
        <w:spacing w:after="0" w:line="276" w:lineRule="auto"/>
        <w:contextualSpacing/>
        <w:jc w:val="both"/>
        <w:rPr>
          <w:rFonts w:asciiTheme="majorHAnsi" w:hAnsiTheme="majorHAnsi" w:cstheme="majorHAnsi"/>
          <w:sz w:val="24"/>
          <w:szCs w:val="24"/>
          <w:lang w:val="ro-RO"/>
        </w:rPr>
      </w:pPr>
      <w:r>
        <w:rPr>
          <w:rFonts w:asciiTheme="majorHAnsi" w:hAnsiTheme="majorHAnsi" w:cstheme="majorHAnsi"/>
          <w:sz w:val="24"/>
          <w:szCs w:val="24"/>
          <w:lang w:val="ru-MD"/>
        </w:rPr>
        <w:t>е</w:t>
      </w:r>
      <w:r w:rsidR="00B749E7" w:rsidRPr="008B0788">
        <w:rPr>
          <w:rFonts w:asciiTheme="majorHAnsi" w:hAnsiTheme="majorHAnsi" w:cstheme="majorHAnsi"/>
          <w:sz w:val="24"/>
          <w:szCs w:val="24"/>
          <w:lang w:val="ru-MD"/>
        </w:rPr>
        <w:t>жегодное увеличение</w:t>
      </w:r>
      <w:r w:rsidR="00B749E7">
        <w:rPr>
          <w:rFonts w:asciiTheme="majorHAnsi" w:hAnsiTheme="majorHAnsi" w:cstheme="majorHAnsi"/>
          <w:sz w:val="24"/>
          <w:szCs w:val="24"/>
          <w:lang w:val="ru-MD"/>
        </w:rPr>
        <w:t>,</w:t>
      </w:r>
      <w:r w:rsidR="00B749E7" w:rsidRPr="008B0788">
        <w:rPr>
          <w:rFonts w:asciiTheme="majorHAnsi" w:hAnsiTheme="majorHAnsi" w:cstheme="majorHAnsi"/>
          <w:sz w:val="24"/>
          <w:szCs w:val="24"/>
          <w:lang w:val="ru-MD"/>
        </w:rPr>
        <w:t xml:space="preserve"> 1 апреля</w:t>
      </w:r>
      <w:r w:rsidR="00B749E7">
        <w:rPr>
          <w:rFonts w:asciiTheme="majorHAnsi" w:hAnsiTheme="majorHAnsi" w:cstheme="majorHAnsi"/>
          <w:sz w:val="24"/>
          <w:szCs w:val="24"/>
          <w:lang w:val="ru-MD"/>
        </w:rPr>
        <w:t>,</w:t>
      </w:r>
      <w:r w:rsidR="00B749E7" w:rsidRPr="008B0788">
        <w:rPr>
          <w:rFonts w:asciiTheme="majorHAnsi" w:hAnsiTheme="majorHAnsi" w:cstheme="majorHAnsi"/>
          <w:sz w:val="24"/>
          <w:szCs w:val="24"/>
          <w:lang w:val="ru-MD"/>
        </w:rPr>
        <w:t xml:space="preserve"> пенсий, рассчитанных в соот</w:t>
      </w:r>
      <w:r w:rsidR="00B749E7">
        <w:rPr>
          <w:rFonts w:asciiTheme="majorHAnsi" w:hAnsiTheme="majorHAnsi" w:cstheme="majorHAnsi"/>
          <w:sz w:val="24"/>
          <w:szCs w:val="24"/>
          <w:lang w:val="ru-MD"/>
        </w:rPr>
        <w:t xml:space="preserve">ветствии с положениями Закона </w:t>
      </w:r>
      <w:r w:rsidR="00B749E7" w:rsidRPr="008B0788">
        <w:rPr>
          <w:rFonts w:asciiTheme="majorHAnsi" w:hAnsiTheme="majorHAnsi" w:cstheme="majorHAnsi"/>
          <w:sz w:val="24"/>
          <w:szCs w:val="24"/>
          <w:lang w:val="ru-MD"/>
        </w:rPr>
        <w:t xml:space="preserve">о государственной пенсионной системе </w:t>
      </w:r>
      <w:r w:rsidR="00B749E7">
        <w:rPr>
          <w:rFonts w:asciiTheme="majorHAnsi" w:hAnsiTheme="majorHAnsi" w:cstheme="majorHAnsi"/>
          <w:sz w:val="24"/>
          <w:szCs w:val="24"/>
          <w:lang w:val="ru-MD"/>
        </w:rPr>
        <w:t>№</w:t>
      </w:r>
      <w:r w:rsidR="00B749E7" w:rsidRPr="008B0788">
        <w:rPr>
          <w:rFonts w:asciiTheme="majorHAnsi" w:hAnsiTheme="majorHAnsi" w:cstheme="majorHAnsi"/>
          <w:sz w:val="24"/>
          <w:szCs w:val="24"/>
          <w:lang w:val="ru-MD"/>
        </w:rPr>
        <w:t>156/1998</w:t>
      </w:r>
      <w:r w:rsidR="00B749E7">
        <w:rPr>
          <w:rFonts w:asciiTheme="majorHAnsi" w:hAnsiTheme="majorHAnsi" w:cstheme="majorHAnsi"/>
          <w:sz w:val="24"/>
          <w:szCs w:val="24"/>
          <w:lang w:val="ru-MD"/>
        </w:rPr>
        <w:t>,</w:t>
      </w:r>
      <w:r w:rsidR="00B749E7" w:rsidRPr="008B0788">
        <w:rPr>
          <w:rFonts w:asciiTheme="majorHAnsi" w:hAnsiTheme="majorHAnsi" w:cstheme="majorHAnsi"/>
          <w:sz w:val="24"/>
          <w:szCs w:val="24"/>
          <w:lang w:val="ru-MD"/>
        </w:rPr>
        <w:t xml:space="preserve"> в фиксированной сумме, которая определяется путем умножения </w:t>
      </w:r>
      <w:r>
        <w:rPr>
          <w:rFonts w:asciiTheme="majorHAnsi" w:hAnsiTheme="majorHAnsi" w:cstheme="majorHAnsi"/>
          <w:sz w:val="24"/>
          <w:szCs w:val="24"/>
          <w:lang w:val="ru-MD"/>
        </w:rPr>
        <w:t>размера</w:t>
      </w:r>
      <w:r w:rsidR="00B749E7" w:rsidRPr="008B0788">
        <w:rPr>
          <w:rFonts w:asciiTheme="majorHAnsi" w:hAnsiTheme="majorHAnsi" w:cstheme="majorHAnsi"/>
          <w:sz w:val="24"/>
          <w:szCs w:val="24"/>
          <w:lang w:val="ru-MD"/>
        </w:rPr>
        <w:t xml:space="preserve"> средней пенсии на 50% роста валового внутреннего продукта в предыдущем году, выраженного в сопоставимых ценах, которы</w:t>
      </w:r>
      <w:r>
        <w:rPr>
          <w:rFonts w:asciiTheme="majorHAnsi" w:hAnsiTheme="majorHAnsi" w:cstheme="majorHAnsi"/>
          <w:sz w:val="24"/>
          <w:szCs w:val="24"/>
          <w:lang w:val="ru-MD"/>
        </w:rPr>
        <w:t>е</w:t>
      </w:r>
      <w:r w:rsidR="00B749E7" w:rsidRPr="008B0788">
        <w:rPr>
          <w:rFonts w:asciiTheme="majorHAnsi" w:hAnsiTheme="majorHAnsi" w:cstheme="majorHAnsi"/>
          <w:sz w:val="24"/>
          <w:szCs w:val="24"/>
          <w:lang w:val="ru-MD"/>
        </w:rPr>
        <w:t xml:space="preserve"> в 2022 году составили 171,71 </w:t>
      </w:r>
      <w:r w:rsidR="00B749E7">
        <w:rPr>
          <w:rFonts w:asciiTheme="majorHAnsi" w:hAnsiTheme="majorHAnsi" w:cstheme="majorHAnsi"/>
          <w:sz w:val="24"/>
          <w:szCs w:val="24"/>
          <w:lang w:val="ru-MD"/>
        </w:rPr>
        <w:t>леев</w:t>
      </w:r>
      <w:r w:rsidR="00B749E7" w:rsidRPr="005F6348">
        <w:rPr>
          <w:rFonts w:asciiTheme="majorHAnsi" w:hAnsiTheme="majorHAnsi" w:cstheme="majorHAnsi"/>
          <w:sz w:val="24"/>
          <w:szCs w:val="24"/>
          <w:lang w:val="ro-RO"/>
        </w:rPr>
        <w:t>;</w:t>
      </w:r>
    </w:p>
    <w:p w14:paraId="60D4E815" w14:textId="1058731A" w:rsidR="00B749E7" w:rsidRPr="00241559" w:rsidRDefault="00EC45E5" w:rsidP="00B749E7">
      <w:pPr>
        <w:numPr>
          <w:ilvl w:val="0"/>
          <w:numId w:val="14"/>
        </w:numPr>
        <w:spacing w:after="0" w:line="276" w:lineRule="auto"/>
        <w:contextualSpacing/>
        <w:jc w:val="both"/>
        <w:rPr>
          <w:rFonts w:asciiTheme="majorHAnsi" w:hAnsiTheme="majorHAnsi" w:cstheme="majorHAnsi"/>
          <w:sz w:val="24"/>
          <w:szCs w:val="24"/>
          <w:lang w:val="ru-MD"/>
        </w:rPr>
      </w:pPr>
      <w:r>
        <w:rPr>
          <w:rFonts w:asciiTheme="majorHAnsi" w:hAnsiTheme="majorHAnsi" w:cstheme="majorHAnsi"/>
          <w:sz w:val="24"/>
          <w:szCs w:val="24"/>
          <w:lang w:val="ru-MD"/>
        </w:rPr>
        <w:t>п</w:t>
      </w:r>
      <w:r w:rsidR="00B749E7" w:rsidRPr="00241559">
        <w:rPr>
          <w:rFonts w:asciiTheme="majorHAnsi" w:hAnsiTheme="majorHAnsi" w:cstheme="majorHAnsi"/>
          <w:sz w:val="24"/>
          <w:szCs w:val="24"/>
          <w:lang w:val="ru-MD"/>
        </w:rPr>
        <w:t>редоставление единовременной материальной помощи в размере 2 500 леев участникам боевых действий по защите территориальной целостности и независимости Республики Молдова и членам их семей в связи с празднованием 30-летия проведения боевых действий на Днестре;</w:t>
      </w:r>
    </w:p>
    <w:p w14:paraId="62D84A77" w14:textId="5CAF8BB5" w:rsidR="00B749E7" w:rsidRPr="005F6348" w:rsidRDefault="00EC45E5" w:rsidP="00B749E7">
      <w:pPr>
        <w:numPr>
          <w:ilvl w:val="0"/>
          <w:numId w:val="14"/>
        </w:numPr>
        <w:spacing w:after="0" w:line="276" w:lineRule="auto"/>
        <w:contextualSpacing/>
        <w:jc w:val="both"/>
        <w:rPr>
          <w:rFonts w:asciiTheme="majorHAnsi" w:hAnsiTheme="majorHAnsi" w:cstheme="majorHAnsi"/>
          <w:sz w:val="24"/>
          <w:szCs w:val="24"/>
          <w:lang w:val="ro-RO"/>
        </w:rPr>
      </w:pPr>
      <w:r>
        <w:rPr>
          <w:rFonts w:asciiTheme="majorHAnsi" w:hAnsiTheme="majorHAnsi" w:cstheme="majorHAnsi"/>
          <w:sz w:val="24"/>
          <w:szCs w:val="24"/>
          <w:lang w:val="ru-MD"/>
        </w:rPr>
        <w:t>у</w:t>
      </w:r>
      <w:r w:rsidR="00B749E7" w:rsidRPr="008B0788">
        <w:rPr>
          <w:rFonts w:asciiTheme="majorHAnsi" w:hAnsiTheme="majorHAnsi" w:cstheme="majorHAnsi"/>
          <w:sz w:val="24"/>
          <w:szCs w:val="24"/>
          <w:lang w:val="ru-MD"/>
        </w:rPr>
        <w:t>величение на 300 леев или с 950 леев до 1 250 леев суммы ежемесячного государственного пособия участникам Второй мировой войны, указанным в ст.2 (1) 2) Закона №121/2001 о дополнительной социальной защите некоторых категорий населения, начиная с 01.05.2022, а также введени</w:t>
      </w:r>
      <w:r>
        <w:rPr>
          <w:rFonts w:asciiTheme="majorHAnsi" w:hAnsiTheme="majorHAnsi" w:cstheme="majorHAnsi"/>
          <w:sz w:val="24"/>
          <w:szCs w:val="24"/>
          <w:lang w:val="ru-MD"/>
        </w:rPr>
        <w:t>е</w:t>
      </w:r>
      <w:r w:rsidR="00B749E7" w:rsidRPr="008B0788">
        <w:rPr>
          <w:rFonts w:asciiTheme="majorHAnsi" w:hAnsiTheme="majorHAnsi" w:cstheme="majorHAnsi"/>
          <w:sz w:val="24"/>
          <w:szCs w:val="24"/>
          <w:lang w:val="ru-MD"/>
        </w:rPr>
        <w:t xml:space="preserve"> новой категории бенефициаров, начиная с 22.07.2022 – лица, подготовленные Министерством обороны для сбора боеприпасов и военной техники, определения территории объектов в период после боевых действий по защите территориальной целостности и независимости Республики Молдова</w:t>
      </w:r>
      <w:r w:rsidR="00B749E7" w:rsidRPr="008B0788">
        <w:rPr>
          <w:rFonts w:asciiTheme="majorHAnsi" w:hAnsiTheme="majorHAnsi" w:cstheme="majorHAnsi"/>
          <w:sz w:val="24"/>
          <w:szCs w:val="24"/>
          <w:lang w:val="ro-RO"/>
        </w:rPr>
        <w:t xml:space="preserve"> (ст.2, (1)), п.8 </w:t>
      </w:r>
      <w:r w:rsidR="00B749E7" w:rsidRPr="00D63052">
        <w:rPr>
          <w:rFonts w:asciiTheme="majorHAnsi" w:hAnsiTheme="majorHAnsi" w:cstheme="majorHAnsi"/>
          <w:sz w:val="24"/>
          <w:szCs w:val="24"/>
          <w:lang w:val="ru-MD"/>
        </w:rPr>
        <w:t>указанного Закона</w:t>
      </w:r>
      <w:r w:rsidR="00B749E7" w:rsidRPr="005F6348">
        <w:rPr>
          <w:rFonts w:asciiTheme="majorHAnsi" w:hAnsiTheme="majorHAnsi" w:cstheme="majorHAnsi"/>
          <w:sz w:val="24"/>
          <w:szCs w:val="24"/>
          <w:lang w:val="ro-RO"/>
        </w:rPr>
        <w:t>;</w:t>
      </w:r>
    </w:p>
    <w:p w14:paraId="1EAD9318" w14:textId="5F939359" w:rsidR="00B749E7" w:rsidRPr="005F6348" w:rsidRDefault="00EC45E5" w:rsidP="00B749E7">
      <w:pPr>
        <w:numPr>
          <w:ilvl w:val="0"/>
          <w:numId w:val="14"/>
        </w:numPr>
        <w:spacing w:after="0" w:line="276" w:lineRule="auto"/>
        <w:contextualSpacing/>
        <w:jc w:val="both"/>
        <w:rPr>
          <w:rFonts w:asciiTheme="majorHAnsi" w:hAnsiTheme="majorHAnsi" w:cstheme="majorHAnsi"/>
          <w:sz w:val="24"/>
          <w:szCs w:val="24"/>
          <w:lang w:val="ro-RO"/>
        </w:rPr>
      </w:pPr>
      <w:r>
        <w:rPr>
          <w:rFonts w:asciiTheme="majorHAnsi" w:hAnsiTheme="majorHAnsi" w:cstheme="majorHAnsi"/>
          <w:sz w:val="24"/>
          <w:szCs w:val="24"/>
          <w:lang w:val="ru-MD"/>
        </w:rPr>
        <w:t>у</w:t>
      </w:r>
      <w:r w:rsidR="00B749E7" w:rsidRPr="00DD5A07">
        <w:rPr>
          <w:rFonts w:asciiTheme="majorHAnsi" w:hAnsiTheme="majorHAnsi" w:cstheme="majorHAnsi"/>
          <w:sz w:val="24"/>
          <w:szCs w:val="24"/>
          <w:lang w:val="ru-MD"/>
        </w:rPr>
        <w:t>становление ежемесячных пособий по уходу за ребенком до 2 лет для всех детей</w:t>
      </w:r>
      <w:r>
        <w:rPr>
          <w:rFonts w:asciiTheme="majorHAnsi" w:hAnsiTheme="majorHAnsi" w:cstheme="majorHAnsi"/>
          <w:sz w:val="24"/>
          <w:szCs w:val="24"/>
          <w:lang w:val="ru-MD"/>
        </w:rPr>
        <w:t>,</w:t>
      </w:r>
      <w:r w:rsidR="00B749E7" w:rsidRPr="00DD5A07">
        <w:rPr>
          <w:rFonts w:asciiTheme="majorHAnsi" w:hAnsiTheme="majorHAnsi" w:cstheme="majorHAnsi"/>
          <w:sz w:val="24"/>
          <w:szCs w:val="24"/>
          <w:lang w:val="ru-MD"/>
        </w:rPr>
        <w:t xml:space="preserve"> независимо от статуса родителя (застрахованн</w:t>
      </w:r>
      <w:r>
        <w:rPr>
          <w:rFonts w:asciiTheme="majorHAnsi" w:hAnsiTheme="majorHAnsi" w:cstheme="majorHAnsi"/>
          <w:sz w:val="24"/>
          <w:szCs w:val="24"/>
          <w:lang w:val="ru-MD"/>
        </w:rPr>
        <w:t>ый</w:t>
      </w:r>
      <w:r w:rsidR="00B749E7" w:rsidRPr="00DD5A07">
        <w:rPr>
          <w:rFonts w:asciiTheme="majorHAnsi" w:hAnsiTheme="majorHAnsi" w:cstheme="majorHAnsi"/>
          <w:sz w:val="24"/>
          <w:szCs w:val="24"/>
          <w:lang w:val="ru-MD"/>
        </w:rPr>
        <w:t xml:space="preserve"> или незастрахованн</w:t>
      </w:r>
      <w:r>
        <w:rPr>
          <w:rFonts w:asciiTheme="majorHAnsi" w:hAnsiTheme="majorHAnsi" w:cstheme="majorHAnsi"/>
          <w:sz w:val="24"/>
          <w:szCs w:val="24"/>
          <w:lang w:val="ru-MD"/>
        </w:rPr>
        <w:t>ый</w:t>
      </w:r>
      <w:r w:rsidR="00B749E7" w:rsidRPr="00DD5A07">
        <w:rPr>
          <w:rFonts w:asciiTheme="majorHAnsi" w:hAnsiTheme="majorHAnsi" w:cstheme="majorHAnsi"/>
          <w:sz w:val="24"/>
          <w:szCs w:val="24"/>
          <w:lang w:val="ru-MD"/>
        </w:rPr>
        <w:t xml:space="preserve">), в размере 1 000 леев, </w:t>
      </w:r>
      <w:r>
        <w:rPr>
          <w:rFonts w:asciiTheme="majorHAnsi" w:hAnsiTheme="majorHAnsi" w:cstheme="majorHAnsi"/>
          <w:sz w:val="24"/>
          <w:szCs w:val="24"/>
          <w:lang w:val="ru-MD"/>
        </w:rPr>
        <w:t xml:space="preserve">начиная </w:t>
      </w:r>
      <w:r w:rsidR="00B749E7" w:rsidRPr="00DD5A07">
        <w:rPr>
          <w:rFonts w:asciiTheme="majorHAnsi" w:hAnsiTheme="majorHAnsi" w:cstheme="majorHAnsi"/>
          <w:sz w:val="24"/>
          <w:szCs w:val="24"/>
          <w:lang w:val="ru-MD"/>
        </w:rPr>
        <w:t>с 1 октября 2022 года</w:t>
      </w:r>
      <w:r w:rsidR="00B749E7" w:rsidRPr="005F6348">
        <w:rPr>
          <w:rFonts w:asciiTheme="majorHAnsi" w:hAnsiTheme="majorHAnsi" w:cstheme="majorHAnsi"/>
          <w:sz w:val="24"/>
          <w:szCs w:val="24"/>
          <w:lang w:val="ro-RO"/>
        </w:rPr>
        <w:t>;</w:t>
      </w:r>
    </w:p>
    <w:p w14:paraId="03F0CDB9" w14:textId="661198DF" w:rsidR="00B749E7" w:rsidRPr="00DD5A07" w:rsidRDefault="00EC45E5" w:rsidP="00B749E7">
      <w:pPr>
        <w:numPr>
          <w:ilvl w:val="0"/>
          <w:numId w:val="14"/>
        </w:numPr>
        <w:spacing w:after="0" w:line="276" w:lineRule="auto"/>
        <w:contextualSpacing/>
        <w:jc w:val="both"/>
        <w:rPr>
          <w:rFonts w:asciiTheme="majorHAnsi" w:hAnsiTheme="majorHAnsi" w:cstheme="majorHAnsi"/>
          <w:sz w:val="24"/>
          <w:szCs w:val="24"/>
          <w:lang w:val="ru-MD"/>
        </w:rPr>
      </w:pPr>
      <w:r>
        <w:rPr>
          <w:rFonts w:asciiTheme="majorHAnsi" w:hAnsiTheme="majorHAnsi" w:cstheme="majorHAnsi"/>
          <w:sz w:val="24"/>
          <w:szCs w:val="24"/>
          <w:lang w:val="ru-MD"/>
        </w:rPr>
        <w:t>у</w:t>
      </w:r>
      <w:r w:rsidR="00B749E7" w:rsidRPr="00DD5A07">
        <w:rPr>
          <w:rFonts w:asciiTheme="majorHAnsi" w:hAnsiTheme="majorHAnsi" w:cstheme="majorHAnsi"/>
          <w:sz w:val="24"/>
          <w:szCs w:val="24"/>
          <w:lang w:val="ru-MD"/>
        </w:rPr>
        <w:t>величение на 130 леев</w:t>
      </w:r>
      <w:r>
        <w:rPr>
          <w:rFonts w:asciiTheme="majorHAnsi" w:hAnsiTheme="majorHAnsi" w:cstheme="majorHAnsi"/>
          <w:sz w:val="24"/>
          <w:szCs w:val="24"/>
          <w:lang w:val="ru-MD"/>
        </w:rPr>
        <w:t>,</w:t>
      </w:r>
      <w:r w:rsidR="00B749E7" w:rsidRPr="00DD5A07">
        <w:rPr>
          <w:rFonts w:asciiTheme="majorHAnsi" w:hAnsiTheme="majorHAnsi" w:cstheme="majorHAnsi"/>
          <w:sz w:val="24"/>
          <w:szCs w:val="24"/>
          <w:lang w:val="ru-MD"/>
        </w:rPr>
        <w:t xml:space="preserve"> или с 370 леев до 500 леев</w:t>
      </w:r>
      <w:r>
        <w:rPr>
          <w:rFonts w:asciiTheme="majorHAnsi" w:hAnsiTheme="majorHAnsi" w:cstheme="majorHAnsi"/>
          <w:sz w:val="24"/>
          <w:szCs w:val="24"/>
          <w:lang w:val="ru-MD"/>
        </w:rPr>
        <w:t>,</w:t>
      </w:r>
      <w:r w:rsidR="00B749E7" w:rsidRPr="00DD5A07">
        <w:rPr>
          <w:rFonts w:asciiTheme="majorHAnsi" w:hAnsiTheme="majorHAnsi" w:cstheme="majorHAnsi"/>
          <w:sz w:val="24"/>
          <w:szCs w:val="24"/>
          <w:lang w:val="ru-MD"/>
        </w:rPr>
        <w:t xml:space="preserve"> ежемесячного пособия по уходу за ребенком до достижения 3-летнего возраста для детей-близнецов или нескольких детей, рожденных от одной беременности, застрахованным и незастрахованным лицам, </w:t>
      </w:r>
      <w:r>
        <w:rPr>
          <w:rFonts w:asciiTheme="majorHAnsi" w:hAnsiTheme="majorHAnsi" w:cstheme="majorHAnsi"/>
          <w:sz w:val="24"/>
          <w:szCs w:val="24"/>
          <w:lang w:val="ru-MD"/>
        </w:rPr>
        <w:t xml:space="preserve">начиная </w:t>
      </w:r>
      <w:r w:rsidR="00B749E7" w:rsidRPr="00DD5A07">
        <w:rPr>
          <w:rFonts w:asciiTheme="majorHAnsi" w:hAnsiTheme="majorHAnsi" w:cstheme="majorHAnsi"/>
          <w:sz w:val="24"/>
          <w:szCs w:val="24"/>
          <w:lang w:val="ru-MD"/>
        </w:rPr>
        <w:t>с 1 октября 2022 года;</w:t>
      </w:r>
    </w:p>
    <w:p w14:paraId="4810E90E" w14:textId="73BC5EF8" w:rsidR="00B749E7" w:rsidRPr="00DD5A07" w:rsidRDefault="00FA55AD" w:rsidP="00B749E7">
      <w:pPr>
        <w:numPr>
          <w:ilvl w:val="0"/>
          <w:numId w:val="14"/>
        </w:numPr>
        <w:spacing w:after="0" w:line="276" w:lineRule="auto"/>
        <w:contextualSpacing/>
        <w:jc w:val="both"/>
        <w:rPr>
          <w:rFonts w:asciiTheme="majorHAnsi" w:hAnsiTheme="majorHAnsi" w:cstheme="majorHAnsi"/>
          <w:sz w:val="24"/>
          <w:szCs w:val="24"/>
          <w:lang w:val="ru-MD"/>
        </w:rPr>
      </w:pPr>
      <w:r>
        <w:rPr>
          <w:rFonts w:asciiTheme="majorHAnsi" w:hAnsiTheme="majorHAnsi" w:cstheme="majorHAnsi"/>
          <w:sz w:val="24"/>
          <w:szCs w:val="24"/>
          <w:lang w:val="ru-MD"/>
        </w:rPr>
        <w:t>п</w:t>
      </w:r>
      <w:r w:rsidR="00B749E7" w:rsidRPr="00DD5A07">
        <w:rPr>
          <w:rFonts w:asciiTheme="majorHAnsi" w:hAnsiTheme="majorHAnsi" w:cstheme="majorHAnsi"/>
          <w:sz w:val="24"/>
          <w:szCs w:val="24"/>
          <w:lang w:val="ru-MD"/>
        </w:rPr>
        <w:t xml:space="preserve">редоставление, </w:t>
      </w:r>
      <w:r>
        <w:rPr>
          <w:rFonts w:asciiTheme="majorHAnsi" w:hAnsiTheme="majorHAnsi" w:cstheme="majorHAnsi"/>
          <w:sz w:val="24"/>
          <w:szCs w:val="24"/>
          <w:lang w:val="ru-MD"/>
        </w:rPr>
        <w:t xml:space="preserve">начиная </w:t>
      </w:r>
      <w:r w:rsidR="00B749E7" w:rsidRPr="00DD5A07">
        <w:rPr>
          <w:rFonts w:asciiTheme="majorHAnsi" w:hAnsiTheme="majorHAnsi" w:cstheme="majorHAnsi"/>
          <w:sz w:val="24"/>
          <w:szCs w:val="24"/>
          <w:lang w:val="ru-MD"/>
        </w:rPr>
        <w:t>с 1 октября 2022 года, едино</w:t>
      </w:r>
      <w:r>
        <w:rPr>
          <w:rFonts w:asciiTheme="majorHAnsi" w:hAnsiTheme="majorHAnsi" w:cstheme="majorHAnsi"/>
          <w:sz w:val="24"/>
          <w:szCs w:val="24"/>
          <w:lang w:val="ru-MD"/>
        </w:rPr>
        <w:t>временно</w:t>
      </w:r>
      <w:r w:rsidR="00B749E7" w:rsidRPr="00DD5A07">
        <w:rPr>
          <w:rFonts w:asciiTheme="majorHAnsi" w:hAnsiTheme="majorHAnsi" w:cstheme="majorHAnsi"/>
          <w:sz w:val="24"/>
          <w:szCs w:val="24"/>
          <w:lang w:val="ru-MD"/>
        </w:rPr>
        <w:t>й финансовой помощи в размере 1 500 леев получателям пенсий и социальных пособий, размер которых не превышает 5 000 леев;</w:t>
      </w:r>
    </w:p>
    <w:p w14:paraId="4BC9966D" w14:textId="0189B00A" w:rsidR="00B749E7" w:rsidRPr="00A627C4" w:rsidRDefault="00FA55AD" w:rsidP="00B749E7">
      <w:pPr>
        <w:numPr>
          <w:ilvl w:val="0"/>
          <w:numId w:val="14"/>
        </w:numPr>
        <w:spacing w:after="0" w:line="276" w:lineRule="auto"/>
        <w:contextualSpacing/>
        <w:jc w:val="both"/>
        <w:rPr>
          <w:rFonts w:asciiTheme="majorHAnsi" w:hAnsiTheme="majorHAnsi" w:cstheme="majorHAnsi"/>
          <w:sz w:val="24"/>
          <w:szCs w:val="24"/>
          <w:lang w:val="ru-MD"/>
        </w:rPr>
      </w:pPr>
      <w:r>
        <w:rPr>
          <w:rFonts w:asciiTheme="majorHAnsi" w:hAnsiTheme="majorHAnsi" w:cstheme="majorHAnsi"/>
          <w:sz w:val="24"/>
          <w:szCs w:val="24"/>
          <w:lang w:val="ru-MD"/>
        </w:rPr>
        <w:t>п</w:t>
      </w:r>
      <w:r w:rsidR="00B749E7" w:rsidRPr="00A627C4">
        <w:rPr>
          <w:rFonts w:asciiTheme="majorHAnsi" w:hAnsiTheme="majorHAnsi" w:cstheme="majorHAnsi"/>
          <w:sz w:val="24"/>
          <w:szCs w:val="24"/>
          <w:lang w:val="ru-MD"/>
        </w:rPr>
        <w:t>редоставление права на нов</w:t>
      </w:r>
      <w:r w:rsidR="00B749E7">
        <w:rPr>
          <w:rFonts w:asciiTheme="majorHAnsi" w:hAnsiTheme="majorHAnsi" w:cstheme="majorHAnsi"/>
          <w:sz w:val="24"/>
          <w:szCs w:val="24"/>
          <w:lang w:val="ru-MD"/>
        </w:rPr>
        <w:t>ую</w:t>
      </w:r>
      <w:r w:rsidR="00B749E7" w:rsidRPr="00A627C4">
        <w:rPr>
          <w:rFonts w:asciiTheme="majorHAnsi" w:hAnsiTheme="majorHAnsi" w:cstheme="majorHAnsi"/>
          <w:sz w:val="24"/>
          <w:szCs w:val="24"/>
          <w:lang w:val="ru-MD"/>
        </w:rPr>
        <w:t xml:space="preserve"> </w:t>
      </w:r>
      <w:r w:rsidR="00B749E7">
        <w:rPr>
          <w:rFonts w:asciiTheme="majorHAnsi" w:hAnsiTheme="majorHAnsi" w:cstheme="majorHAnsi"/>
          <w:sz w:val="24"/>
          <w:szCs w:val="24"/>
          <w:lang w:val="ru-MD"/>
        </w:rPr>
        <w:t>опцию</w:t>
      </w:r>
      <w:r w:rsidR="00B749E7" w:rsidRPr="00A627C4">
        <w:rPr>
          <w:rFonts w:asciiTheme="majorHAnsi" w:hAnsiTheme="majorHAnsi" w:cstheme="majorHAnsi"/>
          <w:sz w:val="24"/>
          <w:szCs w:val="24"/>
          <w:lang w:val="ru-MD"/>
        </w:rPr>
        <w:t xml:space="preserve"> застрахованным лицам, находящимся в отпуске по уходу за ребенком до достижения 3-летнего возраста: получать ежемесячное пособие по уходу за ребенком на 12-месячный период в размере 90% расчетной базы;</w:t>
      </w:r>
    </w:p>
    <w:p w14:paraId="0F9CB35C" w14:textId="71E47E8E" w:rsidR="00B749E7" w:rsidRPr="00A627C4" w:rsidRDefault="00FA55AD" w:rsidP="00B749E7">
      <w:pPr>
        <w:numPr>
          <w:ilvl w:val="0"/>
          <w:numId w:val="14"/>
        </w:numPr>
        <w:spacing w:after="0" w:line="276" w:lineRule="auto"/>
        <w:contextualSpacing/>
        <w:jc w:val="both"/>
        <w:rPr>
          <w:rFonts w:asciiTheme="majorHAnsi" w:hAnsiTheme="majorHAnsi" w:cstheme="majorHAnsi"/>
          <w:sz w:val="24"/>
          <w:szCs w:val="24"/>
          <w:lang w:val="ru-MD"/>
        </w:rPr>
      </w:pPr>
      <w:r>
        <w:rPr>
          <w:rFonts w:asciiTheme="majorHAnsi" w:hAnsiTheme="majorHAnsi" w:cstheme="majorHAnsi"/>
          <w:sz w:val="24"/>
          <w:szCs w:val="24"/>
          <w:lang w:val="ru-MD"/>
        </w:rPr>
        <w:t>и</w:t>
      </w:r>
      <w:r w:rsidR="00B749E7" w:rsidRPr="00A627C4">
        <w:rPr>
          <w:rFonts w:asciiTheme="majorHAnsi" w:hAnsiTheme="majorHAnsi" w:cstheme="majorHAnsi"/>
          <w:sz w:val="24"/>
          <w:szCs w:val="24"/>
          <w:lang w:val="ru-MD"/>
        </w:rPr>
        <w:t xml:space="preserve">зменение нормативной базы по </w:t>
      </w:r>
      <w:r>
        <w:rPr>
          <w:rFonts w:asciiTheme="majorHAnsi" w:hAnsiTheme="majorHAnsi" w:cstheme="majorHAnsi"/>
          <w:sz w:val="24"/>
          <w:szCs w:val="24"/>
          <w:lang w:val="ru-MD"/>
        </w:rPr>
        <w:t>предоставле</w:t>
      </w:r>
      <w:r w:rsidR="00B749E7" w:rsidRPr="00A627C4">
        <w:rPr>
          <w:rFonts w:asciiTheme="majorHAnsi" w:hAnsiTheme="majorHAnsi" w:cstheme="majorHAnsi"/>
          <w:sz w:val="24"/>
          <w:szCs w:val="24"/>
          <w:lang w:val="ru-MD"/>
        </w:rPr>
        <w:t>нию социально</w:t>
      </w:r>
      <w:r>
        <w:rPr>
          <w:rFonts w:asciiTheme="majorHAnsi" w:hAnsiTheme="majorHAnsi" w:cstheme="majorHAnsi"/>
          <w:sz w:val="24"/>
          <w:szCs w:val="24"/>
          <w:lang w:val="ru-MD"/>
        </w:rPr>
        <w:t>го пособия и пособия</w:t>
      </w:r>
      <w:r w:rsidR="00B749E7" w:rsidRPr="00A627C4">
        <w:rPr>
          <w:rFonts w:asciiTheme="majorHAnsi" w:hAnsiTheme="majorHAnsi" w:cstheme="majorHAnsi"/>
          <w:sz w:val="24"/>
          <w:szCs w:val="24"/>
          <w:lang w:val="ru-MD"/>
        </w:rPr>
        <w:t xml:space="preserve"> на холодный период года, с целью поддержки наиболее уязвимых семей.</w:t>
      </w:r>
    </w:p>
    <w:p w14:paraId="09998925" w14:textId="77777777" w:rsidR="00B749E7" w:rsidRPr="00B0787F" w:rsidRDefault="00B749E7" w:rsidP="00B749E7">
      <w:pPr>
        <w:spacing w:line="276" w:lineRule="auto"/>
        <w:jc w:val="both"/>
        <w:rPr>
          <w:rFonts w:asciiTheme="majorHAnsi" w:hAnsiTheme="majorHAnsi" w:cstheme="majorHAnsi"/>
          <w:sz w:val="24"/>
          <w:szCs w:val="24"/>
          <w:lang w:val="ru-MD"/>
        </w:rPr>
      </w:pPr>
      <w:r w:rsidRPr="00B0787F">
        <w:rPr>
          <w:rFonts w:asciiTheme="majorHAnsi" w:hAnsiTheme="majorHAnsi" w:cstheme="majorHAnsi"/>
          <w:sz w:val="24"/>
          <w:szCs w:val="24"/>
          <w:lang w:val="ru-MD"/>
        </w:rPr>
        <w:t>Синтез стоимости изменений в бюджете государственного социального страхования на 2022 год представлен в Приложении №10 к настоящему Отчету аудита.</w:t>
      </w:r>
    </w:p>
    <w:p w14:paraId="622F172C" w14:textId="388E5AB4" w:rsidR="00B749E7" w:rsidRPr="00B0787F" w:rsidRDefault="00B749E7" w:rsidP="00B749E7">
      <w:pPr>
        <w:spacing w:after="0" w:line="276" w:lineRule="auto"/>
        <w:jc w:val="both"/>
        <w:rPr>
          <w:rFonts w:asciiTheme="majorHAnsi" w:hAnsiTheme="majorHAnsi" w:cstheme="majorHAnsi"/>
          <w:sz w:val="24"/>
          <w:szCs w:val="24"/>
          <w:lang w:val="ru-MD"/>
        </w:rPr>
      </w:pPr>
      <w:r w:rsidRPr="00B0787F">
        <w:rPr>
          <w:rFonts w:asciiTheme="majorHAnsi" w:hAnsiTheme="majorHAnsi" w:cstheme="majorHAnsi"/>
          <w:sz w:val="24"/>
          <w:szCs w:val="24"/>
          <w:lang w:val="ru-MD"/>
        </w:rPr>
        <w:t xml:space="preserve">В результате анализа бюджетного </w:t>
      </w:r>
      <w:r w:rsidR="009322BB">
        <w:rPr>
          <w:rFonts w:asciiTheme="majorHAnsi" w:hAnsiTheme="majorHAnsi" w:cstheme="majorHAnsi"/>
          <w:sz w:val="24"/>
          <w:szCs w:val="24"/>
          <w:lang w:val="ru-MD"/>
        </w:rPr>
        <w:t xml:space="preserve">исполнения за </w:t>
      </w:r>
      <w:r w:rsidRPr="00B0787F">
        <w:rPr>
          <w:rFonts w:asciiTheme="majorHAnsi" w:hAnsiTheme="majorHAnsi" w:cstheme="majorHAnsi"/>
          <w:sz w:val="24"/>
          <w:szCs w:val="24"/>
          <w:lang w:val="ru-MD"/>
        </w:rPr>
        <w:t xml:space="preserve">год, завершившегося 31 декабря 2022 года, было установлено, что исполненные доходы </w:t>
      </w:r>
      <w:r w:rsidR="009322BB">
        <w:rPr>
          <w:rFonts w:asciiTheme="majorHAnsi" w:hAnsiTheme="majorHAnsi" w:cstheme="majorHAnsi"/>
          <w:sz w:val="24"/>
          <w:szCs w:val="24"/>
          <w:lang w:val="ru-MD"/>
        </w:rPr>
        <w:t>составили</w:t>
      </w:r>
      <w:r w:rsidRPr="00B0787F">
        <w:rPr>
          <w:rFonts w:asciiTheme="majorHAnsi" w:hAnsiTheme="majorHAnsi" w:cstheme="majorHAnsi"/>
          <w:sz w:val="24"/>
          <w:szCs w:val="24"/>
          <w:lang w:val="ru-MD"/>
        </w:rPr>
        <w:t xml:space="preserve"> 33 796,07 млн. леев</w:t>
      </w:r>
      <w:r w:rsidR="009322BB">
        <w:rPr>
          <w:rFonts w:asciiTheme="majorHAnsi" w:hAnsiTheme="majorHAnsi" w:cstheme="majorHAnsi"/>
          <w:sz w:val="24"/>
          <w:szCs w:val="24"/>
          <w:lang w:val="ru-MD"/>
        </w:rPr>
        <w:t>,</w:t>
      </w:r>
      <w:r w:rsidRPr="00B0787F">
        <w:rPr>
          <w:rFonts w:asciiTheme="majorHAnsi" w:hAnsiTheme="majorHAnsi" w:cstheme="majorHAnsi"/>
          <w:sz w:val="24"/>
          <w:szCs w:val="24"/>
          <w:lang w:val="ru-MD"/>
        </w:rPr>
        <w:t xml:space="preserve"> на 1,2% или на 404,5 млн. леев меньше  по сравнению с годовыми показателями, а расходы бюджета государственного социального страхования были исполнены в сумме 33 745,3 млн. леев, на 455,3 млн. леев меньше по сравнению с годовыми показателями, или на уровне 98,7%. Синтез бюджета государственного социального страхования на 2022 год представлен в таблице ниже.</w:t>
      </w:r>
    </w:p>
    <w:p w14:paraId="4398DECE" w14:textId="77777777" w:rsidR="00B749E7" w:rsidRPr="00534169" w:rsidRDefault="00B749E7" w:rsidP="00B749E7">
      <w:pPr>
        <w:spacing w:after="0" w:line="276" w:lineRule="auto"/>
        <w:jc w:val="right"/>
        <w:rPr>
          <w:rFonts w:asciiTheme="majorHAnsi" w:hAnsiTheme="majorHAnsi" w:cstheme="majorHAnsi"/>
          <w:b/>
          <w:bCs/>
          <w:sz w:val="24"/>
          <w:szCs w:val="24"/>
          <w:lang w:val="ro-RO"/>
        </w:rPr>
      </w:pPr>
      <w:r>
        <w:rPr>
          <w:rFonts w:asciiTheme="majorHAnsi" w:hAnsiTheme="majorHAnsi" w:cstheme="majorHAnsi"/>
          <w:b/>
          <w:bCs/>
          <w:sz w:val="24"/>
          <w:szCs w:val="24"/>
          <w:lang w:val="ru-RU"/>
        </w:rPr>
        <w:t>Таблица №</w:t>
      </w:r>
      <w:r>
        <w:rPr>
          <w:rFonts w:asciiTheme="majorHAnsi" w:hAnsiTheme="majorHAnsi" w:cstheme="majorHAnsi"/>
          <w:b/>
          <w:bCs/>
          <w:sz w:val="24"/>
          <w:szCs w:val="24"/>
          <w:lang w:val="ro-RO"/>
        </w:rPr>
        <w:t>2</w:t>
      </w:r>
    </w:p>
    <w:p w14:paraId="5AA86D49" w14:textId="0ED199E3" w:rsidR="00B749E7" w:rsidRPr="00A66A5B" w:rsidRDefault="00B749E7" w:rsidP="00B749E7">
      <w:pPr>
        <w:spacing w:after="0"/>
        <w:jc w:val="center"/>
        <w:rPr>
          <w:rFonts w:asciiTheme="majorHAnsi" w:hAnsiTheme="majorHAnsi" w:cstheme="majorHAnsi"/>
          <w:b/>
          <w:bCs/>
          <w:sz w:val="24"/>
          <w:szCs w:val="24"/>
          <w:lang w:val="ru-MD"/>
        </w:rPr>
      </w:pPr>
      <w:r w:rsidRPr="00A66A5B">
        <w:rPr>
          <w:rFonts w:asciiTheme="majorHAnsi" w:hAnsiTheme="majorHAnsi" w:cstheme="majorHAnsi"/>
          <w:b/>
          <w:bCs/>
          <w:sz w:val="24"/>
          <w:szCs w:val="24"/>
          <w:lang w:val="ru-MD"/>
        </w:rPr>
        <w:t>Исполнение бюджета государственного социального страхования за 201</w:t>
      </w:r>
      <w:r w:rsidR="009322BB">
        <w:rPr>
          <w:rFonts w:asciiTheme="majorHAnsi" w:hAnsiTheme="majorHAnsi" w:cstheme="majorHAnsi"/>
          <w:b/>
          <w:bCs/>
          <w:sz w:val="24"/>
          <w:szCs w:val="24"/>
          <w:lang w:val="ru-MD"/>
        </w:rPr>
        <w:t>9</w:t>
      </w:r>
      <w:r w:rsidRPr="00A66A5B">
        <w:rPr>
          <w:rFonts w:asciiTheme="majorHAnsi" w:hAnsiTheme="majorHAnsi" w:cstheme="majorHAnsi"/>
          <w:b/>
          <w:bCs/>
          <w:sz w:val="24"/>
          <w:szCs w:val="24"/>
          <w:lang w:val="ru-MD"/>
        </w:rPr>
        <w:t>-2022 годы</w:t>
      </w:r>
    </w:p>
    <w:tbl>
      <w:tblPr>
        <w:tblW w:w="5112" w:type="pct"/>
        <w:tblInd w:w="-5" w:type="dxa"/>
        <w:tblLayout w:type="fixed"/>
        <w:tblLook w:val="04A0" w:firstRow="1" w:lastRow="0" w:firstColumn="1" w:lastColumn="0" w:noHBand="0" w:noVBand="1"/>
      </w:tblPr>
      <w:tblGrid>
        <w:gridCol w:w="1510"/>
        <w:gridCol w:w="921"/>
        <w:gridCol w:w="924"/>
        <w:gridCol w:w="1009"/>
        <w:gridCol w:w="1013"/>
        <w:gridCol w:w="1009"/>
        <w:gridCol w:w="633"/>
        <w:gridCol w:w="10"/>
        <w:gridCol w:w="883"/>
        <w:gridCol w:w="701"/>
        <w:gridCol w:w="10"/>
        <w:gridCol w:w="972"/>
        <w:gridCol w:w="654"/>
      </w:tblGrid>
      <w:tr w:rsidR="00B749E7" w:rsidRPr="00A66A5B" w14:paraId="53270801" w14:textId="77777777" w:rsidTr="000E41FD">
        <w:trPr>
          <w:trHeight w:val="646"/>
        </w:trPr>
        <w:tc>
          <w:tcPr>
            <w:tcW w:w="736" w:type="pct"/>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A756B4E" w14:textId="77777777" w:rsidR="00B749E7" w:rsidRPr="00A66A5B" w:rsidRDefault="00B749E7" w:rsidP="000E41FD">
            <w:pPr>
              <w:spacing w:after="0" w:line="240" w:lineRule="auto"/>
              <w:jc w:val="center"/>
              <w:rPr>
                <w:rFonts w:asciiTheme="majorHAnsi" w:eastAsia="Times New Roman" w:hAnsiTheme="majorHAnsi" w:cstheme="majorHAnsi"/>
                <w:b/>
                <w:bCs/>
                <w:color w:val="000000"/>
                <w:sz w:val="18"/>
                <w:szCs w:val="16"/>
                <w:lang w:val="ru-MD"/>
              </w:rPr>
            </w:pPr>
            <w:r w:rsidRPr="00A66A5B">
              <w:rPr>
                <w:rFonts w:asciiTheme="majorHAnsi" w:eastAsia="Times New Roman" w:hAnsiTheme="majorHAnsi" w:cstheme="majorHAnsi"/>
                <w:b/>
                <w:bCs/>
                <w:color w:val="000000"/>
                <w:sz w:val="18"/>
                <w:szCs w:val="16"/>
                <w:lang w:val="ru-MD"/>
              </w:rPr>
              <w:t>Название</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802A68F" w14:textId="77777777" w:rsidR="009322BB" w:rsidRDefault="00B749E7" w:rsidP="000E41FD">
            <w:pPr>
              <w:spacing w:after="0" w:line="240" w:lineRule="auto"/>
              <w:jc w:val="center"/>
              <w:rPr>
                <w:rFonts w:asciiTheme="majorHAnsi" w:eastAsia="Times New Roman" w:hAnsiTheme="majorHAnsi" w:cstheme="majorHAnsi"/>
                <w:b/>
                <w:bCs/>
                <w:color w:val="000000"/>
                <w:sz w:val="18"/>
                <w:szCs w:val="16"/>
                <w:lang w:val="ru-MD"/>
              </w:rPr>
            </w:pPr>
            <w:r w:rsidRPr="00A66A5B">
              <w:rPr>
                <w:rFonts w:asciiTheme="majorHAnsi" w:eastAsia="Times New Roman" w:hAnsiTheme="majorHAnsi" w:cstheme="majorHAnsi"/>
                <w:b/>
                <w:bCs/>
                <w:color w:val="000000"/>
                <w:sz w:val="18"/>
                <w:szCs w:val="16"/>
                <w:lang w:val="ru-MD"/>
              </w:rPr>
              <w:t xml:space="preserve">Исполнено,  </w:t>
            </w:r>
          </w:p>
          <w:p w14:paraId="55A24462" w14:textId="2A6ECEDC" w:rsidR="00B749E7" w:rsidRPr="00A66A5B" w:rsidRDefault="00B749E7" w:rsidP="000E41FD">
            <w:pPr>
              <w:spacing w:after="0" w:line="240" w:lineRule="auto"/>
              <w:jc w:val="center"/>
              <w:rPr>
                <w:rFonts w:asciiTheme="majorHAnsi" w:eastAsia="Times New Roman" w:hAnsiTheme="majorHAnsi" w:cstheme="majorHAnsi"/>
                <w:b/>
                <w:bCs/>
                <w:color w:val="000000"/>
                <w:sz w:val="18"/>
                <w:szCs w:val="16"/>
                <w:lang w:val="ru-MD"/>
              </w:rPr>
            </w:pPr>
            <w:r w:rsidRPr="00A66A5B">
              <w:rPr>
                <w:rFonts w:asciiTheme="majorHAnsi" w:eastAsia="Times New Roman" w:hAnsiTheme="majorHAnsi" w:cstheme="majorHAnsi"/>
                <w:b/>
                <w:bCs/>
                <w:color w:val="000000"/>
                <w:sz w:val="18"/>
                <w:szCs w:val="16"/>
                <w:lang w:val="ru-MD"/>
              </w:rPr>
              <w:t>2020 год</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2E6DED1" w14:textId="77777777" w:rsidR="009322BB" w:rsidRDefault="00B749E7" w:rsidP="000E41FD">
            <w:pPr>
              <w:spacing w:after="0" w:line="240" w:lineRule="auto"/>
              <w:jc w:val="center"/>
              <w:rPr>
                <w:rFonts w:asciiTheme="majorHAnsi" w:eastAsia="Times New Roman" w:hAnsiTheme="majorHAnsi" w:cstheme="majorHAnsi"/>
                <w:b/>
                <w:bCs/>
                <w:color w:val="000000"/>
                <w:sz w:val="18"/>
                <w:szCs w:val="16"/>
                <w:lang w:val="ru-MD"/>
              </w:rPr>
            </w:pPr>
            <w:r w:rsidRPr="00A66A5B">
              <w:rPr>
                <w:rFonts w:asciiTheme="majorHAnsi" w:eastAsia="Times New Roman" w:hAnsiTheme="majorHAnsi" w:cstheme="majorHAnsi"/>
                <w:b/>
                <w:bCs/>
                <w:color w:val="000000"/>
                <w:sz w:val="18"/>
                <w:szCs w:val="16"/>
                <w:lang w:val="ru-MD"/>
              </w:rPr>
              <w:t xml:space="preserve">Исполнено, </w:t>
            </w:r>
          </w:p>
          <w:p w14:paraId="4D265485" w14:textId="73EE00B9" w:rsidR="00B749E7" w:rsidRPr="00A66A5B" w:rsidRDefault="00B749E7" w:rsidP="000E41FD">
            <w:pPr>
              <w:spacing w:after="0" w:line="240" w:lineRule="auto"/>
              <w:jc w:val="center"/>
              <w:rPr>
                <w:rFonts w:asciiTheme="majorHAnsi" w:eastAsia="Times New Roman" w:hAnsiTheme="majorHAnsi" w:cstheme="majorHAnsi"/>
                <w:b/>
                <w:bCs/>
                <w:color w:val="000000"/>
                <w:sz w:val="18"/>
                <w:szCs w:val="16"/>
                <w:lang w:val="ru-MD"/>
              </w:rPr>
            </w:pPr>
            <w:r w:rsidRPr="00A66A5B">
              <w:rPr>
                <w:rFonts w:asciiTheme="majorHAnsi" w:eastAsia="Times New Roman" w:hAnsiTheme="majorHAnsi" w:cstheme="majorHAnsi"/>
                <w:b/>
                <w:bCs/>
                <w:color w:val="000000"/>
                <w:sz w:val="18"/>
                <w:szCs w:val="16"/>
                <w:lang w:val="ru-MD"/>
              </w:rPr>
              <w:t>2021 год</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8101CB0" w14:textId="77777777" w:rsidR="009322BB" w:rsidRDefault="00B749E7" w:rsidP="000E41FD">
            <w:pPr>
              <w:spacing w:after="0" w:line="240" w:lineRule="auto"/>
              <w:ind w:hanging="138"/>
              <w:jc w:val="center"/>
              <w:rPr>
                <w:rFonts w:asciiTheme="majorHAnsi" w:eastAsia="Times New Roman" w:hAnsiTheme="majorHAnsi" w:cstheme="majorHAnsi"/>
                <w:b/>
                <w:bCs/>
                <w:color w:val="000000"/>
                <w:sz w:val="18"/>
                <w:szCs w:val="16"/>
                <w:lang w:val="ru-MD"/>
              </w:rPr>
            </w:pPr>
            <w:r w:rsidRPr="00A66A5B">
              <w:rPr>
                <w:rFonts w:asciiTheme="majorHAnsi" w:eastAsia="Times New Roman" w:hAnsiTheme="majorHAnsi" w:cstheme="majorHAnsi"/>
                <w:b/>
                <w:bCs/>
                <w:color w:val="000000"/>
                <w:sz w:val="18"/>
                <w:szCs w:val="16"/>
                <w:lang w:val="ru-MD"/>
              </w:rPr>
              <w:t>Исполне</w:t>
            </w:r>
          </w:p>
          <w:p w14:paraId="35E6E2F6" w14:textId="77777777" w:rsidR="009322BB" w:rsidRDefault="00B749E7" w:rsidP="000E41FD">
            <w:pPr>
              <w:spacing w:after="0" w:line="240" w:lineRule="auto"/>
              <w:ind w:hanging="138"/>
              <w:jc w:val="center"/>
              <w:rPr>
                <w:rFonts w:asciiTheme="majorHAnsi" w:eastAsia="Times New Roman" w:hAnsiTheme="majorHAnsi" w:cstheme="majorHAnsi"/>
                <w:b/>
                <w:bCs/>
                <w:color w:val="000000"/>
                <w:sz w:val="18"/>
                <w:szCs w:val="16"/>
                <w:lang w:val="ru-MD"/>
              </w:rPr>
            </w:pPr>
            <w:r w:rsidRPr="00A66A5B">
              <w:rPr>
                <w:rFonts w:asciiTheme="majorHAnsi" w:eastAsia="Times New Roman" w:hAnsiTheme="majorHAnsi" w:cstheme="majorHAnsi"/>
                <w:b/>
                <w:bCs/>
                <w:color w:val="000000"/>
                <w:sz w:val="18"/>
                <w:szCs w:val="16"/>
                <w:lang w:val="ru-MD"/>
              </w:rPr>
              <w:t xml:space="preserve">но,  </w:t>
            </w:r>
          </w:p>
          <w:p w14:paraId="528541E4" w14:textId="50C52345" w:rsidR="00B749E7" w:rsidRPr="00A66A5B" w:rsidRDefault="00B749E7" w:rsidP="000E41FD">
            <w:pPr>
              <w:spacing w:after="0" w:line="240" w:lineRule="auto"/>
              <w:ind w:hanging="138"/>
              <w:jc w:val="center"/>
              <w:rPr>
                <w:rFonts w:asciiTheme="majorHAnsi" w:eastAsia="Times New Roman" w:hAnsiTheme="majorHAnsi" w:cstheme="majorHAnsi"/>
                <w:b/>
                <w:bCs/>
                <w:color w:val="000000"/>
                <w:sz w:val="18"/>
                <w:szCs w:val="16"/>
                <w:lang w:val="ru-MD"/>
              </w:rPr>
            </w:pPr>
            <w:r w:rsidRPr="00A66A5B">
              <w:rPr>
                <w:rFonts w:asciiTheme="majorHAnsi" w:eastAsia="Times New Roman" w:hAnsiTheme="majorHAnsi" w:cstheme="majorHAnsi"/>
                <w:b/>
                <w:bCs/>
                <w:color w:val="000000"/>
                <w:sz w:val="18"/>
                <w:szCs w:val="16"/>
                <w:lang w:val="ru-MD"/>
              </w:rPr>
              <w:t>2022 год</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D3D9DEB" w14:textId="77777777" w:rsidR="00B749E7" w:rsidRPr="00A66A5B" w:rsidRDefault="00B749E7" w:rsidP="000E41FD">
            <w:pPr>
              <w:spacing w:after="0" w:line="240" w:lineRule="auto"/>
              <w:jc w:val="center"/>
              <w:rPr>
                <w:rFonts w:asciiTheme="majorHAnsi" w:eastAsia="Times New Roman" w:hAnsiTheme="majorHAnsi" w:cstheme="majorHAnsi"/>
                <w:b/>
                <w:bCs/>
                <w:color w:val="000000"/>
                <w:sz w:val="18"/>
                <w:szCs w:val="16"/>
                <w:lang w:val="ru-MD"/>
              </w:rPr>
            </w:pPr>
            <w:r w:rsidRPr="00A66A5B">
              <w:rPr>
                <w:rFonts w:asciiTheme="majorHAnsi" w:eastAsia="Times New Roman" w:hAnsiTheme="majorHAnsi" w:cstheme="majorHAnsi"/>
                <w:b/>
                <w:bCs/>
                <w:color w:val="000000"/>
                <w:sz w:val="18"/>
                <w:szCs w:val="16"/>
                <w:lang w:val="ru-MD"/>
              </w:rPr>
              <w:t>Уточнено,  2022 год</w:t>
            </w:r>
          </w:p>
        </w:tc>
        <w:tc>
          <w:tcPr>
            <w:tcW w:w="806" w:type="pct"/>
            <w:gridSpan w:val="3"/>
            <w:tcBorders>
              <w:top w:val="single" w:sz="4" w:space="0" w:color="auto"/>
              <w:left w:val="nil"/>
              <w:bottom w:val="single" w:sz="4" w:space="0" w:color="auto"/>
              <w:right w:val="single" w:sz="4" w:space="0" w:color="auto"/>
            </w:tcBorders>
            <w:shd w:val="clear" w:color="auto" w:fill="E7E6E6" w:themeFill="background2"/>
            <w:vAlign w:val="center"/>
            <w:hideMark/>
          </w:tcPr>
          <w:p w14:paraId="1FE03543" w14:textId="77777777" w:rsidR="00B749E7" w:rsidRPr="00A66A5B" w:rsidRDefault="00B749E7" w:rsidP="000E41FD">
            <w:pPr>
              <w:spacing w:after="0" w:line="240" w:lineRule="auto"/>
              <w:jc w:val="center"/>
              <w:rPr>
                <w:rFonts w:asciiTheme="majorHAnsi" w:eastAsia="Times New Roman" w:hAnsiTheme="majorHAnsi" w:cstheme="majorHAnsi"/>
                <w:b/>
                <w:bCs/>
                <w:color w:val="000000"/>
                <w:sz w:val="18"/>
                <w:szCs w:val="16"/>
                <w:lang w:val="ru-MD"/>
              </w:rPr>
            </w:pPr>
            <w:r w:rsidRPr="00A66A5B">
              <w:rPr>
                <w:rFonts w:asciiTheme="majorHAnsi" w:eastAsia="Times New Roman" w:hAnsiTheme="majorHAnsi" w:cstheme="majorHAnsi"/>
                <w:b/>
                <w:bCs/>
                <w:color w:val="000000"/>
                <w:sz w:val="18"/>
                <w:szCs w:val="16"/>
                <w:lang w:val="ru-MD"/>
              </w:rPr>
              <w:t xml:space="preserve">Исполнено  2022 год </w:t>
            </w:r>
            <w:r w:rsidRPr="00A66A5B">
              <w:rPr>
                <w:rFonts w:asciiTheme="majorHAnsi" w:eastAsia="Times New Roman" w:hAnsiTheme="majorHAnsi" w:cstheme="majorHAnsi"/>
                <w:b/>
                <w:bCs/>
                <w:color w:val="000000"/>
                <w:sz w:val="16"/>
                <w:szCs w:val="16"/>
                <w:lang w:val="ru-MD"/>
              </w:rPr>
              <w:t>п</w:t>
            </w:r>
            <w:r>
              <w:rPr>
                <w:rFonts w:asciiTheme="majorHAnsi" w:eastAsia="Times New Roman" w:hAnsiTheme="majorHAnsi" w:cstheme="majorHAnsi"/>
                <w:b/>
                <w:bCs/>
                <w:color w:val="000000"/>
                <w:sz w:val="16"/>
                <w:szCs w:val="16"/>
                <w:lang w:val="ru-MD"/>
              </w:rPr>
              <w:t>ротив у</w:t>
            </w:r>
            <w:r w:rsidRPr="00A66A5B">
              <w:rPr>
                <w:rFonts w:asciiTheme="majorHAnsi" w:eastAsia="Times New Roman" w:hAnsiTheme="majorHAnsi" w:cstheme="majorHAnsi"/>
                <w:b/>
                <w:bCs/>
                <w:color w:val="000000"/>
                <w:sz w:val="16"/>
                <w:szCs w:val="16"/>
                <w:lang w:val="ru-MD"/>
              </w:rPr>
              <w:t>точнено</w:t>
            </w:r>
          </w:p>
        </w:tc>
        <w:tc>
          <w:tcPr>
            <w:tcW w:w="778" w:type="pct"/>
            <w:gridSpan w:val="3"/>
            <w:tcBorders>
              <w:top w:val="single" w:sz="4" w:space="0" w:color="auto"/>
              <w:left w:val="nil"/>
              <w:bottom w:val="single" w:sz="4" w:space="0" w:color="auto"/>
              <w:right w:val="single" w:sz="4" w:space="0" w:color="auto"/>
            </w:tcBorders>
            <w:shd w:val="clear" w:color="auto" w:fill="E7E6E6" w:themeFill="background2"/>
            <w:vAlign w:val="center"/>
            <w:hideMark/>
          </w:tcPr>
          <w:p w14:paraId="77680C99" w14:textId="77777777" w:rsidR="00B749E7" w:rsidRPr="00A66A5B" w:rsidRDefault="00B749E7" w:rsidP="000E41FD">
            <w:pPr>
              <w:spacing w:after="0" w:line="240" w:lineRule="auto"/>
              <w:jc w:val="center"/>
              <w:rPr>
                <w:rFonts w:asciiTheme="majorHAnsi" w:eastAsia="Times New Roman" w:hAnsiTheme="majorHAnsi" w:cstheme="majorHAnsi"/>
                <w:b/>
                <w:bCs/>
                <w:color w:val="000000"/>
                <w:sz w:val="18"/>
                <w:szCs w:val="16"/>
                <w:lang w:val="ru-MD"/>
              </w:rPr>
            </w:pPr>
            <w:r w:rsidRPr="00A66A5B">
              <w:rPr>
                <w:rFonts w:asciiTheme="majorHAnsi" w:eastAsia="Times New Roman" w:hAnsiTheme="majorHAnsi" w:cstheme="majorHAnsi"/>
                <w:b/>
                <w:bCs/>
                <w:color w:val="000000"/>
                <w:sz w:val="18"/>
                <w:szCs w:val="16"/>
                <w:lang w:val="ru-MD"/>
              </w:rPr>
              <w:t xml:space="preserve">Исполнено  2022 год </w:t>
            </w:r>
            <w:r w:rsidRPr="00A66A5B">
              <w:rPr>
                <w:rFonts w:asciiTheme="majorHAnsi" w:eastAsia="Times New Roman" w:hAnsiTheme="majorHAnsi" w:cstheme="majorHAnsi"/>
                <w:b/>
                <w:bCs/>
                <w:color w:val="000000"/>
                <w:sz w:val="16"/>
                <w:szCs w:val="16"/>
                <w:lang w:val="ru-MD"/>
              </w:rPr>
              <w:t>против</w:t>
            </w:r>
            <w:r w:rsidRPr="00A66A5B">
              <w:rPr>
                <w:rFonts w:asciiTheme="majorHAnsi" w:eastAsia="Times New Roman" w:hAnsiTheme="majorHAnsi" w:cstheme="majorHAnsi"/>
                <w:b/>
                <w:bCs/>
                <w:color w:val="000000"/>
                <w:sz w:val="18"/>
                <w:szCs w:val="16"/>
                <w:lang w:val="ru-MD"/>
              </w:rPr>
              <w:t xml:space="preserve"> 2021 год</w:t>
            </w:r>
          </w:p>
        </w:tc>
        <w:tc>
          <w:tcPr>
            <w:tcW w:w="793" w:type="pct"/>
            <w:gridSpan w:val="2"/>
            <w:tcBorders>
              <w:top w:val="single" w:sz="4" w:space="0" w:color="auto"/>
              <w:left w:val="nil"/>
              <w:bottom w:val="single" w:sz="4" w:space="0" w:color="auto"/>
              <w:right w:val="single" w:sz="4" w:space="0" w:color="auto"/>
            </w:tcBorders>
            <w:shd w:val="clear" w:color="auto" w:fill="E7E6E6" w:themeFill="background2"/>
            <w:vAlign w:val="center"/>
            <w:hideMark/>
          </w:tcPr>
          <w:p w14:paraId="6DB851CD" w14:textId="77777777" w:rsidR="00B749E7" w:rsidRPr="00A66A5B" w:rsidRDefault="00B749E7" w:rsidP="000E41FD">
            <w:pPr>
              <w:spacing w:after="0" w:line="240" w:lineRule="auto"/>
              <w:jc w:val="center"/>
              <w:rPr>
                <w:rFonts w:asciiTheme="majorHAnsi" w:eastAsia="Times New Roman" w:hAnsiTheme="majorHAnsi" w:cstheme="majorHAnsi"/>
                <w:b/>
                <w:bCs/>
                <w:color w:val="000000"/>
                <w:sz w:val="18"/>
                <w:szCs w:val="16"/>
                <w:lang w:val="ru-MD"/>
              </w:rPr>
            </w:pPr>
            <w:r w:rsidRPr="00A66A5B">
              <w:rPr>
                <w:rFonts w:asciiTheme="majorHAnsi" w:eastAsia="Times New Roman" w:hAnsiTheme="majorHAnsi" w:cstheme="majorHAnsi"/>
                <w:b/>
                <w:bCs/>
                <w:color w:val="000000"/>
                <w:sz w:val="18"/>
                <w:szCs w:val="16"/>
                <w:lang w:val="ru-MD"/>
              </w:rPr>
              <w:t xml:space="preserve">Исполнено  2022 год </w:t>
            </w:r>
            <w:r w:rsidRPr="00A66A5B">
              <w:rPr>
                <w:rFonts w:asciiTheme="majorHAnsi" w:eastAsia="Times New Roman" w:hAnsiTheme="majorHAnsi" w:cstheme="majorHAnsi"/>
                <w:b/>
                <w:bCs/>
                <w:color w:val="000000"/>
                <w:sz w:val="16"/>
                <w:szCs w:val="16"/>
                <w:lang w:val="ru-MD"/>
              </w:rPr>
              <w:t>против</w:t>
            </w:r>
            <w:r w:rsidRPr="00A66A5B">
              <w:rPr>
                <w:rFonts w:asciiTheme="majorHAnsi" w:eastAsia="Times New Roman" w:hAnsiTheme="majorHAnsi" w:cstheme="majorHAnsi"/>
                <w:b/>
                <w:bCs/>
                <w:color w:val="000000"/>
                <w:sz w:val="18"/>
                <w:szCs w:val="16"/>
                <w:lang w:val="ru-MD"/>
              </w:rPr>
              <w:t xml:space="preserve">  2020 год</w:t>
            </w:r>
          </w:p>
        </w:tc>
      </w:tr>
      <w:tr w:rsidR="00B749E7" w:rsidRPr="00A66A5B" w14:paraId="5CDB05D2" w14:textId="77777777" w:rsidTr="000E41FD">
        <w:trPr>
          <w:trHeight w:val="227"/>
        </w:trPr>
        <w:tc>
          <w:tcPr>
            <w:tcW w:w="736"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B6AE2CF" w14:textId="77777777" w:rsidR="00B749E7" w:rsidRPr="00A66A5B" w:rsidRDefault="00B749E7" w:rsidP="000E41FD">
            <w:pPr>
              <w:spacing w:after="0" w:line="240" w:lineRule="auto"/>
              <w:rPr>
                <w:rFonts w:asciiTheme="majorHAnsi" w:eastAsia="Times New Roman" w:hAnsiTheme="majorHAnsi" w:cstheme="majorHAnsi"/>
                <w:b/>
                <w:bCs/>
                <w:color w:val="000000"/>
                <w:sz w:val="18"/>
                <w:szCs w:val="16"/>
                <w:lang w:val="ru-MD"/>
              </w:rPr>
            </w:pPr>
          </w:p>
        </w:tc>
        <w:tc>
          <w:tcPr>
            <w:tcW w:w="449"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E8BEDDF" w14:textId="77777777" w:rsidR="00B749E7" w:rsidRPr="00A66A5B" w:rsidRDefault="00B749E7" w:rsidP="000E41FD">
            <w:pPr>
              <w:spacing w:after="0" w:line="240" w:lineRule="auto"/>
              <w:rPr>
                <w:rFonts w:asciiTheme="majorHAnsi" w:eastAsia="Times New Roman" w:hAnsiTheme="majorHAnsi" w:cstheme="majorHAnsi"/>
                <w:b/>
                <w:bCs/>
                <w:color w:val="000000"/>
                <w:sz w:val="18"/>
                <w:szCs w:val="16"/>
                <w:lang w:val="ru-MD"/>
              </w:rPr>
            </w:pPr>
          </w:p>
        </w:tc>
        <w:tc>
          <w:tcPr>
            <w:tcW w:w="451"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317994" w14:textId="77777777" w:rsidR="00B749E7" w:rsidRPr="00A66A5B" w:rsidRDefault="00B749E7" w:rsidP="000E41FD">
            <w:pPr>
              <w:spacing w:after="0" w:line="240" w:lineRule="auto"/>
              <w:rPr>
                <w:rFonts w:asciiTheme="majorHAnsi" w:eastAsia="Times New Roman" w:hAnsiTheme="majorHAnsi" w:cstheme="majorHAnsi"/>
                <w:b/>
                <w:bCs/>
                <w:color w:val="000000"/>
                <w:sz w:val="18"/>
                <w:szCs w:val="16"/>
                <w:lang w:val="ru-MD"/>
              </w:rPr>
            </w:pPr>
          </w:p>
        </w:tc>
        <w:tc>
          <w:tcPr>
            <w:tcW w:w="492"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A11D617" w14:textId="77777777" w:rsidR="00B749E7" w:rsidRPr="00A66A5B" w:rsidRDefault="00B749E7" w:rsidP="000E41FD">
            <w:pPr>
              <w:spacing w:after="0" w:line="240" w:lineRule="auto"/>
              <w:rPr>
                <w:rFonts w:asciiTheme="majorHAnsi" w:eastAsia="Times New Roman" w:hAnsiTheme="majorHAnsi" w:cstheme="majorHAnsi"/>
                <w:b/>
                <w:bCs/>
                <w:color w:val="000000"/>
                <w:sz w:val="18"/>
                <w:szCs w:val="16"/>
                <w:lang w:val="ru-MD"/>
              </w:rPr>
            </w:pPr>
          </w:p>
        </w:tc>
        <w:tc>
          <w:tcPr>
            <w:tcW w:w="494"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94F1A75" w14:textId="77777777" w:rsidR="00B749E7" w:rsidRPr="00A66A5B" w:rsidRDefault="00B749E7" w:rsidP="000E41FD">
            <w:pPr>
              <w:spacing w:after="0" w:line="240" w:lineRule="auto"/>
              <w:rPr>
                <w:rFonts w:asciiTheme="majorHAnsi" w:eastAsia="Times New Roman" w:hAnsiTheme="majorHAnsi" w:cstheme="majorHAnsi"/>
                <w:b/>
                <w:bCs/>
                <w:color w:val="000000"/>
                <w:sz w:val="18"/>
                <w:szCs w:val="16"/>
                <w:lang w:val="ru-MD"/>
              </w:rPr>
            </w:pPr>
          </w:p>
        </w:tc>
        <w:tc>
          <w:tcPr>
            <w:tcW w:w="492" w:type="pct"/>
            <w:tcBorders>
              <w:top w:val="nil"/>
              <w:left w:val="nil"/>
              <w:bottom w:val="single" w:sz="4" w:space="0" w:color="auto"/>
              <w:right w:val="single" w:sz="4" w:space="0" w:color="auto"/>
            </w:tcBorders>
            <w:shd w:val="clear" w:color="auto" w:fill="E7E6E6" w:themeFill="background2"/>
            <w:noWrap/>
            <w:vAlign w:val="center"/>
            <w:hideMark/>
          </w:tcPr>
          <w:p w14:paraId="5AB6B5C5" w14:textId="77777777" w:rsidR="00B749E7" w:rsidRPr="00A66A5B" w:rsidRDefault="00B749E7" w:rsidP="000E41FD">
            <w:pPr>
              <w:spacing w:after="0" w:line="240" w:lineRule="auto"/>
              <w:jc w:val="center"/>
              <w:rPr>
                <w:rFonts w:asciiTheme="majorHAnsi" w:eastAsia="Times New Roman" w:hAnsiTheme="majorHAnsi" w:cstheme="majorHAnsi"/>
                <w:b/>
                <w:bCs/>
                <w:color w:val="000000"/>
                <w:sz w:val="18"/>
                <w:szCs w:val="16"/>
                <w:lang w:val="ru-MD"/>
              </w:rPr>
            </w:pPr>
            <w:r w:rsidRPr="00A66A5B">
              <w:rPr>
                <w:rFonts w:asciiTheme="majorHAnsi" w:eastAsia="Times New Roman" w:hAnsiTheme="majorHAnsi" w:cstheme="majorHAnsi"/>
                <w:b/>
                <w:bCs/>
                <w:color w:val="000000"/>
                <w:sz w:val="18"/>
                <w:szCs w:val="16"/>
                <w:lang w:val="ru-MD"/>
              </w:rPr>
              <w:t>отклонения (+/-)</w:t>
            </w:r>
          </w:p>
        </w:tc>
        <w:tc>
          <w:tcPr>
            <w:tcW w:w="309" w:type="pct"/>
            <w:tcBorders>
              <w:top w:val="nil"/>
              <w:left w:val="nil"/>
              <w:bottom w:val="single" w:sz="4" w:space="0" w:color="auto"/>
              <w:right w:val="single" w:sz="4" w:space="0" w:color="auto"/>
            </w:tcBorders>
            <w:shd w:val="clear" w:color="auto" w:fill="E7E6E6" w:themeFill="background2"/>
            <w:noWrap/>
            <w:vAlign w:val="center"/>
            <w:hideMark/>
          </w:tcPr>
          <w:p w14:paraId="2E683A68" w14:textId="77777777" w:rsidR="00B749E7" w:rsidRPr="00A66A5B" w:rsidRDefault="00B749E7" w:rsidP="000E41FD">
            <w:pPr>
              <w:spacing w:after="0" w:line="240" w:lineRule="auto"/>
              <w:jc w:val="center"/>
              <w:rPr>
                <w:rFonts w:asciiTheme="majorHAnsi" w:eastAsia="Times New Roman" w:hAnsiTheme="majorHAnsi" w:cstheme="majorHAnsi"/>
                <w:b/>
                <w:bCs/>
                <w:color w:val="000000"/>
                <w:sz w:val="18"/>
                <w:szCs w:val="16"/>
                <w:lang w:val="ru-MD"/>
              </w:rPr>
            </w:pPr>
            <w:r w:rsidRPr="00A66A5B">
              <w:rPr>
                <w:rFonts w:asciiTheme="majorHAnsi" w:eastAsia="Times New Roman" w:hAnsiTheme="majorHAnsi" w:cstheme="majorHAnsi"/>
                <w:b/>
                <w:bCs/>
                <w:color w:val="000000"/>
                <w:sz w:val="18"/>
                <w:szCs w:val="16"/>
                <w:lang w:val="ru-MD"/>
              </w:rPr>
              <w:t>в %</w:t>
            </w:r>
          </w:p>
        </w:tc>
        <w:tc>
          <w:tcPr>
            <w:tcW w:w="436" w:type="pct"/>
            <w:gridSpan w:val="2"/>
            <w:tcBorders>
              <w:top w:val="nil"/>
              <w:left w:val="nil"/>
              <w:bottom w:val="single" w:sz="4" w:space="0" w:color="auto"/>
              <w:right w:val="single" w:sz="4" w:space="0" w:color="auto"/>
            </w:tcBorders>
            <w:shd w:val="clear" w:color="auto" w:fill="E7E6E6" w:themeFill="background2"/>
            <w:noWrap/>
            <w:vAlign w:val="center"/>
            <w:hideMark/>
          </w:tcPr>
          <w:p w14:paraId="6F957A93" w14:textId="77777777" w:rsidR="00B749E7" w:rsidRPr="00A66A5B" w:rsidRDefault="00B749E7" w:rsidP="000E41FD">
            <w:pPr>
              <w:spacing w:after="0" w:line="240" w:lineRule="auto"/>
              <w:jc w:val="center"/>
              <w:rPr>
                <w:rFonts w:asciiTheme="majorHAnsi" w:eastAsia="Times New Roman" w:hAnsiTheme="majorHAnsi" w:cstheme="majorHAnsi"/>
                <w:b/>
                <w:bCs/>
                <w:color w:val="000000"/>
                <w:sz w:val="18"/>
                <w:szCs w:val="16"/>
                <w:lang w:val="ru-MD"/>
              </w:rPr>
            </w:pPr>
            <w:r w:rsidRPr="00A66A5B">
              <w:rPr>
                <w:rFonts w:asciiTheme="majorHAnsi" w:eastAsia="Times New Roman" w:hAnsiTheme="majorHAnsi" w:cstheme="majorHAnsi"/>
                <w:b/>
                <w:bCs/>
                <w:color w:val="000000"/>
                <w:sz w:val="18"/>
                <w:szCs w:val="16"/>
                <w:lang w:val="ru-MD"/>
              </w:rPr>
              <w:t>отклонения (+/-)</w:t>
            </w:r>
          </w:p>
        </w:tc>
        <w:tc>
          <w:tcPr>
            <w:tcW w:w="342" w:type="pct"/>
            <w:tcBorders>
              <w:top w:val="nil"/>
              <w:left w:val="nil"/>
              <w:bottom w:val="single" w:sz="4" w:space="0" w:color="auto"/>
              <w:right w:val="single" w:sz="4" w:space="0" w:color="auto"/>
            </w:tcBorders>
            <w:shd w:val="clear" w:color="auto" w:fill="E7E6E6" w:themeFill="background2"/>
            <w:noWrap/>
            <w:vAlign w:val="center"/>
            <w:hideMark/>
          </w:tcPr>
          <w:p w14:paraId="548C4E97" w14:textId="77777777" w:rsidR="00B749E7" w:rsidRPr="00A66A5B" w:rsidRDefault="00B749E7" w:rsidP="000E41FD">
            <w:pPr>
              <w:spacing w:after="0" w:line="240" w:lineRule="auto"/>
              <w:jc w:val="center"/>
              <w:rPr>
                <w:rFonts w:asciiTheme="majorHAnsi" w:eastAsia="Times New Roman" w:hAnsiTheme="majorHAnsi" w:cstheme="majorHAnsi"/>
                <w:b/>
                <w:bCs/>
                <w:color w:val="000000"/>
                <w:sz w:val="18"/>
                <w:szCs w:val="16"/>
                <w:lang w:val="ru-MD"/>
              </w:rPr>
            </w:pPr>
            <w:r w:rsidRPr="00A66A5B">
              <w:rPr>
                <w:rFonts w:asciiTheme="majorHAnsi" w:eastAsia="Times New Roman" w:hAnsiTheme="majorHAnsi" w:cstheme="majorHAnsi"/>
                <w:b/>
                <w:bCs/>
                <w:color w:val="000000"/>
                <w:sz w:val="18"/>
                <w:szCs w:val="16"/>
                <w:lang w:val="ru-MD"/>
              </w:rPr>
              <w:t>в %</w:t>
            </w:r>
          </w:p>
        </w:tc>
        <w:tc>
          <w:tcPr>
            <w:tcW w:w="479" w:type="pct"/>
            <w:gridSpan w:val="2"/>
            <w:tcBorders>
              <w:top w:val="nil"/>
              <w:left w:val="nil"/>
              <w:bottom w:val="single" w:sz="4" w:space="0" w:color="auto"/>
              <w:right w:val="single" w:sz="4" w:space="0" w:color="auto"/>
            </w:tcBorders>
            <w:shd w:val="clear" w:color="auto" w:fill="E7E6E6" w:themeFill="background2"/>
            <w:noWrap/>
            <w:vAlign w:val="center"/>
            <w:hideMark/>
          </w:tcPr>
          <w:p w14:paraId="25AFD3FE" w14:textId="77777777" w:rsidR="00B749E7" w:rsidRPr="00A66A5B" w:rsidRDefault="00B749E7" w:rsidP="000E41FD">
            <w:pPr>
              <w:spacing w:after="0" w:line="240" w:lineRule="auto"/>
              <w:jc w:val="center"/>
              <w:rPr>
                <w:rFonts w:asciiTheme="majorHAnsi" w:eastAsia="Times New Roman" w:hAnsiTheme="majorHAnsi" w:cstheme="majorHAnsi"/>
                <w:b/>
                <w:bCs/>
                <w:color w:val="000000"/>
                <w:sz w:val="18"/>
                <w:szCs w:val="16"/>
                <w:lang w:val="ru-MD"/>
              </w:rPr>
            </w:pPr>
            <w:r w:rsidRPr="00A66A5B">
              <w:rPr>
                <w:rFonts w:asciiTheme="majorHAnsi" w:eastAsia="Times New Roman" w:hAnsiTheme="majorHAnsi" w:cstheme="majorHAnsi"/>
                <w:b/>
                <w:bCs/>
                <w:color w:val="000000"/>
                <w:sz w:val="18"/>
                <w:szCs w:val="16"/>
                <w:lang w:val="ru-MD"/>
              </w:rPr>
              <w:t>отклонения (+/-)</w:t>
            </w:r>
          </w:p>
        </w:tc>
        <w:tc>
          <w:tcPr>
            <w:tcW w:w="319" w:type="pct"/>
            <w:tcBorders>
              <w:top w:val="nil"/>
              <w:left w:val="nil"/>
              <w:bottom w:val="single" w:sz="4" w:space="0" w:color="auto"/>
              <w:right w:val="single" w:sz="4" w:space="0" w:color="auto"/>
            </w:tcBorders>
            <w:shd w:val="clear" w:color="auto" w:fill="E7E6E6" w:themeFill="background2"/>
            <w:noWrap/>
            <w:vAlign w:val="center"/>
            <w:hideMark/>
          </w:tcPr>
          <w:p w14:paraId="656488A5" w14:textId="77777777" w:rsidR="00B749E7" w:rsidRPr="00A66A5B" w:rsidRDefault="00B749E7" w:rsidP="000E41FD">
            <w:pPr>
              <w:spacing w:after="0" w:line="240" w:lineRule="auto"/>
              <w:jc w:val="center"/>
              <w:rPr>
                <w:rFonts w:asciiTheme="majorHAnsi" w:eastAsia="Times New Roman" w:hAnsiTheme="majorHAnsi" w:cstheme="majorHAnsi"/>
                <w:b/>
                <w:bCs/>
                <w:color w:val="000000"/>
                <w:sz w:val="18"/>
                <w:szCs w:val="16"/>
                <w:lang w:val="ru-MD"/>
              </w:rPr>
            </w:pPr>
            <w:r w:rsidRPr="00A66A5B">
              <w:rPr>
                <w:rFonts w:asciiTheme="majorHAnsi" w:eastAsia="Times New Roman" w:hAnsiTheme="majorHAnsi" w:cstheme="majorHAnsi"/>
                <w:b/>
                <w:bCs/>
                <w:color w:val="000000"/>
                <w:sz w:val="18"/>
                <w:szCs w:val="16"/>
                <w:lang w:val="ru-MD"/>
              </w:rPr>
              <w:t>в %</w:t>
            </w:r>
          </w:p>
        </w:tc>
      </w:tr>
      <w:tr w:rsidR="00B749E7" w:rsidRPr="00A66A5B" w14:paraId="761D2A96" w14:textId="77777777" w:rsidTr="000E41FD">
        <w:trPr>
          <w:trHeight w:val="227"/>
        </w:trPr>
        <w:tc>
          <w:tcPr>
            <w:tcW w:w="736" w:type="pct"/>
            <w:tcBorders>
              <w:top w:val="nil"/>
              <w:left w:val="single" w:sz="4" w:space="0" w:color="auto"/>
              <w:bottom w:val="single" w:sz="4" w:space="0" w:color="auto"/>
              <w:right w:val="single" w:sz="4" w:space="0" w:color="auto"/>
            </w:tcBorders>
            <w:shd w:val="clear" w:color="auto" w:fill="auto"/>
            <w:noWrap/>
            <w:vAlign w:val="bottom"/>
            <w:hideMark/>
          </w:tcPr>
          <w:p w14:paraId="597B27FF" w14:textId="77777777" w:rsidR="00B749E7" w:rsidRDefault="00B749E7" w:rsidP="000E41FD">
            <w:pPr>
              <w:spacing w:after="0" w:line="240" w:lineRule="auto"/>
              <w:rPr>
                <w:rFonts w:asciiTheme="majorHAnsi" w:eastAsia="Times New Roman" w:hAnsiTheme="majorHAnsi" w:cstheme="majorHAnsi"/>
                <w:color w:val="000000"/>
                <w:sz w:val="18"/>
                <w:szCs w:val="16"/>
                <w:lang w:val="ru-RU"/>
              </w:rPr>
            </w:pPr>
            <w:r>
              <w:rPr>
                <w:rFonts w:asciiTheme="majorHAnsi" w:eastAsia="Times New Roman" w:hAnsiTheme="majorHAnsi" w:cstheme="majorHAnsi"/>
                <w:color w:val="000000"/>
                <w:sz w:val="18"/>
                <w:szCs w:val="16"/>
                <w:lang w:val="ru-RU"/>
              </w:rPr>
              <w:t>Доходы,</w:t>
            </w:r>
          </w:p>
          <w:p w14:paraId="64BA5241" w14:textId="77777777" w:rsidR="00B749E7" w:rsidRPr="00A66A5B" w:rsidRDefault="00B749E7" w:rsidP="000E41FD">
            <w:pPr>
              <w:spacing w:after="0" w:line="240" w:lineRule="auto"/>
              <w:rPr>
                <w:rFonts w:asciiTheme="majorHAnsi" w:eastAsia="Times New Roman" w:hAnsiTheme="majorHAnsi" w:cstheme="majorHAnsi"/>
                <w:color w:val="000000"/>
                <w:sz w:val="18"/>
                <w:szCs w:val="16"/>
                <w:lang w:val="ru-RU"/>
              </w:rPr>
            </w:pPr>
            <w:r w:rsidRPr="009F50C0">
              <w:rPr>
                <w:rFonts w:asciiTheme="majorHAnsi" w:eastAsia="Times New Roman" w:hAnsiTheme="majorHAnsi" w:cstheme="majorHAnsi"/>
                <w:color w:val="000000"/>
                <w:sz w:val="18"/>
                <w:szCs w:val="16"/>
                <w:lang w:val="ro-RO"/>
              </w:rPr>
              <w:t xml:space="preserve"> </w:t>
            </w:r>
            <w:r>
              <w:rPr>
                <w:rFonts w:asciiTheme="majorHAnsi" w:eastAsia="Times New Roman" w:hAnsiTheme="majorHAnsi" w:cstheme="majorHAnsi"/>
                <w:color w:val="000000"/>
                <w:sz w:val="18"/>
                <w:szCs w:val="16"/>
                <w:lang w:val="ru-RU"/>
              </w:rPr>
              <w:t>млн. леев</w:t>
            </w:r>
          </w:p>
        </w:tc>
        <w:tc>
          <w:tcPr>
            <w:tcW w:w="449" w:type="pct"/>
            <w:tcBorders>
              <w:top w:val="nil"/>
              <w:left w:val="nil"/>
              <w:bottom w:val="single" w:sz="4" w:space="0" w:color="auto"/>
              <w:right w:val="single" w:sz="4" w:space="0" w:color="auto"/>
            </w:tcBorders>
            <w:shd w:val="clear" w:color="auto" w:fill="auto"/>
            <w:noWrap/>
            <w:vAlign w:val="center"/>
            <w:hideMark/>
          </w:tcPr>
          <w:p w14:paraId="5AF261AD" w14:textId="77777777" w:rsidR="00B749E7" w:rsidRPr="009F50C0" w:rsidRDefault="00B749E7" w:rsidP="000E41FD">
            <w:pPr>
              <w:spacing w:after="0" w:line="240" w:lineRule="auto"/>
              <w:jc w:val="right"/>
              <w:rPr>
                <w:rFonts w:asciiTheme="majorHAnsi" w:eastAsia="Times New Roman" w:hAnsiTheme="majorHAnsi" w:cstheme="majorHAnsi"/>
                <w:color w:val="000000"/>
                <w:sz w:val="18"/>
                <w:szCs w:val="14"/>
                <w:lang w:val="ro-RO"/>
              </w:rPr>
            </w:pPr>
            <w:r w:rsidRPr="009F50C0">
              <w:rPr>
                <w:rFonts w:asciiTheme="majorHAnsi" w:eastAsia="Times New Roman" w:hAnsiTheme="majorHAnsi" w:cstheme="majorHAnsi"/>
                <w:color w:val="000000"/>
                <w:sz w:val="18"/>
                <w:szCs w:val="14"/>
                <w:lang w:val="ro-RO"/>
              </w:rPr>
              <w:t>24285.5</w:t>
            </w:r>
          </w:p>
        </w:tc>
        <w:tc>
          <w:tcPr>
            <w:tcW w:w="451" w:type="pct"/>
            <w:tcBorders>
              <w:top w:val="nil"/>
              <w:left w:val="nil"/>
              <w:bottom w:val="single" w:sz="4" w:space="0" w:color="auto"/>
              <w:right w:val="single" w:sz="4" w:space="0" w:color="auto"/>
            </w:tcBorders>
            <w:shd w:val="clear" w:color="auto" w:fill="auto"/>
            <w:noWrap/>
            <w:vAlign w:val="center"/>
            <w:hideMark/>
          </w:tcPr>
          <w:p w14:paraId="1F9A106D" w14:textId="77777777" w:rsidR="00B749E7" w:rsidRPr="009F50C0" w:rsidRDefault="00B749E7" w:rsidP="000E41FD">
            <w:pPr>
              <w:spacing w:after="0" w:line="240" w:lineRule="auto"/>
              <w:jc w:val="right"/>
              <w:rPr>
                <w:rFonts w:asciiTheme="majorHAnsi" w:eastAsia="Times New Roman" w:hAnsiTheme="majorHAnsi" w:cstheme="majorHAnsi"/>
                <w:color w:val="000000"/>
                <w:sz w:val="18"/>
                <w:szCs w:val="14"/>
                <w:lang w:val="ro-RO"/>
              </w:rPr>
            </w:pPr>
            <w:r>
              <w:rPr>
                <w:rFonts w:asciiTheme="majorHAnsi" w:eastAsia="Times New Roman" w:hAnsiTheme="majorHAnsi" w:cstheme="majorHAnsi"/>
                <w:color w:val="000000"/>
                <w:sz w:val="18"/>
                <w:szCs w:val="14"/>
                <w:lang w:val="ro-RO"/>
              </w:rPr>
              <w:t>27242.8</w:t>
            </w:r>
          </w:p>
        </w:tc>
        <w:tc>
          <w:tcPr>
            <w:tcW w:w="492" w:type="pct"/>
            <w:tcBorders>
              <w:top w:val="nil"/>
              <w:left w:val="nil"/>
              <w:bottom w:val="single" w:sz="4" w:space="0" w:color="auto"/>
              <w:right w:val="single" w:sz="4" w:space="0" w:color="auto"/>
            </w:tcBorders>
            <w:shd w:val="clear" w:color="auto" w:fill="auto"/>
            <w:noWrap/>
            <w:vAlign w:val="center"/>
            <w:hideMark/>
          </w:tcPr>
          <w:p w14:paraId="7474F29F" w14:textId="77777777" w:rsidR="00B749E7" w:rsidRPr="009F50C0" w:rsidRDefault="00B749E7" w:rsidP="000E41FD">
            <w:pPr>
              <w:spacing w:after="0" w:line="240" w:lineRule="auto"/>
              <w:jc w:val="right"/>
              <w:rPr>
                <w:rFonts w:asciiTheme="majorHAnsi" w:eastAsia="Times New Roman" w:hAnsiTheme="majorHAnsi" w:cstheme="majorHAnsi"/>
                <w:color w:val="000000"/>
                <w:sz w:val="18"/>
                <w:szCs w:val="14"/>
                <w:lang w:val="ro-RO"/>
              </w:rPr>
            </w:pPr>
            <w:r w:rsidRPr="009F50C0">
              <w:rPr>
                <w:rFonts w:asciiTheme="majorHAnsi" w:eastAsia="Times New Roman" w:hAnsiTheme="majorHAnsi" w:cstheme="majorHAnsi"/>
                <w:color w:val="000000"/>
                <w:sz w:val="18"/>
                <w:szCs w:val="14"/>
                <w:lang w:val="ro-RO"/>
              </w:rPr>
              <w:t>33796.</w:t>
            </w:r>
            <w:r>
              <w:rPr>
                <w:rFonts w:asciiTheme="majorHAnsi" w:eastAsia="Times New Roman" w:hAnsiTheme="majorHAnsi" w:cstheme="majorHAnsi"/>
                <w:color w:val="000000"/>
                <w:sz w:val="18"/>
                <w:szCs w:val="14"/>
                <w:lang w:val="ro-RO"/>
              </w:rPr>
              <w:t>1</w:t>
            </w:r>
          </w:p>
        </w:tc>
        <w:tc>
          <w:tcPr>
            <w:tcW w:w="494" w:type="pct"/>
            <w:tcBorders>
              <w:top w:val="nil"/>
              <w:left w:val="nil"/>
              <w:bottom w:val="single" w:sz="4" w:space="0" w:color="auto"/>
              <w:right w:val="single" w:sz="4" w:space="0" w:color="auto"/>
            </w:tcBorders>
            <w:shd w:val="clear" w:color="auto" w:fill="auto"/>
            <w:noWrap/>
            <w:vAlign w:val="center"/>
            <w:hideMark/>
          </w:tcPr>
          <w:p w14:paraId="458CB379" w14:textId="77777777" w:rsidR="00B749E7" w:rsidRPr="009F50C0" w:rsidRDefault="00B749E7" w:rsidP="000E41FD">
            <w:pPr>
              <w:spacing w:after="0" w:line="240" w:lineRule="auto"/>
              <w:jc w:val="right"/>
              <w:rPr>
                <w:rFonts w:asciiTheme="majorHAnsi" w:eastAsia="Times New Roman" w:hAnsiTheme="majorHAnsi" w:cstheme="majorHAnsi"/>
                <w:color w:val="000000"/>
                <w:sz w:val="18"/>
                <w:szCs w:val="14"/>
                <w:lang w:val="ro-RO"/>
              </w:rPr>
            </w:pPr>
            <w:r w:rsidRPr="009F50C0">
              <w:rPr>
                <w:rFonts w:asciiTheme="majorHAnsi" w:eastAsia="Times New Roman" w:hAnsiTheme="majorHAnsi" w:cstheme="majorHAnsi"/>
                <w:color w:val="000000"/>
                <w:sz w:val="18"/>
                <w:szCs w:val="14"/>
                <w:lang w:val="ro-RO"/>
              </w:rPr>
              <w:t>34200.6</w:t>
            </w:r>
          </w:p>
        </w:tc>
        <w:tc>
          <w:tcPr>
            <w:tcW w:w="492" w:type="pct"/>
            <w:tcBorders>
              <w:top w:val="nil"/>
              <w:left w:val="nil"/>
              <w:bottom w:val="single" w:sz="4" w:space="0" w:color="auto"/>
              <w:right w:val="single" w:sz="4" w:space="0" w:color="auto"/>
            </w:tcBorders>
            <w:shd w:val="clear" w:color="auto" w:fill="auto"/>
            <w:noWrap/>
            <w:vAlign w:val="center"/>
            <w:hideMark/>
          </w:tcPr>
          <w:p w14:paraId="41CE1095" w14:textId="77777777" w:rsidR="00B749E7" w:rsidRPr="009F50C0" w:rsidRDefault="00B749E7" w:rsidP="000E41FD">
            <w:pPr>
              <w:spacing w:after="0" w:line="240" w:lineRule="auto"/>
              <w:jc w:val="right"/>
              <w:rPr>
                <w:rFonts w:asciiTheme="majorHAnsi" w:eastAsia="Times New Roman" w:hAnsiTheme="majorHAnsi" w:cstheme="majorHAnsi"/>
                <w:color w:val="000000"/>
                <w:sz w:val="18"/>
                <w:szCs w:val="14"/>
                <w:lang w:val="ro-RO"/>
              </w:rPr>
            </w:pPr>
            <w:r>
              <w:rPr>
                <w:rFonts w:asciiTheme="majorHAnsi" w:eastAsia="Times New Roman" w:hAnsiTheme="majorHAnsi" w:cstheme="majorHAnsi"/>
                <w:color w:val="000000"/>
                <w:sz w:val="18"/>
                <w:szCs w:val="14"/>
                <w:lang w:val="ro-RO"/>
              </w:rPr>
              <w:t>-404.5</w:t>
            </w:r>
          </w:p>
        </w:tc>
        <w:tc>
          <w:tcPr>
            <w:tcW w:w="309" w:type="pct"/>
            <w:tcBorders>
              <w:top w:val="nil"/>
              <w:left w:val="nil"/>
              <w:bottom w:val="single" w:sz="4" w:space="0" w:color="auto"/>
              <w:right w:val="single" w:sz="4" w:space="0" w:color="auto"/>
            </w:tcBorders>
            <w:shd w:val="clear" w:color="auto" w:fill="auto"/>
            <w:noWrap/>
            <w:vAlign w:val="center"/>
            <w:hideMark/>
          </w:tcPr>
          <w:p w14:paraId="195F05FD" w14:textId="77777777" w:rsidR="00B749E7" w:rsidRPr="009F50C0" w:rsidRDefault="00B749E7" w:rsidP="000E41FD">
            <w:pPr>
              <w:spacing w:after="0" w:line="240" w:lineRule="auto"/>
              <w:jc w:val="right"/>
              <w:rPr>
                <w:rFonts w:asciiTheme="majorHAnsi" w:eastAsia="Times New Roman" w:hAnsiTheme="majorHAnsi" w:cstheme="majorHAnsi"/>
                <w:color w:val="000000"/>
                <w:sz w:val="18"/>
                <w:szCs w:val="14"/>
                <w:lang w:val="ro-RO"/>
              </w:rPr>
            </w:pPr>
            <w:r w:rsidRPr="009F50C0">
              <w:rPr>
                <w:rFonts w:asciiTheme="majorHAnsi" w:eastAsia="Times New Roman" w:hAnsiTheme="majorHAnsi" w:cstheme="majorHAnsi"/>
                <w:color w:val="000000"/>
                <w:sz w:val="18"/>
                <w:szCs w:val="14"/>
                <w:lang w:val="ro-RO"/>
              </w:rPr>
              <w:t>98.8</w:t>
            </w:r>
          </w:p>
        </w:tc>
        <w:tc>
          <w:tcPr>
            <w:tcW w:w="436" w:type="pct"/>
            <w:gridSpan w:val="2"/>
            <w:tcBorders>
              <w:top w:val="nil"/>
              <w:left w:val="nil"/>
              <w:bottom w:val="single" w:sz="4" w:space="0" w:color="auto"/>
              <w:right w:val="single" w:sz="4" w:space="0" w:color="auto"/>
            </w:tcBorders>
            <w:shd w:val="clear" w:color="auto" w:fill="auto"/>
            <w:noWrap/>
            <w:vAlign w:val="center"/>
            <w:hideMark/>
          </w:tcPr>
          <w:p w14:paraId="6D7576ED" w14:textId="77777777" w:rsidR="00B749E7" w:rsidRPr="009F50C0" w:rsidRDefault="00B749E7" w:rsidP="000E41FD">
            <w:pPr>
              <w:spacing w:after="0" w:line="240" w:lineRule="auto"/>
              <w:jc w:val="right"/>
              <w:rPr>
                <w:rFonts w:asciiTheme="majorHAnsi" w:eastAsia="Times New Roman" w:hAnsiTheme="majorHAnsi" w:cstheme="majorHAnsi"/>
                <w:color w:val="000000"/>
                <w:sz w:val="18"/>
                <w:szCs w:val="14"/>
                <w:lang w:val="ro-RO"/>
              </w:rPr>
            </w:pPr>
            <w:r w:rsidRPr="009F50C0">
              <w:rPr>
                <w:rFonts w:asciiTheme="majorHAnsi" w:eastAsia="Times New Roman" w:hAnsiTheme="majorHAnsi" w:cstheme="majorHAnsi"/>
                <w:color w:val="000000"/>
                <w:sz w:val="18"/>
                <w:szCs w:val="14"/>
                <w:lang w:val="ro-RO"/>
              </w:rPr>
              <w:t>6167.1</w:t>
            </w:r>
          </w:p>
        </w:tc>
        <w:tc>
          <w:tcPr>
            <w:tcW w:w="342" w:type="pct"/>
            <w:tcBorders>
              <w:top w:val="nil"/>
              <w:left w:val="nil"/>
              <w:bottom w:val="single" w:sz="4" w:space="0" w:color="auto"/>
              <w:right w:val="single" w:sz="4" w:space="0" w:color="auto"/>
            </w:tcBorders>
            <w:shd w:val="clear" w:color="auto" w:fill="auto"/>
            <w:noWrap/>
            <w:vAlign w:val="center"/>
            <w:hideMark/>
          </w:tcPr>
          <w:p w14:paraId="4E604EE5" w14:textId="77777777" w:rsidR="00B749E7" w:rsidRPr="009F50C0" w:rsidRDefault="00B749E7" w:rsidP="000E41FD">
            <w:pPr>
              <w:spacing w:after="0" w:line="240" w:lineRule="auto"/>
              <w:jc w:val="right"/>
              <w:rPr>
                <w:rFonts w:asciiTheme="majorHAnsi" w:eastAsia="Times New Roman" w:hAnsiTheme="majorHAnsi" w:cstheme="majorHAnsi"/>
                <w:color w:val="000000"/>
                <w:sz w:val="18"/>
                <w:szCs w:val="14"/>
                <w:lang w:val="ro-RO"/>
              </w:rPr>
            </w:pPr>
            <w:r w:rsidRPr="009F50C0">
              <w:rPr>
                <w:rFonts w:asciiTheme="majorHAnsi" w:eastAsia="Times New Roman" w:hAnsiTheme="majorHAnsi" w:cstheme="majorHAnsi"/>
                <w:color w:val="000000"/>
                <w:sz w:val="18"/>
                <w:szCs w:val="14"/>
                <w:lang w:val="ro-RO"/>
              </w:rPr>
              <w:t>122.3</w:t>
            </w:r>
          </w:p>
        </w:tc>
        <w:tc>
          <w:tcPr>
            <w:tcW w:w="479" w:type="pct"/>
            <w:gridSpan w:val="2"/>
            <w:tcBorders>
              <w:top w:val="nil"/>
              <w:left w:val="nil"/>
              <w:bottom w:val="single" w:sz="4" w:space="0" w:color="auto"/>
              <w:right w:val="single" w:sz="4" w:space="0" w:color="auto"/>
            </w:tcBorders>
            <w:shd w:val="clear" w:color="auto" w:fill="auto"/>
            <w:noWrap/>
            <w:vAlign w:val="center"/>
            <w:hideMark/>
          </w:tcPr>
          <w:p w14:paraId="5FBF7723" w14:textId="77777777" w:rsidR="00B749E7" w:rsidRPr="009F50C0" w:rsidRDefault="00B749E7" w:rsidP="000E41FD">
            <w:pPr>
              <w:spacing w:after="0" w:line="240" w:lineRule="auto"/>
              <w:jc w:val="right"/>
              <w:rPr>
                <w:rFonts w:asciiTheme="majorHAnsi" w:eastAsia="Times New Roman" w:hAnsiTheme="majorHAnsi" w:cstheme="majorHAnsi"/>
                <w:color w:val="000000"/>
                <w:sz w:val="18"/>
                <w:szCs w:val="14"/>
                <w:lang w:val="ro-RO"/>
              </w:rPr>
            </w:pPr>
            <w:r w:rsidRPr="009F50C0">
              <w:rPr>
                <w:rFonts w:asciiTheme="majorHAnsi" w:eastAsia="Times New Roman" w:hAnsiTheme="majorHAnsi" w:cstheme="majorHAnsi"/>
                <w:color w:val="000000"/>
                <w:sz w:val="18"/>
                <w:szCs w:val="14"/>
                <w:lang w:val="ro-RO"/>
              </w:rPr>
              <w:t>9510.</w:t>
            </w:r>
            <w:r>
              <w:rPr>
                <w:rFonts w:asciiTheme="majorHAnsi" w:eastAsia="Times New Roman" w:hAnsiTheme="majorHAnsi" w:cstheme="majorHAnsi"/>
                <w:color w:val="000000"/>
                <w:sz w:val="18"/>
                <w:szCs w:val="14"/>
                <w:lang w:val="ro-RO"/>
              </w:rPr>
              <w:t>6</w:t>
            </w:r>
          </w:p>
        </w:tc>
        <w:tc>
          <w:tcPr>
            <w:tcW w:w="319" w:type="pct"/>
            <w:tcBorders>
              <w:top w:val="nil"/>
              <w:left w:val="nil"/>
              <w:bottom w:val="single" w:sz="4" w:space="0" w:color="auto"/>
              <w:right w:val="single" w:sz="4" w:space="0" w:color="auto"/>
            </w:tcBorders>
            <w:shd w:val="clear" w:color="auto" w:fill="auto"/>
            <w:noWrap/>
            <w:vAlign w:val="center"/>
            <w:hideMark/>
          </w:tcPr>
          <w:p w14:paraId="4F4A72A6" w14:textId="77777777" w:rsidR="00B749E7" w:rsidRPr="009F50C0" w:rsidRDefault="00B749E7" w:rsidP="000E41FD">
            <w:pPr>
              <w:spacing w:after="0" w:line="240" w:lineRule="auto"/>
              <w:jc w:val="right"/>
              <w:rPr>
                <w:rFonts w:asciiTheme="majorHAnsi" w:eastAsia="Times New Roman" w:hAnsiTheme="majorHAnsi" w:cstheme="majorHAnsi"/>
                <w:color w:val="000000"/>
                <w:sz w:val="18"/>
                <w:szCs w:val="14"/>
                <w:lang w:val="ro-RO"/>
              </w:rPr>
            </w:pPr>
            <w:r w:rsidRPr="009F50C0">
              <w:rPr>
                <w:rFonts w:asciiTheme="majorHAnsi" w:eastAsia="Times New Roman" w:hAnsiTheme="majorHAnsi" w:cstheme="majorHAnsi"/>
                <w:color w:val="000000"/>
                <w:sz w:val="18"/>
                <w:szCs w:val="14"/>
                <w:lang w:val="ro-RO"/>
              </w:rPr>
              <w:t>139.2</w:t>
            </w:r>
          </w:p>
        </w:tc>
      </w:tr>
      <w:tr w:rsidR="00B749E7" w:rsidRPr="009F50C0" w14:paraId="737CB2BF" w14:textId="77777777" w:rsidTr="000E41FD">
        <w:trPr>
          <w:trHeight w:val="227"/>
        </w:trPr>
        <w:tc>
          <w:tcPr>
            <w:tcW w:w="736" w:type="pct"/>
            <w:tcBorders>
              <w:top w:val="nil"/>
              <w:left w:val="single" w:sz="4" w:space="0" w:color="auto"/>
              <w:bottom w:val="single" w:sz="4" w:space="0" w:color="auto"/>
              <w:right w:val="single" w:sz="4" w:space="0" w:color="auto"/>
            </w:tcBorders>
            <w:shd w:val="clear" w:color="auto" w:fill="auto"/>
            <w:noWrap/>
            <w:vAlign w:val="bottom"/>
            <w:hideMark/>
          </w:tcPr>
          <w:p w14:paraId="57F7A5FD" w14:textId="77777777" w:rsidR="00B749E7" w:rsidRDefault="00B749E7" w:rsidP="000E41FD">
            <w:pPr>
              <w:spacing w:after="0" w:line="240" w:lineRule="auto"/>
              <w:rPr>
                <w:rFonts w:asciiTheme="majorHAnsi" w:eastAsia="Times New Roman" w:hAnsiTheme="majorHAnsi" w:cstheme="majorHAnsi"/>
                <w:color w:val="000000"/>
                <w:sz w:val="18"/>
                <w:szCs w:val="16"/>
                <w:lang w:val="ru-RU"/>
              </w:rPr>
            </w:pPr>
            <w:r>
              <w:rPr>
                <w:rFonts w:asciiTheme="majorHAnsi" w:eastAsia="Times New Roman" w:hAnsiTheme="majorHAnsi" w:cstheme="majorHAnsi"/>
                <w:color w:val="000000"/>
                <w:sz w:val="18"/>
                <w:szCs w:val="16"/>
                <w:lang w:val="ru-RU"/>
              </w:rPr>
              <w:t>Расходы,</w:t>
            </w:r>
          </w:p>
          <w:p w14:paraId="52A7D185" w14:textId="77777777" w:rsidR="00B749E7" w:rsidRPr="009F50C0" w:rsidRDefault="00B749E7" w:rsidP="000E41FD">
            <w:pPr>
              <w:spacing w:after="0" w:line="240" w:lineRule="auto"/>
              <w:rPr>
                <w:rFonts w:asciiTheme="majorHAnsi" w:eastAsia="Times New Roman" w:hAnsiTheme="majorHAnsi" w:cstheme="majorHAnsi"/>
                <w:color w:val="000000"/>
                <w:sz w:val="18"/>
                <w:szCs w:val="16"/>
                <w:lang w:val="ro-RO"/>
              </w:rPr>
            </w:pPr>
            <w:r w:rsidRPr="009F50C0">
              <w:rPr>
                <w:rFonts w:asciiTheme="majorHAnsi" w:eastAsia="Times New Roman" w:hAnsiTheme="majorHAnsi" w:cstheme="majorHAnsi"/>
                <w:color w:val="000000"/>
                <w:sz w:val="18"/>
                <w:szCs w:val="16"/>
                <w:lang w:val="ro-RO"/>
              </w:rPr>
              <w:t xml:space="preserve"> </w:t>
            </w:r>
            <w:r>
              <w:rPr>
                <w:rFonts w:asciiTheme="majorHAnsi" w:eastAsia="Times New Roman" w:hAnsiTheme="majorHAnsi" w:cstheme="majorHAnsi"/>
                <w:color w:val="000000"/>
                <w:sz w:val="18"/>
                <w:szCs w:val="16"/>
                <w:lang w:val="ru-RU"/>
              </w:rPr>
              <w:t>млн. леев</w:t>
            </w:r>
          </w:p>
        </w:tc>
        <w:tc>
          <w:tcPr>
            <w:tcW w:w="449" w:type="pct"/>
            <w:tcBorders>
              <w:top w:val="nil"/>
              <w:left w:val="nil"/>
              <w:bottom w:val="single" w:sz="4" w:space="0" w:color="auto"/>
              <w:right w:val="single" w:sz="4" w:space="0" w:color="auto"/>
            </w:tcBorders>
            <w:shd w:val="clear" w:color="auto" w:fill="auto"/>
            <w:noWrap/>
            <w:vAlign w:val="center"/>
            <w:hideMark/>
          </w:tcPr>
          <w:p w14:paraId="0B1DC9C4" w14:textId="77777777" w:rsidR="00B749E7" w:rsidRPr="009F50C0" w:rsidRDefault="00B749E7" w:rsidP="000E41FD">
            <w:pPr>
              <w:spacing w:after="0" w:line="240" w:lineRule="auto"/>
              <w:jc w:val="right"/>
              <w:rPr>
                <w:rFonts w:asciiTheme="majorHAnsi" w:eastAsia="Times New Roman" w:hAnsiTheme="majorHAnsi" w:cstheme="majorHAnsi"/>
                <w:color w:val="000000"/>
                <w:sz w:val="18"/>
                <w:szCs w:val="14"/>
                <w:lang w:val="ro-RO"/>
              </w:rPr>
            </w:pPr>
            <w:r w:rsidRPr="009F50C0">
              <w:rPr>
                <w:rFonts w:asciiTheme="majorHAnsi" w:eastAsia="Times New Roman" w:hAnsiTheme="majorHAnsi" w:cstheme="majorHAnsi"/>
                <w:color w:val="000000"/>
                <w:sz w:val="18"/>
                <w:szCs w:val="14"/>
                <w:lang w:val="ro-RO"/>
              </w:rPr>
              <w:t>24244.3</w:t>
            </w:r>
          </w:p>
        </w:tc>
        <w:tc>
          <w:tcPr>
            <w:tcW w:w="451" w:type="pct"/>
            <w:tcBorders>
              <w:top w:val="nil"/>
              <w:left w:val="nil"/>
              <w:bottom w:val="single" w:sz="4" w:space="0" w:color="auto"/>
              <w:right w:val="single" w:sz="4" w:space="0" w:color="auto"/>
            </w:tcBorders>
            <w:shd w:val="clear" w:color="auto" w:fill="auto"/>
            <w:noWrap/>
            <w:vAlign w:val="center"/>
            <w:hideMark/>
          </w:tcPr>
          <w:p w14:paraId="10D20DA4" w14:textId="77777777" w:rsidR="00B749E7" w:rsidRPr="009F50C0" w:rsidRDefault="00B749E7" w:rsidP="000E41FD">
            <w:pPr>
              <w:spacing w:after="0" w:line="240" w:lineRule="auto"/>
              <w:jc w:val="right"/>
              <w:rPr>
                <w:rFonts w:asciiTheme="majorHAnsi" w:eastAsia="Times New Roman" w:hAnsiTheme="majorHAnsi" w:cstheme="majorHAnsi"/>
                <w:color w:val="000000"/>
                <w:sz w:val="18"/>
                <w:szCs w:val="14"/>
                <w:lang w:val="ro-RO"/>
              </w:rPr>
            </w:pPr>
            <w:r w:rsidRPr="009F50C0">
              <w:rPr>
                <w:rFonts w:asciiTheme="majorHAnsi" w:eastAsia="Times New Roman" w:hAnsiTheme="majorHAnsi" w:cstheme="majorHAnsi"/>
                <w:color w:val="000000"/>
                <w:sz w:val="18"/>
                <w:szCs w:val="14"/>
                <w:lang w:val="ro-RO"/>
              </w:rPr>
              <w:t>27629.0</w:t>
            </w:r>
          </w:p>
        </w:tc>
        <w:tc>
          <w:tcPr>
            <w:tcW w:w="492" w:type="pct"/>
            <w:tcBorders>
              <w:top w:val="nil"/>
              <w:left w:val="nil"/>
              <w:bottom w:val="single" w:sz="4" w:space="0" w:color="auto"/>
              <w:right w:val="single" w:sz="4" w:space="0" w:color="auto"/>
            </w:tcBorders>
            <w:shd w:val="clear" w:color="auto" w:fill="auto"/>
            <w:noWrap/>
            <w:vAlign w:val="center"/>
            <w:hideMark/>
          </w:tcPr>
          <w:p w14:paraId="65621136" w14:textId="77777777" w:rsidR="00B749E7" w:rsidRPr="009F50C0" w:rsidRDefault="00B749E7" w:rsidP="000E41FD">
            <w:pPr>
              <w:spacing w:after="0" w:line="240" w:lineRule="auto"/>
              <w:jc w:val="right"/>
              <w:rPr>
                <w:rFonts w:asciiTheme="majorHAnsi" w:eastAsia="Times New Roman" w:hAnsiTheme="majorHAnsi" w:cstheme="majorHAnsi"/>
                <w:color w:val="000000"/>
                <w:sz w:val="18"/>
                <w:szCs w:val="14"/>
                <w:lang w:val="ro-RO"/>
              </w:rPr>
            </w:pPr>
            <w:r w:rsidRPr="009F50C0">
              <w:rPr>
                <w:rFonts w:asciiTheme="majorHAnsi" w:eastAsia="Times New Roman" w:hAnsiTheme="majorHAnsi" w:cstheme="majorHAnsi"/>
                <w:color w:val="000000"/>
                <w:sz w:val="18"/>
                <w:szCs w:val="14"/>
                <w:lang w:val="ro-RO"/>
              </w:rPr>
              <w:t>33745.3</w:t>
            </w:r>
          </w:p>
        </w:tc>
        <w:tc>
          <w:tcPr>
            <w:tcW w:w="494" w:type="pct"/>
            <w:tcBorders>
              <w:top w:val="nil"/>
              <w:left w:val="nil"/>
              <w:bottom w:val="single" w:sz="4" w:space="0" w:color="auto"/>
              <w:right w:val="single" w:sz="4" w:space="0" w:color="auto"/>
            </w:tcBorders>
            <w:shd w:val="clear" w:color="auto" w:fill="auto"/>
            <w:noWrap/>
            <w:vAlign w:val="center"/>
            <w:hideMark/>
          </w:tcPr>
          <w:p w14:paraId="7E3B2D24" w14:textId="77777777" w:rsidR="00B749E7" w:rsidRPr="009F50C0" w:rsidRDefault="00B749E7" w:rsidP="000E41FD">
            <w:pPr>
              <w:spacing w:after="0" w:line="240" w:lineRule="auto"/>
              <w:jc w:val="right"/>
              <w:rPr>
                <w:rFonts w:asciiTheme="majorHAnsi" w:eastAsia="Times New Roman" w:hAnsiTheme="majorHAnsi" w:cstheme="majorHAnsi"/>
                <w:color w:val="000000"/>
                <w:sz w:val="18"/>
                <w:szCs w:val="14"/>
                <w:lang w:val="ro-RO"/>
              </w:rPr>
            </w:pPr>
            <w:r w:rsidRPr="009F50C0">
              <w:rPr>
                <w:rFonts w:asciiTheme="majorHAnsi" w:eastAsia="Times New Roman" w:hAnsiTheme="majorHAnsi" w:cstheme="majorHAnsi"/>
                <w:color w:val="000000"/>
                <w:sz w:val="18"/>
                <w:szCs w:val="14"/>
                <w:lang w:val="ro-RO"/>
              </w:rPr>
              <w:t>34200.6</w:t>
            </w:r>
          </w:p>
        </w:tc>
        <w:tc>
          <w:tcPr>
            <w:tcW w:w="492" w:type="pct"/>
            <w:tcBorders>
              <w:top w:val="nil"/>
              <w:left w:val="nil"/>
              <w:bottom w:val="single" w:sz="4" w:space="0" w:color="auto"/>
              <w:right w:val="single" w:sz="4" w:space="0" w:color="auto"/>
            </w:tcBorders>
            <w:shd w:val="clear" w:color="auto" w:fill="auto"/>
            <w:noWrap/>
            <w:vAlign w:val="center"/>
            <w:hideMark/>
          </w:tcPr>
          <w:p w14:paraId="3F3FA6D4" w14:textId="77777777" w:rsidR="00B749E7" w:rsidRPr="009F50C0" w:rsidRDefault="00B749E7" w:rsidP="000E41FD">
            <w:pPr>
              <w:spacing w:after="0" w:line="240" w:lineRule="auto"/>
              <w:jc w:val="right"/>
              <w:rPr>
                <w:rFonts w:asciiTheme="majorHAnsi" w:eastAsia="Times New Roman" w:hAnsiTheme="majorHAnsi" w:cstheme="majorHAnsi"/>
                <w:color w:val="000000"/>
                <w:sz w:val="18"/>
                <w:szCs w:val="14"/>
                <w:lang w:val="ro-RO"/>
              </w:rPr>
            </w:pPr>
            <w:r w:rsidRPr="009F50C0">
              <w:rPr>
                <w:rFonts w:asciiTheme="majorHAnsi" w:eastAsia="Times New Roman" w:hAnsiTheme="majorHAnsi" w:cstheme="majorHAnsi"/>
                <w:color w:val="000000"/>
                <w:sz w:val="18"/>
                <w:szCs w:val="14"/>
                <w:lang w:val="ro-RO"/>
              </w:rPr>
              <w:t>-67945.9</w:t>
            </w:r>
          </w:p>
        </w:tc>
        <w:tc>
          <w:tcPr>
            <w:tcW w:w="309" w:type="pct"/>
            <w:tcBorders>
              <w:top w:val="nil"/>
              <w:left w:val="nil"/>
              <w:bottom w:val="single" w:sz="4" w:space="0" w:color="auto"/>
              <w:right w:val="single" w:sz="4" w:space="0" w:color="auto"/>
            </w:tcBorders>
            <w:shd w:val="clear" w:color="auto" w:fill="auto"/>
            <w:noWrap/>
            <w:vAlign w:val="center"/>
            <w:hideMark/>
          </w:tcPr>
          <w:p w14:paraId="07EFEA76" w14:textId="77777777" w:rsidR="00B749E7" w:rsidRPr="009F50C0" w:rsidRDefault="00B749E7" w:rsidP="000E41FD">
            <w:pPr>
              <w:spacing w:after="0" w:line="240" w:lineRule="auto"/>
              <w:jc w:val="right"/>
              <w:rPr>
                <w:rFonts w:asciiTheme="majorHAnsi" w:eastAsia="Times New Roman" w:hAnsiTheme="majorHAnsi" w:cstheme="majorHAnsi"/>
                <w:color w:val="000000"/>
                <w:sz w:val="18"/>
                <w:szCs w:val="14"/>
                <w:lang w:val="ro-RO"/>
              </w:rPr>
            </w:pPr>
            <w:r w:rsidRPr="009F50C0">
              <w:rPr>
                <w:rFonts w:asciiTheme="majorHAnsi" w:eastAsia="Times New Roman" w:hAnsiTheme="majorHAnsi" w:cstheme="majorHAnsi"/>
                <w:color w:val="000000"/>
                <w:sz w:val="18"/>
                <w:szCs w:val="14"/>
                <w:lang w:val="ro-RO"/>
              </w:rPr>
              <w:t>98.7</w:t>
            </w:r>
          </w:p>
        </w:tc>
        <w:tc>
          <w:tcPr>
            <w:tcW w:w="436" w:type="pct"/>
            <w:gridSpan w:val="2"/>
            <w:tcBorders>
              <w:top w:val="nil"/>
              <w:left w:val="nil"/>
              <w:bottom w:val="single" w:sz="4" w:space="0" w:color="auto"/>
              <w:right w:val="single" w:sz="4" w:space="0" w:color="auto"/>
            </w:tcBorders>
            <w:shd w:val="clear" w:color="auto" w:fill="auto"/>
            <w:noWrap/>
            <w:vAlign w:val="center"/>
            <w:hideMark/>
          </w:tcPr>
          <w:p w14:paraId="1A02635F" w14:textId="77777777" w:rsidR="00B749E7" w:rsidRPr="009F50C0" w:rsidRDefault="00B749E7" w:rsidP="000E41FD">
            <w:pPr>
              <w:spacing w:after="0" w:line="240" w:lineRule="auto"/>
              <w:jc w:val="right"/>
              <w:rPr>
                <w:rFonts w:asciiTheme="majorHAnsi" w:eastAsia="Times New Roman" w:hAnsiTheme="majorHAnsi" w:cstheme="majorHAnsi"/>
                <w:color w:val="000000"/>
                <w:sz w:val="18"/>
                <w:szCs w:val="14"/>
                <w:lang w:val="ro-RO"/>
              </w:rPr>
            </w:pPr>
            <w:r w:rsidRPr="009F50C0">
              <w:rPr>
                <w:rFonts w:asciiTheme="majorHAnsi" w:eastAsia="Times New Roman" w:hAnsiTheme="majorHAnsi" w:cstheme="majorHAnsi"/>
                <w:color w:val="000000"/>
                <w:sz w:val="18"/>
                <w:szCs w:val="14"/>
                <w:lang w:val="ro-RO"/>
              </w:rPr>
              <w:t>6116.3</w:t>
            </w:r>
          </w:p>
        </w:tc>
        <w:tc>
          <w:tcPr>
            <w:tcW w:w="342" w:type="pct"/>
            <w:tcBorders>
              <w:top w:val="nil"/>
              <w:left w:val="nil"/>
              <w:bottom w:val="single" w:sz="4" w:space="0" w:color="auto"/>
              <w:right w:val="single" w:sz="4" w:space="0" w:color="auto"/>
            </w:tcBorders>
            <w:shd w:val="clear" w:color="auto" w:fill="auto"/>
            <w:noWrap/>
            <w:vAlign w:val="center"/>
            <w:hideMark/>
          </w:tcPr>
          <w:p w14:paraId="68AAF752" w14:textId="77777777" w:rsidR="00B749E7" w:rsidRPr="009F50C0" w:rsidRDefault="00B749E7" w:rsidP="000E41FD">
            <w:pPr>
              <w:spacing w:after="0" w:line="240" w:lineRule="auto"/>
              <w:jc w:val="right"/>
              <w:rPr>
                <w:rFonts w:asciiTheme="majorHAnsi" w:eastAsia="Times New Roman" w:hAnsiTheme="majorHAnsi" w:cstheme="majorHAnsi"/>
                <w:color w:val="000000"/>
                <w:sz w:val="18"/>
                <w:szCs w:val="14"/>
                <w:lang w:val="ro-RO"/>
              </w:rPr>
            </w:pPr>
            <w:r w:rsidRPr="009F50C0">
              <w:rPr>
                <w:rFonts w:asciiTheme="majorHAnsi" w:eastAsia="Times New Roman" w:hAnsiTheme="majorHAnsi" w:cstheme="majorHAnsi"/>
                <w:color w:val="000000"/>
                <w:sz w:val="18"/>
                <w:szCs w:val="14"/>
                <w:lang w:val="ro-RO"/>
              </w:rPr>
              <w:t>122.1</w:t>
            </w:r>
          </w:p>
        </w:tc>
        <w:tc>
          <w:tcPr>
            <w:tcW w:w="479" w:type="pct"/>
            <w:gridSpan w:val="2"/>
            <w:tcBorders>
              <w:top w:val="nil"/>
              <w:left w:val="nil"/>
              <w:bottom w:val="single" w:sz="4" w:space="0" w:color="auto"/>
              <w:right w:val="single" w:sz="4" w:space="0" w:color="auto"/>
            </w:tcBorders>
            <w:shd w:val="clear" w:color="auto" w:fill="auto"/>
            <w:noWrap/>
            <w:vAlign w:val="center"/>
            <w:hideMark/>
          </w:tcPr>
          <w:p w14:paraId="01DEED65" w14:textId="77777777" w:rsidR="00B749E7" w:rsidRPr="009F50C0" w:rsidRDefault="00B749E7" w:rsidP="000E41FD">
            <w:pPr>
              <w:spacing w:after="0" w:line="240" w:lineRule="auto"/>
              <w:jc w:val="right"/>
              <w:rPr>
                <w:rFonts w:asciiTheme="majorHAnsi" w:eastAsia="Times New Roman" w:hAnsiTheme="majorHAnsi" w:cstheme="majorHAnsi"/>
                <w:color w:val="000000"/>
                <w:sz w:val="18"/>
                <w:szCs w:val="14"/>
                <w:lang w:val="ro-RO"/>
              </w:rPr>
            </w:pPr>
            <w:r w:rsidRPr="009F50C0">
              <w:rPr>
                <w:rFonts w:asciiTheme="majorHAnsi" w:eastAsia="Times New Roman" w:hAnsiTheme="majorHAnsi" w:cstheme="majorHAnsi"/>
                <w:color w:val="000000"/>
                <w:sz w:val="18"/>
                <w:szCs w:val="14"/>
                <w:lang w:val="ro-RO"/>
              </w:rPr>
              <w:t>9501</w:t>
            </w:r>
          </w:p>
        </w:tc>
        <w:tc>
          <w:tcPr>
            <w:tcW w:w="319" w:type="pct"/>
            <w:tcBorders>
              <w:top w:val="nil"/>
              <w:left w:val="nil"/>
              <w:bottom w:val="single" w:sz="4" w:space="0" w:color="auto"/>
              <w:right w:val="single" w:sz="4" w:space="0" w:color="auto"/>
            </w:tcBorders>
            <w:shd w:val="clear" w:color="auto" w:fill="auto"/>
            <w:noWrap/>
            <w:vAlign w:val="center"/>
            <w:hideMark/>
          </w:tcPr>
          <w:p w14:paraId="6045DEAE" w14:textId="77777777" w:rsidR="00B749E7" w:rsidRPr="009F50C0" w:rsidRDefault="00B749E7" w:rsidP="000E41FD">
            <w:pPr>
              <w:spacing w:after="0" w:line="240" w:lineRule="auto"/>
              <w:jc w:val="right"/>
              <w:rPr>
                <w:rFonts w:asciiTheme="majorHAnsi" w:eastAsia="Times New Roman" w:hAnsiTheme="majorHAnsi" w:cstheme="majorHAnsi"/>
                <w:color w:val="000000"/>
                <w:sz w:val="18"/>
                <w:szCs w:val="14"/>
                <w:lang w:val="ro-RO"/>
              </w:rPr>
            </w:pPr>
            <w:r w:rsidRPr="009F50C0">
              <w:rPr>
                <w:rFonts w:asciiTheme="majorHAnsi" w:eastAsia="Times New Roman" w:hAnsiTheme="majorHAnsi" w:cstheme="majorHAnsi"/>
                <w:color w:val="000000"/>
                <w:sz w:val="18"/>
                <w:szCs w:val="14"/>
                <w:lang w:val="ro-RO"/>
              </w:rPr>
              <w:t>139.2</w:t>
            </w:r>
          </w:p>
        </w:tc>
      </w:tr>
    </w:tbl>
    <w:p w14:paraId="11E22BB2" w14:textId="77777777" w:rsidR="00B749E7" w:rsidRPr="000D1444" w:rsidRDefault="00B749E7" w:rsidP="00B749E7">
      <w:pPr>
        <w:spacing w:after="0" w:line="276" w:lineRule="auto"/>
        <w:jc w:val="both"/>
        <w:rPr>
          <w:rFonts w:asciiTheme="majorHAnsi" w:hAnsiTheme="majorHAnsi" w:cstheme="majorHAnsi"/>
          <w:szCs w:val="24"/>
          <w:lang w:val="ru-MD"/>
        </w:rPr>
      </w:pPr>
      <w:r w:rsidRPr="000D1444">
        <w:rPr>
          <w:rFonts w:asciiTheme="majorHAnsi" w:hAnsiTheme="majorHAnsi" w:cstheme="majorHAnsi"/>
          <w:b/>
          <w:bCs/>
          <w:i/>
          <w:iCs/>
          <w:szCs w:val="24"/>
          <w:lang w:val="ru-MD"/>
        </w:rPr>
        <w:t>Источник</w:t>
      </w:r>
      <w:r w:rsidRPr="000D1444">
        <w:rPr>
          <w:rFonts w:asciiTheme="majorHAnsi" w:hAnsiTheme="majorHAnsi" w:cstheme="majorHAnsi"/>
          <w:szCs w:val="24"/>
          <w:lang w:val="ru-MD"/>
        </w:rPr>
        <w:t xml:space="preserve">: </w:t>
      </w:r>
      <w:r w:rsidRPr="000D1444">
        <w:rPr>
          <w:rFonts w:asciiTheme="majorHAnsi" w:hAnsiTheme="majorHAnsi" w:cstheme="majorHAnsi"/>
          <w:i/>
          <w:iCs/>
          <w:szCs w:val="24"/>
          <w:lang w:val="ru-MD"/>
        </w:rPr>
        <w:t>Отчет об исполнении бюджета государственного социального страхования по состоянию на 1 января 2023 года. (Формуляр №1 НКСС).</w:t>
      </w:r>
    </w:p>
    <w:p w14:paraId="2CB30B21" w14:textId="0B81EDA2" w:rsidR="00B749E7" w:rsidRPr="00A42333" w:rsidRDefault="00B749E7" w:rsidP="00B749E7">
      <w:pPr>
        <w:spacing w:after="0" w:line="276" w:lineRule="auto"/>
        <w:jc w:val="both"/>
        <w:rPr>
          <w:rFonts w:asciiTheme="majorHAnsi" w:eastAsia="Times New Roman" w:hAnsiTheme="majorHAnsi" w:cstheme="majorHAnsi"/>
          <w:color w:val="000000"/>
          <w:sz w:val="24"/>
          <w:szCs w:val="24"/>
          <w:lang w:val="ru-MD"/>
        </w:rPr>
      </w:pPr>
      <w:r w:rsidRPr="0012600D">
        <w:rPr>
          <w:rFonts w:asciiTheme="majorHAnsi" w:hAnsiTheme="majorHAnsi" w:cstheme="majorHAnsi"/>
          <w:sz w:val="24"/>
          <w:szCs w:val="24"/>
          <w:lang w:val="ru-MD"/>
        </w:rPr>
        <w:t xml:space="preserve">В этих условиях, </w:t>
      </w:r>
      <w:r w:rsidR="009322BB">
        <w:rPr>
          <w:rFonts w:asciiTheme="majorHAnsi" w:hAnsiTheme="majorHAnsi" w:cstheme="majorHAnsi"/>
          <w:sz w:val="24"/>
          <w:szCs w:val="24"/>
          <w:lang w:val="ru-MD"/>
        </w:rPr>
        <w:t xml:space="preserve">исполнение </w:t>
      </w:r>
      <w:r w:rsidRPr="0012600D">
        <w:rPr>
          <w:rFonts w:asciiTheme="majorHAnsi" w:hAnsiTheme="majorHAnsi" w:cstheme="majorHAnsi"/>
          <w:sz w:val="24"/>
          <w:szCs w:val="24"/>
          <w:lang w:val="ru-MD"/>
        </w:rPr>
        <w:t>бюджет</w:t>
      </w:r>
      <w:r w:rsidR="009322BB">
        <w:rPr>
          <w:rFonts w:asciiTheme="majorHAnsi" w:hAnsiTheme="majorHAnsi" w:cstheme="majorHAnsi"/>
          <w:sz w:val="24"/>
          <w:szCs w:val="24"/>
          <w:lang w:val="ru-MD"/>
        </w:rPr>
        <w:t>а</w:t>
      </w:r>
      <w:r w:rsidRPr="0012600D">
        <w:rPr>
          <w:rFonts w:asciiTheme="majorHAnsi" w:hAnsiTheme="majorHAnsi" w:cstheme="majorHAnsi"/>
          <w:sz w:val="24"/>
          <w:szCs w:val="24"/>
          <w:lang w:val="ru-MD"/>
        </w:rPr>
        <w:t xml:space="preserve"> завершил</w:t>
      </w:r>
      <w:r w:rsidR="009322BB">
        <w:rPr>
          <w:rFonts w:asciiTheme="majorHAnsi" w:hAnsiTheme="majorHAnsi" w:cstheme="majorHAnsi"/>
          <w:sz w:val="24"/>
          <w:szCs w:val="24"/>
          <w:lang w:val="ru-MD"/>
        </w:rPr>
        <w:t>о</w:t>
      </w:r>
      <w:r w:rsidRPr="0012600D">
        <w:rPr>
          <w:rFonts w:asciiTheme="majorHAnsi" w:hAnsiTheme="majorHAnsi" w:cstheme="majorHAnsi"/>
          <w:sz w:val="24"/>
          <w:szCs w:val="24"/>
          <w:lang w:val="ru-MD"/>
        </w:rPr>
        <w:t>с</w:t>
      </w:r>
      <w:r w:rsidR="009322BB">
        <w:rPr>
          <w:rFonts w:asciiTheme="majorHAnsi" w:hAnsiTheme="majorHAnsi" w:cstheme="majorHAnsi"/>
          <w:sz w:val="24"/>
          <w:szCs w:val="24"/>
          <w:lang w:val="ru-MD"/>
        </w:rPr>
        <w:t>ь</w:t>
      </w:r>
      <w:r w:rsidRPr="0012600D">
        <w:rPr>
          <w:rFonts w:asciiTheme="majorHAnsi" w:hAnsiTheme="majorHAnsi" w:cstheme="majorHAnsi"/>
          <w:sz w:val="24"/>
          <w:szCs w:val="24"/>
          <w:lang w:val="ru-MD"/>
        </w:rPr>
        <w:t xml:space="preserve"> профицитом в размере 50,8 млн. леев, а остаток </w:t>
      </w:r>
      <w:r w:rsidRPr="00A42333">
        <w:rPr>
          <w:rFonts w:asciiTheme="majorHAnsi" w:hAnsiTheme="majorHAnsi" w:cstheme="majorHAnsi"/>
          <w:sz w:val="24"/>
          <w:szCs w:val="24"/>
          <w:lang w:val="ru-MD"/>
        </w:rPr>
        <w:t xml:space="preserve">денежных средств на конец периода составил  </w:t>
      </w:r>
      <w:r w:rsidRPr="00A42333">
        <w:rPr>
          <w:rFonts w:asciiTheme="majorHAnsi" w:eastAsia="Times New Roman" w:hAnsiTheme="majorHAnsi" w:cstheme="majorHAnsi"/>
          <w:color w:val="000000"/>
          <w:sz w:val="24"/>
          <w:szCs w:val="24"/>
          <w:lang w:val="ru-MD"/>
        </w:rPr>
        <w:t>51,2 млн. леев</w:t>
      </w:r>
      <w:r w:rsidRPr="00A42333">
        <w:rPr>
          <w:rFonts w:asciiTheme="majorHAnsi" w:hAnsiTheme="majorHAnsi" w:cstheme="majorHAnsi"/>
          <w:sz w:val="24"/>
          <w:szCs w:val="24"/>
          <w:lang w:val="ru-MD"/>
        </w:rPr>
        <w:t xml:space="preserve"> </w:t>
      </w:r>
      <w:r w:rsidRPr="00A42333">
        <w:rPr>
          <w:rFonts w:asciiTheme="majorHAnsi" w:eastAsia="Times New Roman" w:hAnsiTheme="majorHAnsi" w:cstheme="majorHAnsi"/>
          <w:color w:val="000000"/>
          <w:sz w:val="24"/>
          <w:szCs w:val="24"/>
          <w:lang w:val="ru-MD"/>
        </w:rPr>
        <w:t>(Приложение №12).</w:t>
      </w:r>
    </w:p>
    <w:p w14:paraId="6BBEC50E" w14:textId="77777777" w:rsidR="00B749E7" w:rsidRPr="00A42333" w:rsidRDefault="00B749E7" w:rsidP="00B749E7">
      <w:pPr>
        <w:spacing w:after="0" w:line="276" w:lineRule="auto"/>
        <w:jc w:val="both"/>
        <w:rPr>
          <w:rFonts w:asciiTheme="majorHAnsi" w:eastAsia="Times New Roman" w:hAnsiTheme="majorHAnsi" w:cstheme="majorHAnsi"/>
          <w:color w:val="000000"/>
          <w:sz w:val="24"/>
          <w:szCs w:val="24"/>
          <w:lang w:val="ru-MD"/>
        </w:rPr>
      </w:pPr>
    </w:p>
    <w:bookmarkEnd w:id="3"/>
    <w:p w14:paraId="109AA2A6" w14:textId="77777777" w:rsidR="00B749E7" w:rsidRPr="00A42333" w:rsidRDefault="00B749E7" w:rsidP="00B749E7">
      <w:pPr>
        <w:pStyle w:val="1"/>
        <w:numPr>
          <w:ilvl w:val="0"/>
          <w:numId w:val="2"/>
        </w:numPr>
        <w:tabs>
          <w:tab w:val="left" w:pos="709"/>
        </w:tabs>
        <w:spacing w:before="120" w:after="120"/>
        <w:ind w:left="0" w:firstLine="0"/>
        <w:jc w:val="left"/>
        <w:rPr>
          <w:rFonts w:asciiTheme="majorHAnsi" w:hAnsiTheme="majorHAnsi" w:cstheme="majorHAnsi"/>
          <w:sz w:val="28"/>
          <w:szCs w:val="28"/>
          <w:lang w:val="ro-RO"/>
        </w:rPr>
      </w:pPr>
      <w:r w:rsidRPr="008102F7">
        <w:rPr>
          <w:rFonts w:asciiTheme="majorHAnsi" w:hAnsiTheme="majorHAnsi" w:cstheme="majorHAnsi"/>
          <w:sz w:val="28"/>
          <w:szCs w:val="28"/>
          <w:lang w:val="ru-RU"/>
        </w:rPr>
        <w:t xml:space="preserve"> </w:t>
      </w:r>
      <w:r w:rsidRPr="00A42333">
        <w:rPr>
          <w:rFonts w:asciiTheme="majorHAnsi" w:hAnsiTheme="majorHAnsi" w:cstheme="majorHAnsi"/>
          <w:sz w:val="28"/>
          <w:szCs w:val="28"/>
          <w:lang w:val="ru-MD"/>
        </w:rPr>
        <w:t>КЛЮЧЕВЫЕ</w:t>
      </w:r>
      <w:r w:rsidRPr="00A42333">
        <w:rPr>
          <w:rFonts w:asciiTheme="majorHAnsi" w:hAnsiTheme="majorHAnsi" w:cstheme="majorHAnsi"/>
          <w:sz w:val="28"/>
          <w:szCs w:val="28"/>
          <w:lang w:val="fr-FR"/>
        </w:rPr>
        <w:t xml:space="preserve"> </w:t>
      </w:r>
      <w:r w:rsidRPr="00A42333">
        <w:rPr>
          <w:rFonts w:asciiTheme="majorHAnsi" w:hAnsiTheme="majorHAnsi" w:cstheme="majorHAnsi"/>
          <w:sz w:val="28"/>
          <w:szCs w:val="28"/>
          <w:lang w:val="ru-MD"/>
        </w:rPr>
        <w:t>АСПЕКТЫ</w:t>
      </w:r>
      <w:r w:rsidRPr="00A42333">
        <w:rPr>
          <w:rFonts w:asciiTheme="majorHAnsi" w:hAnsiTheme="majorHAnsi" w:cstheme="majorHAnsi"/>
          <w:sz w:val="28"/>
          <w:szCs w:val="28"/>
          <w:lang w:val="fr-FR"/>
        </w:rPr>
        <w:t xml:space="preserve"> </w:t>
      </w:r>
      <w:r w:rsidRPr="00A42333">
        <w:rPr>
          <w:rFonts w:asciiTheme="majorHAnsi" w:hAnsiTheme="majorHAnsi" w:cstheme="majorHAnsi"/>
          <w:sz w:val="28"/>
          <w:szCs w:val="28"/>
          <w:lang w:val="ru-MD"/>
        </w:rPr>
        <w:t>АУДИТА</w:t>
      </w:r>
      <w:r w:rsidRPr="00A42333">
        <w:rPr>
          <w:rFonts w:asciiTheme="majorHAnsi" w:hAnsiTheme="majorHAnsi" w:cstheme="majorHAnsi"/>
          <w:sz w:val="28"/>
          <w:szCs w:val="28"/>
          <w:lang w:val="fr-FR"/>
        </w:rPr>
        <w:t xml:space="preserve"> </w:t>
      </w:r>
    </w:p>
    <w:p w14:paraId="175E77D3" w14:textId="77777777" w:rsidR="00B749E7" w:rsidRPr="008C5FCB" w:rsidRDefault="00B749E7" w:rsidP="00B749E7">
      <w:pPr>
        <w:jc w:val="both"/>
        <w:rPr>
          <w:rFonts w:asciiTheme="majorHAnsi" w:eastAsia="Calibri" w:hAnsiTheme="majorHAnsi" w:cstheme="majorHAnsi"/>
          <w:sz w:val="24"/>
          <w:szCs w:val="24"/>
          <w:lang w:val="ru-MD"/>
        </w:rPr>
      </w:pPr>
      <w:r w:rsidRPr="008C5FCB">
        <w:rPr>
          <w:rFonts w:asciiTheme="majorHAnsi" w:eastAsia="Times New Roman" w:hAnsiTheme="majorHAnsi" w:cstheme="majorHAnsi"/>
          <w:color w:val="000000" w:themeColor="text1"/>
          <w:sz w:val="24"/>
          <w:szCs w:val="24"/>
          <w:lang w:val="ru-MD"/>
        </w:rPr>
        <w:t xml:space="preserve">Ключевыми аспектами аудита являются те аспекты, которые, по нашему профессиональному суждению, имели наибольшее значение для аудита </w:t>
      </w:r>
      <w:r w:rsidRPr="008C5FCB">
        <w:rPr>
          <w:rFonts w:asciiTheme="majorHAnsi" w:eastAsia="Times New Roman" w:hAnsiTheme="majorHAnsi" w:cstheme="majorHAnsi"/>
          <w:bCs/>
          <w:color w:val="000000" w:themeColor="text1"/>
          <w:sz w:val="24"/>
          <w:szCs w:val="24"/>
          <w:lang w:val="ru-MD"/>
        </w:rPr>
        <w:t>Отчета Правительства об исполнении БГСС за 2022 год</w:t>
      </w:r>
      <w:r w:rsidRPr="008C5FCB">
        <w:rPr>
          <w:rFonts w:asciiTheme="majorHAnsi" w:eastAsia="Times New Roman" w:hAnsiTheme="majorHAnsi" w:cstheme="majorHAnsi"/>
          <w:color w:val="000000" w:themeColor="text1"/>
          <w:sz w:val="24"/>
          <w:szCs w:val="24"/>
          <w:lang w:val="ru-MD"/>
        </w:rPr>
        <w:t>. Эти аспекты были рассмотрены в контексте аудита финансовой отчетности в целом, и формирования нашего мнения по ней, и мы не предлагаем отдельного мнения по этим аспектам. Считаем, что описанные ниже аспекты, хотя и не повлияли на наше аудиторское мнение, являются ключевыми аспектами аудита, которые должны быть отражены в настоящем Отчете</w:t>
      </w:r>
      <w:r w:rsidRPr="008C5FCB">
        <w:rPr>
          <w:rFonts w:asciiTheme="majorHAnsi" w:eastAsia="Calibri" w:hAnsiTheme="majorHAnsi" w:cstheme="majorHAnsi"/>
          <w:sz w:val="24"/>
          <w:szCs w:val="24"/>
          <w:lang w:val="ru-MD"/>
        </w:rPr>
        <w:t>.</w:t>
      </w:r>
    </w:p>
    <w:p w14:paraId="1E279200" w14:textId="77777777" w:rsidR="00B749E7" w:rsidRPr="008C5FCB" w:rsidRDefault="00B749E7" w:rsidP="00B749E7">
      <w:pPr>
        <w:pStyle w:val="aa"/>
        <w:numPr>
          <w:ilvl w:val="1"/>
          <w:numId w:val="2"/>
        </w:numPr>
        <w:spacing w:after="0" w:line="276" w:lineRule="auto"/>
        <w:ind w:left="0" w:firstLine="0"/>
        <w:jc w:val="both"/>
        <w:outlineLvl w:val="1"/>
        <w:rPr>
          <w:rFonts w:asciiTheme="majorHAnsi" w:eastAsia="Times New Roman" w:hAnsiTheme="majorHAnsi" w:cstheme="majorHAnsi"/>
          <w:b/>
          <w:sz w:val="24"/>
          <w:szCs w:val="24"/>
          <w:lang w:val="ru-MD"/>
        </w:rPr>
      </w:pPr>
      <w:r w:rsidRPr="008C5FCB">
        <w:rPr>
          <w:rFonts w:asciiTheme="majorHAnsi" w:eastAsia="Times New Roman" w:hAnsiTheme="majorHAnsi" w:cstheme="majorHAnsi"/>
          <w:b/>
          <w:sz w:val="24"/>
          <w:szCs w:val="24"/>
          <w:lang w:val="ru-MD"/>
        </w:rPr>
        <w:t xml:space="preserve">Уровень доходов в бюджете государственного социального страхования неуклонно растет, включая полученные трансферты из государственного бюджета. </w:t>
      </w:r>
    </w:p>
    <w:p w14:paraId="6F18D440" w14:textId="2CD455DD" w:rsidR="00B749E7" w:rsidRPr="008C5FCB" w:rsidRDefault="00B749E7" w:rsidP="00B749E7">
      <w:pPr>
        <w:pStyle w:val="Default"/>
        <w:spacing w:line="276" w:lineRule="auto"/>
        <w:jc w:val="both"/>
        <w:rPr>
          <w:rFonts w:asciiTheme="majorHAnsi" w:hAnsiTheme="majorHAnsi" w:cstheme="majorHAnsi"/>
          <w:lang w:val="ru-MD"/>
        </w:rPr>
      </w:pPr>
      <w:r w:rsidRPr="008C5FCB">
        <w:rPr>
          <w:rFonts w:asciiTheme="majorHAnsi" w:eastAsia="Times New Roman" w:hAnsiTheme="majorHAnsi" w:cstheme="majorHAnsi"/>
          <w:lang w:val="ru-MD"/>
        </w:rPr>
        <w:t>В 2022 году общий доход бюджета государственного социального страхования составил 33 796,07 млн. леев</w:t>
      </w:r>
      <w:r w:rsidRPr="008C5FCB">
        <w:rPr>
          <w:rStyle w:val="a5"/>
          <w:rFonts w:asciiTheme="majorHAnsi" w:eastAsia="Times New Roman" w:hAnsiTheme="majorHAnsi" w:cstheme="majorHAnsi"/>
          <w:lang w:val="ru-MD"/>
        </w:rPr>
        <w:footnoteReference w:id="12"/>
      </w:r>
      <w:r w:rsidRPr="008C5FCB">
        <w:rPr>
          <w:rFonts w:asciiTheme="majorHAnsi" w:eastAsia="Times New Roman" w:hAnsiTheme="majorHAnsi" w:cstheme="majorHAnsi"/>
          <w:lang w:val="ru-MD"/>
        </w:rPr>
        <w:t xml:space="preserve">, что на 1,2%, или на </w:t>
      </w:r>
      <w:r w:rsidRPr="008C5FCB">
        <w:rPr>
          <w:rFonts w:asciiTheme="majorHAnsi" w:hAnsiTheme="majorHAnsi" w:cstheme="majorHAnsi"/>
          <w:lang w:val="ru-MD"/>
        </w:rPr>
        <w:t xml:space="preserve">404,5 </w:t>
      </w:r>
      <w:r w:rsidRPr="008C5FCB">
        <w:rPr>
          <w:rFonts w:asciiTheme="majorHAnsi" w:eastAsia="Times New Roman" w:hAnsiTheme="majorHAnsi" w:cstheme="majorHAnsi"/>
          <w:lang w:val="ru-MD"/>
        </w:rPr>
        <w:t>млн. леев меньше по сравнению с годовым прогнозом</w:t>
      </w:r>
      <w:r w:rsidR="009322BB">
        <w:rPr>
          <w:rFonts w:asciiTheme="majorHAnsi" w:eastAsia="Times New Roman" w:hAnsiTheme="majorHAnsi" w:cstheme="majorHAnsi"/>
          <w:lang w:val="ru-MD"/>
        </w:rPr>
        <w:t xml:space="preserve">. </w:t>
      </w:r>
      <w:r w:rsidRPr="008C5FCB">
        <w:rPr>
          <w:rFonts w:asciiTheme="majorHAnsi" w:eastAsia="Times New Roman" w:hAnsiTheme="majorHAnsi" w:cstheme="majorHAnsi"/>
          <w:lang w:val="ru-MD"/>
        </w:rPr>
        <w:t xml:space="preserve">В то же время, они увеличились на </w:t>
      </w:r>
      <w:r w:rsidRPr="008C5FCB">
        <w:rPr>
          <w:rFonts w:asciiTheme="majorHAnsi" w:hAnsiTheme="majorHAnsi" w:cstheme="majorHAnsi"/>
          <w:lang w:val="ru-MD"/>
        </w:rPr>
        <w:t xml:space="preserve">6 549,22 </w:t>
      </w:r>
      <w:r w:rsidRPr="009322BB">
        <w:rPr>
          <w:rFonts w:asciiTheme="majorHAnsi" w:eastAsia="Times New Roman" w:hAnsiTheme="majorHAnsi" w:cstheme="majorHAnsi"/>
          <w:lang w:val="ru-MD"/>
        </w:rPr>
        <w:t>млн. леев</w:t>
      </w:r>
      <w:r w:rsidRPr="008C5FCB">
        <w:rPr>
          <w:rFonts w:asciiTheme="majorHAnsi" w:eastAsia="Times New Roman" w:hAnsiTheme="majorHAnsi" w:cstheme="majorHAnsi"/>
          <w:lang w:val="ru-MD"/>
        </w:rPr>
        <w:t xml:space="preserve"> по сравнению с предыдущим годом</w:t>
      </w:r>
      <w:r w:rsidRPr="008C5FCB">
        <w:rPr>
          <w:rFonts w:asciiTheme="majorHAnsi" w:hAnsiTheme="majorHAnsi" w:cstheme="majorHAnsi"/>
          <w:lang w:val="ru-MD"/>
        </w:rPr>
        <w:t>.</w:t>
      </w:r>
    </w:p>
    <w:p w14:paraId="26939BAE" w14:textId="77777777" w:rsidR="00B749E7" w:rsidRPr="008C5FCB" w:rsidRDefault="00B749E7" w:rsidP="00B749E7">
      <w:pPr>
        <w:pStyle w:val="Default"/>
        <w:spacing w:line="276" w:lineRule="auto"/>
        <w:jc w:val="both"/>
        <w:rPr>
          <w:rFonts w:asciiTheme="majorHAnsi" w:hAnsiTheme="majorHAnsi" w:cstheme="majorHAnsi"/>
          <w:lang w:val="ru-MD"/>
        </w:rPr>
      </w:pPr>
      <w:r w:rsidRPr="008C5FCB">
        <w:rPr>
          <w:rFonts w:asciiTheme="majorHAnsi" w:hAnsiTheme="majorHAnsi" w:cstheme="majorHAnsi"/>
          <w:lang w:val="ru-MD"/>
        </w:rPr>
        <w:t xml:space="preserve">В структуре доходов бюджета государственного социального страхования на 2022 год, общие ресурсы этого бюджета составили 56,2%, а трансферты из государственного бюджета – 43,8%. </w:t>
      </w:r>
    </w:p>
    <w:p w14:paraId="07C82294" w14:textId="103E56AF" w:rsidR="00B749E7" w:rsidRPr="008C5FCB" w:rsidRDefault="00B749E7" w:rsidP="00B749E7">
      <w:pPr>
        <w:pStyle w:val="Default"/>
        <w:spacing w:line="276" w:lineRule="auto"/>
        <w:jc w:val="both"/>
        <w:rPr>
          <w:rFonts w:asciiTheme="majorHAnsi" w:hAnsiTheme="majorHAnsi" w:cstheme="majorHAnsi"/>
          <w:lang w:val="ru-MD"/>
        </w:rPr>
      </w:pPr>
      <w:r w:rsidRPr="008C5FCB">
        <w:rPr>
          <w:rFonts w:asciiTheme="majorHAnsi" w:hAnsiTheme="majorHAnsi" w:cstheme="majorHAnsi"/>
          <w:lang w:val="ru-MD"/>
        </w:rPr>
        <w:t>Общие ресурсы бюджета государственного социального страхования состоят из взносов обязательного государственного социального страхования - 18 573,34 млн. леев</w:t>
      </w:r>
      <w:r w:rsidR="009322BB">
        <w:rPr>
          <w:rFonts w:asciiTheme="majorHAnsi" w:hAnsiTheme="majorHAnsi" w:cstheme="majorHAnsi"/>
          <w:lang w:val="ru-MD"/>
        </w:rPr>
        <w:t>,</w:t>
      </w:r>
      <w:r w:rsidRPr="008C5FCB">
        <w:rPr>
          <w:rFonts w:asciiTheme="majorHAnsi" w:hAnsiTheme="majorHAnsi" w:cstheme="majorHAnsi"/>
          <w:lang w:val="ru-MD"/>
        </w:rPr>
        <w:t xml:space="preserve"> и других накопленных доходов в </w:t>
      </w:r>
      <w:r w:rsidR="009322BB">
        <w:rPr>
          <w:rFonts w:asciiTheme="majorHAnsi" w:hAnsiTheme="majorHAnsi" w:cstheme="majorHAnsi"/>
          <w:lang w:val="ru-MD"/>
        </w:rPr>
        <w:t>сумм</w:t>
      </w:r>
      <w:r w:rsidRPr="008C5FCB">
        <w:rPr>
          <w:rFonts w:asciiTheme="majorHAnsi" w:hAnsiTheme="majorHAnsi" w:cstheme="majorHAnsi"/>
          <w:lang w:val="ru-MD"/>
        </w:rPr>
        <w:t>е 428,7 млн. леев. Удельный вес взносов и премий обязательного государственного социального страхования в общих доходах бюджета государственного социального страхования составляет 54,9%, что на 2 349,46 млн. леев больше по сравнению с предыдущим годом.</w:t>
      </w:r>
    </w:p>
    <w:p w14:paraId="23E33C5E" w14:textId="3E9877B3" w:rsidR="00B749E7" w:rsidRPr="008C5FCB" w:rsidRDefault="00B749E7" w:rsidP="00B749E7">
      <w:pPr>
        <w:spacing w:after="0" w:line="276" w:lineRule="auto"/>
        <w:jc w:val="both"/>
        <w:rPr>
          <w:rFonts w:asciiTheme="majorHAnsi" w:eastAsia="Times New Roman" w:hAnsiTheme="majorHAnsi" w:cstheme="majorHAnsi"/>
          <w:b/>
          <w:sz w:val="24"/>
          <w:szCs w:val="24"/>
          <w:lang w:val="ru-MD"/>
        </w:rPr>
      </w:pPr>
      <w:r w:rsidRPr="008C5FCB">
        <w:rPr>
          <w:rFonts w:asciiTheme="majorHAnsi" w:eastAsia="Times New Roman" w:hAnsiTheme="majorHAnsi" w:cstheme="majorHAnsi"/>
          <w:iCs/>
          <w:sz w:val="24"/>
          <w:szCs w:val="24"/>
          <w:lang w:val="ru-MD"/>
        </w:rPr>
        <w:t>Реализация доходов бюджета государственного социального страхования в 2022 году, в сравнение с 2018-2021 годами, представлена в Приложении №1</w:t>
      </w:r>
      <w:r w:rsidR="009322BB">
        <w:rPr>
          <w:rFonts w:asciiTheme="majorHAnsi" w:eastAsia="Times New Roman" w:hAnsiTheme="majorHAnsi" w:cstheme="majorHAnsi"/>
          <w:iCs/>
          <w:sz w:val="24"/>
          <w:szCs w:val="24"/>
          <w:lang w:val="ru-MD"/>
        </w:rPr>
        <w:t xml:space="preserve"> к </w:t>
      </w:r>
      <w:r w:rsidR="009322BB" w:rsidRPr="008C5FCB">
        <w:rPr>
          <w:rFonts w:asciiTheme="majorHAnsi" w:eastAsia="Times New Roman" w:hAnsiTheme="majorHAnsi" w:cstheme="majorHAnsi"/>
          <w:color w:val="000000" w:themeColor="text1"/>
          <w:sz w:val="24"/>
          <w:szCs w:val="24"/>
          <w:lang w:val="ru-MD"/>
        </w:rPr>
        <w:t>настоящем</w:t>
      </w:r>
      <w:r w:rsidR="009322BB">
        <w:rPr>
          <w:rFonts w:asciiTheme="majorHAnsi" w:eastAsia="Times New Roman" w:hAnsiTheme="majorHAnsi" w:cstheme="majorHAnsi"/>
          <w:color w:val="000000" w:themeColor="text1"/>
          <w:sz w:val="24"/>
          <w:szCs w:val="24"/>
          <w:lang w:val="ru-MD"/>
        </w:rPr>
        <w:t>у</w:t>
      </w:r>
      <w:r w:rsidR="009322BB" w:rsidRPr="008C5FCB">
        <w:rPr>
          <w:rFonts w:asciiTheme="majorHAnsi" w:eastAsia="Times New Roman" w:hAnsiTheme="majorHAnsi" w:cstheme="majorHAnsi"/>
          <w:color w:val="000000" w:themeColor="text1"/>
          <w:sz w:val="24"/>
          <w:szCs w:val="24"/>
          <w:lang w:val="ru-MD"/>
        </w:rPr>
        <w:t xml:space="preserve"> Отчет</w:t>
      </w:r>
      <w:r w:rsidR="009322BB">
        <w:rPr>
          <w:rFonts w:asciiTheme="majorHAnsi" w:eastAsia="Times New Roman" w:hAnsiTheme="majorHAnsi" w:cstheme="majorHAnsi"/>
          <w:color w:val="000000" w:themeColor="text1"/>
          <w:sz w:val="24"/>
          <w:szCs w:val="24"/>
          <w:lang w:val="ru-MD"/>
        </w:rPr>
        <w:t>у аудита</w:t>
      </w:r>
      <w:r w:rsidRPr="008C5FCB">
        <w:rPr>
          <w:rFonts w:asciiTheme="majorHAnsi" w:eastAsia="Times New Roman" w:hAnsiTheme="majorHAnsi" w:cstheme="majorHAnsi"/>
          <w:iCs/>
          <w:color w:val="000000" w:themeColor="text1"/>
          <w:sz w:val="24"/>
          <w:szCs w:val="24"/>
          <w:lang w:val="ru-MD"/>
        </w:rPr>
        <w:t>.</w:t>
      </w:r>
    </w:p>
    <w:p w14:paraId="5F8FA941" w14:textId="77777777" w:rsidR="00B749E7" w:rsidRPr="008C5FCB" w:rsidRDefault="00B749E7" w:rsidP="00B749E7">
      <w:pPr>
        <w:spacing w:after="0" w:line="276" w:lineRule="auto"/>
        <w:jc w:val="both"/>
        <w:rPr>
          <w:rFonts w:asciiTheme="majorHAnsi" w:eastAsia="Times New Roman" w:hAnsiTheme="majorHAnsi" w:cstheme="majorHAnsi"/>
          <w:b/>
          <w:sz w:val="24"/>
          <w:szCs w:val="24"/>
          <w:lang w:val="ru-MD"/>
        </w:rPr>
      </w:pPr>
    </w:p>
    <w:p w14:paraId="255D0AEA" w14:textId="77777777" w:rsidR="00B749E7" w:rsidRPr="008C5FCB" w:rsidRDefault="00B749E7" w:rsidP="00B749E7">
      <w:pPr>
        <w:pStyle w:val="Default"/>
        <w:spacing w:after="240" w:line="276" w:lineRule="auto"/>
        <w:jc w:val="both"/>
        <w:rPr>
          <w:rFonts w:asciiTheme="majorHAnsi" w:hAnsiTheme="majorHAnsi" w:cstheme="majorHAnsi"/>
          <w:lang w:val="ru-MD"/>
        </w:rPr>
      </w:pPr>
      <w:r w:rsidRPr="008C5FCB">
        <w:rPr>
          <w:rFonts w:asciiTheme="majorHAnsi" w:hAnsiTheme="majorHAnsi" w:cstheme="majorHAnsi"/>
          <w:lang w:val="ru-MD"/>
        </w:rPr>
        <w:t>Таким образом, на протяжении 5 лет подряд (2018-2022 годы) наблюдается устойчивый рост всех доходов, поступающих в бюджет государственного социального страхования, особенно текущих трансфертов общего назначения между государственным бюджетом и бюджетом государственного социального страхования.</w:t>
      </w:r>
    </w:p>
    <w:p w14:paraId="7D7886D9" w14:textId="4100FA58" w:rsidR="00B749E7" w:rsidRPr="008C5FCB" w:rsidRDefault="00B749E7" w:rsidP="00B749E7">
      <w:pPr>
        <w:pStyle w:val="Default"/>
        <w:spacing w:after="240" w:line="276" w:lineRule="auto"/>
        <w:jc w:val="both"/>
        <w:rPr>
          <w:rFonts w:asciiTheme="majorHAnsi" w:hAnsiTheme="majorHAnsi" w:cstheme="majorHAnsi"/>
          <w:lang w:val="ru-MD"/>
        </w:rPr>
      </w:pPr>
      <w:r w:rsidRPr="008C5FCB">
        <w:rPr>
          <w:rFonts w:asciiTheme="majorHAnsi" w:hAnsiTheme="majorHAnsi" w:cstheme="majorHAnsi"/>
          <w:b/>
          <w:lang w:val="ru-MD"/>
        </w:rPr>
        <w:t xml:space="preserve">Взносы государственного социального страхования </w:t>
      </w:r>
      <w:r w:rsidRPr="008C5FCB">
        <w:rPr>
          <w:rFonts w:asciiTheme="majorHAnsi" w:hAnsiTheme="majorHAnsi" w:cstheme="majorHAnsi"/>
          <w:lang w:val="ru-MD"/>
        </w:rPr>
        <w:t>в 2022 году начислялись и оплачивались в соответствии с предусмотренными тарифами</w:t>
      </w:r>
      <w:r w:rsidRPr="008C5FCB">
        <w:rPr>
          <w:rStyle w:val="a5"/>
          <w:rFonts w:cstheme="majorHAnsi"/>
          <w:lang w:val="ru-MD"/>
        </w:rPr>
        <w:footnoteReference w:id="13"/>
      </w:r>
      <w:r w:rsidRPr="008C5FCB">
        <w:rPr>
          <w:rFonts w:asciiTheme="majorHAnsi" w:hAnsiTheme="majorHAnsi" w:cstheme="majorHAnsi"/>
          <w:lang w:val="ru-MD"/>
        </w:rPr>
        <w:t xml:space="preserve">.  В то же время, в течение 2022 года были учтены новые особенности порядка социального страхования </w:t>
      </w:r>
      <w:r w:rsidR="00CE15F6">
        <w:rPr>
          <w:rFonts w:asciiTheme="majorHAnsi" w:hAnsiTheme="majorHAnsi" w:cstheme="majorHAnsi"/>
          <w:lang w:val="ru-MD"/>
        </w:rPr>
        <w:t xml:space="preserve">физических </w:t>
      </w:r>
      <w:r w:rsidRPr="008C5FCB">
        <w:rPr>
          <w:rFonts w:asciiTheme="majorHAnsi" w:hAnsiTheme="majorHAnsi" w:cstheme="majorHAnsi"/>
          <w:lang w:val="ru-MD"/>
        </w:rPr>
        <w:t>лиц, осуществляющих деятельность в качестве поденщиков</w:t>
      </w:r>
      <w:r w:rsidRPr="008C5FCB">
        <w:rPr>
          <w:rStyle w:val="a5"/>
          <w:rFonts w:asciiTheme="majorHAnsi" w:hAnsiTheme="majorHAnsi" w:cstheme="majorHAnsi"/>
          <w:color w:val="auto"/>
          <w:lang w:val="ru-MD"/>
        </w:rPr>
        <w:footnoteReference w:id="14"/>
      </w:r>
      <w:r w:rsidRPr="008C5FCB">
        <w:rPr>
          <w:rFonts w:asciiTheme="majorHAnsi" w:hAnsiTheme="majorHAnsi" w:cstheme="majorHAnsi"/>
          <w:lang w:val="ru-MD"/>
        </w:rPr>
        <w:t>. Так, согласно новым положениям</w:t>
      </w:r>
      <w:r w:rsidRPr="008C5FCB">
        <w:rPr>
          <w:rStyle w:val="a5"/>
          <w:rFonts w:cstheme="majorHAnsi"/>
          <w:lang w:val="ru-MD"/>
        </w:rPr>
        <w:footnoteReference w:id="15"/>
      </w:r>
      <w:r w:rsidRPr="008C5FCB">
        <w:rPr>
          <w:rFonts w:asciiTheme="majorHAnsi" w:hAnsiTheme="majorHAnsi" w:cstheme="majorHAnsi"/>
          <w:lang w:val="ru-MD"/>
        </w:rPr>
        <w:t xml:space="preserve">, начиная с 15 июля 2022 года бенефициары работ рассчитывают, декларируют и оплачивают для этой категории физических лиц взносы социального страхования исходя из их вознаграждения в размере 6%. До этой даты физические лица, осуществлявшие деятельность в качестве поденщиков, должны были платить фиксированную годовую плату, рассчитанную по индивидуальному контракту, заключенному с НКСС, в размере 3 270 леев. </w:t>
      </w:r>
    </w:p>
    <w:p w14:paraId="13DA3CDA" w14:textId="77777777" w:rsidR="00B749E7" w:rsidRPr="008C5FCB" w:rsidRDefault="00B749E7" w:rsidP="00B749E7">
      <w:pPr>
        <w:pStyle w:val="Default"/>
        <w:spacing w:after="240" w:line="276" w:lineRule="auto"/>
        <w:jc w:val="both"/>
        <w:rPr>
          <w:sz w:val="28"/>
          <w:szCs w:val="28"/>
          <w:lang w:val="ru-MD"/>
        </w:rPr>
      </w:pPr>
      <w:r w:rsidRPr="008C5FCB">
        <w:rPr>
          <w:rFonts w:asciiTheme="majorHAnsi" w:hAnsiTheme="majorHAnsi" w:cstheme="majorHAnsi"/>
          <w:lang w:val="ru-MD"/>
        </w:rPr>
        <w:t>Фиксированный годовой платеж взносов обязательного социального страхования в 2022 году составил 12 838 леев</w:t>
      </w:r>
      <w:r w:rsidRPr="008C5FCB">
        <w:rPr>
          <w:rStyle w:val="a5"/>
          <w:rFonts w:asciiTheme="majorHAnsi" w:hAnsiTheme="majorHAnsi" w:cstheme="majorHAnsi"/>
          <w:lang w:val="ru-MD"/>
        </w:rPr>
        <w:footnoteReference w:id="16"/>
      </w:r>
      <w:r w:rsidRPr="008C5FCB">
        <w:rPr>
          <w:rFonts w:asciiTheme="majorHAnsi" w:hAnsiTheme="majorHAnsi" w:cstheme="majorHAnsi"/>
          <w:lang w:val="ru-MD"/>
        </w:rPr>
        <w:t>, для собственников или арендаторов сельскохозяйственных земельных участков, обрабатывающих землю индивидуально - 3270 леев</w:t>
      </w:r>
      <w:r w:rsidRPr="008C5FCB">
        <w:rPr>
          <w:rStyle w:val="a5"/>
          <w:rFonts w:asciiTheme="majorHAnsi" w:hAnsiTheme="majorHAnsi" w:cstheme="majorHAnsi"/>
          <w:lang w:val="ru-MD"/>
        </w:rPr>
        <w:footnoteReference w:id="17"/>
      </w:r>
      <w:r w:rsidRPr="008C5FCB">
        <w:rPr>
          <w:rFonts w:asciiTheme="majorHAnsi" w:hAnsiTheme="majorHAnsi" w:cstheme="majorHAnsi"/>
          <w:lang w:val="ru-MD"/>
        </w:rPr>
        <w:t>.</w:t>
      </w:r>
      <w:r w:rsidRPr="008C5FCB">
        <w:rPr>
          <w:rFonts w:asciiTheme="majorHAnsi" w:hAnsiTheme="majorHAnsi" w:cstheme="majorHAnsi"/>
          <w:color w:val="auto"/>
          <w:lang w:val="ru-MD"/>
        </w:rPr>
        <w:t xml:space="preserve"> </w:t>
      </w:r>
    </w:p>
    <w:p w14:paraId="365D4127" w14:textId="77777777" w:rsidR="00B749E7" w:rsidRPr="008C5FCB" w:rsidRDefault="00B749E7" w:rsidP="00B749E7">
      <w:pPr>
        <w:spacing w:after="0" w:line="276" w:lineRule="auto"/>
        <w:jc w:val="both"/>
        <w:rPr>
          <w:rFonts w:asciiTheme="majorHAnsi" w:hAnsiTheme="majorHAnsi" w:cstheme="majorHAnsi"/>
          <w:sz w:val="24"/>
          <w:szCs w:val="24"/>
          <w:lang w:val="ru-MD"/>
        </w:rPr>
      </w:pPr>
      <w:r w:rsidRPr="008C5FCB">
        <w:rPr>
          <w:rFonts w:asciiTheme="majorHAnsi" w:hAnsiTheme="majorHAnsi" w:cstheme="majorHAnsi"/>
          <w:sz w:val="24"/>
          <w:szCs w:val="24"/>
          <w:lang w:val="ru-MD"/>
        </w:rPr>
        <w:t>Отмечается, что взносы государственного социального страхования в 2022 году были накоплены в размере 18 573,34 млн. леев</w:t>
      </w:r>
      <w:r w:rsidRPr="008C5FCB">
        <w:rPr>
          <w:rStyle w:val="a5"/>
          <w:rFonts w:asciiTheme="majorHAnsi" w:hAnsiTheme="majorHAnsi" w:cstheme="majorHAnsi"/>
          <w:sz w:val="24"/>
          <w:szCs w:val="24"/>
          <w:lang w:val="ru-MD"/>
        </w:rPr>
        <w:footnoteReference w:id="18"/>
      </w:r>
      <w:r w:rsidRPr="008C5FCB">
        <w:rPr>
          <w:rFonts w:asciiTheme="majorHAnsi" w:hAnsiTheme="majorHAnsi" w:cstheme="majorHAnsi"/>
          <w:sz w:val="24"/>
          <w:szCs w:val="24"/>
          <w:lang w:val="ru-MD"/>
        </w:rPr>
        <w:t>, и исполнены на уровне 100,1% запланированного показателя. По сравнению с 2021 годом, поступления выросли на 2 349,4 млн. леев. леев, или на 14,5%. Также, в общей сумме накопленных взносов, 61,2 млн. леев составили пени за просроченные выплаты взносов.</w:t>
      </w:r>
    </w:p>
    <w:p w14:paraId="3299335C" w14:textId="77777777" w:rsidR="00B749E7" w:rsidRPr="008C5FCB" w:rsidRDefault="00B749E7" w:rsidP="00B749E7">
      <w:pPr>
        <w:spacing w:after="0" w:line="276" w:lineRule="auto"/>
        <w:jc w:val="both"/>
        <w:rPr>
          <w:rFonts w:asciiTheme="majorHAnsi" w:hAnsiTheme="majorHAnsi" w:cstheme="majorHAnsi"/>
          <w:b/>
          <w:sz w:val="24"/>
          <w:szCs w:val="24"/>
          <w:lang w:val="ru-MD"/>
        </w:rPr>
      </w:pPr>
      <w:r w:rsidRPr="008C5FCB">
        <w:rPr>
          <w:rFonts w:asciiTheme="majorHAnsi" w:hAnsiTheme="majorHAnsi" w:cstheme="majorHAnsi"/>
          <w:b/>
          <w:sz w:val="24"/>
          <w:szCs w:val="24"/>
          <w:lang w:val="ru-MD"/>
        </w:rPr>
        <w:t xml:space="preserve">„Другие доходы” </w:t>
      </w:r>
      <w:r w:rsidRPr="008C5FCB">
        <w:rPr>
          <w:rFonts w:asciiTheme="majorHAnsi" w:hAnsiTheme="majorHAnsi" w:cstheme="majorHAnsi"/>
          <w:sz w:val="24"/>
          <w:szCs w:val="24"/>
          <w:lang w:val="ru-MD"/>
        </w:rPr>
        <w:t>были накоплены в общей сумме 428,7 млн. леев, что на 83,5 млн. леев, или на 24%, больше по сравнению с установленным планом, а фактическая сумма других доходов составила 443,3 млн. леев. По сравнению с 2021 годом, поступления от других доходов увеличились на 130,4 млн. леев, или на 43,7%, рост произошел за счет поступления суммы от единовременного налога, взимаемого с резидентов парков информационных технологий, в размере 420,8 млн. леев, который был на 128,1 млн. леев, или на 43,8%, больше, чем в предыдущем году. Таким образом, доходы бюджета государственного социального страхования отражены в следующих суммах</w:t>
      </w:r>
      <w:r w:rsidRPr="008C5FCB">
        <w:rPr>
          <w:rStyle w:val="a5"/>
          <w:rFonts w:asciiTheme="majorHAnsi" w:hAnsiTheme="majorHAnsi" w:cstheme="majorHAnsi"/>
          <w:sz w:val="24"/>
          <w:szCs w:val="24"/>
          <w:lang w:val="ru-MD"/>
        </w:rPr>
        <w:footnoteReference w:id="19"/>
      </w:r>
      <w:r w:rsidRPr="008C5FCB">
        <w:rPr>
          <w:rFonts w:asciiTheme="majorHAnsi" w:hAnsiTheme="majorHAnsi" w:cstheme="majorHAnsi"/>
          <w:sz w:val="24"/>
          <w:szCs w:val="24"/>
          <w:lang w:val="ru-MD"/>
        </w:rPr>
        <w:t>:</w:t>
      </w:r>
    </w:p>
    <w:p w14:paraId="3A54211F" w14:textId="77777777" w:rsidR="00B749E7" w:rsidRPr="008C5FCB" w:rsidRDefault="00B749E7" w:rsidP="00B749E7">
      <w:pPr>
        <w:pStyle w:val="aa"/>
        <w:numPr>
          <w:ilvl w:val="0"/>
          <w:numId w:val="16"/>
        </w:numPr>
        <w:spacing w:after="0" w:line="276" w:lineRule="auto"/>
        <w:jc w:val="both"/>
        <w:rPr>
          <w:rFonts w:asciiTheme="majorHAnsi" w:hAnsiTheme="majorHAnsi" w:cstheme="majorHAnsi"/>
          <w:sz w:val="24"/>
          <w:szCs w:val="24"/>
          <w:lang w:val="ru-MD"/>
        </w:rPr>
      </w:pPr>
      <w:r w:rsidRPr="008C5FCB">
        <w:rPr>
          <w:lang w:val="ru-MD"/>
        </w:rPr>
        <w:t xml:space="preserve"> </w:t>
      </w:r>
      <w:r w:rsidRPr="008C5FCB">
        <w:rPr>
          <w:rFonts w:asciiTheme="majorHAnsi" w:hAnsiTheme="majorHAnsi" w:cstheme="majorHAnsi"/>
          <w:sz w:val="24"/>
          <w:szCs w:val="24"/>
          <w:lang w:val="ru-MD"/>
        </w:rPr>
        <w:t>6,0 млн. леев, с исполнением на уровне 200,5%, доходы от собственности, и представляют собой проценты, начисленные на остатки денежных средств на банковских счетах бюджета государственного социального страхования;</w:t>
      </w:r>
    </w:p>
    <w:p w14:paraId="48876DCA" w14:textId="3554B463" w:rsidR="00B749E7" w:rsidRPr="008C5FCB" w:rsidRDefault="00B749E7" w:rsidP="00B749E7">
      <w:pPr>
        <w:pStyle w:val="aa"/>
        <w:numPr>
          <w:ilvl w:val="0"/>
          <w:numId w:val="16"/>
        </w:numPr>
        <w:spacing w:after="0" w:line="276" w:lineRule="auto"/>
        <w:jc w:val="both"/>
        <w:rPr>
          <w:rFonts w:asciiTheme="majorHAnsi" w:hAnsiTheme="majorHAnsi" w:cstheme="majorHAnsi"/>
          <w:sz w:val="24"/>
          <w:szCs w:val="24"/>
          <w:lang w:val="ru-MD"/>
        </w:rPr>
      </w:pPr>
      <w:r w:rsidRPr="008C5FCB">
        <w:rPr>
          <w:rFonts w:asciiTheme="majorHAnsi" w:hAnsiTheme="majorHAnsi" w:cstheme="majorHAnsi"/>
          <w:sz w:val="24"/>
          <w:szCs w:val="24"/>
          <w:lang w:val="ru-MD"/>
        </w:rPr>
        <w:t xml:space="preserve">0,05 млн. леев от продажи товаров и услуг, которые представляют собой средства, поступившие в бюджет государственного социального страхования по исполнительным документам о субсидиарной ответственности, </w:t>
      </w:r>
      <w:r w:rsidR="00CE15F6">
        <w:rPr>
          <w:rFonts w:asciiTheme="majorHAnsi" w:hAnsiTheme="majorHAnsi" w:cstheme="majorHAnsi"/>
          <w:sz w:val="24"/>
          <w:szCs w:val="24"/>
          <w:lang w:val="ru-MD"/>
        </w:rPr>
        <w:t xml:space="preserve">их </w:t>
      </w:r>
      <w:r w:rsidRPr="008C5FCB">
        <w:rPr>
          <w:rFonts w:asciiTheme="majorHAnsi" w:hAnsiTheme="majorHAnsi" w:cstheme="majorHAnsi"/>
          <w:sz w:val="24"/>
          <w:szCs w:val="24"/>
          <w:lang w:val="ru-MD"/>
        </w:rPr>
        <w:t>фактическая сумма составила 1,9 млн. леев;</w:t>
      </w:r>
    </w:p>
    <w:p w14:paraId="0E8BBBD2" w14:textId="73A62BAF" w:rsidR="00B749E7" w:rsidRPr="008C5FCB" w:rsidRDefault="00B749E7" w:rsidP="00B749E7">
      <w:pPr>
        <w:pStyle w:val="aa"/>
        <w:numPr>
          <w:ilvl w:val="0"/>
          <w:numId w:val="16"/>
        </w:numPr>
        <w:spacing w:after="0" w:line="276" w:lineRule="auto"/>
        <w:jc w:val="both"/>
        <w:rPr>
          <w:rFonts w:asciiTheme="majorHAnsi" w:hAnsiTheme="majorHAnsi" w:cstheme="majorHAnsi"/>
          <w:sz w:val="24"/>
          <w:szCs w:val="24"/>
          <w:lang w:val="ru-MD"/>
        </w:rPr>
      </w:pPr>
      <w:r w:rsidRPr="008C5FCB">
        <w:rPr>
          <w:rFonts w:asciiTheme="majorHAnsi" w:hAnsiTheme="majorHAnsi" w:cstheme="majorHAnsi"/>
          <w:sz w:val="24"/>
          <w:szCs w:val="24"/>
          <w:lang w:val="ru-MD"/>
        </w:rPr>
        <w:t>0,9  млн. леев, что составляет 32,3% от годового прогноза, и представляют собой штрафы, из которых 0,04 млн. леев - это штрафы и санкции за правонарушения, взимаемые в бюджет государственного социального страхования, и 895,4 тыс. леев - штрафы по плат</w:t>
      </w:r>
      <w:r w:rsidR="00CE15F6">
        <w:rPr>
          <w:rFonts w:asciiTheme="majorHAnsi" w:hAnsiTheme="majorHAnsi" w:cstheme="majorHAnsi"/>
          <w:sz w:val="24"/>
          <w:szCs w:val="24"/>
          <w:lang w:val="ru-MD"/>
        </w:rPr>
        <w:t>еж</w:t>
      </w:r>
      <w:r w:rsidRPr="008C5FCB">
        <w:rPr>
          <w:rFonts w:asciiTheme="majorHAnsi" w:hAnsiTheme="majorHAnsi" w:cstheme="majorHAnsi"/>
          <w:sz w:val="24"/>
          <w:szCs w:val="24"/>
          <w:lang w:val="ru-MD"/>
        </w:rPr>
        <w:t>ам в бюджет государственного социального страхования. Фактическая сумма штрафов в 2022 году составила 1,5 млн. леев.</w:t>
      </w:r>
    </w:p>
    <w:p w14:paraId="21B12E2C" w14:textId="77777777" w:rsidR="00B749E7" w:rsidRPr="001E6403" w:rsidRDefault="00B749E7" w:rsidP="00B749E7">
      <w:pPr>
        <w:spacing w:after="0" w:line="276" w:lineRule="auto"/>
        <w:jc w:val="both"/>
        <w:rPr>
          <w:rFonts w:asciiTheme="majorHAnsi" w:hAnsiTheme="majorHAnsi" w:cstheme="majorHAnsi"/>
          <w:sz w:val="24"/>
          <w:szCs w:val="24"/>
          <w:lang w:val="ru-MD"/>
        </w:rPr>
      </w:pPr>
      <w:r w:rsidRPr="008C5FCB">
        <w:rPr>
          <w:rFonts w:asciiTheme="majorHAnsi" w:hAnsiTheme="majorHAnsi" w:cstheme="majorHAnsi"/>
          <w:b/>
          <w:sz w:val="24"/>
          <w:szCs w:val="24"/>
          <w:lang w:val="ru-MD"/>
        </w:rPr>
        <w:t>Другие доходы и невыясненные доходы</w:t>
      </w:r>
      <w:r w:rsidRPr="008C5FCB">
        <w:rPr>
          <w:rFonts w:asciiTheme="majorHAnsi" w:hAnsiTheme="majorHAnsi" w:cstheme="majorHAnsi"/>
          <w:sz w:val="24"/>
          <w:szCs w:val="24"/>
          <w:lang w:val="ru-MD"/>
        </w:rPr>
        <w:t xml:space="preserve"> были исполнены в сумме 421,7 млн. леев, или на уровне 124,3% от установленного годового плана, а согласно фактическому показателю, они составили </w:t>
      </w:r>
      <w:r w:rsidRPr="001E6403">
        <w:rPr>
          <w:rFonts w:asciiTheme="majorHAnsi" w:hAnsiTheme="majorHAnsi" w:cstheme="majorHAnsi"/>
          <w:sz w:val="24"/>
          <w:szCs w:val="24"/>
          <w:lang w:val="ru-MD"/>
        </w:rPr>
        <w:t>433,8 млн. леев.</w:t>
      </w:r>
    </w:p>
    <w:p w14:paraId="25452162" w14:textId="77777777" w:rsidR="00B749E7" w:rsidRPr="001E6403" w:rsidRDefault="00B749E7" w:rsidP="00B749E7">
      <w:pPr>
        <w:spacing w:after="0" w:line="276" w:lineRule="auto"/>
        <w:jc w:val="both"/>
        <w:rPr>
          <w:rFonts w:asciiTheme="majorHAnsi" w:hAnsiTheme="majorHAnsi" w:cstheme="majorHAnsi"/>
          <w:sz w:val="24"/>
          <w:szCs w:val="24"/>
          <w:lang w:val="ro-MD"/>
        </w:rPr>
      </w:pPr>
    </w:p>
    <w:p w14:paraId="681E6672" w14:textId="78403135" w:rsidR="00B749E7" w:rsidRPr="003F03DF" w:rsidRDefault="00B749E7" w:rsidP="00B749E7">
      <w:pPr>
        <w:pStyle w:val="aa"/>
        <w:numPr>
          <w:ilvl w:val="1"/>
          <w:numId w:val="2"/>
        </w:numPr>
        <w:spacing w:after="0" w:line="276" w:lineRule="auto"/>
        <w:ind w:left="0" w:firstLine="0"/>
        <w:jc w:val="both"/>
        <w:outlineLvl w:val="1"/>
        <w:rPr>
          <w:lang w:val="ru-MD"/>
        </w:rPr>
      </w:pPr>
      <w:r w:rsidRPr="003F03DF">
        <w:rPr>
          <w:rFonts w:asciiTheme="majorHAnsi" w:eastAsia="Times New Roman" w:hAnsiTheme="majorHAnsi" w:cstheme="majorHAnsi"/>
          <w:b/>
          <w:sz w:val="24"/>
          <w:szCs w:val="24"/>
          <w:lang w:val="ru-MD"/>
        </w:rPr>
        <w:t>Расходы бюджета государственного социального страхования</w:t>
      </w:r>
      <w:r w:rsidR="00CE15F6">
        <w:rPr>
          <w:rFonts w:asciiTheme="majorHAnsi" w:eastAsia="Times New Roman" w:hAnsiTheme="majorHAnsi" w:cstheme="majorHAnsi"/>
          <w:b/>
          <w:sz w:val="24"/>
          <w:szCs w:val="24"/>
          <w:lang w:val="ru-MD"/>
        </w:rPr>
        <w:t xml:space="preserve"> были</w:t>
      </w:r>
      <w:r w:rsidRPr="003F03DF">
        <w:rPr>
          <w:rFonts w:asciiTheme="majorHAnsi" w:eastAsia="Times New Roman" w:hAnsiTheme="majorHAnsi" w:cstheme="majorHAnsi"/>
          <w:b/>
          <w:sz w:val="24"/>
          <w:szCs w:val="24"/>
          <w:lang w:val="ru-MD"/>
        </w:rPr>
        <w:t xml:space="preserve"> исполнен</w:t>
      </w:r>
      <w:r w:rsidR="00CE15F6">
        <w:rPr>
          <w:rFonts w:asciiTheme="majorHAnsi" w:eastAsia="Times New Roman" w:hAnsiTheme="majorHAnsi" w:cstheme="majorHAnsi"/>
          <w:b/>
          <w:sz w:val="24"/>
          <w:szCs w:val="24"/>
          <w:lang w:val="ru-MD"/>
        </w:rPr>
        <w:t>ы</w:t>
      </w:r>
      <w:r w:rsidRPr="003F03DF">
        <w:rPr>
          <w:rFonts w:asciiTheme="majorHAnsi" w:eastAsia="Times New Roman" w:hAnsiTheme="majorHAnsi" w:cstheme="majorHAnsi"/>
          <w:b/>
          <w:sz w:val="24"/>
          <w:szCs w:val="24"/>
          <w:lang w:val="ru-MD"/>
        </w:rPr>
        <w:t xml:space="preserve"> в 2022 году</w:t>
      </w:r>
      <w:r w:rsidR="00CE15F6">
        <w:rPr>
          <w:rFonts w:asciiTheme="majorHAnsi" w:eastAsia="Times New Roman" w:hAnsiTheme="majorHAnsi" w:cstheme="majorHAnsi"/>
          <w:b/>
          <w:sz w:val="24"/>
          <w:szCs w:val="24"/>
          <w:lang w:val="ru-MD"/>
        </w:rPr>
        <w:t xml:space="preserve"> на уровне</w:t>
      </w:r>
      <w:r w:rsidRPr="003F03DF">
        <w:rPr>
          <w:rFonts w:asciiTheme="majorHAnsi" w:eastAsia="Times New Roman" w:hAnsiTheme="majorHAnsi" w:cstheme="majorHAnsi"/>
          <w:b/>
          <w:sz w:val="24"/>
          <w:szCs w:val="24"/>
          <w:lang w:val="ru-MD"/>
        </w:rPr>
        <w:t xml:space="preserve"> 98,7% годового плана.</w:t>
      </w:r>
    </w:p>
    <w:p w14:paraId="714D05F1" w14:textId="43BB1DE1" w:rsidR="00B749E7" w:rsidRDefault="00B749E7" w:rsidP="00B749E7">
      <w:pPr>
        <w:spacing w:after="0" w:line="276" w:lineRule="auto"/>
        <w:jc w:val="both"/>
        <w:rPr>
          <w:rFonts w:asciiTheme="majorHAnsi" w:hAnsiTheme="majorHAnsi" w:cstheme="majorHAnsi"/>
          <w:sz w:val="24"/>
          <w:szCs w:val="24"/>
          <w:lang w:val="ro-RO"/>
        </w:rPr>
      </w:pPr>
      <w:r w:rsidRPr="003F03DF">
        <w:rPr>
          <w:rFonts w:asciiTheme="majorHAnsi" w:hAnsiTheme="majorHAnsi" w:cstheme="majorHAnsi"/>
          <w:sz w:val="24"/>
          <w:szCs w:val="24"/>
          <w:lang w:val="ru-MD"/>
        </w:rPr>
        <w:t>Согласно</w:t>
      </w:r>
      <w:r w:rsidRPr="00E17DBE">
        <w:rPr>
          <w:rFonts w:asciiTheme="majorHAnsi" w:hAnsiTheme="majorHAnsi" w:cstheme="majorHAnsi"/>
          <w:sz w:val="24"/>
          <w:szCs w:val="24"/>
          <w:lang w:val="ru-MD"/>
        </w:rPr>
        <w:t xml:space="preserve"> Отчет</w:t>
      </w:r>
      <w:r>
        <w:rPr>
          <w:rFonts w:asciiTheme="majorHAnsi" w:hAnsiTheme="majorHAnsi" w:cstheme="majorHAnsi"/>
          <w:sz w:val="24"/>
          <w:szCs w:val="24"/>
          <w:lang w:val="ru-MD"/>
        </w:rPr>
        <w:t>у</w:t>
      </w:r>
      <w:r w:rsidRPr="00E17DBE">
        <w:rPr>
          <w:rFonts w:asciiTheme="majorHAnsi" w:hAnsiTheme="majorHAnsi" w:cstheme="majorHAnsi"/>
          <w:sz w:val="24"/>
          <w:szCs w:val="24"/>
          <w:lang w:val="ru-MD"/>
        </w:rPr>
        <w:t xml:space="preserve"> об исполнении бюджета государственного социального страхования за 202</w:t>
      </w:r>
      <w:r>
        <w:rPr>
          <w:rFonts w:asciiTheme="majorHAnsi" w:hAnsiTheme="majorHAnsi" w:cstheme="majorHAnsi"/>
          <w:sz w:val="24"/>
          <w:szCs w:val="24"/>
          <w:lang w:val="ru-MD"/>
        </w:rPr>
        <w:t>2</w:t>
      </w:r>
      <w:r w:rsidRPr="00E17DBE">
        <w:rPr>
          <w:rFonts w:asciiTheme="majorHAnsi" w:hAnsiTheme="majorHAnsi" w:cstheme="majorHAnsi"/>
          <w:sz w:val="24"/>
          <w:szCs w:val="24"/>
          <w:lang w:val="ru-MD"/>
        </w:rPr>
        <w:t xml:space="preserve"> год, расходы бюджета государственного социального страхования были исполнены в сумме </w:t>
      </w:r>
      <w:r>
        <w:rPr>
          <w:rFonts w:asciiTheme="majorHAnsi" w:hAnsiTheme="majorHAnsi" w:cstheme="majorHAnsi"/>
          <w:sz w:val="24"/>
          <w:szCs w:val="24"/>
          <w:lang w:val="ro-RO"/>
        </w:rPr>
        <w:t xml:space="preserve">33 728,2 </w:t>
      </w:r>
      <w:r w:rsidRPr="00E17DBE">
        <w:rPr>
          <w:rFonts w:asciiTheme="majorHAnsi" w:hAnsiTheme="majorHAnsi" w:cstheme="majorHAnsi"/>
          <w:sz w:val="24"/>
          <w:szCs w:val="24"/>
          <w:lang w:val="ru-MD"/>
        </w:rPr>
        <w:t xml:space="preserve">млн. леев, </w:t>
      </w:r>
      <w:r w:rsidR="00C777E7">
        <w:rPr>
          <w:rFonts w:asciiTheme="majorHAnsi" w:hAnsiTheme="majorHAnsi" w:cstheme="majorHAnsi"/>
          <w:sz w:val="24"/>
          <w:szCs w:val="24"/>
          <w:lang w:val="ru-MD"/>
        </w:rPr>
        <w:t>что</w:t>
      </w:r>
      <w:r w:rsidRPr="00E17DBE">
        <w:rPr>
          <w:rFonts w:asciiTheme="majorHAnsi" w:hAnsiTheme="majorHAnsi" w:cstheme="majorHAnsi"/>
          <w:sz w:val="24"/>
          <w:szCs w:val="24"/>
          <w:lang w:val="ru-MD"/>
        </w:rPr>
        <w:t xml:space="preserve"> на </w:t>
      </w:r>
      <w:r>
        <w:rPr>
          <w:rFonts w:asciiTheme="majorHAnsi" w:hAnsiTheme="majorHAnsi" w:cstheme="majorHAnsi"/>
          <w:sz w:val="24"/>
          <w:szCs w:val="24"/>
          <w:lang w:val="ro-RO"/>
        </w:rPr>
        <w:t>452,4</w:t>
      </w:r>
      <w:r>
        <w:rPr>
          <w:rFonts w:asciiTheme="majorHAnsi" w:hAnsiTheme="majorHAnsi" w:cstheme="majorHAnsi"/>
          <w:sz w:val="24"/>
          <w:szCs w:val="24"/>
          <w:lang w:val="ru-RU"/>
        </w:rPr>
        <w:t xml:space="preserve"> </w:t>
      </w:r>
      <w:r w:rsidRPr="00E17DBE">
        <w:rPr>
          <w:rFonts w:asciiTheme="majorHAnsi" w:hAnsiTheme="majorHAnsi" w:cstheme="majorHAnsi"/>
          <w:sz w:val="24"/>
          <w:szCs w:val="24"/>
          <w:lang w:val="ru-MD"/>
        </w:rPr>
        <w:t xml:space="preserve">млн. леев меньше запланированного уровня. По сравнению с предыдущим годом, </w:t>
      </w:r>
      <w:r>
        <w:rPr>
          <w:rFonts w:asciiTheme="majorHAnsi" w:hAnsiTheme="majorHAnsi" w:cstheme="majorHAnsi"/>
          <w:sz w:val="24"/>
          <w:szCs w:val="24"/>
          <w:lang w:val="ru-MD"/>
        </w:rPr>
        <w:t xml:space="preserve">исполненные </w:t>
      </w:r>
      <w:r w:rsidRPr="00E17DBE">
        <w:rPr>
          <w:rFonts w:asciiTheme="majorHAnsi" w:hAnsiTheme="majorHAnsi" w:cstheme="majorHAnsi"/>
          <w:sz w:val="24"/>
          <w:szCs w:val="24"/>
          <w:lang w:val="ru-MD"/>
        </w:rPr>
        <w:t xml:space="preserve">расходы бюджета государственного социального страхования увеличились на </w:t>
      </w:r>
      <w:r>
        <w:rPr>
          <w:rFonts w:asciiTheme="majorHAnsi" w:hAnsiTheme="majorHAnsi" w:cstheme="majorHAnsi"/>
          <w:sz w:val="24"/>
          <w:szCs w:val="24"/>
          <w:lang w:val="ro-RO"/>
        </w:rPr>
        <w:t xml:space="preserve">6 556,2 </w:t>
      </w:r>
      <w:r w:rsidRPr="00E17DBE">
        <w:rPr>
          <w:rFonts w:asciiTheme="majorHAnsi" w:hAnsiTheme="majorHAnsi" w:cstheme="majorHAnsi"/>
          <w:sz w:val="24"/>
          <w:szCs w:val="24"/>
          <w:lang w:val="ru-MD"/>
        </w:rPr>
        <w:t xml:space="preserve">млн. леев, или на </w:t>
      </w:r>
      <w:r>
        <w:rPr>
          <w:rFonts w:asciiTheme="majorHAnsi" w:hAnsiTheme="majorHAnsi" w:cstheme="majorHAnsi"/>
          <w:sz w:val="24"/>
          <w:szCs w:val="24"/>
          <w:lang w:val="ru-MD"/>
        </w:rPr>
        <w:t>24</w:t>
      </w:r>
      <w:r w:rsidRPr="00E17DBE">
        <w:rPr>
          <w:rFonts w:asciiTheme="majorHAnsi" w:hAnsiTheme="majorHAnsi" w:cstheme="majorHAnsi"/>
          <w:sz w:val="24"/>
          <w:szCs w:val="24"/>
          <w:lang w:val="ru-MD"/>
        </w:rPr>
        <w:t>,1%</w:t>
      </w:r>
      <w:r>
        <w:rPr>
          <w:rFonts w:asciiTheme="majorHAnsi" w:hAnsiTheme="majorHAnsi" w:cstheme="majorHAnsi"/>
          <w:sz w:val="24"/>
          <w:szCs w:val="24"/>
          <w:lang w:val="ro-RO"/>
        </w:rPr>
        <w:t>.</w:t>
      </w:r>
    </w:p>
    <w:p w14:paraId="32E9E949" w14:textId="77777777" w:rsidR="00B749E7" w:rsidRPr="003F03DF" w:rsidRDefault="00B749E7" w:rsidP="00B749E7">
      <w:pPr>
        <w:spacing w:after="0" w:line="276" w:lineRule="auto"/>
        <w:jc w:val="both"/>
        <w:rPr>
          <w:rFonts w:asciiTheme="majorHAnsi" w:eastAsia="Times New Roman" w:hAnsiTheme="majorHAnsi" w:cstheme="majorHAnsi"/>
          <w:i/>
          <w:iCs/>
          <w:sz w:val="24"/>
          <w:szCs w:val="24"/>
          <w:lang w:val="ru-MD"/>
        </w:rPr>
      </w:pPr>
      <w:r w:rsidRPr="003F03DF">
        <w:rPr>
          <w:rFonts w:asciiTheme="majorHAnsi" w:eastAsia="Times New Roman" w:hAnsiTheme="majorHAnsi" w:cstheme="majorHAnsi"/>
          <w:i/>
          <w:iCs/>
          <w:sz w:val="24"/>
          <w:szCs w:val="24"/>
          <w:lang w:val="ru-MD"/>
        </w:rPr>
        <w:t>Реализация расходов бюджета государственного социального страхования за 2022 год, по сравнению с 2018-2021 годами, представлена в таблице ниже.</w:t>
      </w:r>
    </w:p>
    <w:p w14:paraId="52A75D60" w14:textId="77777777" w:rsidR="00B749E7" w:rsidRPr="003F03DF" w:rsidRDefault="00B749E7" w:rsidP="00B749E7">
      <w:pPr>
        <w:spacing w:after="0" w:line="276" w:lineRule="auto"/>
        <w:jc w:val="right"/>
        <w:rPr>
          <w:rFonts w:asciiTheme="majorHAnsi" w:eastAsia="Times New Roman" w:hAnsiTheme="majorHAnsi" w:cstheme="majorHAnsi"/>
          <w:b/>
          <w:sz w:val="24"/>
          <w:szCs w:val="24"/>
          <w:lang w:val="ru-MD"/>
        </w:rPr>
      </w:pPr>
      <w:r w:rsidRPr="003F03DF">
        <w:rPr>
          <w:rFonts w:asciiTheme="majorHAnsi" w:eastAsia="Times New Roman" w:hAnsiTheme="majorHAnsi" w:cstheme="majorHAnsi"/>
          <w:b/>
          <w:sz w:val="24"/>
          <w:szCs w:val="24"/>
          <w:lang w:val="ru-MD"/>
        </w:rPr>
        <w:t>Таблица №3</w:t>
      </w:r>
    </w:p>
    <w:p w14:paraId="79B60D21" w14:textId="77777777" w:rsidR="00B749E7" w:rsidRPr="00E17DBE" w:rsidRDefault="00B749E7" w:rsidP="00B749E7">
      <w:pPr>
        <w:spacing w:after="0" w:line="276" w:lineRule="auto"/>
        <w:jc w:val="center"/>
        <w:rPr>
          <w:rFonts w:asciiTheme="majorHAnsi" w:hAnsiTheme="majorHAnsi" w:cstheme="majorHAnsi"/>
          <w:b/>
          <w:sz w:val="24"/>
          <w:szCs w:val="24"/>
          <w:lang w:val="ru-MD"/>
        </w:rPr>
      </w:pPr>
      <w:r w:rsidRPr="00E17DBE">
        <w:rPr>
          <w:rFonts w:asciiTheme="majorHAnsi" w:hAnsiTheme="majorHAnsi" w:cstheme="majorHAnsi"/>
          <w:b/>
          <w:sz w:val="24"/>
          <w:szCs w:val="24"/>
          <w:lang w:val="ru-MD"/>
        </w:rPr>
        <w:t>Динамика расходов бюджета государственного социального страхования,</w:t>
      </w:r>
    </w:p>
    <w:p w14:paraId="5822A259" w14:textId="77777777" w:rsidR="00B749E7" w:rsidRDefault="00B749E7" w:rsidP="00B749E7">
      <w:pPr>
        <w:spacing w:after="0" w:line="276" w:lineRule="auto"/>
        <w:jc w:val="center"/>
        <w:rPr>
          <w:rFonts w:asciiTheme="majorHAnsi" w:eastAsia="Times New Roman" w:hAnsiTheme="majorHAnsi" w:cstheme="majorHAnsi"/>
          <w:b/>
          <w:sz w:val="24"/>
          <w:szCs w:val="24"/>
          <w:lang w:val="ro-RO"/>
        </w:rPr>
      </w:pPr>
      <w:r w:rsidRPr="00E17DBE">
        <w:rPr>
          <w:rFonts w:asciiTheme="majorHAnsi" w:hAnsiTheme="majorHAnsi" w:cstheme="majorHAnsi"/>
          <w:b/>
          <w:sz w:val="24"/>
          <w:szCs w:val="24"/>
          <w:lang w:val="ru-MD"/>
        </w:rPr>
        <w:t>за 2018-202</w:t>
      </w:r>
      <w:r>
        <w:rPr>
          <w:rFonts w:asciiTheme="majorHAnsi" w:hAnsiTheme="majorHAnsi" w:cstheme="majorHAnsi"/>
          <w:b/>
          <w:sz w:val="24"/>
          <w:szCs w:val="24"/>
          <w:lang w:val="ru-MD"/>
        </w:rPr>
        <w:t>2</w:t>
      </w:r>
      <w:r w:rsidRPr="00E17DBE">
        <w:rPr>
          <w:rFonts w:asciiTheme="majorHAnsi" w:hAnsiTheme="majorHAnsi" w:cstheme="majorHAnsi"/>
          <w:b/>
          <w:sz w:val="24"/>
          <w:szCs w:val="24"/>
          <w:lang w:val="ru-MD"/>
        </w:rPr>
        <w:t xml:space="preserve"> годы (млн. леев)</w:t>
      </w:r>
    </w:p>
    <w:tbl>
      <w:tblPr>
        <w:tblW w:w="10168" w:type="dxa"/>
        <w:tblLook w:val="04A0" w:firstRow="1" w:lastRow="0" w:firstColumn="1" w:lastColumn="0" w:noHBand="0" w:noVBand="1"/>
      </w:tblPr>
      <w:tblGrid>
        <w:gridCol w:w="1148"/>
        <w:gridCol w:w="743"/>
        <w:gridCol w:w="743"/>
        <w:gridCol w:w="743"/>
        <w:gridCol w:w="743"/>
        <w:gridCol w:w="743"/>
        <w:gridCol w:w="662"/>
        <w:gridCol w:w="599"/>
        <w:gridCol w:w="662"/>
        <w:gridCol w:w="656"/>
        <w:gridCol w:w="743"/>
        <w:gridCol w:w="620"/>
        <w:gridCol w:w="743"/>
        <w:gridCol w:w="620"/>
      </w:tblGrid>
      <w:tr w:rsidR="00B749E7" w:rsidRPr="00A934FA" w14:paraId="0C8A1CC0" w14:textId="77777777" w:rsidTr="000E41FD">
        <w:trPr>
          <w:trHeight w:val="288"/>
        </w:trPr>
        <w:tc>
          <w:tcPr>
            <w:tcW w:w="11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BB17CF"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F74F74">
              <w:rPr>
                <w:rFonts w:ascii="Calibri Light" w:eastAsia="Times New Roman" w:hAnsi="Calibri Light" w:cs="Calibri Light"/>
                <w:b/>
                <w:bCs/>
                <w:color w:val="000000"/>
                <w:sz w:val="16"/>
                <w:szCs w:val="16"/>
                <w:lang w:val="ru-RU"/>
              </w:rPr>
              <w:t>Показатели</w:t>
            </w:r>
          </w:p>
        </w:tc>
        <w:tc>
          <w:tcPr>
            <w:tcW w:w="3715"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B8D341E" w14:textId="77777777" w:rsidR="00B749E7" w:rsidRPr="00F74F74" w:rsidRDefault="00B749E7" w:rsidP="000E41FD">
            <w:pPr>
              <w:spacing w:after="0" w:line="240" w:lineRule="auto"/>
              <w:jc w:val="center"/>
              <w:rPr>
                <w:rFonts w:ascii="Calibri Light" w:eastAsia="Times New Roman" w:hAnsi="Calibri Light" w:cs="Calibri Light"/>
                <w:b/>
                <w:bCs/>
                <w:color w:val="000000"/>
                <w:sz w:val="16"/>
                <w:szCs w:val="16"/>
                <w:lang w:val="ru-RU"/>
              </w:rPr>
            </w:pPr>
            <w:r>
              <w:rPr>
                <w:rFonts w:ascii="Calibri Light" w:eastAsia="Times New Roman" w:hAnsi="Calibri Light" w:cs="Calibri Light"/>
                <w:b/>
                <w:bCs/>
                <w:color w:val="000000"/>
                <w:sz w:val="16"/>
                <w:szCs w:val="16"/>
                <w:lang w:val="ru-RU"/>
              </w:rPr>
              <w:t>Год</w:t>
            </w:r>
          </w:p>
        </w:tc>
        <w:tc>
          <w:tcPr>
            <w:tcW w:w="1261" w:type="dxa"/>
            <w:gridSpan w:val="2"/>
            <w:tcBorders>
              <w:top w:val="single" w:sz="8" w:space="0" w:color="auto"/>
              <w:left w:val="nil"/>
              <w:bottom w:val="nil"/>
              <w:right w:val="single" w:sz="8" w:space="0" w:color="000000"/>
            </w:tcBorders>
            <w:shd w:val="clear" w:color="auto" w:fill="auto"/>
            <w:vAlign w:val="center"/>
            <w:hideMark/>
          </w:tcPr>
          <w:p w14:paraId="73154D85" w14:textId="77777777" w:rsidR="00B749E7" w:rsidRPr="005811C9" w:rsidRDefault="00B749E7" w:rsidP="000E41FD">
            <w:pPr>
              <w:spacing w:after="0" w:line="240" w:lineRule="auto"/>
              <w:jc w:val="center"/>
              <w:rPr>
                <w:rFonts w:ascii="Calibri Light" w:eastAsia="Times New Roman" w:hAnsi="Calibri Light" w:cs="Calibri Light"/>
                <w:b/>
                <w:bCs/>
                <w:color w:val="000000"/>
                <w:sz w:val="16"/>
                <w:szCs w:val="16"/>
                <w:lang w:val="ro-RO"/>
              </w:rPr>
            </w:pPr>
            <w:r>
              <w:rPr>
                <w:rFonts w:ascii="Calibri Light" w:eastAsia="Times New Roman" w:hAnsi="Calibri Light" w:cs="Calibri Light"/>
                <w:b/>
                <w:bCs/>
                <w:color w:val="000000"/>
                <w:sz w:val="16"/>
                <w:szCs w:val="16"/>
                <w:lang w:val="ru-RU"/>
              </w:rPr>
              <w:t>Отклонения</w:t>
            </w:r>
            <w:r w:rsidRPr="005811C9">
              <w:rPr>
                <w:rFonts w:ascii="Calibri Light" w:eastAsia="Times New Roman" w:hAnsi="Calibri Light" w:cs="Calibri Light"/>
                <w:b/>
                <w:bCs/>
                <w:color w:val="000000"/>
                <w:sz w:val="16"/>
                <w:szCs w:val="16"/>
                <w:lang w:val="ro-RO"/>
              </w:rPr>
              <w:t>,</w:t>
            </w:r>
          </w:p>
        </w:tc>
        <w:tc>
          <w:tcPr>
            <w:tcW w:w="1318" w:type="dxa"/>
            <w:gridSpan w:val="2"/>
            <w:tcBorders>
              <w:top w:val="single" w:sz="8" w:space="0" w:color="auto"/>
              <w:left w:val="nil"/>
              <w:bottom w:val="nil"/>
              <w:right w:val="single" w:sz="8" w:space="0" w:color="000000"/>
            </w:tcBorders>
            <w:shd w:val="clear" w:color="auto" w:fill="auto"/>
            <w:vAlign w:val="center"/>
            <w:hideMark/>
          </w:tcPr>
          <w:p w14:paraId="134BD371"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lang w:val="ru-RU"/>
              </w:rPr>
              <w:t>Отклонения</w:t>
            </w:r>
            <w:r w:rsidRPr="00A934FA">
              <w:rPr>
                <w:rFonts w:ascii="Calibri Light" w:eastAsia="Times New Roman" w:hAnsi="Calibri Light" w:cs="Calibri Light"/>
                <w:b/>
                <w:bCs/>
                <w:color w:val="000000"/>
                <w:sz w:val="16"/>
                <w:szCs w:val="16"/>
                <w:lang w:val="ro-RO"/>
              </w:rPr>
              <w:t xml:space="preserve">, </w:t>
            </w:r>
          </w:p>
        </w:tc>
        <w:tc>
          <w:tcPr>
            <w:tcW w:w="1363" w:type="dxa"/>
            <w:gridSpan w:val="2"/>
            <w:tcBorders>
              <w:top w:val="single" w:sz="8" w:space="0" w:color="auto"/>
              <w:left w:val="nil"/>
              <w:bottom w:val="nil"/>
              <w:right w:val="single" w:sz="8" w:space="0" w:color="000000"/>
            </w:tcBorders>
            <w:shd w:val="clear" w:color="auto" w:fill="auto"/>
            <w:vAlign w:val="center"/>
            <w:hideMark/>
          </w:tcPr>
          <w:p w14:paraId="5EFB4DB9"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lang w:val="ru-RU"/>
              </w:rPr>
              <w:t>Отклонения</w:t>
            </w:r>
            <w:r w:rsidRPr="00A934FA">
              <w:rPr>
                <w:rFonts w:ascii="Calibri Light" w:eastAsia="Times New Roman" w:hAnsi="Calibri Light" w:cs="Calibri Light"/>
                <w:b/>
                <w:bCs/>
                <w:color w:val="000000"/>
                <w:sz w:val="16"/>
                <w:szCs w:val="16"/>
                <w:lang w:val="ro-RO"/>
              </w:rPr>
              <w:t xml:space="preserve">, </w:t>
            </w:r>
          </w:p>
        </w:tc>
        <w:tc>
          <w:tcPr>
            <w:tcW w:w="1363" w:type="dxa"/>
            <w:gridSpan w:val="2"/>
            <w:tcBorders>
              <w:top w:val="single" w:sz="8" w:space="0" w:color="auto"/>
              <w:left w:val="nil"/>
              <w:bottom w:val="nil"/>
              <w:right w:val="single" w:sz="8" w:space="0" w:color="000000"/>
            </w:tcBorders>
            <w:shd w:val="clear" w:color="auto" w:fill="auto"/>
            <w:vAlign w:val="center"/>
            <w:hideMark/>
          </w:tcPr>
          <w:p w14:paraId="69E18A78"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lang w:val="ru-RU"/>
              </w:rPr>
              <w:t>Отклонения</w:t>
            </w:r>
            <w:r w:rsidRPr="00A934FA">
              <w:rPr>
                <w:rFonts w:ascii="Calibri Light" w:eastAsia="Times New Roman" w:hAnsi="Calibri Light" w:cs="Calibri Light"/>
                <w:b/>
                <w:bCs/>
                <w:color w:val="000000"/>
                <w:sz w:val="16"/>
                <w:szCs w:val="16"/>
                <w:lang w:val="ro-RO"/>
              </w:rPr>
              <w:t xml:space="preserve">, </w:t>
            </w:r>
          </w:p>
        </w:tc>
      </w:tr>
      <w:tr w:rsidR="00B749E7" w:rsidRPr="00A934FA" w14:paraId="65E1881B" w14:textId="77777777" w:rsidTr="000E41FD">
        <w:trPr>
          <w:trHeight w:val="300"/>
        </w:trPr>
        <w:tc>
          <w:tcPr>
            <w:tcW w:w="1148" w:type="dxa"/>
            <w:vMerge/>
            <w:tcBorders>
              <w:top w:val="single" w:sz="8" w:space="0" w:color="auto"/>
              <w:left w:val="single" w:sz="8" w:space="0" w:color="auto"/>
              <w:bottom w:val="single" w:sz="8" w:space="0" w:color="000000"/>
              <w:right w:val="single" w:sz="8" w:space="0" w:color="auto"/>
            </w:tcBorders>
            <w:vAlign w:val="center"/>
            <w:hideMark/>
          </w:tcPr>
          <w:p w14:paraId="297DAE98" w14:textId="77777777" w:rsidR="00B749E7" w:rsidRPr="00A934FA" w:rsidRDefault="00B749E7" w:rsidP="000E41FD">
            <w:pPr>
              <w:spacing w:after="0" w:line="240" w:lineRule="auto"/>
              <w:rPr>
                <w:rFonts w:ascii="Calibri Light" w:eastAsia="Times New Roman" w:hAnsi="Calibri Light" w:cs="Calibri Light"/>
                <w:b/>
                <w:bCs/>
                <w:color w:val="000000"/>
                <w:sz w:val="16"/>
                <w:szCs w:val="16"/>
              </w:rPr>
            </w:pPr>
          </w:p>
        </w:tc>
        <w:tc>
          <w:tcPr>
            <w:tcW w:w="3715" w:type="dxa"/>
            <w:gridSpan w:val="5"/>
            <w:vMerge/>
            <w:tcBorders>
              <w:top w:val="single" w:sz="8" w:space="0" w:color="auto"/>
              <w:left w:val="single" w:sz="8" w:space="0" w:color="auto"/>
              <w:bottom w:val="single" w:sz="8" w:space="0" w:color="000000"/>
              <w:right w:val="single" w:sz="8" w:space="0" w:color="000000"/>
            </w:tcBorders>
            <w:vAlign w:val="center"/>
            <w:hideMark/>
          </w:tcPr>
          <w:p w14:paraId="559FC393" w14:textId="77777777" w:rsidR="00B749E7" w:rsidRPr="00A934FA" w:rsidRDefault="00B749E7" w:rsidP="000E41FD">
            <w:pPr>
              <w:spacing w:after="0" w:line="240" w:lineRule="auto"/>
              <w:rPr>
                <w:rFonts w:ascii="Calibri Light" w:eastAsia="Times New Roman" w:hAnsi="Calibri Light" w:cs="Calibri Light"/>
                <w:b/>
                <w:bCs/>
                <w:color w:val="000000"/>
                <w:sz w:val="16"/>
                <w:szCs w:val="16"/>
              </w:rPr>
            </w:pPr>
          </w:p>
        </w:tc>
        <w:tc>
          <w:tcPr>
            <w:tcW w:w="1261" w:type="dxa"/>
            <w:gridSpan w:val="2"/>
            <w:tcBorders>
              <w:top w:val="nil"/>
              <w:left w:val="nil"/>
              <w:bottom w:val="single" w:sz="8" w:space="0" w:color="auto"/>
              <w:right w:val="single" w:sz="8" w:space="0" w:color="000000"/>
            </w:tcBorders>
            <w:shd w:val="clear" w:color="auto" w:fill="auto"/>
            <w:vAlign w:val="center"/>
            <w:hideMark/>
          </w:tcPr>
          <w:p w14:paraId="6D1ECDBE"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2022-2021</w:t>
            </w:r>
          </w:p>
        </w:tc>
        <w:tc>
          <w:tcPr>
            <w:tcW w:w="1318" w:type="dxa"/>
            <w:gridSpan w:val="2"/>
            <w:tcBorders>
              <w:top w:val="nil"/>
              <w:left w:val="nil"/>
              <w:bottom w:val="single" w:sz="8" w:space="0" w:color="auto"/>
              <w:right w:val="single" w:sz="8" w:space="0" w:color="000000"/>
            </w:tcBorders>
            <w:shd w:val="clear" w:color="auto" w:fill="auto"/>
            <w:vAlign w:val="center"/>
            <w:hideMark/>
          </w:tcPr>
          <w:p w14:paraId="51C7EF14"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2022-2020</w:t>
            </w:r>
          </w:p>
        </w:tc>
        <w:tc>
          <w:tcPr>
            <w:tcW w:w="1363" w:type="dxa"/>
            <w:gridSpan w:val="2"/>
            <w:tcBorders>
              <w:top w:val="nil"/>
              <w:left w:val="nil"/>
              <w:bottom w:val="single" w:sz="8" w:space="0" w:color="auto"/>
              <w:right w:val="single" w:sz="8" w:space="0" w:color="000000"/>
            </w:tcBorders>
            <w:shd w:val="clear" w:color="auto" w:fill="auto"/>
            <w:vAlign w:val="center"/>
            <w:hideMark/>
          </w:tcPr>
          <w:p w14:paraId="7E2BB23F"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2022-2019</w:t>
            </w:r>
          </w:p>
        </w:tc>
        <w:tc>
          <w:tcPr>
            <w:tcW w:w="1363" w:type="dxa"/>
            <w:gridSpan w:val="2"/>
            <w:tcBorders>
              <w:top w:val="nil"/>
              <w:left w:val="nil"/>
              <w:bottom w:val="single" w:sz="8" w:space="0" w:color="auto"/>
              <w:right w:val="single" w:sz="8" w:space="0" w:color="000000"/>
            </w:tcBorders>
            <w:shd w:val="clear" w:color="auto" w:fill="auto"/>
            <w:vAlign w:val="center"/>
            <w:hideMark/>
          </w:tcPr>
          <w:p w14:paraId="6D620EE0"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2022-2018</w:t>
            </w:r>
          </w:p>
        </w:tc>
      </w:tr>
      <w:tr w:rsidR="00B749E7" w:rsidRPr="00A934FA" w14:paraId="2C53E3CE" w14:textId="77777777" w:rsidTr="000E41FD">
        <w:trPr>
          <w:trHeight w:val="300"/>
        </w:trPr>
        <w:tc>
          <w:tcPr>
            <w:tcW w:w="1148" w:type="dxa"/>
            <w:vMerge/>
            <w:tcBorders>
              <w:top w:val="single" w:sz="8" w:space="0" w:color="auto"/>
              <w:left w:val="single" w:sz="8" w:space="0" w:color="auto"/>
              <w:bottom w:val="single" w:sz="8" w:space="0" w:color="000000"/>
              <w:right w:val="single" w:sz="8" w:space="0" w:color="auto"/>
            </w:tcBorders>
            <w:vAlign w:val="center"/>
            <w:hideMark/>
          </w:tcPr>
          <w:p w14:paraId="182F60D5" w14:textId="77777777" w:rsidR="00B749E7" w:rsidRPr="00A934FA" w:rsidRDefault="00B749E7" w:rsidP="000E41FD">
            <w:pPr>
              <w:spacing w:after="0" w:line="240" w:lineRule="auto"/>
              <w:rPr>
                <w:rFonts w:ascii="Calibri Light" w:eastAsia="Times New Roman" w:hAnsi="Calibri Light" w:cs="Calibri Light"/>
                <w:b/>
                <w:bCs/>
                <w:color w:val="000000"/>
                <w:sz w:val="16"/>
                <w:szCs w:val="16"/>
              </w:rPr>
            </w:pPr>
          </w:p>
        </w:tc>
        <w:tc>
          <w:tcPr>
            <w:tcW w:w="743" w:type="dxa"/>
            <w:tcBorders>
              <w:top w:val="nil"/>
              <w:left w:val="nil"/>
              <w:bottom w:val="single" w:sz="8" w:space="0" w:color="auto"/>
              <w:right w:val="single" w:sz="8" w:space="0" w:color="auto"/>
            </w:tcBorders>
            <w:shd w:val="clear" w:color="auto" w:fill="auto"/>
            <w:vAlign w:val="center"/>
            <w:hideMark/>
          </w:tcPr>
          <w:p w14:paraId="6CA289DE"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2018</w:t>
            </w:r>
          </w:p>
        </w:tc>
        <w:tc>
          <w:tcPr>
            <w:tcW w:w="743" w:type="dxa"/>
            <w:tcBorders>
              <w:top w:val="nil"/>
              <w:left w:val="nil"/>
              <w:bottom w:val="single" w:sz="8" w:space="0" w:color="auto"/>
              <w:right w:val="single" w:sz="8" w:space="0" w:color="auto"/>
            </w:tcBorders>
            <w:shd w:val="clear" w:color="auto" w:fill="auto"/>
            <w:vAlign w:val="center"/>
            <w:hideMark/>
          </w:tcPr>
          <w:p w14:paraId="328FF638"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2019</w:t>
            </w:r>
          </w:p>
        </w:tc>
        <w:tc>
          <w:tcPr>
            <w:tcW w:w="743" w:type="dxa"/>
            <w:tcBorders>
              <w:top w:val="nil"/>
              <w:left w:val="nil"/>
              <w:bottom w:val="single" w:sz="8" w:space="0" w:color="auto"/>
              <w:right w:val="single" w:sz="8" w:space="0" w:color="auto"/>
            </w:tcBorders>
            <w:shd w:val="clear" w:color="auto" w:fill="auto"/>
            <w:vAlign w:val="center"/>
            <w:hideMark/>
          </w:tcPr>
          <w:p w14:paraId="57E5A3D3"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2020</w:t>
            </w:r>
          </w:p>
        </w:tc>
        <w:tc>
          <w:tcPr>
            <w:tcW w:w="743" w:type="dxa"/>
            <w:tcBorders>
              <w:top w:val="nil"/>
              <w:left w:val="nil"/>
              <w:bottom w:val="single" w:sz="8" w:space="0" w:color="auto"/>
              <w:right w:val="single" w:sz="8" w:space="0" w:color="auto"/>
            </w:tcBorders>
            <w:shd w:val="clear" w:color="auto" w:fill="auto"/>
            <w:vAlign w:val="center"/>
            <w:hideMark/>
          </w:tcPr>
          <w:p w14:paraId="1FCABB8F"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2021</w:t>
            </w:r>
          </w:p>
        </w:tc>
        <w:tc>
          <w:tcPr>
            <w:tcW w:w="743" w:type="dxa"/>
            <w:tcBorders>
              <w:top w:val="nil"/>
              <w:left w:val="nil"/>
              <w:bottom w:val="single" w:sz="8" w:space="0" w:color="auto"/>
              <w:right w:val="single" w:sz="8" w:space="0" w:color="auto"/>
            </w:tcBorders>
            <w:shd w:val="clear" w:color="auto" w:fill="auto"/>
            <w:vAlign w:val="center"/>
            <w:hideMark/>
          </w:tcPr>
          <w:p w14:paraId="3F8A11A0"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2022</w:t>
            </w:r>
          </w:p>
        </w:tc>
        <w:tc>
          <w:tcPr>
            <w:tcW w:w="662" w:type="dxa"/>
            <w:tcBorders>
              <w:top w:val="nil"/>
              <w:left w:val="nil"/>
              <w:bottom w:val="single" w:sz="8" w:space="0" w:color="auto"/>
              <w:right w:val="single" w:sz="8" w:space="0" w:color="auto"/>
            </w:tcBorders>
            <w:shd w:val="clear" w:color="auto" w:fill="auto"/>
            <w:vAlign w:val="center"/>
            <w:hideMark/>
          </w:tcPr>
          <w:p w14:paraId="2ED2F534"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w:t>
            </w:r>
          </w:p>
        </w:tc>
        <w:tc>
          <w:tcPr>
            <w:tcW w:w="599" w:type="dxa"/>
            <w:tcBorders>
              <w:top w:val="nil"/>
              <w:left w:val="nil"/>
              <w:bottom w:val="single" w:sz="8" w:space="0" w:color="auto"/>
              <w:right w:val="single" w:sz="8" w:space="0" w:color="auto"/>
            </w:tcBorders>
            <w:shd w:val="clear" w:color="auto" w:fill="auto"/>
            <w:vAlign w:val="center"/>
            <w:hideMark/>
          </w:tcPr>
          <w:p w14:paraId="6E1589B4"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w:t>
            </w:r>
          </w:p>
        </w:tc>
        <w:tc>
          <w:tcPr>
            <w:tcW w:w="662" w:type="dxa"/>
            <w:tcBorders>
              <w:top w:val="nil"/>
              <w:left w:val="nil"/>
              <w:bottom w:val="single" w:sz="8" w:space="0" w:color="auto"/>
              <w:right w:val="single" w:sz="8" w:space="0" w:color="auto"/>
            </w:tcBorders>
            <w:shd w:val="clear" w:color="auto" w:fill="auto"/>
            <w:vAlign w:val="center"/>
            <w:hideMark/>
          </w:tcPr>
          <w:p w14:paraId="4B50B8F9"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w:t>
            </w:r>
          </w:p>
        </w:tc>
        <w:tc>
          <w:tcPr>
            <w:tcW w:w="656" w:type="dxa"/>
            <w:tcBorders>
              <w:top w:val="nil"/>
              <w:left w:val="nil"/>
              <w:bottom w:val="single" w:sz="8" w:space="0" w:color="auto"/>
              <w:right w:val="single" w:sz="8" w:space="0" w:color="auto"/>
            </w:tcBorders>
            <w:shd w:val="clear" w:color="auto" w:fill="auto"/>
            <w:vAlign w:val="center"/>
            <w:hideMark/>
          </w:tcPr>
          <w:p w14:paraId="72D50896"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w:t>
            </w:r>
          </w:p>
        </w:tc>
        <w:tc>
          <w:tcPr>
            <w:tcW w:w="743" w:type="dxa"/>
            <w:tcBorders>
              <w:top w:val="nil"/>
              <w:left w:val="nil"/>
              <w:bottom w:val="single" w:sz="8" w:space="0" w:color="auto"/>
              <w:right w:val="single" w:sz="8" w:space="0" w:color="auto"/>
            </w:tcBorders>
            <w:shd w:val="clear" w:color="auto" w:fill="auto"/>
            <w:vAlign w:val="center"/>
            <w:hideMark/>
          </w:tcPr>
          <w:p w14:paraId="71B7646A"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w:t>
            </w:r>
          </w:p>
        </w:tc>
        <w:tc>
          <w:tcPr>
            <w:tcW w:w="620" w:type="dxa"/>
            <w:tcBorders>
              <w:top w:val="nil"/>
              <w:left w:val="nil"/>
              <w:bottom w:val="single" w:sz="8" w:space="0" w:color="auto"/>
              <w:right w:val="single" w:sz="8" w:space="0" w:color="auto"/>
            </w:tcBorders>
            <w:shd w:val="clear" w:color="auto" w:fill="auto"/>
            <w:vAlign w:val="center"/>
            <w:hideMark/>
          </w:tcPr>
          <w:p w14:paraId="23943583"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w:t>
            </w:r>
          </w:p>
        </w:tc>
        <w:tc>
          <w:tcPr>
            <w:tcW w:w="743" w:type="dxa"/>
            <w:tcBorders>
              <w:top w:val="nil"/>
              <w:left w:val="nil"/>
              <w:bottom w:val="single" w:sz="8" w:space="0" w:color="auto"/>
              <w:right w:val="single" w:sz="8" w:space="0" w:color="auto"/>
            </w:tcBorders>
            <w:shd w:val="clear" w:color="auto" w:fill="auto"/>
            <w:vAlign w:val="center"/>
            <w:hideMark/>
          </w:tcPr>
          <w:p w14:paraId="07D5B7F0"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w:t>
            </w:r>
          </w:p>
        </w:tc>
        <w:tc>
          <w:tcPr>
            <w:tcW w:w="620" w:type="dxa"/>
            <w:tcBorders>
              <w:top w:val="nil"/>
              <w:left w:val="nil"/>
              <w:bottom w:val="single" w:sz="8" w:space="0" w:color="auto"/>
              <w:right w:val="single" w:sz="8" w:space="0" w:color="auto"/>
            </w:tcBorders>
            <w:shd w:val="clear" w:color="auto" w:fill="auto"/>
            <w:vAlign w:val="center"/>
            <w:hideMark/>
          </w:tcPr>
          <w:p w14:paraId="2CFE2165"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w:t>
            </w:r>
          </w:p>
        </w:tc>
      </w:tr>
      <w:tr w:rsidR="00B749E7" w:rsidRPr="00A934FA" w14:paraId="3587A720" w14:textId="77777777" w:rsidTr="000E41FD">
        <w:trPr>
          <w:trHeight w:val="564"/>
        </w:trPr>
        <w:tc>
          <w:tcPr>
            <w:tcW w:w="1148" w:type="dxa"/>
            <w:tcBorders>
              <w:top w:val="nil"/>
              <w:left w:val="single" w:sz="8" w:space="0" w:color="auto"/>
              <w:bottom w:val="single" w:sz="8" w:space="0" w:color="auto"/>
              <w:right w:val="single" w:sz="8" w:space="0" w:color="auto"/>
            </w:tcBorders>
            <w:shd w:val="clear" w:color="auto" w:fill="auto"/>
            <w:vAlign w:val="center"/>
            <w:hideMark/>
          </w:tcPr>
          <w:p w14:paraId="29570D96"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1</w:t>
            </w:r>
          </w:p>
        </w:tc>
        <w:tc>
          <w:tcPr>
            <w:tcW w:w="743" w:type="dxa"/>
            <w:tcBorders>
              <w:top w:val="nil"/>
              <w:left w:val="nil"/>
              <w:bottom w:val="single" w:sz="8" w:space="0" w:color="auto"/>
              <w:right w:val="single" w:sz="8" w:space="0" w:color="auto"/>
            </w:tcBorders>
            <w:shd w:val="clear" w:color="auto" w:fill="auto"/>
            <w:vAlign w:val="center"/>
            <w:hideMark/>
          </w:tcPr>
          <w:p w14:paraId="0BB0EC5E"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2</w:t>
            </w:r>
          </w:p>
        </w:tc>
        <w:tc>
          <w:tcPr>
            <w:tcW w:w="743" w:type="dxa"/>
            <w:tcBorders>
              <w:top w:val="nil"/>
              <w:left w:val="nil"/>
              <w:bottom w:val="single" w:sz="8" w:space="0" w:color="auto"/>
              <w:right w:val="single" w:sz="8" w:space="0" w:color="auto"/>
            </w:tcBorders>
            <w:shd w:val="clear" w:color="auto" w:fill="auto"/>
            <w:vAlign w:val="center"/>
            <w:hideMark/>
          </w:tcPr>
          <w:p w14:paraId="1D688075"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3</w:t>
            </w:r>
          </w:p>
        </w:tc>
        <w:tc>
          <w:tcPr>
            <w:tcW w:w="743" w:type="dxa"/>
            <w:tcBorders>
              <w:top w:val="nil"/>
              <w:left w:val="nil"/>
              <w:bottom w:val="single" w:sz="8" w:space="0" w:color="auto"/>
              <w:right w:val="single" w:sz="8" w:space="0" w:color="auto"/>
            </w:tcBorders>
            <w:shd w:val="clear" w:color="auto" w:fill="auto"/>
            <w:vAlign w:val="center"/>
            <w:hideMark/>
          </w:tcPr>
          <w:p w14:paraId="4D14C5B8"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4</w:t>
            </w:r>
          </w:p>
        </w:tc>
        <w:tc>
          <w:tcPr>
            <w:tcW w:w="743" w:type="dxa"/>
            <w:tcBorders>
              <w:top w:val="nil"/>
              <w:left w:val="nil"/>
              <w:bottom w:val="single" w:sz="8" w:space="0" w:color="auto"/>
              <w:right w:val="single" w:sz="8" w:space="0" w:color="auto"/>
            </w:tcBorders>
            <w:shd w:val="clear" w:color="auto" w:fill="auto"/>
            <w:vAlign w:val="center"/>
            <w:hideMark/>
          </w:tcPr>
          <w:p w14:paraId="30F20D0B"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5</w:t>
            </w:r>
          </w:p>
        </w:tc>
        <w:tc>
          <w:tcPr>
            <w:tcW w:w="743" w:type="dxa"/>
            <w:tcBorders>
              <w:top w:val="nil"/>
              <w:left w:val="nil"/>
              <w:bottom w:val="single" w:sz="8" w:space="0" w:color="auto"/>
              <w:right w:val="single" w:sz="8" w:space="0" w:color="auto"/>
            </w:tcBorders>
            <w:shd w:val="clear" w:color="auto" w:fill="auto"/>
            <w:vAlign w:val="center"/>
            <w:hideMark/>
          </w:tcPr>
          <w:p w14:paraId="50EB39BC"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6</w:t>
            </w:r>
          </w:p>
        </w:tc>
        <w:tc>
          <w:tcPr>
            <w:tcW w:w="662" w:type="dxa"/>
            <w:tcBorders>
              <w:top w:val="nil"/>
              <w:left w:val="nil"/>
              <w:bottom w:val="single" w:sz="8" w:space="0" w:color="auto"/>
              <w:right w:val="single" w:sz="8" w:space="0" w:color="auto"/>
            </w:tcBorders>
            <w:shd w:val="clear" w:color="auto" w:fill="auto"/>
            <w:vAlign w:val="center"/>
            <w:hideMark/>
          </w:tcPr>
          <w:p w14:paraId="6B12B9DC"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7=6-5</w:t>
            </w:r>
          </w:p>
        </w:tc>
        <w:tc>
          <w:tcPr>
            <w:tcW w:w="599" w:type="dxa"/>
            <w:tcBorders>
              <w:top w:val="nil"/>
              <w:left w:val="nil"/>
              <w:bottom w:val="single" w:sz="8" w:space="0" w:color="auto"/>
              <w:right w:val="single" w:sz="8" w:space="0" w:color="auto"/>
            </w:tcBorders>
            <w:shd w:val="clear" w:color="auto" w:fill="auto"/>
            <w:vAlign w:val="center"/>
            <w:hideMark/>
          </w:tcPr>
          <w:p w14:paraId="48712196" w14:textId="77777777" w:rsidR="00B749E7" w:rsidRDefault="00B749E7" w:rsidP="000E41FD">
            <w:pPr>
              <w:spacing w:after="0" w:line="240" w:lineRule="auto"/>
              <w:jc w:val="center"/>
              <w:rPr>
                <w:rFonts w:ascii="Calibri Light" w:eastAsia="Times New Roman" w:hAnsi="Calibri Light" w:cs="Calibri Light"/>
                <w:b/>
                <w:bCs/>
                <w:color w:val="000000"/>
                <w:sz w:val="16"/>
                <w:szCs w:val="16"/>
                <w:lang w:val="ro-RO"/>
              </w:rPr>
            </w:pPr>
            <w:r w:rsidRPr="00A934FA">
              <w:rPr>
                <w:rFonts w:ascii="Calibri Light" w:eastAsia="Times New Roman" w:hAnsi="Calibri Light" w:cs="Calibri Light"/>
                <w:b/>
                <w:bCs/>
                <w:color w:val="000000"/>
                <w:sz w:val="16"/>
                <w:szCs w:val="16"/>
                <w:lang w:val="ro-RO"/>
              </w:rPr>
              <w:t> 8=6*</w:t>
            </w:r>
          </w:p>
          <w:p w14:paraId="37224A4A"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100/5</w:t>
            </w:r>
          </w:p>
        </w:tc>
        <w:tc>
          <w:tcPr>
            <w:tcW w:w="662" w:type="dxa"/>
            <w:tcBorders>
              <w:top w:val="nil"/>
              <w:left w:val="nil"/>
              <w:bottom w:val="single" w:sz="8" w:space="0" w:color="auto"/>
              <w:right w:val="single" w:sz="8" w:space="0" w:color="auto"/>
            </w:tcBorders>
            <w:shd w:val="clear" w:color="auto" w:fill="auto"/>
            <w:vAlign w:val="center"/>
            <w:hideMark/>
          </w:tcPr>
          <w:p w14:paraId="3988C7B5"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9=6-4</w:t>
            </w:r>
          </w:p>
        </w:tc>
        <w:tc>
          <w:tcPr>
            <w:tcW w:w="656" w:type="dxa"/>
            <w:tcBorders>
              <w:top w:val="nil"/>
              <w:left w:val="nil"/>
              <w:bottom w:val="single" w:sz="8" w:space="0" w:color="auto"/>
              <w:right w:val="single" w:sz="8" w:space="0" w:color="auto"/>
            </w:tcBorders>
            <w:shd w:val="clear" w:color="auto" w:fill="auto"/>
            <w:vAlign w:val="center"/>
            <w:hideMark/>
          </w:tcPr>
          <w:p w14:paraId="4F6247E4" w14:textId="77777777" w:rsidR="00B749E7" w:rsidRDefault="00B749E7" w:rsidP="000E41FD">
            <w:pPr>
              <w:spacing w:after="0" w:line="240" w:lineRule="auto"/>
              <w:jc w:val="center"/>
              <w:rPr>
                <w:rFonts w:ascii="Calibri Light" w:eastAsia="Times New Roman" w:hAnsi="Calibri Light" w:cs="Calibri Light"/>
                <w:b/>
                <w:bCs/>
                <w:color w:val="000000"/>
                <w:sz w:val="16"/>
                <w:szCs w:val="16"/>
                <w:lang w:val="ro-RO"/>
              </w:rPr>
            </w:pPr>
            <w:r w:rsidRPr="00A934FA">
              <w:rPr>
                <w:rFonts w:ascii="Calibri Light" w:eastAsia="Times New Roman" w:hAnsi="Calibri Light" w:cs="Calibri Light"/>
                <w:b/>
                <w:bCs/>
                <w:color w:val="000000"/>
                <w:sz w:val="16"/>
                <w:szCs w:val="16"/>
                <w:lang w:val="ro-RO"/>
              </w:rPr>
              <w:t> 10=6*</w:t>
            </w:r>
          </w:p>
          <w:p w14:paraId="086CC734"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100/4</w:t>
            </w:r>
          </w:p>
        </w:tc>
        <w:tc>
          <w:tcPr>
            <w:tcW w:w="743" w:type="dxa"/>
            <w:tcBorders>
              <w:top w:val="nil"/>
              <w:left w:val="nil"/>
              <w:bottom w:val="single" w:sz="8" w:space="0" w:color="auto"/>
              <w:right w:val="single" w:sz="8" w:space="0" w:color="auto"/>
            </w:tcBorders>
            <w:shd w:val="clear" w:color="auto" w:fill="auto"/>
            <w:vAlign w:val="center"/>
            <w:hideMark/>
          </w:tcPr>
          <w:p w14:paraId="5022D368"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11=6-3</w:t>
            </w:r>
          </w:p>
        </w:tc>
        <w:tc>
          <w:tcPr>
            <w:tcW w:w="620" w:type="dxa"/>
            <w:tcBorders>
              <w:top w:val="nil"/>
              <w:left w:val="nil"/>
              <w:bottom w:val="single" w:sz="8" w:space="0" w:color="auto"/>
              <w:right w:val="single" w:sz="8" w:space="0" w:color="auto"/>
            </w:tcBorders>
            <w:shd w:val="clear" w:color="auto" w:fill="auto"/>
            <w:vAlign w:val="center"/>
            <w:hideMark/>
          </w:tcPr>
          <w:p w14:paraId="63151B7D" w14:textId="77777777" w:rsidR="00B749E7" w:rsidRDefault="00B749E7" w:rsidP="000E41FD">
            <w:pPr>
              <w:spacing w:after="0" w:line="240" w:lineRule="auto"/>
              <w:jc w:val="center"/>
              <w:rPr>
                <w:rFonts w:ascii="Calibri Light" w:eastAsia="Times New Roman" w:hAnsi="Calibri Light" w:cs="Calibri Light"/>
                <w:b/>
                <w:bCs/>
                <w:color w:val="000000"/>
                <w:sz w:val="16"/>
                <w:szCs w:val="16"/>
                <w:lang w:val="ro-RO"/>
              </w:rPr>
            </w:pPr>
            <w:r w:rsidRPr="00A934FA">
              <w:rPr>
                <w:rFonts w:ascii="Calibri Light" w:eastAsia="Times New Roman" w:hAnsi="Calibri Light" w:cs="Calibri Light"/>
                <w:b/>
                <w:bCs/>
                <w:color w:val="000000"/>
                <w:sz w:val="16"/>
                <w:szCs w:val="16"/>
                <w:lang w:val="ro-RO"/>
              </w:rPr>
              <w:t>12=6*</w:t>
            </w:r>
          </w:p>
          <w:p w14:paraId="3BCC7B07"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100/3</w:t>
            </w:r>
          </w:p>
        </w:tc>
        <w:tc>
          <w:tcPr>
            <w:tcW w:w="743" w:type="dxa"/>
            <w:tcBorders>
              <w:top w:val="nil"/>
              <w:left w:val="nil"/>
              <w:bottom w:val="single" w:sz="8" w:space="0" w:color="auto"/>
              <w:right w:val="single" w:sz="8" w:space="0" w:color="auto"/>
            </w:tcBorders>
            <w:shd w:val="clear" w:color="auto" w:fill="auto"/>
            <w:vAlign w:val="center"/>
            <w:hideMark/>
          </w:tcPr>
          <w:p w14:paraId="2E98959C"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13=6-2</w:t>
            </w:r>
          </w:p>
        </w:tc>
        <w:tc>
          <w:tcPr>
            <w:tcW w:w="620" w:type="dxa"/>
            <w:tcBorders>
              <w:top w:val="nil"/>
              <w:left w:val="nil"/>
              <w:bottom w:val="single" w:sz="8" w:space="0" w:color="auto"/>
              <w:right w:val="single" w:sz="8" w:space="0" w:color="auto"/>
            </w:tcBorders>
            <w:shd w:val="clear" w:color="auto" w:fill="auto"/>
            <w:vAlign w:val="center"/>
            <w:hideMark/>
          </w:tcPr>
          <w:p w14:paraId="2EB041E3" w14:textId="77777777" w:rsidR="00B749E7" w:rsidRDefault="00B749E7" w:rsidP="000E41FD">
            <w:pPr>
              <w:spacing w:after="0" w:line="240" w:lineRule="auto"/>
              <w:jc w:val="center"/>
              <w:rPr>
                <w:rFonts w:ascii="Calibri Light" w:eastAsia="Times New Roman" w:hAnsi="Calibri Light" w:cs="Calibri Light"/>
                <w:b/>
                <w:bCs/>
                <w:color w:val="000000"/>
                <w:sz w:val="16"/>
                <w:szCs w:val="16"/>
                <w:lang w:val="ro-RO"/>
              </w:rPr>
            </w:pPr>
            <w:r w:rsidRPr="00A934FA">
              <w:rPr>
                <w:rFonts w:ascii="Calibri Light" w:eastAsia="Times New Roman" w:hAnsi="Calibri Light" w:cs="Calibri Light"/>
                <w:b/>
                <w:bCs/>
                <w:color w:val="000000"/>
                <w:sz w:val="16"/>
                <w:szCs w:val="16"/>
                <w:lang w:val="ro-RO"/>
              </w:rPr>
              <w:t>14=6*</w:t>
            </w:r>
          </w:p>
          <w:p w14:paraId="3ADC6E7E" w14:textId="77777777" w:rsidR="00B749E7" w:rsidRPr="00A934FA" w:rsidRDefault="00B749E7" w:rsidP="000E41FD">
            <w:pPr>
              <w:spacing w:after="0" w:line="240" w:lineRule="auto"/>
              <w:jc w:val="center"/>
              <w:rPr>
                <w:rFonts w:ascii="Calibri Light" w:eastAsia="Times New Roman" w:hAnsi="Calibri Light" w:cs="Calibri Light"/>
                <w:b/>
                <w:bCs/>
                <w:color w:val="000000"/>
                <w:sz w:val="16"/>
                <w:szCs w:val="16"/>
                <w:lang w:val="ro-RO"/>
              </w:rPr>
            </w:pPr>
            <w:r w:rsidRPr="00A934FA">
              <w:rPr>
                <w:rFonts w:ascii="Calibri Light" w:eastAsia="Times New Roman" w:hAnsi="Calibri Light" w:cs="Calibri Light"/>
                <w:b/>
                <w:bCs/>
                <w:color w:val="000000"/>
                <w:sz w:val="16"/>
                <w:szCs w:val="16"/>
                <w:lang w:val="ro-RO"/>
              </w:rPr>
              <w:t>100/2</w:t>
            </w:r>
          </w:p>
        </w:tc>
      </w:tr>
      <w:tr w:rsidR="00B749E7" w:rsidRPr="00A934FA" w14:paraId="61E8B772" w14:textId="77777777" w:rsidTr="000E41FD">
        <w:trPr>
          <w:trHeight w:val="1116"/>
        </w:trPr>
        <w:tc>
          <w:tcPr>
            <w:tcW w:w="1148" w:type="dxa"/>
            <w:tcBorders>
              <w:top w:val="nil"/>
              <w:left w:val="single" w:sz="8" w:space="0" w:color="auto"/>
              <w:bottom w:val="single" w:sz="8" w:space="0" w:color="auto"/>
              <w:right w:val="single" w:sz="8" w:space="0" w:color="auto"/>
            </w:tcBorders>
            <w:shd w:val="clear" w:color="auto" w:fill="auto"/>
            <w:hideMark/>
          </w:tcPr>
          <w:p w14:paraId="302337D0" w14:textId="77777777" w:rsidR="00B749E7" w:rsidRPr="00976075" w:rsidRDefault="00B749E7" w:rsidP="000E41FD">
            <w:pPr>
              <w:spacing w:after="0" w:line="240" w:lineRule="auto"/>
              <w:rPr>
                <w:rFonts w:ascii="Calibri Light" w:eastAsia="Times New Roman" w:hAnsi="Calibri Light" w:cs="Calibri Light"/>
                <w:b/>
                <w:bCs/>
                <w:color w:val="000000"/>
                <w:sz w:val="16"/>
                <w:szCs w:val="16"/>
              </w:rPr>
            </w:pPr>
            <w:r w:rsidRPr="00976075">
              <w:rPr>
                <w:rFonts w:ascii="Calibri Light" w:eastAsia="Times New Roman" w:hAnsi="Calibri Light" w:cs="Calibri Light"/>
                <w:b/>
                <w:bCs/>
                <w:color w:val="000000"/>
                <w:sz w:val="16"/>
                <w:szCs w:val="16"/>
                <w:lang w:val="ru-RU"/>
              </w:rPr>
              <w:t>Уточненные расходы</w:t>
            </w:r>
          </w:p>
        </w:tc>
        <w:tc>
          <w:tcPr>
            <w:tcW w:w="743" w:type="dxa"/>
            <w:tcBorders>
              <w:top w:val="nil"/>
              <w:left w:val="nil"/>
              <w:bottom w:val="single" w:sz="8" w:space="0" w:color="auto"/>
              <w:right w:val="single" w:sz="8" w:space="0" w:color="auto"/>
            </w:tcBorders>
            <w:shd w:val="clear" w:color="auto" w:fill="auto"/>
            <w:vAlign w:val="center"/>
            <w:hideMark/>
          </w:tcPr>
          <w:p w14:paraId="52210173"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19605.4</w:t>
            </w:r>
          </w:p>
        </w:tc>
        <w:tc>
          <w:tcPr>
            <w:tcW w:w="743" w:type="dxa"/>
            <w:tcBorders>
              <w:top w:val="nil"/>
              <w:left w:val="nil"/>
              <w:bottom w:val="single" w:sz="8" w:space="0" w:color="auto"/>
              <w:right w:val="single" w:sz="8" w:space="0" w:color="auto"/>
            </w:tcBorders>
            <w:shd w:val="clear" w:color="auto" w:fill="auto"/>
            <w:vAlign w:val="center"/>
            <w:hideMark/>
          </w:tcPr>
          <w:p w14:paraId="57417F47"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21866.5</w:t>
            </w:r>
          </w:p>
        </w:tc>
        <w:tc>
          <w:tcPr>
            <w:tcW w:w="743" w:type="dxa"/>
            <w:tcBorders>
              <w:top w:val="nil"/>
              <w:left w:val="nil"/>
              <w:bottom w:val="single" w:sz="8" w:space="0" w:color="auto"/>
              <w:right w:val="single" w:sz="8" w:space="0" w:color="auto"/>
            </w:tcBorders>
            <w:shd w:val="clear" w:color="auto" w:fill="auto"/>
            <w:vAlign w:val="center"/>
            <w:hideMark/>
          </w:tcPr>
          <w:p w14:paraId="06BCB338"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lang w:val="ro-RO"/>
              </w:rPr>
              <w:t>24549.9</w:t>
            </w:r>
          </w:p>
        </w:tc>
        <w:tc>
          <w:tcPr>
            <w:tcW w:w="743" w:type="dxa"/>
            <w:tcBorders>
              <w:top w:val="nil"/>
              <w:left w:val="nil"/>
              <w:bottom w:val="single" w:sz="8" w:space="0" w:color="auto"/>
              <w:right w:val="single" w:sz="8" w:space="0" w:color="auto"/>
            </w:tcBorders>
            <w:shd w:val="clear" w:color="auto" w:fill="auto"/>
            <w:vAlign w:val="center"/>
            <w:hideMark/>
          </w:tcPr>
          <w:p w14:paraId="10341874"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27606.4</w:t>
            </w:r>
          </w:p>
        </w:tc>
        <w:tc>
          <w:tcPr>
            <w:tcW w:w="743" w:type="dxa"/>
            <w:tcBorders>
              <w:top w:val="nil"/>
              <w:left w:val="nil"/>
              <w:bottom w:val="single" w:sz="8" w:space="0" w:color="auto"/>
              <w:right w:val="single" w:sz="8" w:space="0" w:color="auto"/>
            </w:tcBorders>
            <w:shd w:val="clear" w:color="auto" w:fill="auto"/>
            <w:vAlign w:val="center"/>
            <w:hideMark/>
          </w:tcPr>
          <w:p w14:paraId="399ADAF4"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34180.7</w:t>
            </w:r>
          </w:p>
        </w:tc>
        <w:tc>
          <w:tcPr>
            <w:tcW w:w="662" w:type="dxa"/>
            <w:tcBorders>
              <w:top w:val="nil"/>
              <w:left w:val="nil"/>
              <w:bottom w:val="single" w:sz="8" w:space="0" w:color="auto"/>
              <w:right w:val="single" w:sz="8" w:space="0" w:color="auto"/>
            </w:tcBorders>
            <w:shd w:val="clear" w:color="auto" w:fill="auto"/>
            <w:vAlign w:val="center"/>
            <w:hideMark/>
          </w:tcPr>
          <w:p w14:paraId="04CEA10E"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6574.3</w:t>
            </w:r>
          </w:p>
        </w:tc>
        <w:tc>
          <w:tcPr>
            <w:tcW w:w="599" w:type="dxa"/>
            <w:tcBorders>
              <w:top w:val="nil"/>
              <w:left w:val="nil"/>
              <w:bottom w:val="single" w:sz="8" w:space="0" w:color="auto"/>
              <w:right w:val="single" w:sz="8" w:space="0" w:color="auto"/>
            </w:tcBorders>
            <w:shd w:val="clear" w:color="auto" w:fill="auto"/>
            <w:vAlign w:val="center"/>
            <w:hideMark/>
          </w:tcPr>
          <w:p w14:paraId="06054478"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123.8</w:t>
            </w:r>
          </w:p>
        </w:tc>
        <w:tc>
          <w:tcPr>
            <w:tcW w:w="662" w:type="dxa"/>
            <w:tcBorders>
              <w:top w:val="nil"/>
              <w:left w:val="nil"/>
              <w:bottom w:val="single" w:sz="8" w:space="0" w:color="auto"/>
              <w:right w:val="single" w:sz="8" w:space="0" w:color="auto"/>
            </w:tcBorders>
            <w:shd w:val="clear" w:color="auto" w:fill="auto"/>
            <w:vAlign w:val="center"/>
            <w:hideMark/>
          </w:tcPr>
          <w:p w14:paraId="132073C8"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9630.8</w:t>
            </w:r>
          </w:p>
        </w:tc>
        <w:tc>
          <w:tcPr>
            <w:tcW w:w="656" w:type="dxa"/>
            <w:tcBorders>
              <w:top w:val="nil"/>
              <w:left w:val="nil"/>
              <w:bottom w:val="single" w:sz="8" w:space="0" w:color="auto"/>
              <w:right w:val="single" w:sz="8" w:space="0" w:color="auto"/>
            </w:tcBorders>
            <w:shd w:val="clear" w:color="auto" w:fill="auto"/>
            <w:vAlign w:val="center"/>
            <w:hideMark/>
          </w:tcPr>
          <w:p w14:paraId="5F067E5F"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139.2</w:t>
            </w:r>
          </w:p>
        </w:tc>
        <w:tc>
          <w:tcPr>
            <w:tcW w:w="743" w:type="dxa"/>
            <w:tcBorders>
              <w:top w:val="nil"/>
              <w:left w:val="nil"/>
              <w:bottom w:val="single" w:sz="8" w:space="0" w:color="auto"/>
              <w:right w:val="single" w:sz="8" w:space="0" w:color="auto"/>
            </w:tcBorders>
            <w:shd w:val="clear" w:color="auto" w:fill="auto"/>
            <w:vAlign w:val="center"/>
            <w:hideMark/>
          </w:tcPr>
          <w:p w14:paraId="172ADDA1"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12314.2</w:t>
            </w:r>
          </w:p>
        </w:tc>
        <w:tc>
          <w:tcPr>
            <w:tcW w:w="620" w:type="dxa"/>
            <w:tcBorders>
              <w:top w:val="nil"/>
              <w:left w:val="nil"/>
              <w:bottom w:val="single" w:sz="8" w:space="0" w:color="auto"/>
              <w:right w:val="single" w:sz="8" w:space="0" w:color="auto"/>
            </w:tcBorders>
            <w:shd w:val="clear" w:color="auto" w:fill="auto"/>
            <w:vAlign w:val="center"/>
            <w:hideMark/>
          </w:tcPr>
          <w:p w14:paraId="6285182B"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156.3</w:t>
            </w:r>
          </w:p>
        </w:tc>
        <w:tc>
          <w:tcPr>
            <w:tcW w:w="743" w:type="dxa"/>
            <w:tcBorders>
              <w:top w:val="nil"/>
              <w:left w:val="nil"/>
              <w:bottom w:val="single" w:sz="8" w:space="0" w:color="auto"/>
              <w:right w:val="single" w:sz="8" w:space="0" w:color="auto"/>
            </w:tcBorders>
            <w:shd w:val="clear" w:color="auto" w:fill="auto"/>
            <w:vAlign w:val="center"/>
            <w:hideMark/>
          </w:tcPr>
          <w:p w14:paraId="26FD09AE"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14575.3</w:t>
            </w:r>
          </w:p>
        </w:tc>
        <w:tc>
          <w:tcPr>
            <w:tcW w:w="620" w:type="dxa"/>
            <w:tcBorders>
              <w:top w:val="nil"/>
              <w:left w:val="nil"/>
              <w:bottom w:val="single" w:sz="8" w:space="0" w:color="auto"/>
              <w:right w:val="single" w:sz="8" w:space="0" w:color="auto"/>
            </w:tcBorders>
            <w:shd w:val="clear" w:color="auto" w:fill="auto"/>
            <w:vAlign w:val="center"/>
            <w:hideMark/>
          </w:tcPr>
          <w:p w14:paraId="54692CCE"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174.3</w:t>
            </w:r>
          </w:p>
        </w:tc>
      </w:tr>
      <w:tr w:rsidR="00B749E7" w:rsidRPr="00A934FA" w14:paraId="45DAF21B" w14:textId="77777777" w:rsidTr="000E41FD">
        <w:trPr>
          <w:trHeight w:val="1392"/>
        </w:trPr>
        <w:tc>
          <w:tcPr>
            <w:tcW w:w="1148" w:type="dxa"/>
            <w:tcBorders>
              <w:top w:val="nil"/>
              <w:left w:val="single" w:sz="8" w:space="0" w:color="auto"/>
              <w:bottom w:val="single" w:sz="8" w:space="0" w:color="auto"/>
              <w:right w:val="single" w:sz="8" w:space="0" w:color="auto"/>
            </w:tcBorders>
            <w:shd w:val="clear" w:color="000000" w:fill="E7E6E6"/>
            <w:hideMark/>
          </w:tcPr>
          <w:p w14:paraId="37D27DBC" w14:textId="77777777" w:rsidR="00B749E7" w:rsidRPr="00976075" w:rsidRDefault="00B749E7" w:rsidP="000E41FD">
            <w:pPr>
              <w:spacing w:after="0" w:line="240" w:lineRule="auto"/>
              <w:rPr>
                <w:rFonts w:ascii="Calibri Light" w:eastAsia="Times New Roman" w:hAnsi="Calibri Light" w:cs="Calibri Light"/>
                <w:b/>
                <w:bCs/>
                <w:color w:val="000000"/>
                <w:sz w:val="16"/>
                <w:szCs w:val="16"/>
                <w:lang w:val="ru-RU"/>
              </w:rPr>
            </w:pPr>
            <w:r w:rsidRPr="00976075">
              <w:rPr>
                <w:rFonts w:ascii="Calibri Light" w:eastAsia="Times New Roman" w:hAnsi="Calibri Light" w:cs="Calibri Light"/>
                <w:b/>
                <w:bCs/>
                <w:color w:val="000000"/>
                <w:sz w:val="16"/>
                <w:szCs w:val="16"/>
                <w:lang w:val="ru-RU"/>
              </w:rPr>
              <w:t>Исполненные расходы</w:t>
            </w:r>
            <w:r w:rsidRPr="00976075">
              <w:rPr>
                <w:rFonts w:ascii="Calibri Light" w:eastAsia="Times New Roman" w:hAnsi="Calibri Light" w:cs="Calibri Light"/>
                <w:b/>
                <w:bCs/>
                <w:color w:val="000000"/>
                <w:sz w:val="16"/>
                <w:szCs w:val="16"/>
                <w:lang w:val="ro-RO"/>
              </w:rPr>
              <w:t>,</w:t>
            </w:r>
            <w:r w:rsidRPr="00976075">
              <w:rPr>
                <w:rFonts w:ascii="Calibri Light" w:eastAsia="Times New Roman" w:hAnsi="Calibri Light" w:cs="Calibri Light"/>
                <w:b/>
                <w:bCs/>
                <w:color w:val="000000"/>
                <w:sz w:val="16"/>
                <w:szCs w:val="16"/>
                <w:lang w:val="ru-RU"/>
              </w:rPr>
              <w:t xml:space="preserve"> в том числе</w:t>
            </w:r>
            <w:r w:rsidRPr="00976075">
              <w:rPr>
                <w:rFonts w:ascii="Calibri Light" w:eastAsia="Times New Roman" w:hAnsi="Calibri Light" w:cs="Calibri Light"/>
                <w:b/>
                <w:bCs/>
                <w:color w:val="000000"/>
                <w:sz w:val="16"/>
                <w:szCs w:val="16"/>
                <w:lang w:val="ro-RO"/>
              </w:rPr>
              <w:t>:</w:t>
            </w:r>
          </w:p>
        </w:tc>
        <w:tc>
          <w:tcPr>
            <w:tcW w:w="743" w:type="dxa"/>
            <w:tcBorders>
              <w:top w:val="nil"/>
              <w:left w:val="nil"/>
              <w:bottom w:val="single" w:sz="8" w:space="0" w:color="auto"/>
              <w:right w:val="single" w:sz="8" w:space="0" w:color="auto"/>
            </w:tcBorders>
            <w:shd w:val="clear" w:color="000000" w:fill="E7E6E6"/>
            <w:vAlign w:val="center"/>
            <w:hideMark/>
          </w:tcPr>
          <w:p w14:paraId="212E6FAA"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lang w:val="ro-RO"/>
              </w:rPr>
              <w:t>19410.8</w:t>
            </w:r>
          </w:p>
        </w:tc>
        <w:tc>
          <w:tcPr>
            <w:tcW w:w="743" w:type="dxa"/>
            <w:tcBorders>
              <w:top w:val="nil"/>
              <w:left w:val="nil"/>
              <w:bottom w:val="single" w:sz="8" w:space="0" w:color="auto"/>
              <w:right w:val="single" w:sz="8" w:space="0" w:color="auto"/>
            </w:tcBorders>
            <w:shd w:val="clear" w:color="000000" w:fill="E7E6E6"/>
            <w:vAlign w:val="center"/>
            <w:hideMark/>
          </w:tcPr>
          <w:p w14:paraId="0D7E827C"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lang w:val="ro-RO"/>
              </w:rPr>
              <w:t>21589.8</w:t>
            </w:r>
          </w:p>
        </w:tc>
        <w:tc>
          <w:tcPr>
            <w:tcW w:w="743" w:type="dxa"/>
            <w:tcBorders>
              <w:top w:val="nil"/>
              <w:left w:val="nil"/>
              <w:bottom w:val="single" w:sz="8" w:space="0" w:color="auto"/>
              <w:right w:val="single" w:sz="8" w:space="0" w:color="auto"/>
            </w:tcBorders>
            <w:shd w:val="clear" w:color="000000" w:fill="E7E6E6"/>
            <w:vAlign w:val="center"/>
            <w:hideMark/>
          </w:tcPr>
          <w:p w14:paraId="49608B97"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lang w:val="ro-RO"/>
              </w:rPr>
              <w:t>24230.7</w:t>
            </w:r>
          </w:p>
        </w:tc>
        <w:tc>
          <w:tcPr>
            <w:tcW w:w="743" w:type="dxa"/>
            <w:tcBorders>
              <w:top w:val="nil"/>
              <w:left w:val="nil"/>
              <w:bottom w:val="single" w:sz="8" w:space="0" w:color="auto"/>
              <w:right w:val="single" w:sz="8" w:space="0" w:color="auto"/>
            </w:tcBorders>
            <w:shd w:val="clear" w:color="000000" w:fill="E7E6E6"/>
            <w:vAlign w:val="center"/>
            <w:hideMark/>
          </w:tcPr>
          <w:p w14:paraId="17D7F0B5"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rPr>
              <w:t>27172.1</w:t>
            </w:r>
          </w:p>
        </w:tc>
        <w:tc>
          <w:tcPr>
            <w:tcW w:w="743" w:type="dxa"/>
            <w:tcBorders>
              <w:top w:val="nil"/>
              <w:left w:val="nil"/>
              <w:bottom w:val="single" w:sz="8" w:space="0" w:color="auto"/>
              <w:right w:val="single" w:sz="8" w:space="0" w:color="auto"/>
            </w:tcBorders>
            <w:shd w:val="clear" w:color="000000" w:fill="E7E6E6"/>
            <w:vAlign w:val="center"/>
            <w:hideMark/>
          </w:tcPr>
          <w:p w14:paraId="523A02DB"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rPr>
              <w:t>33728.2</w:t>
            </w:r>
          </w:p>
        </w:tc>
        <w:tc>
          <w:tcPr>
            <w:tcW w:w="662" w:type="dxa"/>
            <w:tcBorders>
              <w:top w:val="nil"/>
              <w:left w:val="nil"/>
              <w:bottom w:val="single" w:sz="8" w:space="0" w:color="auto"/>
              <w:right w:val="single" w:sz="8" w:space="0" w:color="auto"/>
            </w:tcBorders>
            <w:shd w:val="clear" w:color="000000" w:fill="E7E6E6"/>
            <w:vAlign w:val="center"/>
            <w:hideMark/>
          </w:tcPr>
          <w:p w14:paraId="168C60C1"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6556.1</w:t>
            </w:r>
          </w:p>
        </w:tc>
        <w:tc>
          <w:tcPr>
            <w:tcW w:w="599" w:type="dxa"/>
            <w:tcBorders>
              <w:top w:val="nil"/>
              <w:left w:val="nil"/>
              <w:bottom w:val="single" w:sz="8" w:space="0" w:color="auto"/>
              <w:right w:val="single" w:sz="8" w:space="0" w:color="auto"/>
            </w:tcBorders>
            <w:shd w:val="clear" w:color="000000" w:fill="E7E6E6"/>
            <w:vAlign w:val="center"/>
            <w:hideMark/>
          </w:tcPr>
          <w:p w14:paraId="226893BF"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124.1</w:t>
            </w:r>
          </w:p>
        </w:tc>
        <w:tc>
          <w:tcPr>
            <w:tcW w:w="662" w:type="dxa"/>
            <w:tcBorders>
              <w:top w:val="nil"/>
              <w:left w:val="nil"/>
              <w:bottom w:val="single" w:sz="8" w:space="0" w:color="auto"/>
              <w:right w:val="single" w:sz="8" w:space="0" w:color="auto"/>
            </w:tcBorders>
            <w:shd w:val="clear" w:color="000000" w:fill="E7E6E6"/>
            <w:vAlign w:val="center"/>
            <w:hideMark/>
          </w:tcPr>
          <w:p w14:paraId="20F8D2BE"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9497.5</w:t>
            </w:r>
          </w:p>
        </w:tc>
        <w:tc>
          <w:tcPr>
            <w:tcW w:w="656" w:type="dxa"/>
            <w:tcBorders>
              <w:top w:val="nil"/>
              <w:left w:val="nil"/>
              <w:bottom w:val="single" w:sz="8" w:space="0" w:color="auto"/>
              <w:right w:val="single" w:sz="8" w:space="0" w:color="auto"/>
            </w:tcBorders>
            <w:shd w:val="clear" w:color="000000" w:fill="E7E6E6"/>
            <w:vAlign w:val="center"/>
            <w:hideMark/>
          </w:tcPr>
          <w:p w14:paraId="04B97A06"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139.2</w:t>
            </w:r>
          </w:p>
        </w:tc>
        <w:tc>
          <w:tcPr>
            <w:tcW w:w="743" w:type="dxa"/>
            <w:tcBorders>
              <w:top w:val="nil"/>
              <w:left w:val="nil"/>
              <w:bottom w:val="single" w:sz="8" w:space="0" w:color="auto"/>
              <w:right w:val="single" w:sz="8" w:space="0" w:color="auto"/>
            </w:tcBorders>
            <w:shd w:val="clear" w:color="000000" w:fill="E7E6E6"/>
            <w:vAlign w:val="center"/>
            <w:hideMark/>
          </w:tcPr>
          <w:p w14:paraId="5A8AF818"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12138.4</w:t>
            </w:r>
          </w:p>
        </w:tc>
        <w:tc>
          <w:tcPr>
            <w:tcW w:w="620" w:type="dxa"/>
            <w:tcBorders>
              <w:top w:val="nil"/>
              <w:left w:val="nil"/>
              <w:bottom w:val="single" w:sz="8" w:space="0" w:color="auto"/>
              <w:right w:val="single" w:sz="8" w:space="0" w:color="auto"/>
            </w:tcBorders>
            <w:shd w:val="clear" w:color="000000" w:fill="E7E6E6"/>
            <w:vAlign w:val="center"/>
            <w:hideMark/>
          </w:tcPr>
          <w:p w14:paraId="205C883D"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156.2</w:t>
            </w:r>
          </w:p>
        </w:tc>
        <w:tc>
          <w:tcPr>
            <w:tcW w:w="743" w:type="dxa"/>
            <w:tcBorders>
              <w:top w:val="nil"/>
              <w:left w:val="nil"/>
              <w:bottom w:val="single" w:sz="8" w:space="0" w:color="auto"/>
              <w:right w:val="single" w:sz="8" w:space="0" w:color="auto"/>
            </w:tcBorders>
            <w:shd w:val="clear" w:color="000000" w:fill="E7E6E6"/>
            <w:vAlign w:val="center"/>
            <w:hideMark/>
          </w:tcPr>
          <w:p w14:paraId="18E345A2"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14317.4</w:t>
            </w:r>
          </w:p>
        </w:tc>
        <w:tc>
          <w:tcPr>
            <w:tcW w:w="620" w:type="dxa"/>
            <w:tcBorders>
              <w:top w:val="nil"/>
              <w:left w:val="nil"/>
              <w:bottom w:val="single" w:sz="8" w:space="0" w:color="auto"/>
              <w:right w:val="single" w:sz="8" w:space="0" w:color="auto"/>
            </w:tcBorders>
            <w:shd w:val="clear" w:color="000000" w:fill="E7E6E6"/>
            <w:vAlign w:val="center"/>
            <w:hideMark/>
          </w:tcPr>
          <w:p w14:paraId="61F3178A"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173.8</w:t>
            </w:r>
          </w:p>
        </w:tc>
      </w:tr>
      <w:tr w:rsidR="00B749E7" w:rsidRPr="00A934FA" w14:paraId="42BE0821" w14:textId="77777777" w:rsidTr="000E41FD">
        <w:trPr>
          <w:trHeight w:val="564"/>
        </w:trPr>
        <w:tc>
          <w:tcPr>
            <w:tcW w:w="1148" w:type="dxa"/>
            <w:tcBorders>
              <w:top w:val="nil"/>
              <w:left w:val="single" w:sz="8" w:space="0" w:color="auto"/>
              <w:bottom w:val="single" w:sz="8" w:space="0" w:color="auto"/>
              <w:right w:val="single" w:sz="8" w:space="0" w:color="auto"/>
            </w:tcBorders>
            <w:shd w:val="clear" w:color="auto" w:fill="auto"/>
            <w:hideMark/>
          </w:tcPr>
          <w:p w14:paraId="7B86E200" w14:textId="77777777" w:rsidR="00B749E7" w:rsidRPr="00976075" w:rsidRDefault="00B749E7" w:rsidP="000E41FD">
            <w:pPr>
              <w:spacing w:after="0" w:line="240" w:lineRule="auto"/>
              <w:rPr>
                <w:rFonts w:ascii="Calibri Light" w:eastAsia="Times New Roman" w:hAnsi="Calibri Light" w:cs="Calibri Light"/>
                <w:color w:val="000000"/>
                <w:sz w:val="16"/>
                <w:szCs w:val="16"/>
              </w:rPr>
            </w:pPr>
            <w:r w:rsidRPr="00976075">
              <w:rPr>
                <w:rFonts w:ascii="Calibri Light" w:eastAsia="Times New Roman" w:hAnsi="Calibri Light" w:cs="Calibri Light"/>
                <w:bCs/>
                <w:color w:val="000000"/>
                <w:sz w:val="16"/>
                <w:szCs w:val="16"/>
                <w:lang w:val="ru-RU"/>
              </w:rPr>
              <w:t>Социальные пособия</w:t>
            </w:r>
          </w:p>
        </w:tc>
        <w:tc>
          <w:tcPr>
            <w:tcW w:w="743" w:type="dxa"/>
            <w:tcBorders>
              <w:top w:val="nil"/>
              <w:left w:val="nil"/>
              <w:bottom w:val="single" w:sz="8" w:space="0" w:color="auto"/>
              <w:right w:val="single" w:sz="8" w:space="0" w:color="auto"/>
            </w:tcBorders>
            <w:shd w:val="clear" w:color="auto" w:fill="auto"/>
            <w:vAlign w:val="center"/>
            <w:hideMark/>
          </w:tcPr>
          <w:p w14:paraId="0099254C"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lang w:val="ro-RO"/>
              </w:rPr>
              <w:t>19110.7</w:t>
            </w:r>
          </w:p>
        </w:tc>
        <w:tc>
          <w:tcPr>
            <w:tcW w:w="743" w:type="dxa"/>
            <w:tcBorders>
              <w:top w:val="nil"/>
              <w:left w:val="nil"/>
              <w:bottom w:val="single" w:sz="8" w:space="0" w:color="auto"/>
              <w:right w:val="single" w:sz="8" w:space="0" w:color="auto"/>
            </w:tcBorders>
            <w:shd w:val="clear" w:color="auto" w:fill="auto"/>
            <w:vAlign w:val="center"/>
            <w:hideMark/>
          </w:tcPr>
          <w:p w14:paraId="0E387B80"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lang w:val="ro-RO"/>
              </w:rPr>
              <w:t>21206.2</w:t>
            </w:r>
          </w:p>
        </w:tc>
        <w:tc>
          <w:tcPr>
            <w:tcW w:w="743" w:type="dxa"/>
            <w:tcBorders>
              <w:top w:val="nil"/>
              <w:left w:val="nil"/>
              <w:bottom w:val="single" w:sz="8" w:space="0" w:color="auto"/>
              <w:right w:val="single" w:sz="8" w:space="0" w:color="auto"/>
            </w:tcBorders>
            <w:shd w:val="clear" w:color="auto" w:fill="auto"/>
            <w:vAlign w:val="center"/>
            <w:hideMark/>
          </w:tcPr>
          <w:p w14:paraId="27E69B65"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lang w:val="ro-RO"/>
              </w:rPr>
              <w:t>23837.8</w:t>
            </w:r>
          </w:p>
        </w:tc>
        <w:tc>
          <w:tcPr>
            <w:tcW w:w="743" w:type="dxa"/>
            <w:tcBorders>
              <w:top w:val="nil"/>
              <w:left w:val="nil"/>
              <w:bottom w:val="single" w:sz="8" w:space="0" w:color="auto"/>
              <w:right w:val="single" w:sz="8" w:space="0" w:color="auto"/>
            </w:tcBorders>
            <w:shd w:val="clear" w:color="auto" w:fill="auto"/>
            <w:vAlign w:val="center"/>
            <w:hideMark/>
          </w:tcPr>
          <w:p w14:paraId="54E43204"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rPr>
              <w:t>26756.3</w:t>
            </w:r>
          </w:p>
        </w:tc>
        <w:tc>
          <w:tcPr>
            <w:tcW w:w="743" w:type="dxa"/>
            <w:tcBorders>
              <w:top w:val="nil"/>
              <w:left w:val="nil"/>
              <w:bottom w:val="single" w:sz="8" w:space="0" w:color="auto"/>
              <w:right w:val="single" w:sz="8" w:space="0" w:color="auto"/>
            </w:tcBorders>
            <w:shd w:val="clear" w:color="auto" w:fill="auto"/>
            <w:vAlign w:val="center"/>
            <w:hideMark/>
          </w:tcPr>
          <w:p w14:paraId="515FAE1D"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rPr>
              <w:t>33294.2</w:t>
            </w:r>
          </w:p>
        </w:tc>
        <w:tc>
          <w:tcPr>
            <w:tcW w:w="662" w:type="dxa"/>
            <w:tcBorders>
              <w:top w:val="nil"/>
              <w:left w:val="nil"/>
              <w:bottom w:val="single" w:sz="8" w:space="0" w:color="auto"/>
              <w:right w:val="single" w:sz="8" w:space="0" w:color="auto"/>
            </w:tcBorders>
            <w:shd w:val="clear" w:color="auto" w:fill="auto"/>
            <w:vAlign w:val="center"/>
            <w:hideMark/>
          </w:tcPr>
          <w:p w14:paraId="5EA76AD8" w14:textId="77777777" w:rsidR="00B749E7" w:rsidRPr="00B94D89" w:rsidRDefault="00B749E7" w:rsidP="000E41FD">
            <w:pPr>
              <w:spacing w:after="0" w:line="240" w:lineRule="auto"/>
              <w:jc w:val="right"/>
              <w:rPr>
                <w:rFonts w:ascii="Calibri Light" w:eastAsia="Times New Roman" w:hAnsi="Calibri Light" w:cs="Calibri Light"/>
                <w:b/>
                <w:bCs/>
                <w:color w:val="000000"/>
                <w:sz w:val="16"/>
                <w:szCs w:val="16"/>
              </w:rPr>
            </w:pPr>
            <w:r w:rsidRPr="00B94D89">
              <w:rPr>
                <w:rFonts w:ascii="Calibri Light" w:eastAsia="Times New Roman" w:hAnsi="Calibri Light" w:cs="Calibri Light"/>
                <w:b/>
                <w:bCs/>
                <w:color w:val="000000"/>
                <w:sz w:val="16"/>
                <w:szCs w:val="16"/>
              </w:rPr>
              <w:t>6537.9</w:t>
            </w:r>
          </w:p>
        </w:tc>
        <w:tc>
          <w:tcPr>
            <w:tcW w:w="599" w:type="dxa"/>
            <w:tcBorders>
              <w:top w:val="nil"/>
              <w:left w:val="nil"/>
              <w:bottom w:val="single" w:sz="8" w:space="0" w:color="auto"/>
              <w:right w:val="single" w:sz="8" w:space="0" w:color="auto"/>
            </w:tcBorders>
            <w:shd w:val="clear" w:color="auto" w:fill="auto"/>
            <w:vAlign w:val="center"/>
            <w:hideMark/>
          </w:tcPr>
          <w:p w14:paraId="57BAD847"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124.4</w:t>
            </w:r>
          </w:p>
        </w:tc>
        <w:tc>
          <w:tcPr>
            <w:tcW w:w="662" w:type="dxa"/>
            <w:tcBorders>
              <w:top w:val="nil"/>
              <w:left w:val="nil"/>
              <w:bottom w:val="single" w:sz="8" w:space="0" w:color="auto"/>
              <w:right w:val="single" w:sz="8" w:space="0" w:color="auto"/>
            </w:tcBorders>
            <w:shd w:val="clear" w:color="auto" w:fill="auto"/>
            <w:vAlign w:val="center"/>
            <w:hideMark/>
          </w:tcPr>
          <w:p w14:paraId="360806A4"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9456.4</w:t>
            </w:r>
          </w:p>
        </w:tc>
        <w:tc>
          <w:tcPr>
            <w:tcW w:w="656" w:type="dxa"/>
            <w:tcBorders>
              <w:top w:val="nil"/>
              <w:left w:val="nil"/>
              <w:bottom w:val="single" w:sz="8" w:space="0" w:color="auto"/>
              <w:right w:val="single" w:sz="8" w:space="0" w:color="auto"/>
            </w:tcBorders>
            <w:shd w:val="clear" w:color="auto" w:fill="auto"/>
            <w:vAlign w:val="center"/>
            <w:hideMark/>
          </w:tcPr>
          <w:p w14:paraId="6CF39C2A"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139.7</w:t>
            </w:r>
          </w:p>
        </w:tc>
        <w:tc>
          <w:tcPr>
            <w:tcW w:w="743" w:type="dxa"/>
            <w:tcBorders>
              <w:top w:val="nil"/>
              <w:left w:val="nil"/>
              <w:bottom w:val="single" w:sz="8" w:space="0" w:color="auto"/>
              <w:right w:val="single" w:sz="8" w:space="0" w:color="auto"/>
            </w:tcBorders>
            <w:shd w:val="clear" w:color="auto" w:fill="auto"/>
            <w:vAlign w:val="center"/>
            <w:hideMark/>
          </w:tcPr>
          <w:p w14:paraId="58BAE840"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12088.0</w:t>
            </w:r>
          </w:p>
        </w:tc>
        <w:tc>
          <w:tcPr>
            <w:tcW w:w="620" w:type="dxa"/>
            <w:tcBorders>
              <w:top w:val="nil"/>
              <w:left w:val="nil"/>
              <w:bottom w:val="single" w:sz="8" w:space="0" w:color="auto"/>
              <w:right w:val="single" w:sz="8" w:space="0" w:color="auto"/>
            </w:tcBorders>
            <w:shd w:val="clear" w:color="auto" w:fill="auto"/>
            <w:vAlign w:val="center"/>
            <w:hideMark/>
          </w:tcPr>
          <w:p w14:paraId="156CB5CC"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157.0</w:t>
            </w:r>
          </w:p>
        </w:tc>
        <w:tc>
          <w:tcPr>
            <w:tcW w:w="743" w:type="dxa"/>
            <w:tcBorders>
              <w:top w:val="nil"/>
              <w:left w:val="nil"/>
              <w:bottom w:val="single" w:sz="8" w:space="0" w:color="auto"/>
              <w:right w:val="single" w:sz="8" w:space="0" w:color="auto"/>
            </w:tcBorders>
            <w:shd w:val="clear" w:color="auto" w:fill="auto"/>
            <w:vAlign w:val="center"/>
            <w:hideMark/>
          </w:tcPr>
          <w:p w14:paraId="0686FEB9"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14183.5</w:t>
            </w:r>
          </w:p>
        </w:tc>
        <w:tc>
          <w:tcPr>
            <w:tcW w:w="620" w:type="dxa"/>
            <w:tcBorders>
              <w:top w:val="nil"/>
              <w:left w:val="nil"/>
              <w:bottom w:val="single" w:sz="8" w:space="0" w:color="auto"/>
              <w:right w:val="single" w:sz="8" w:space="0" w:color="auto"/>
            </w:tcBorders>
            <w:shd w:val="clear" w:color="auto" w:fill="auto"/>
            <w:vAlign w:val="center"/>
            <w:hideMark/>
          </w:tcPr>
          <w:p w14:paraId="03E6A7BF"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174.2</w:t>
            </w:r>
          </w:p>
        </w:tc>
      </w:tr>
      <w:tr w:rsidR="00B749E7" w:rsidRPr="00A934FA" w14:paraId="2D63A7AC" w14:textId="77777777" w:rsidTr="000E41FD">
        <w:trPr>
          <w:trHeight w:val="564"/>
        </w:trPr>
        <w:tc>
          <w:tcPr>
            <w:tcW w:w="1148" w:type="dxa"/>
            <w:tcBorders>
              <w:top w:val="nil"/>
              <w:left w:val="single" w:sz="8" w:space="0" w:color="auto"/>
              <w:bottom w:val="single" w:sz="8" w:space="0" w:color="auto"/>
              <w:right w:val="single" w:sz="8" w:space="0" w:color="auto"/>
            </w:tcBorders>
            <w:shd w:val="clear" w:color="auto" w:fill="auto"/>
            <w:hideMark/>
          </w:tcPr>
          <w:p w14:paraId="0F4AA73E" w14:textId="77777777" w:rsidR="00B749E7" w:rsidRPr="00976075" w:rsidRDefault="00B749E7" w:rsidP="000E41FD">
            <w:pPr>
              <w:spacing w:after="0" w:line="240" w:lineRule="auto"/>
              <w:rPr>
                <w:rFonts w:ascii="Calibri Light" w:eastAsia="Times New Roman" w:hAnsi="Calibri Light" w:cs="Calibri Light"/>
                <w:color w:val="000000"/>
                <w:sz w:val="16"/>
                <w:szCs w:val="16"/>
              </w:rPr>
            </w:pPr>
            <w:r w:rsidRPr="00976075">
              <w:rPr>
                <w:rFonts w:ascii="Calibri Light" w:eastAsia="Times New Roman" w:hAnsi="Calibri Light" w:cs="Calibri Light"/>
                <w:bCs/>
                <w:color w:val="000000"/>
                <w:sz w:val="16"/>
                <w:szCs w:val="16"/>
                <w:lang w:val="ru-RU"/>
              </w:rPr>
              <w:t>Товары и услуги</w:t>
            </w:r>
          </w:p>
        </w:tc>
        <w:tc>
          <w:tcPr>
            <w:tcW w:w="743" w:type="dxa"/>
            <w:tcBorders>
              <w:top w:val="nil"/>
              <w:left w:val="nil"/>
              <w:bottom w:val="single" w:sz="8" w:space="0" w:color="auto"/>
              <w:right w:val="single" w:sz="8" w:space="0" w:color="auto"/>
            </w:tcBorders>
            <w:shd w:val="clear" w:color="auto" w:fill="auto"/>
            <w:vAlign w:val="center"/>
            <w:hideMark/>
          </w:tcPr>
          <w:p w14:paraId="3DFEB36A"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lang w:val="ro-RO"/>
              </w:rPr>
              <w:t>183.6</w:t>
            </w:r>
          </w:p>
        </w:tc>
        <w:tc>
          <w:tcPr>
            <w:tcW w:w="743" w:type="dxa"/>
            <w:tcBorders>
              <w:top w:val="nil"/>
              <w:left w:val="nil"/>
              <w:bottom w:val="single" w:sz="8" w:space="0" w:color="auto"/>
              <w:right w:val="single" w:sz="8" w:space="0" w:color="auto"/>
            </w:tcBorders>
            <w:shd w:val="clear" w:color="auto" w:fill="auto"/>
            <w:vAlign w:val="center"/>
            <w:hideMark/>
          </w:tcPr>
          <w:p w14:paraId="6F35C4B1"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lang w:val="ro-RO"/>
              </w:rPr>
              <w:t>235.8</w:t>
            </w:r>
          </w:p>
        </w:tc>
        <w:tc>
          <w:tcPr>
            <w:tcW w:w="743" w:type="dxa"/>
            <w:tcBorders>
              <w:top w:val="nil"/>
              <w:left w:val="nil"/>
              <w:bottom w:val="single" w:sz="8" w:space="0" w:color="auto"/>
              <w:right w:val="single" w:sz="8" w:space="0" w:color="auto"/>
            </w:tcBorders>
            <w:shd w:val="clear" w:color="auto" w:fill="auto"/>
            <w:vAlign w:val="center"/>
            <w:hideMark/>
          </w:tcPr>
          <w:p w14:paraId="7CC7BCAC"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lang w:val="ro-RO"/>
              </w:rPr>
              <w:t>230.3</w:t>
            </w:r>
          </w:p>
        </w:tc>
        <w:tc>
          <w:tcPr>
            <w:tcW w:w="743" w:type="dxa"/>
            <w:tcBorders>
              <w:top w:val="nil"/>
              <w:left w:val="nil"/>
              <w:bottom w:val="single" w:sz="8" w:space="0" w:color="auto"/>
              <w:right w:val="single" w:sz="8" w:space="0" w:color="auto"/>
            </w:tcBorders>
            <w:shd w:val="clear" w:color="auto" w:fill="auto"/>
            <w:vAlign w:val="center"/>
            <w:hideMark/>
          </w:tcPr>
          <w:p w14:paraId="159E14CA"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rPr>
              <w:t>235.4</w:t>
            </w:r>
          </w:p>
        </w:tc>
        <w:tc>
          <w:tcPr>
            <w:tcW w:w="743" w:type="dxa"/>
            <w:tcBorders>
              <w:top w:val="nil"/>
              <w:left w:val="nil"/>
              <w:bottom w:val="single" w:sz="8" w:space="0" w:color="auto"/>
              <w:right w:val="single" w:sz="8" w:space="0" w:color="auto"/>
            </w:tcBorders>
            <w:shd w:val="clear" w:color="auto" w:fill="auto"/>
            <w:vAlign w:val="center"/>
            <w:hideMark/>
          </w:tcPr>
          <w:p w14:paraId="6C903810"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rPr>
              <w:t>243.3</w:t>
            </w:r>
          </w:p>
        </w:tc>
        <w:tc>
          <w:tcPr>
            <w:tcW w:w="662" w:type="dxa"/>
            <w:tcBorders>
              <w:top w:val="nil"/>
              <w:left w:val="nil"/>
              <w:bottom w:val="single" w:sz="8" w:space="0" w:color="auto"/>
              <w:right w:val="single" w:sz="8" w:space="0" w:color="auto"/>
            </w:tcBorders>
            <w:shd w:val="clear" w:color="auto" w:fill="auto"/>
            <w:vAlign w:val="center"/>
            <w:hideMark/>
          </w:tcPr>
          <w:p w14:paraId="73C39DDE" w14:textId="77777777" w:rsidR="00B749E7" w:rsidRPr="00B94D89" w:rsidRDefault="00B749E7" w:rsidP="000E41FD">
            <w:pPr>
              <w:spacing w:after="0" w:line="240" w:lineRule="auto"/>
              <w:jc w:val="right"/>
              <w:rPr>
                <w:rFonts w:ascii="Calibri Light" w:eastAsia="Times New Roman" w:hAnsi="Calibri Light" w:cs="Calibri Light"/>
                <w:b/>
                <w:bCs/>
                <w:color w:val="000000"/>
                <w:sz w:val="16"/>
                <w:szCs w:val="16"/>
              </w:rPr>
            </w:pPr>
            <w:r w:rsidRPr="00B94D89">
              <w:rPr>
                <w:rFonts w:ascii="Calibri Light" w:eastAsia="Times New Roman" w:hAnsi="Calibri Light" w:cs="Calibri Light"/>
                <w:b/>
                <w:bCs/>
                <w:color w:val="000000"/>
                <w:sz w:val="16"/>
                <w:szCs w:val="16"/>
              </w:rPr>
              <w:t>7.9</w:t>
            </w:r>
          </w:p>
        </w:tc>
        <w:tc>
          <w:tcPr>
            <w:tcW w:w="599" w:type="dxa"/>
            <w:tcBorders>
              <w:top w:val="nil"/>
              <w:left w:val="nil"/>
              <w:bottom w:val="single" w:sz="8" w:space="0" w:color="auto"/>
              <w:right w:val="single" w:sz="8" w:space="0" w:color="auto"/>
            </w:tcBorders>
            <w:shd w:val="clear" w:color="auto" w:fill="auto"/>
            <w:vAlign w:val="center"/>
            <w:hideMark/>
          </w:tcPr>
          <w:p w14:paraId="328C48C2"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103.4</w:t>
            </w:r>
          </w:p>
        </w:tc>
        <w:tc>
          <w:tcPr>
            <w:tcW w:w="662" w:type="dxa"/>
            <w:tcBorders>
              <w:top w:val="nil"/>
              <w:left w:val="nil"/>
              <w:bottom w:val="single" w:sz="8" w:space="0" w:color="auto"/>
              <w:right w:val="single" w:sz="8" w:space="0" w:color="auto"/>
            </w:tcBorders>
            <w:shd w:val="clear" w:color="auto" w:fill="auto"/>
            <w:vAlign w:val="center"/>
            <w:hideMark/>
          </w:tcPr>
          <w:p w14:paraId="4ACFFEBC"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13</w:t>
            </w:r>
          </w:p>
        </w:tc>
        <w:tc>
          <w:tcPr>
            <w:tcW w:w="656" w:type="dxa"/>
            <w:tcBorders>
              <w:top w:val="nil"/>
              <w:left w:val="nil"/>
              <w:bottom w:val="single" w:sz="8" w:space="0" w:color="auto"/>
              <w:right w:val="single" w:sz="8" w:space="0" w:color="auto"/>
            </w:tcBorders>
            <w:shd w:val="clear" w:color="auto" w:fill="auto"/>
            <w:vAlign w:val="center"/>
            <w:hideMark/>
          </w:tcPr>
          <w:p w14:paraId="286C5E58"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105.6</w:t>
            </w:r>
          </w:p>
        </w:tc>
        <w:tc>
          <w:tcPr>
            <w:tcW w:w="743" w:type="dxa"/>
            <w:tcBorders>
              <w:top w:val="nil"/>
              <w:left w:val="nil"/>
              <w:bottom w:val="single" w:sz="8" w:space="0" w:color="auto"/>
              <w:right w:val="single" w:sz="8" w:space="0" w:color="auto"/>
            </w:tcBorders>
            <w:shd w:val="clear" w:color="auto" w:fill="auto"/>
            <w:vAlign w:val="center"/>
            <w:hideMark/>
          </w:tcPr>
          <w:p w14:paraId="606C2CF5"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7.5</w:t>
            </w:r>
          </w:p>
        </w:tc>
        <w:tc>
          <w:tcPr>
            <w:tcW w:w="620" w:type="dxa"/>
            <w:tcBorders>
              <w:top w:val="nil"/>
              <w:left w:val="nil"/>
              <w:bottom w:val="single" w:sz="8" w:space="0" w:color="auto"/>
              <w:right w:val="single" w:sz="8" w:space="0" w:color="auto"/>
            </w:tcBorders>
            <w:shd w:val="clear" w:color="auto" w:fill="auto"/>
            <w:vAlign w:val="center"/>
            <w:hideMark/>
          </w:tcPr>
          <w:p w14:paraId="3105AEC9"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103.2</w:t>
            </w:r>
          </w:p>
        </w:tc>
        <w:tc>
          <w:tcPr>
            <w:tcW w:w="743" w:type="dxa"/>
            <w:tcBorders>
              <w:top w:val="nil"/>
              <w:left w:val="nil"/>
              <w:bottom w:val="single" w:sz="8" w:space="0" w:color="auto"/>
              <w:right w:val="single" w:sz="8" w:space="0" w:color="auto"/>
            </w:tcBorders>
            <w:shd w:val="clear" w:color="auto" w:fill="auto"/>
            <w:vAlign w:val="center"/>
            <w:hideMark/>
          </w:tcPr>
          <w:p w14:paraId="420F318E"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59.7</w:t>
            </w:r>
          </w:p>
        </w:tc>
        <w:tc>
          <w:tcPr>
            <w:tcW w:w="620" w:type="dxa"/>
            <w:tcBorders>
              <w:top w:val="nil"/>
              <w:left w:val="nil"/>
              <w:bottom w:val="single" w:sz="8" w:space="0" w:color="auto"/>
              <w:right w:val="single" w:sz="8" w:space="0" w:color="auto"/>
            </w:tcBorders>
            <w:shd w:val="clear" w:color="auto" w:fill="auto"/>
            <w:vAlign w:val="center"/>
            <w:hideMark/>
          </w:tcPr>
          <w:p w14:paraId="5BECFAF0"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132.5</w:t>
            </w:r>
          </w:p>
        </w:tc>
      </w:tr>
      <w:tr w:rsidR="00B749E7" w:rsidRPr="00A934FA" w14:paraId="77B92D81" w14:textId="77777777" w:rsidTr="000E41FD">
        <w:trPr>
          <w:trHeight w:val="840"/>
        </w:trPr>
        <w:tc>
          <w:tcPr>
            <w:tcW w:w="1148" w:type="dxa"/>
            <w:tcBorders>
              <w:top w:val="nil"/>
              <w:left w:val="single" w:sz="8" w:space="0" w:color="auto"/>
              <w:bottom w:val="single" w:sz="8" w:space="0" w:color="auto"/>
              <w:right w:val="single" w:sz="8" w:space="0" w:color="auto"/>
            </w:tcBorders>
            <w:shd w:val="clear" w:color="auto" w:fill="auto"/>
            <w:hideMark/>
          </w:tcPr>
          <w:p w14:paraId="63244D32" w14:textId="77777777" w:rsidR="00B749E7" w:rsidRPr="00976075" w:rsidRDefault="00B749E7" w:rsidP="000E41FD">
            <w:pPr>
              <w:spacing w:after="0" w:line="240" w:lineRule="auto"/>
              <w:rPr>
                <w:rFonts w:ascii="Calibri Light" w:eastAsia="Times New Roman" w:hAnsi="Calibri Light" w:cs="Calibri Light"/>
                <w:color w:val="000000"/>
                <w:sz w:val="16"/>
                <w:szCs w:val="16"/>
              </w:rPr>
            </w:pPr>
            <w:r w:rsidRPr="00976075">
              <w:rPr>
                <w:rFonts w:ascii="Calibri Light" w:eastAsia="Times New Roman" w:hAnsi="Calibri Light" w:cs="Calibri Light"/>
                <w:bCs/>
                <w:color w:val="000000"/>
                <w:sz w:val="16"/>
                <w:szCs w:val="16"/>
                <w:lang w:val="ru-RU"/>
              </w:rPr>
              <w:t>Расходы на персонал</w:t>
            </w:r>
          </w:p>
        </w:tc>
        <w:tc>
          <w:tcPr>
            <w:tcW w:w="743" w:type="dxa"/>
            <w:tcBorders>
              <w:top w:val="nil"/>
              <w:left w:val="nil"/>
              <w:bottom w:val="single" w:sz="8" w:space="0" w:color="auto"/>
              <w:right w:val="single" w:sz="8" w:space="0" w:color="auto"/>
            </w:tcBorders>
            <w:shd w:val="clear" w:color="auto" w:fill="auto"/>
            <w:vAlign w:val="center"/>
            <w:hideMark/>
          </w:tcPr>
          <w:p w14:paraId="02B25D98"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lang w:val="ro-RO"/>
              </w:rPr>
              <w:t>113.1</w:t>
            </w:r>
          </w:p>
        </w:tc>
        <w:tc>
          <w:tcPr>
            <w:tcW w:w="743" w:type="dxa"/>
            <w:tcBorders>
              <w:top w:val="nil"/>
              <w:left w:val="nil"/>
              <w:bottom w:val="single" w:sz="8" w:space="0" w:color="auto"/>
              <w:right w:val="single" w:sz="8" w:space="0" w:color="auto"/>
            </w:tcBorders>
            <w:shd w:val="clear" w:color="auto" w:fill="auto"/>
            <w:vAlign w:val="center"/>
            <w:hideMark/>
          </w:tcPr>
          <w:p w14:paraId="0FBD4F50"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lang w:val="ro-RO"/>
              </w:rPr>
              <w:t>142.9</w:t>
            </w:r>
          </w:p>
        </w:tc>
        <w:tc>
          <w:tcPr>
            <w:tcW w:w="743" w:type="dxa"/>
            <w:tcBorders>
              <w:top w:val="nil"/>
              <w:left w:val="nil"/>
              <w:bottom w:val="single" w:sz="8" w:space="0" w:color="auto"/>
              <w:right w:val="single" w:sz="8" w:space="0" w:color="auto"/>
            </w:tcBorders>
            <w:shd w:val="clear" w:color="auto" w:fill="auto"/>
            <w:vAlign w:val="center"/>
            <w:hideMark/>
          </w:tcPr>
          <w:p w14:paraId="6C98614A"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lang w:val="ro-RO"/>
              </w:rPr>
              <w:t>158</w:t>
            </w:r>
          </w:p>
        </w:tc>
        <w:tc>
          <w:tcPr>
            <w:tcW w:w="743" w:type="dxa"/>
            <w:tcBorders>
              <w:top w:val="nil"/>
              <w:left w:val="nil"/>
              <w:bottom w:val="single" w:sz="8" w:space="0" w:color="auto"/>
              <w:right w:val="single" w:sz="8" w:space="0" w:color="auto"/>
            </w:tcBorders>
            <w:shd w:val="clear" w:color="auto" w:fill="auto"/>
            <w:vAlign w:val="center"/>
            <w:hideMark/>
          </w:tcPr>
          <w:p w14:paraId="2CD951B0"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rPr>
              <w:t>175.4</w:t>
            </w:r>
          </w:p>
        </w:tc>
        <w:tc>
          <w:tcPr>
            <w:tcW w:w="743" w:type="dxa"/>
            <w:tcBorders>
              <w:top w:val="nil"/>
              <w:left w:val="nil"/>
              <w:bottom w:val="single" w:sz="8" w:space="0" w:color="auto"/>
              <w:right w:val="single" w:sz="8" w:space="0" w:color="auto"/>
            </w:tcBorders>
            <w:shd w:val="clear" w:color="auto" w:fill="auto"/>
            <w:vAlign w:val="center"/>
            <w:hideMark/>
          </w:tcPr>
          <w:p w14:paraId="281FA5E1"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rPr>
              <w:t>185.7</w:t>
            </w:r>
          </w:p>
        </w:tc>
        <w:tc>
          <w:tcPr>
            <w:tcW w:w="662" w:type="dxa"/>
            <w:tcBorders>
              <w:top w:val="nil"/>
              <w:left w:val="nil"/>
              <w:bottom w:val="single" w:sz="8" w:space="0" w:color="auto"/>
              <w:right w:val="single" w:sz="8" w:space="0" w:color="auto"/>
            </w:tcBorders>
            <w:shd w:val="clear" w:color="auto" w:fill="auto"/>
            <w:vAlign w:val="center"/>
            <w:hideMark/>
          </w:tcPr>
          <w:p w14:paraId="612B7384" w14:textId="77777777" w:rsidR="00B749E7" w:rsidRPr="00B94D89" w:rsidRDefault="00B749E7" w:rsidP="000E41FD">
            <w:pPr>
              <w:spacing w:after="0" w:line="240" w:lineRule="auto"/>
              <w:jc w:val="right"/>
              <w:rPr>
                <w:rFonts w:ascii="Calibri Light" w:eastAsia="Times New Roman" w:hAnsi="Calibri Light" w:cs="Calibri Light"/>
                <w:b/>
                <w:bCs/>
                <w:color w:val="000000"/>
                <w:sz w:val="16"/>
                <w:szCs w:val="16"/>
              </w:rPr>
            </w:pPr>
            <w:r w:rsidRPr="00B94D89">
              <w:rPr>
                <w:rFonts w:ascii="Calibri Light" w:eastAsia="Times New Roman" w:hAnsi="Calibri Light" w:cs="Calibri Light"/>
                <w:b/>
                <w:bCs/>
                <w:color w:val="000000"/>
                <w:sz w:val="16"/>
                <w:szCs w:val="16"/>
              </w:rPr>
              <w:t>10.3</w:t>
            </w:r>
          </w:p>
        </w:tc>
        <w:tc>
          <w:tcPr>
            <w:tcW w:w="599" w:type="dxa"/>
            <w:tcBorders>
              <w:top w:val="nil"/>
              <w:left w:val="nil"/>
              <w:bottom w:val="single" w:sz="8" w:space="0" w:color="auto"/>
              <w:right w:val="single" w:sz="8" w:space="0" w:color="auto"/>
            </w:tcBorders>
            <w:shd w:val="clear" w:color="auto" w:fill="auto"/>
            <w:vAlign w:val="center"/>
            <w:hideMark/>
          </w:tcPr>
          <w:p w14:paraId="5AFB736E"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105.9</w:t>
            </w:r>
          </w:p>
        </w:tc>
        <w:tc>
          <w:tcPr>
            <w:tcW w:w="662" w:type="dxa"/>
            <w:tcBorders>
              <w:top w:val="nil"/>
              <w:left w:val="nil"/>
              <w:bottom w:val="single" w:sz="8" w:space="0" w:color="auto"/>
              <w:right w:val="single" w:sz="8" w:space="0" w:color="auto"/>
            </w:tcBorders>
            <w:shd w:val="clear" w:color="auto" w:fill="auto"/>
            <w:vAlign w:val="center"/>
            <w:hideMark/>
          </w:tcPr>
          <w:p w14:paraId="7B88330D"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27.7</w:t>
            </w:r>
          </w:p>
        </w:tc>
        <w:tc>
          <w:tcPr>
            <w:tcW w:w="656" w:type="dxa"/>
            <w:tcBorders>
              <w:top w:val="nil"/>
              <w:left w:val="nil"/>
              <w:bottom w:val="single" w:sz="8" w:space="0" w:color="auto"/>
              <w:right w:val="single" w:sz="8" w:space="0" w:color="auto"/>
            </w:tcBorders>
            <w:shd w:val="clear" w:color="auto" w:fill="auto"/>
            <w:vAlign w:val="center"/>
            <w:hideMark/>
          </w:tcPr>
          <w:p w14:paraId="331B6FBC"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117.5</w:t>
            </w:r>
          </w:p>
        </w:tc>
        <w:tc>
          <w:tcPr>
            <w:tcW w:w="743" w:type="dxa"/>
            <w:tcBorders>
              <w:top w:val="nil"/>
              <w:left w:val="nil"/>
              <w:bottom w:val="single" w:sz="8" w:space="0" w:color="auto"/>
              <w:right w:val="single" w:sz="8" w:space="0" w:color="auto"/>
            </w:tcBorders>
            <w:shd w:val="clear" w:color="auto" w:fill="auto"/>
            <w:vAlign w:val="center"/>
            <w:hideMark/>
          </w:tcPr>
          <w:p w14:paraId="3E9A5C6F"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42.8</w:t>
            </w:r>
          </w:p>
        </w:tc>
        <w:tc>
          <w:tcPr>
            <w:tcW w:w="620" w:type="dxa"/>
            <w:tcBorders>
              <w:top w:val="nil"/>
              <w:left w:val="nil"/>
              <w:bottom w:val="single" w:sz="8" w:space="0" w:color="auto"/>
              <w:right w:val="single" w:sz="8" w:space="0" w:color="auto"/>
            </w:tcBorders>
            <w:shd w:val="clear" w:color="auto" w:fill="auto"/>
            <w:vAlign w:val="center"/>
            <w:hideMark/>
          </w:tcPr>
          <w:p w14:paraId="42D8DFB2"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130.0</w:t>
            </w:r>
          </w:p>
        </w:tc>
        <w:tc>
          <w:tcPr>
            <w:tcW w:w="743" w:type="dxa"/>
            <w:tcBorders>
              <w:top w:val="nil"/>
              <w:left w:val="nil"/>
              <w:bottom w:val="single" w:sz="8" w:space="0" w:color="auto"/>
              <w:right w:val="single" w:sz="8" w:space="0" w:color="auto"/>
            </w:tcBorders>
            <w:shd w:val="clear" w:color="auto" w:fill="auto"/>
            <w:vAlign w:val="center"/>
            <w:hideMark/>
          </w:tcPr>
          <w:p w14:paraId="150A938C"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72.6</w:t>
            </w:r>
          </w:p>
        </w:tc>
        <w:tc>
          <w:tcPr>
            <w:tcW w:w="620" w:type="dxa"/>
            <w:tcBorders>
              <w:top w:val="nil"/>
              <w:left w:val="nil"/>
              <w:bottom w:val="single" w:sz="8" w:space="0" w:color="auto"/>
              <w:right w:val="single" w:sz="8" w:space="0" w:color="auto"/>
            </w:tcBorders>
            <w:shd w:val="clear" w:color="auto" w:fill="auto"/>
            <w:vAlign w:val="center"/>
            <w:hideMark/>
          </w:tcPr>
          <w:p w14:paraId="51CB1A34"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164.2</w:t>
            </w:r>
          </w:p>
        </w:tc>
      </w:tr>
      <w:tr w:rsidR="00B749E7" w:rsidRPr="00A934FA" w14:paraId="0F5AFB23" w14:textId="77777777" w:rsidTr="000E41FD">
        <w:trPr>
          <w:trHeight w:val="564"/>
        </w:trPr>
        <w:tc>
          <w:tcPr>
            <w:tcW w:w="1148" w:type="dxa"/>
            <w:tcBorders>
              <w:top w:val="nil"/>
              <w:left w:val="single" w:sz="8" w:space="0" w:color="auto"/>
              <w:bottom w:val="single" w:sz="8" w:space="0" w:color="auto"/>
              <w:right w:val="single" w:sz="8" w:space="0" w:color="auto"/>
            </w:tcBorders>
            <w:shd w:val="clear" w:color="auto" w:fill="auto"/>
            <w:hideMark/>
          </w:tcPr>
          <w:p w14:paraId="1613AE4B" w14:textId="77777777" w:rsidR="00B749E7" w:rsidRPr="00976075" w:rsidRDefault="00B749E7" w:rsidP="000E41FD">
            <w:pPr>
              <w:spacing w:after="0" w:line="240" w:lineRule="auto"/>
              <w:rPr>
                <w:rFonts w:ascii="Calibri Light" w:eastAsia="Times New Roman" w:hAnsi="Calibri Light" w:cs="Calibri Light"/>
                <w:color w:val="000000"/>
                <w:sz w:val="16"/>
                <w:szCs w:val="16"/>
              </w:rPr>
            </w:pPr>
            <w:r w:rsidRPr="00976075">
              <w:rPr>
                <w:rFonts w:ascii="Calibri Light" w:eastAsia="Times New Roman" w:hAnsi="Calibri Light" w:cs="Calibri Light"/>
                <w:bCs/>
                <w:color w:val="000000"/>
                <w:sz w:val="16"/>
                <w:szCs w:val="16"/>
                <w:lang w:val="ru-RU"/>
              </w:rPr>
              <w:t>Другие расходы</w:t>
            </w:r>
          </w:p>
        </w:tc>
        <w:tc>
          <w:tcPr>
            <w:tcW w:w="743" w:type="dxa"/>
            <w:tcBorders>
              <w:top w:val="nil"/>
              <w:left w:val="nil"/>
              <w:bottom w:val="single" w:sz="8" w:space="0" w:color="auto"/>
              <w:right w:val="single" w:sz="8" w:space="0" w:color="auto"/>
            </w:tcBorders>
            <w:shd w:val="clear" w:color="auto" w:fill="auto"/>
            <w:vAlign w:val="center"/>
            <w:hideMark/>
          </w:tcPr>
          <w:p w14:paraId="0C12339D"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lang w:val="ro-RO"/>
              </w:rPr>
              <w:t>3.4</w:t>
            </w:r>
          </w:p>
        </w:tc>
        <w:tc>
          <w:tcPr>
            <w:tcW w:w="743" w:type="dxa"/>
            <w:tcBorders>
              <w:top w:val="nil"/>
              <w:left w:val="nil"/>
              <w:bottom w:val="single" w:sz="8" w:space="0" w:color="auto"/>
              <w:right w:val="single" w:sz="8" w:space="0" w:color="auto"/>
            </w:tcBorders>
            <w:shd w:val="clear" w:color="auto" w:fill="auto"/>
            <w:vAlign w:val="center"/>
            <w:hideMark/>
          </w:tcPr>
          <w:p w14:paraId="3152C2A3"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lang w:val="ro-RO"/>
              </w:rPr>
              <w:t>4.9</w:t>
            </w:r>
          </w:p>
        </w:tc>
        <w:tc>
          <w:tcPr>
            <w:tcW w:w="743" w:type="dxa"/>
            <w:tcBorders>
              <w:top w:val="nil"/>
              <w:left w:val="nil"/>
              <w:bottom w:val="single" w:sz="8" w:space="0" w:color="auto"/>
              <w:right w:val="single" w:sz="8" w:space="0" w:color="auto"/>
            </w:tcBorders>
            <w:shd w:val="clear" w:color="auto" w:fill="auto"/>
            <w:vAlign w:val="center"/>
            <w:hideMark/>
          </w:tcPr>
          <w:p w14:paraId="4F01AE52"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lang w:val="ro-RO"/>
              </w:rPr>
              <w:t>4.6</w:t>
            </w:r>
          </w:p>
        </w:tc>
        <w:tc>
          <w:tcPr>
            <w:tcW w:w="743" w:type="dxa"/>
            <w:tcBorders>
              <w:top w:val="nil"/>
              <w:left w:val="nil"/>
              <w:bottom w:val="single" w:sz="8" w:space="0" w:color="auto"/>
              <w:right w:val="single" w:sz="8" w:space="0" w:color="auto"/>
            </w:tcBorders>
            <w:shd w:val="clear" w:color="auto" w:fill="auto"/>
            <w:vAlign w:val="center"/>
            <w:hideMark/>
          </w:tcPr>
          <w:p w14:paraId="0E896818"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rPr>
              <w:t>4.9</w:t>
            </w:r>
          </w:p>
        </w:tc>
        <w:tc>
          <w:tcPr>
            <w:tcW w:w="743" w:type="dxa"/>
            <w:tcBorders>
              <w:top w:val="nil"/>
              <w:left w:val="nil"/>
              <w:bottom w:val="single" w:sz="8" w:space="0" w:color="auto"/>
              <w:right w:val="single" w:sz="8" w:space="0" w:color="auto"/>
            </w:tcBorders>
            <w:shd w:val="clear" w:color="auto" w:fill="auto"/>
            <w:vAlign w:val="center"/>
            <w:hideMark/>
          </w:tcPr>
          <w:p w14:paraId="486B0E33" w14:textId="77777777" w:rsidR="00B749E7" w:rsidRPr="00B94D89" w:rsidRDefault="00B749E7" w:rsidP="000E41FD">
            <w:pPr>
              <w:spacing w:after="0" w:line="240" w:lineRule="auto"/>
              <w:jc w:val="right"/>
              <w:rPr>
                <w:rFonts w:ascii="Calibri Light" w:eastAsia="Times New Roman" w:hAnsi="Calibri Light" w:cs="Calibri Light"/>
                <w:b/>
                <w:color w:val="000000"/>
                <w:sz w:val="16"/>
                <w:szCs w:val="16"/>
              </w:rPr>
            </w:pPr>
            <w:r w:rsidRPr="00B94D89">
              <w:rPr>
                <w:rFonts w:ascii="Calibri Light" w:eastAsia="Times New Roman" w:hAnsi="Calibri Light" w:cs="Calibri Light"/>
                <w:b/>
                <w:color w:val="000000"/>
                <w:sz w:val="16"/>
                <w:szCs w:val="16"/>
              </w:rPr>
              <w:t>4.9</w:t>
            </w:r>
          </w:p>
        </w:tc>
        <w:tc>
          <w:tcPr>
            <w:tcW w:w="662" w:type="dxa"/>
            <w:tcBorders>
              <w:top w:val="nil"/>
              <w:left w:val="nil"/>
              <w:bottom w:val="single" w:sz="8" w:space="0" w:color="auto"/>
              <w:right w:val="single" w:sz="8" w:space="0" w:color="auto"/>
            </w:tcBorders>
            <w:shd w:val="clear" w:color="auto" w:fill="auto"/>
            <w:vAlign w:val="center"/>
            <w:hideMark/>
          </w:tcPr>
          <w:p w14:paraId="4E0C9E2E" w14:textId="77777777" w:rsidR="00B749E7" w:rsidRPr="00B94D89" w:rsidRDefault="00B749E7" w:rsidP="000E41FD">
            <w:pPr>
              <w:spacing w:after="0" w:line="240" w:lineRule="auto"/>
              <w:jc w:val="right"/>
              <w:rPr>
                <w:rFonts w:ascii="Calibri Light" w:eastAsia="Times New Roman" w:hAnsi="Calibri Light" w:cs="Calibri Light"/>
                <w:b/>
                <w:bCs/>
                <w:color w:val="000000"/>
                <w:sz w:val="16"/>
                <w:szCs w:val="16"/>
              </w:rPr>
            </w:pPr>
            <w:r w:rsidRPr="00B94D89">
              <w:rPr>
                <w:rFonts w:ascii="Calibri Light" w:eastAsia="Times New Roman" w:hAnsi="Calibri Light" w:cs="Calibri Light"/>
                <w:b/>
                <w:bCs/>
                <w:color w:val="000000"/>
                <w:sz w:val="16"/>
                <w:szCs w:val="16"/>
              </w:rPr>
              <w:t>0</w:t>
            </w:r>
          </w:p>
        </w:tc>
        <w:tc>
          <w:tcPr>
            <w:tcW w:w="599" w:type="dxa"/>
            <w:tcBorders>
              <w:top w:val="nil"/>
              <w:left w:val="nil"/>
              <w:bottom w:val="single" w:sz="8" w:space="0" w:color="auto"/>
              <w:right w:val="single" w:sz="8" w:space="0" w:color="auto"/>
            </w:tcBorders>
            <w:shd w:val="clear" w:color="auto" w:fill="auto"/>
            <w:vAlign w:val="center"/>
            <w:hideMark/>
          </w:tcPr>
          <w:p w14:paraId="551D3AE1"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100.0</w:t>
            </w:r>
          </w:p>
        </w:tc>
        <w:tc>
          <w:tcPr>
            <w:tcW w:w="662" w:type="dxa"/>
            <w:tcBorders>
              <w:top w:val="nil"/>
              <w:left w:val="nil"/>
              <w:bottom w:val="single" w:sz="8" w:space="0" w:color="auto"/>
              <w:right w:val="single" w:sz="8" w:space="0" w:color="auto"/>
            </w:tcBorders>
            <w:shd w:val="clear" w:color="auto" w:fill="auto"/>
            <w:vAlign w:val="center"/>
            <w:hideMark/>
          </w:tcPr>
          <w:p w14:paraId="5D68A05B"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0.3</w:t>
            </w:r>
          </w:p>
        </w:tc>
        <w:tc>
          <w:tcPr>
            <w:tcW w:w="656" w:type="dxa"/>
            <w:tcBorders>
              <w:top w:val="nil"/>
              <w:left w:val="nil"/>
              <w:bottom w:val="single" w:sz="8" w:space="0" w:color="auto"/>
              <w:right w:val="single" w:sz="8" w:space="0" w:color="auto"/>
            </w:tcBorders>
            <w:shd w:val="clear" w:color="auto" w:fill="auto"/>
            <w:vAlign w:val="center"/>
            <w:hideMark/>
          </w:tcPr>
          <w:p w14:paraId="11DC9C00"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106.5</w:t>
            </w:r>
          </w:p>
        </w:tc>
        <w:tc>
          <w:tcPr>
            <w:tcW w:w="743" w:type="dxa"/>
            <w:tcBorders>
              <w:top w:val="nil"/>
              <w:left w:val="nil"/>
              <w:bottom w:val="single" w:sz="8" w:space="0" w:color="auto"/>
              <w:right w:val="single" w:sz="8" w:space="0" w:color="auto"/>
            </w:tcBorders>
            <w:shd w:val="clear" w:color="auto" w:fill="auto"/>
            <w:vAlign w:val="center"/>
            <w:hideMark/>
          </w:tcPr>
          <w:p w14:paraId="575976C7"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0.0</w:t>
            </w:r>
          </w:p>
        </w:tc>
        <w:tc>
          <w:tcPr>
            <w:tcW w:w="620" w:type="dxa"/>
            <w:tcBorders>
              <w:top w:val="nil"/>
              <w:left w:val="nil"/>
              <w:bottom w:val="single" w:sz="8" w:space="0" w:color="auto"/>
              <w:right w:val="single" w:sz="8" w:space="0" w:color="auto"/>
            </w:tcBorders>
            <w:shd w:val="clear" w:color="auto" w:fill="auto"/>
            <w:vAlign w:val="center"/>
            <w:hideMark/>
          </w:tcPr>
          <w:p w14:paraId="1E2E94C6"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100.0</w:t>
            </w:r>
          </w:p>
        </w:tc>
        <w:tc>
          <w:tcPr>
            <w:tcW w:w="743" w:type="dxa"/>
            <w:tcBorders>
              <w:top w:val="nil"/>
              <w:left w:val="nil"/>
              <w:bottom w:val="single" w:sz="8" w:space="0" w:color="auto"/>
              <w:right w:val="single" w:sz="8" w:space="0" w:color="auto"/>
            </w:tcBorders>
            <w:shd w:val="clear" w:color="auto" w:fill="auto"/>
            <w:vAlign w:val="center"/>
            <w:hideMark/>
          </w:tcPr>
          <w:p w14:paraId="7C0E39A8"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1.5</w:t>
            </w:r>
          </w:p>
        </w:tc>
        <w:tc>
          <w:tcPr>
            <w:tcW w:w="620" w:type="dxa"/>
            <w:tcBorders>
              <w:top w:val="nil"/>
              <w:left w:val="nil"/>
              <w:bottom w:val="single" w:sz="8" w:space="0" w:color="auto"/>
              <w:right w:val="single" w:sz="8" w:space="0" w:color="auto"/>
            </w:tcBorders>
            <w:shd w:val="clear" w:color="auto" w:fill="auto"/>
            <w:vAlign w:val="center"/>
            <w:hideMark/>
          </w:tcPr>
          <w:p w14:paraId="48C6D80B" w14:textId="77777777" w:rsidR="00B749E7" w:rsidRPr="00A934FA" w:rsidRDefault="00B749E7" w:rsidP="000E41FD">
            <w:pPr>
              <w:spacing w:after="0" w:line="240" w:lineRule="auto"/>
              <w:jc w:val="right"/>
              <w:rPr>
                <w:rFonts w:ascii="Calibri Light" w:eastAsia="Times New Roman" w:hAnsi="Calibri Light" w:cs="Calibri Light"/>
                <w:b/>
                <w:bCs/>
                <w:color w:val="000000"/>
                <w:sz w:val="16"/>
                <w:szCs w:val="16"/>
              </w:rPr>
            </w:pPr>
            <w:r w:rsidRPr="00A934FA">
              <w:rPr>
                <w:rFonts w:ascii="Calibri Light" w:eastAsia="Times New Roman" w:hAnsi="Calibri Light" w:cs="Calibri Light"/>
                <w:b/>
                <w:bCs/>
                <w:color w:val="000000"/>
                <w:sz w:val="16"/>
                <w:szCs w:val="16"/>
              </w:rPr>
              <w:t>144.1</w:t>
            </w:r>
          </w:p>
        </w:tc>
      </w:tr>
    </w:tbl>
    <w:p w14:paraId="306118BA" w14:textId="77777777" w:rsidR="00B749E7" w:rsidRDefault="00B749E7" w:rsidP="00B749E7">
      <w:pPr>
        <w:spacing w:line="276" w:lineRule="auto"/>
        <w:jc w:val="both"/>
        <w:rPr>
          <w:rFonts w:asciiTheme="majorHAnsi" w:hAnsiTheme="majorHAnsi" w:cstheme="majorHAnsi"/>
          <w:sz w:val="24"/>
          <w:szCs w:val="24"/>
          <w:lang w:val="ro-RO"/>
        </w:rPr>
      </w:pPr>
      <w:r>
        <w:rPr>
          <w:rFonts w:asciiTheme="majorHAnsi" w:hAnsiTheme="majorHAnsi" w:cstheme="majorHAnsi"/>
          <w:b/>
          <w:i/>
          <w:sz w:val="20"/>
          <w:szCs w:val="24"/>
          <w:lang w:val="ro-RO"/>
        </w:rPr>
        <w:t>Источник:</w:t>
      </w:r>
      <w:r>
        <w:rPr>
          <w:rFonts w:asciiTheme="majorHAnsi" w:hAnsiTheme="majorHAnsi" w:cstheme="majorHAnsi"/>
          <w:sz w:val="18"/>
          <w:lang w:val="ro-RO"/>
        </w:rPr>
        <w:t xml:space="preserve"> </w:t>
      </w:r>
      <w:r w:rsidRPr="00DD55F3">
        <w:rPr>
          <w:rFonts w:asciiTheme="majorHAnsi" w:eastAsia="Times New Roman" w:hAnsiTheme="majorHAnsi" w:cstheme="majorHAnsi"/>
          <w:bCs/>
          <w:i/>
          <w:sz w:val="20"/>
          <w:szCs w:val="20"/>
          <w:lang w:val="ru-MD"/>
        </w:rPr>
        <w:t>Информация</w:t>
      </w:r>
      <w:r w:rsidRPr="00976075">
        <w:rPr>
          <w:rFonts w:asciiTheme="majorHAnsi" w:eastAsia="Times New Roman" w:hAnsiTheme="majorHAnsi" w:cstheme="majorHAnsi"/>
          <w:bCs/>
          <w:i/>
          <w:sz w:val="20"/>
          <w:szCs w:val="20"/>
          <w:lang w:val="ru-RU"/>
        </w:rPr>
        <w:t xml:space="preserve">, </w:t>
      </w:r>
      <w:r w:rsidRPr="00DD55F3">
        <w:rPr>
          <w:rFonts w:asciiTheme="majorHAnsi" w:eastAsia="Times New Roman" w:hAnsiTheme="majorHAnsi" w:cstheme="majorHAnsi"/>
          <w:bCs/>
          <w:i/>
          <w:sz w:val="20"/>
          <w:szCs w:val="20"/>
          <w:lang w:val="ru-MD"/>
        </w:rPr>
        <w:t>обобщенная</w:t>
      </w:r>
      <w:r w:rsidRPr="00976075">
        <w:rPr>
          <w:rFonts w:asciiTheme="majorHAnsi" w:eastAsia="Times New Roman" w:hAnsiTheme="majorHAnsi" w:cstheme="majorHAnsi"/>
          <w:bCs/>
          <w:i/>
          <w:sz w:val="20"/>
          <w:szCs w:val="20"/>
          <w:lang w:val="ru-RU"/>
        </w:rPr>
        <w:t xml:space="preserve"> </w:t>
      </w:r>
      <w:r w:rsidRPr="00DD55F3">
        <w:rPr>
          <w:rFonts w:asciiTheme="majorHAnsi" w:eastAsia="Times New Roman" w:hAnsiTheme="majorHAnsi" w:cstheme="majorHAnsi"/>
          <w:bCs/>
          <w:i/>
          <w:sz w:val="20"/>
          <w:szCs w:val="20"/>
          <w:lang w:val="ru-MD"/>
        </w:rPr>
        <w:t>аудиторской</w:t>
      </w:r>
      <w:r w:rsidRPr="00976075">
        <w:rPr>
          <w:rFonts w:asciiTheme="majorHAnsi" w:eastAsia="Times New Roman" w:hAnsiTheme="majorHAnsi" w:cstheme="majorHAnsi"/>
          <w:bCs/>
          <w:i/>
          <w:sz w:val="20"/>
          <w:szCs w:val="20"/>
          <w:lang w:val="ru-RU"/>
        </w:rPr>
        <w:t xml:space="preserve"> </w:t>
      </w:r>
      <w:r w:rsidRPr="00DD55F3">
        <w:rPr>
          <w:rFonts w:asciiTheme="majorHAnsi" w:eastAsia="Times New Roman" w:hAnsiTheme="majorHAnsi" w:cstheme="majorHAnsi"/>
          <w:bCs/>
          <w:i/>
          <w:sz w:val="20"/>
          <w:szCs w:val="20"/>
          <w:lang w:val="ru-MD"/>
        </w:rPr>
        <w:t>группой</w:t>
      </w:r>
      <w:r w:rsidRPr="00976075">
        <w:rPr>
          <w:rFonts w:asciiTheme="majorHAnsi" w:eastAsia="Times New Roman" w:hAnsiTheme="majorHAnsi" w:cstheme="majorHAnsi"/>
          <w:bCs/>
          <w:i/>
          <w:sz w:val="20"/>
          <w:szCs w:val="20"/>
          <w:lang w:val="ru-RU"/>
        </w:rPr>
        <w:t xml:space="preserve"> </w:t>
      </w:r>
      <w:r w:rsidRPr="00DD55F3">
        <w:rPr>
          <w:rFonts w:asciiTheme="majorHAnsi" w:eastAsia="Times New Roman" w:hAnsiTheme="majorHAnsi" w:cstheme="majorHAnsi"/>
          <w:bCs/>
          <w:i/>
          <w:sz w:val="20"/>
          <w:szCs w:val="20"/>
          <w:lang w:val="ru-MD"/>
        </w:rPr>
        <w:t>из</w:t>
      </w:r>
      <w:r w:rsidRPr="00976075">
        <w:rPr>
          <w:rFonts w:asciiTheme="majorHAnsi" w:eastAsia="Times New Roman" w:hAnsiTheme="majorHAnsi" w:cstheme="majorHAnsi"/>
          <w:bCs/>
          <w:i/>
          <w:sz w:val="20"/>
          <w:szCs w:val="20"/>
          <w:lang w:val="ru-RU"/>
        </w:rPr>
        <w:t xml:space="preserve"> </w:t>
      </w:r>
      <w:r w:rsidRPr="00DD55F3">
        <w:rPr>
          <w:rFonts w:asciiTheme="majorHAnsi" w:eastAsia="Times New Roman" w:hAnsiTheme="majorHAnsi" w:cstheme="majorHAnsi"/>
          <w:bCs/>
          <w:i/>
          <w:sz w:val="20"/>
          <w:szCs w:val="20"/>
          <w:lang w:val="ru-MD"/>
        </w:rPr>
        <w:t>Отчетов</w:t>
      </w:r>
      <w:r w:rsidRPr="00976075">
        <w:rPr>
          <w:rFonts w:asciiTheme="majorHAnsi" w:eastAsia="Times New Roman" w:hAnsiTheme="majorHAnsi" w:cstheme="majorHAnsi"/>
          <w:bCs/>
          <w:i/>
          <w:sz w:val="20"/>
          <w:szCs w:val="20"/>
          <w:lang w:val="ru-RU"/>
        </w:rPr>
        <w:t xml:space="preserve"> </w:t>
      </w:r>
      <w:r w:rsidRPr="00DD55F3">
        <w:rPr>
          <w:rFonts w:asciiTheme="majorHAnsi" w:eastAsia="Times New Roman" w:hAnsiTheme="majorHAnsi" w:cstheme="majorHAnsi"/>
          <w:bCs/>
          <w:i/>
          <w:sz w:val="20"/>
          <w:szCs w:val="20"/>
          <w:lang w:val="ru-MD"/>
        </w:rPr>
        <w:t>об</w:t>
      </w:r>
      <w:r w:rsidRPr="00976075">
        <w:rPr>
          <w:rFonts w:asciiTheme="majorHAnsi" w:eastAsia="Times New Roman" w:hAnsiTheme="majorHAnsi" w:cstheme="majorHAnsi"/>
          <w:bCs/>
          <w:i/>
          <w:sz w:val="20"/>
          <w:szCs w:val="20"/>
          <w:lang w:val="ru-RU"/>
        </w:rPr>
        <w:t xml:space="preserve"> </w:t>
      </w:r>
      <w:r w:rsidRPr="00DD55F3">
        <w:rPr>
          <w:rFonts w:asciiTheme="majorHAnsi" w:eastAsia="Times New Roman" w:hAnsiTheme="majorHAnsi" w:cstheme="majorHAnsi"/>
          <w:bCs/>
          <w:i/>
          <w:sz w:val="20"/>
          <w:szCs w:val="20"/>
          <w:lang w:val="ru-MD"/>
        </w:rPr>
        <w:t>исполнении</w:t>
      </w:r>
      <w:r w:rsidRPr="00976075">
        <w:rPr>
          <w:rFonts w:asciiTheme="majorHAnsi" w:eastAsia="Times New Roman" w:hAnsiTheme="majorHAnsi" w:cstheme="majorHAnsi"/>
          <w:bCs/>
          <w:i/>
          <w:sz w:val="20"/>
          <w:szCs w:val="20"/>
          <w:lang w:val="ru-RU"/>
        </w:rPr>
        <w:t xml:space="preserve"> </w:t>
      </w:r>
      <w:r w:rsidRPr="00DD55F3">
        <w:rPr>
          <w:rFonts w:asciiTheme="majorHAnsi" w:eastAsia="Times New Roman" w:hAnsiTheme="majorHAnsi" w:cstheme="majorHAnsi"/>
          <w:bCs/>
          <w:i/>
          <w:sz w:val="20"/>
          <w:szCs w:val="20"/>
          <w:lang w:val="ru-MD"/>
        </w:rPr>
        <w:t>бюджета</w:t>
      </w:r>
      <w:r w:rsidRPr="00976075">
        <w:rPr>
          <w:rFonts w:asciiTheme="majorHAnsi" w:eastAsia="Times New Roman" w:hAnsiTheme="majorHAnsi" w:cstheme="majorHAnsi"/>
          <w:bCs/>
          <w:i/>
          <w:sz w:val="20"/>
          <w:szCs w:val="20"/>
          <w:lang w:val="ru-RU"/>
        </w:rPr>
        <w:t xml:space="preserve"> </w:t>
      </w:r>
      <w:r w:rsidRPr="00DD55F3">
        <w:rPr>
          <w:rFonts w:asciiTheme="majorHAnsi" w:eastAsia="Times New Roman" w:hAnsiTheme="majorHAnsi" w:cstheme="majorHAnsi"/>
          <w:bCs/>
          <w:i/>
          <w:sz w:val="20"/>
          <w:szCs w:val="20"/>
          <w:lang w:val="ru-MD"/>
        </w:rPr>
        <w:t>государственного</w:t>
      </w:r>
      <w:r w:rsidRPr="00976075">
        <w:rPr>
          <w:rFonts w:asciiTheme="majorHAnsi" w:eastAsia="Times New Roman" w:hAnsiTheme="majorHAnsi" w:cstheme="majorHAnsi"/>
          <w:bCs/>
          <w:i/>
          <w:sz w:val="20"/>
          <w:szCs w:val="20"/>
          <w:lang w:val="ru-RU"/>
        </w:rPr>
        <w:t xml:space="preserve"> </w:t>
      </w:r>
      <w:r w:rsidRPr="00DD55F3">
        <w:rPr>
          <w:rFonts w:asciiTheme="majorHAnsi" w:eastAsia="Times New Roman" w:hAnsiTheme="majorHAnsi" w:cstheme="majorHAnsi"/>
          <w:bCs/>
          <w:i/>
          <w:sz w:val="20"/>
          <w:szCs w:val="20"/>
          <w:lang w:val="ru-MD"/>
        </w:rPr>
        <w:t>социального</w:t>
      </w:r>
      <w:r w:rsidRPr="00976075">
        <w:rPr>
          <w:rFonts w:asciiTheme="majorHAnsi" w:eastAsia="Times New Roman" w:hAnsiTheme="majorHAnsi" w:cstheme="majorHAnsi"/>
          <w:bCs/>
          <w:i/>
          <w:sz w:val="20"/>
          <w:szCs w:val="20"/>
          <w:lang w:val="ru-RU"/>
        </w:rPr>
        <w:t xml:space="preserve"> </w:t>
      </w:r>
      <w:r w:rsidRPr="00DD55F3">
        <w:rPr>
          <w:rFonts w:asciiTheme="majorHAnsi" w:eastAsia="Times New Roman" w:hAnsiTheme="majorHAnsi" w:cstheme="majorHAnsi"/>
          <w:bCs/>
          <w:i/>
          <w:sz w:val="20"/>
          <w:szCs w:val="20"/>
          <w:lang w:val="ru-MD"/>
        </w:rPr>
        <w:t>страхования</w:t>
      </w:r>
      <w:r w:rsidRPr="00976075">
        <w:rPr>
          <w:rFonts w:asciiTheme="majorHAnsi" w:eastAsia="Times New Roman" w:hAnsiTheme="majorHAnsi" w:cstheme="majorHAnsi"/>
          <w:bCs/>
          <w:i/>
          <w:sz w:val="20"/>
          <w:szCs w:val="20"/>
          <w:lang w:val="ru-RU"/>
        </w:rPr>
        <w:t xml:space="preserve"> </w:t>
      </w:r>
      <w:r w:rsidRPr="00DD55F3">
        <w:rPr>
          <w:rFonts w:asciiTheme="majorHAnsi" w:eastAsia="Times New Roman" w:hAnsiTheme="majorHAnsi" w:cstheme="majorHAnsi"/>
          <w:bCs/>
          <w:i/>
          <w:sz w:val="20"/>
          <w:szCs w:val="20"/>
          <w:lang w:val="ru-MD"/>
        </w:rPr>
        <w:t>за</w:t>
      </w:r>
      <w:r w:rsidRPr="00976075">
        <w:rPr>
          <w:rFonts w:asciiTheme="majorHAnsi" w:eastAsia="Times New Roman" w:hAnsiTheme="majorHAnsi" w:cstheme="majorHAnsi"/>
          <w:bCs/>
          <w:i/>
          <w:sz w:val="20"/>
          <w:szCs w:val="20"/>
          <w:lang w:val="ru-RU"/>
        </w:rPr>
        <w:t xml:space="preserve"> </w:t>
      </w:r>
      <w:r w:rsidRPr="00976075">
        <w:rPr>
          <w:rFonts w:asciiTheme="majorHAnsi" w:hAnsiTheme="majorHAnsi" w:cstheme="majorHAnsi"/>
          <w:i/>
          <w:sz w:val="20"/>
          <w:lang w:val="ru-RU"/>
        </w:rPr>
        <w:t xml:space="preserve">2019-2022 </w:t>
      </w:r>
      <w:r w:rsidRPr="00DD55F3">
        <w:rPr>
          <w:rFonts w:asciiTheme="majorHAnsi" w:eastAsia="Times New Roman" w:hAnsiTheme="majorHAnsi" w:cstheme="majorHAnsi"/>
          <w:bCs/>
          <w:i/>
          <w:sz w:val="20"/>
          <w:szCs w:val="20"/>
          <w:lang w:val="ru-MD"/>
        </w:rPr>
        <w:t>годы</w:t>
      </w:r>
      <w:r>
        <w:rPr>
          <w:rFonts w:asciiTheme="majorHAnsi" w:hAnsiTheme="majorHAnsi" w:cstheme="majorHAnsi"/>
          <w:i/>
          <w:sz w:val="20"/>
          <w:lang w:val="ro-RO"/>
        </w:rPr>
        <w:t>.</w:t>
      </w:r>
    </w:p>
    <w:p w14:paraId="17FE5517" w14:textId="7EA70A9D" w:rsidR="00B749E7" w:rsidRDefault="00B749E7" w:rsidP="00B749E7">
      <w:pPr>
        <w:spacing w:after="0" w:line="276" w:lineRule="auto"/>
        <w:jc w:val="both"/>
        <w:rPr>
          <w:rFonts w:asciiTheme="majorHAnsi" w:eastAsia="Times New Roman" w:hAnsiTheme="majorHAnsi" w:cstheme="majorHAnsi"/>
          <w:sz w:val="24"/>
          <w:szCs w:val="24"/>
          <w:lang w:val="ro-RO"/>
        </w:rPr>
      </w:pPr>
      <w:r w:rsidRPr="00DD55F3">
        <w:rPr>
          <w:rFonts w:asciiTheme="majorHAnsi" w:hAnsiTheme="majorHAnsi" w:cstheme="majorHAnsi"/>
          <w:sz w:val="24"/>
          <w:szCs w:val="24"/>
          <w:lang w:val="ru-MD"/>
        </w:rPr>
        <w:t xml:space="preserve">Наибольший удельный вес в структуре расходов бюджета государственного социального страхования занимают </w:t>
      </w:r>
      <w:r w:rsidRPr="00DD55F3">
        <w:rPr>
          <w:rFonts w:asciiTheme="majorHAnsi" w:hAnsiTheme="majorHAnsi" w:cstheme="majorHAnsi"/>
          <w:b/>
          <w:sz w:val="24"/>
          <w:szCs w:val="24"/>
          <w:lang w:val="ru-MD"/>
        </w:rPr>
        <w:t>социальные пособия</w:t>
      </w:r>
      <w:r w:rsidRPr="00DD55F3">
        <w:rPr>
          <w:rFonts w:asciiTheme="majorHAnsi" w:hAnsiTheme="majorHAnsi" w:cstheme="majorHAnsi"/>
          <w:sz w:val="24"/>
          <w:szCs w:val="24"/>
          <w:lang w:val="ru-MD"/>
        </w:rPr>
        <w:t xml:space="preserve"> - 98,</w:t>
      </w:r>
      <w:r>
        <w:rPr>
          <w:rFonts w:asciiTheme="majorHAnsi" w:hAnsiTheme="majorHAnsi" w:cstheme="majorHAnsi"/>
          <w:sz w:val="24"/>
          <w:szCs w:val="24"/>
          <w:lang w:val="ru-MD"/>
        </w:rPr>
        <w:t>7</w:t>
      </w:r>
      <w:r w:rsidRPr="00DD55F3">
        <w:rPr>
          <w:rFonts w:asciiTheme="majorHAnsi" w:hAnsiTheme="majorHAnsi" w:cstheme="majorHAnsi"/>
          <w:sz w:val="24"/>
          <w:szCs w:val="24"/>
          <w:lang w:val="ru-MD"/>
        </w:rPr>
        <w:t>%, на которые в 202</w:t>
      </w:r>
      <w:r>
        <w:rPr>
          <w:rFonts w:asciiTheme="majorHAnsi" w:hAnsiTheme="majorHAnsi" w:cstheme="majorHAnsi"/>
          <w:sz w:val="24"/>
          <w:szCs w:val="24"/>
          <w:lang w:val="ru-MD"/>
        </w:rPr>
        <w:t>2</w:t>
      </w:r>
      <w:r w:rsidRPr="00DD55F3">
        <w:rPr>
          <w:rFonts w:asciiTheme="majorHAnsi" w:hAnsiTheme="majorHAnsi" w:cstheme="majorHAnsi"/>
          <w:sz w:val="24"/>
          <w:szCs w:val="24"/>
          <w:lang w:val="ru-MD"/>
        </w:rPr>
        <w:t xml:space="preserve"> году были зарегистрированы расходы в сумме </w:t>
      </w:r>
      <w:r>
        <w:rPr>
          <w:rFonts w:asciiTheme="majorHAnsi" w:eastAsia="Times New Roman" w:hAnsiTheme="majorHAnsi" w:cstheme="majorHAnsi"/>
          <w:sz w:val="24"/>
          <w:szCs w:val="24"/>
          <w:lang w:val="ro-RO"/>
        </w:rPr>
        <w:t xml:space="preserve">33 294,2 </w:t>
      </w:r>
      <w:r w:rsidRPr="00DD55F3">
        <w:rPr>
          <w:rFonts w:asciiTheme="majorHAnsi" w:hAnsiTheme="majorHAnsi" w:cstheme="majorHAnsi"/>
          <w:sz w:val="24"/>
          <w:szCs w:val="24"/>
          <w:lang w:val="ru-MD"/>
        </w:rPr>
        <w:t>млн. леев. По сравнению с 202</w:t>
      </w:r>
      <w:r>
        <w:rPr>
          <w:rFonts w:asciiTheme="majorHAnsi" w:hAnsiTheme="majorHAnsi" w:cstheme="majorHAnsi"/>
          <w:sz w:val="24"/>
          <w:szCs w:val="24"/>
          <w:lang w:val="ru-MD"/>
        </w:rPr>
        <w:t>1</w:t>
      </w:r>
      <w:r w:rsidRPr="00DD55F3">
        <w:rPr>
          <w:rFonts w:asciiTheme="majorHAnsi" w:hAnsiTheme="majorHAnsi" w:cstheme="majorHAnsi"/>
          <w:sz w:val="24"/>
          <w:szCs w:val="24"/>
          <w:lang w:val="ru-MD"/>
        </w:rPr>
        <w:t xml:space="preserve"> годом, исполненные расходы выросли на </w:t>
      </w:r>
      <w:r w:rsidRPr="003F03DF">
        <w:rPr>
          <w:rFonts w:asciiTheme="majorHAnsi" w:eastAsia="Times New Roman" w:hAnsiTheme="majorHAnsi" w:cstheme="majorHAnsi"/>
          <w:i/>
          <w:iCs/>
          <w:sz w:val="24"/>
          <w:szCs w:val="24"/>
          <w:lang w:val="ro-RO"/>
        </w:rPr>
        <w:t>6 537,9</w:t>
      </w:r>
      <w:r w:rsidRPr="003F03DF">
        <w:rPr>
          <w:rFonts w:asciiTheme="majorHAnsi" w:hAnsiTheme="majorHAnsi" w:cstheme="majorHAnsi"/>
          <w:i/>
          <w:sz w:val="24"/>
          <w:szCs w:val="24"/>
          <w:lang w:val="ru-MD"/>
        </w:rPr>
        <w:t xml:space="preserve"> млн. леев</w:t>
      </w:r>
      <w:r w:rsidRPr="00DD55F3">
        <w:rPr>
          <w:rFonts w:asciiTheme="majorHAnsi" w:hAnsiTheme="majorHAnsi" w:cstheme="majorHAnsi"/>
          <w:sz w:val="24"/>
          <w:szCs w:val="24"/>
          <w:lang w:val="ru-MD"/>
        </w:rPr>
        <w:t xml:space="preserve">, или на </w:t>
      </w:r>
      <w:r>
        <w:rPr>
          <w:rFonts w:asciiTheme="majorHAnsi" w:eastAsia="Times New Roman" w:hAnsiTheme="majorHAnsi" w:cstheme="majorHAnsi"/>
          <w:i/>
          <w:iCs/>
          <w:sz w:val="24"/>
          <w:szCs w:val="24"/>
          <w:lang w:val="ro-RO"/>
        </w:rPr>
        <w:t xml:space="preserve">24,4 </w:t>
      </w:r>
      <w:r w:rsidRPr="003F03DF">
        <w:rPr>
          <w:rFonts w:asciiTheme="majorHAnsi" w:hAnsiTheme="majorHAnsi" w:cstheme="majorHAnsi"/>
          <w:i/>
          <w:sz w:val="24"/>
          <w:szCs w:val="24"/>
          <w:lang w:val="ru-MD"/>
        </w:rPr>
        <w:t>процентны</w:t>
      </w:r>
      <w:r>
        <w:rPr>
          <w:rFonts w:asciiTheme="majorHAnsi" w:hAnsiTheme="majorHAnsi" w:cstheme="majorHAnsi"/>
          <w:i/>
          <w:sz w:val="24"/>
          <w:szCs w:val="24"/>
          <w:lang w:val="ru-MD"/>
        </w:rPr>
        <w:t>х</w:t>
      </w:r>
      <w:r w:rsidRPr="003F03DF">
        <w:rPr>
          <w:rFonts w:asciiTheme="majorHAnsi" w:hAnsiTheme="majorHAnsi" w:cstheme="majorHAnsi"/>
          <w:i/>
          <w:sz w:val="24"/>
          <w:szCs w:val="24"/>
          <w:lang w:val="ru-MD"/>
        </w:rPr>
        <w:t xml:space="preserve"> пункт</w:t>
      </w:r>
      <w:r>
        <w:rPr>
          <w:rFonts w:asciiTheme="majorHAnsi" w:hAnsiTheme="majorHAnsi" w:cstheme="majorHAnsi"/>
          <w:i/>
          <w:sz w:val="24"/>
          <w:szCs w:val="24"/>
          <w:lang w:val="ru-MD"/>
        </w:rPr>
        <w:t>ов</w:t>
      </w:r>
      <w:r w:rsidRPr="00DD55F3">
        <w:rPr>
          <w:rFonts w:asciiTheme="majorHAnsi" w:hAnsiTheme="majorHAnsi" w:cstheme="majorHAnsi"/>
          <w:sz w:val="24"/>
          <w:szCs w:val="24"/>
          <w:lang w:val="ru-MD"/>
        </w:rPr>
        <w:t xml:space="preserve">. </w:t>
      </w:r>
      <w:r>
        <w:rPr>
          <w:rFonts w:asciiTheme="majorHAnsi" w:hAnsiTheme="majorHAnsi" w:cstheme="majorHAnsi"/>
          <w:sz w:val="24"/>
          <w:szCs w:val="24"/>
          <w:lang w:val="ru-MD"/>
        </w:rPr>
        <w:t xml:space="preserve"> </w:t>
      </w:r>
      <w:r w:rsidRPr="00976075">
        <w:rPr>
          <w:rFonts w:asciiTheme="majorHAnsi" w:hAnsiTheme="majorHAnsi" w:cstheme="majorHAnsi"/>
          <w:sz w:val="24"/>
          <w:szCs w:val="24"/>
          <w:lang w:val="ro-RO"/>
        </w:rPr>
        <w:t>На рост расходов повлияло увеличение среднего размера пенсии, в результате ряда новых мер, предусмотренных законодательством в области государственных пенсий, и реализованных в течение 202</w:t>
      </w:r>
      <w:r>
        <w:rPr>
          <w:rFonts w:asciiTheme="majorHAnsi" w:hAnsiTheme="majorHAnsi" w:cstheme="majorHAnsi"/>
          <w:sz w:val="24"/>
          <w:szCs w:val="24"/>
          <w:lang w:val="ru-RU"/>
        </w:rPr>
        <w:t>2</w:t>
      </w:r>
      <w:r w:rsidRPr="00976075">
        <w:rPr>
          <w:rFonts w:asciiTheme="majorHAnsi" w:hAnsiTheme="majorHAnsi" w:cstheme="majorHAnsi"/>
          <w:sz w:val="24"/>
          <w:szCs w:val="24"/>
          <w:lang w:val="ro-RO"/>
        </w:rPr>
        <w:t xml:space="preserve"> года, таких как: </w:t>
      </w:r>
      <w:r w:rsidRPr="008E45EF">
        <w:rPr>
          <w:rFonts w:asciiTheme="majorHAnsi" w:hAnsiTheme="majorHAnsi" w:cstheme="majorHAnsi"/>
          <w:sz w:val="24"/>
          <w:szCs w:val="24"/>
          <w:lang w:val="ro-RO"/>
        </w:rPr>
        <w:t>индексация пенсий 1 апреля 2022 г</w:t>
      </w:r>
      <w:r>
        <w:rPr>
          <w:rFonts w:asciiTheme="majorHAnsi" w:hAnsiTheme="majorHAnsi" w:cstheme="majorHAnsi"/>
          <w:sz w:val="24"/>
          <w:szCs w:val="24"/>
          <w:lang w:val="ru-RU"/>
        </w:rPr>
        <w:t>ода</w:t>
      </w:r>
      <w:r w:rsidRPr="008E45EF">
        <w:rPr>
          <w:rFonts w:asciiTheme="majorHAnsi" w:hAnsiTheme="majorHAnsi" w:cstheme="majorHAnsi"/>
          <w:sz w:val="24"/>
          <w:szCs w:val="24"/>
          <w:lang w:val="ro-RO"/>
        </w:rPr>
        <w:t xml:space="preserve"> на 1З,94%</w:t>
      </w:r>
      <w:r>
        <w:rPr>
          <w:rFonts w:asciiTheme="majorHAnsi" w:hAnsiTheme="majorHAnsi" w:cstheme="majorHAnsi"/>
          <w:sz w:val="24"/>
          <w:szCs w:val="24"/>
          <w:lang w:val="ru-RU"/>
        </w:rPr>
        <w:t>,</w:t>
      </w:r>
      <w:r w:rsidRPr="008E45EF">
        <w:rPr>
          <w:rFonts w:asciiTheme="majorHAnsi" w:hAnsiTheme="majorHAnsi" w:cstheme="majorHAnsi"/>
          <w:sz w:val="24"/>
          <w:szCs w:val="24"/>
          <w:lang w:val="ro-RO"/>
        </w:rPr>
        <w:t xml:space="preserve"> в соответствии с </w:t>
      </w:r>
      <w:r>
        <w:rPr>
          <w:rFonts w:asciiTheme="majorHAnsi" w:hAnsiTheme="majorHAnsi" w:cstheme="majorHAnsi"/>
          <w:sz w:val="24"/>
          <w:szCs w:val="24"/>
          <w:lang w:val="ru-RU"/>
        </w:rPr>
        <w:t>порядк</w:t>
      </w:r>
      <w:r w:rsidRPr="008E45EF">
        <w:rPr>
          <w:rFonts w:asciiTheme="majorHAnsi" w:hAnsiTheme="majorHAnsi" w:cstheme="majorHAnsi"/>
          <w:sz w:val="24"/>
          <w:szCs w:val="24"/>
          <w:lang w:val="ro-RO"/>
        </w:rPr>
        <w:t>ом индексации, предусмотренным на 2022 год (индексация части пенси</w:t>
      </w:r>
      <w:r>
        <w:rPr>
          <w:rFonts w:asciiTheme="majorHAnsi" w:hAnsiTheme="majorHAnsi" w:cstheme="majorHAnsi"/>
          <w:sz w:val="24"/>
          <w:szCs w:val="24"/>
          <w:lang w:val="ru-RU"/>
        </w:rPr>
        <w:t>и</w:t>
      </w:r>
      <w:r w:rsidRPr="008E45EF">
        <w:rPr>
          <w:rFonts w:asciiTheme="majorHAnsi" w:hAnsiTheme="majorHAnsi" w:cstheme="majorHAnsi"/>
          <w:sz w:val="24"/>
          <w:szCs w:val="24"/>
          <w:lang w:val="ro-RO"/>
        </w:rPr>
        <w:t>, не превыша</w:t>
      </w:r>
      <w:r>
        <w:rPr>
          <w:rFonts w:asciiTheme="majorHAnsi" w:hAnsiTheme="majorHAnsi" w:cstheme="majorHAnsi"/>
          <w:sz w:val="24"/>
          <w:szCs w:val="24"/>
          <w:lang w:val="ru-RU"/>
        </w:rPr>
        <w:t>ющей</w:t>
      </w:r>
      <w:r w:rsidRPr="008E45EF">
        <w:rPr>
          <w:rFonts w:asciiTheme="majorHAnsi" w:hAnsiTheme="majorHAnsi" w:cstheme="majorHAnsi"/>
          <w:sz w:val="24"/>
          <w:szCs w:val="24"/>
          <w:lang w:val="ro-RO"/>
        </w:rPr>
        <w:t xml:space="preserve"> среднемесячную заработную плату </w:t>
      </w:r>
      <w:r>
        <w:rPr>
          <w:rFonts w:asciiTheme="majorHAnsi" w:hAnsiTheme="majorHAnsi" w:cstheme="majorHAnsi"/>
          <w:sz w:val="24"/>
          <w:szCs w:val="24"/>
          <w:lang w:val="ru-RU"/>
        </w:rPr>
        <w:t>по</w:t>
      </w:r>
      <w:r w:rsidRPr="008E45EF">
        <w:rPr>
          <w:rFonts w:asciiTheme="majorHAnsi" w:hAnsiTheme="majorHAnsi" w:cstheme="majorHAnsi"/>
          <w:sz w:val="24"/>
          <w:szCs w:val="24"/>
          <w:lang w:val="ro-RO"/>
        </w:rPr>
        <w:t xml:space="preserve"> экономик</w:t>
      </w:r>
      <w:r>
        <w:rPr>
          <w:rFonts w:asciiTheme="majorHAnsi" w:hAnsiTheme="majorHAnsi" w:cstheme="majorHAnsi"/>
          <w:sz w:val="24"/>
          <w:szCs w:val="24"/>
          <w:lang w:val="ru-RU"/>
        </w:rPr>
        <w:t>е,</w:t>
      </w:r>
      <w:r w:rsidRPr="008E45EF">
        <w:rPr>
          <w:rFonts w:asciiTheme="majorHAnsi" w:hAnsiTheme="majorHAnsi" w:cstheme="majorHAnsi"/>
          <w:sz w:val="24"/>
          <w:szCs w:val="24"/>
          <w:lang w:val="ro-RO"/>
        </w:rPr>
        <w:t xml:space="preserve"> прогнозируе</w:t>
      </w:r>
      <w:r>
        <w:rPr>
          <w:rFonts w:asciiTheme="majorHAnsi" w:hAnsiTheme="majorHAnsi" w:cstheme="majorHAnsi"/>
          <w:sz w:val="24"/>
          <w:szCs w:val="24"/>
          <w:lang w:val="ru-RU"/>
        </w:rPr>
        <w:t>мой</w:t>
      </w:r>
      <w:r w:rsidRPr="008E45EF">
        <w:rPr>
          <w:rFonts w:asciiTheme="majorHAnsi" w:hAnsiTheme="majorHAnsi" w:cstheme="majorHAnsi"/>
          <w:sz w:val="24"/>
          <w:szCs w:val="24"/>
          <w:lang w:val="ro-RO"/>
        </w:rPr>
        <w:t xml:space="preserve"> на 2022 год в размере 9900 леев)</w:t>
      </w:r>
      <w:r w:rsidRPr="00976075">
        <w:rPr>
          <w:rFonts w:asciiTheme="majorHAnsi" w:hAnsiTheme="majorHAnsi" w:cstheme="majorHAnsi"/>
          <w:sz w:val="24"/>
          <w:szCs w:val="24"/>
          <w:lang w:val="ro-RO"/>
        </w:rPr>
        <w:t xml:space="preserve">; проведение следующего этапа пересмотра пенсий по </w:t>
      </w:r>
      <w:r w:rsidR="00C2361F">
        <w:rPr>
          <w:rFonts w:asciiTheme="majorHAnsi" w:hAnsiTheme="majorHAnsi" w:cstheme="majorHAnsi"/>
          <w:sz w:val="24"/>
          <w:szCs w:val="24"/>
          <w:lang w:val="ru-RU"/>
        </w:rPr>
        <w:t>возрасту</w:t>
      </w:r>
      <w:r w:rsidRPr="00976075">
        <w:rPr>
          <w:rFonts w:asciiTheme="majorHAnsi" w:hAnsiTheme="majorHAnsi" w:cstheme="majorHAnsi"/>
          <w:sz w:val="24"/>
          <w:szCs w:val="24"/>
          <w:lang w:val="ro-RO"/>
        </w:rPr>
        <w:t xml:space="preserve"> для пенсионеров, которые работали после выхода на пенсию и реализовали страховой стаж более </w:t>
      </w:r>
      <w:r>
        <w:rPr>
          <w:rFonts w:asciiTheme="majorHAnsi" w:hAnsiTheme="majorHAnsi" w:cstheme="majorHAnsi"/>
          <w:sz w:val="24"/>
          <w:szCs w:val="24"/>
          <w:lang w:val="ru-RU"/>
        </w:rPr>
        <w:t>5</w:t>
      </w:r>
      <w:r w:rsidRPr="00976075">
        <w:rPr>
          <w:rFonts w:asciiTheme="majorHAnsi" w:hAnsiTheme="majorHAnsi" w:cstheme="majorHAnsi"/>
          <w:sz w:val="24"/>
          <w:szCs w:val="24"/>
          <w:lang w:val="ro-RO"/>
        </w:rPr>
        <w:t xml:space="preserve"> лет (в случае установления права на пенсию после 01.01.1999)</w:t>
      </w:r>
      <w:r>
        <w:rPr>
          <w:rFonts w:asciiTheme="majorHAnsi" w:hAnsiTheme="majorHAnsi" w:cstheme="majorHAnsi"/>
          <w:sz w:val="24"/>
          <w:szCs w:val="24"/>
          <w:lang w:val="ru-RU"/>
        </w:rPr>
        <w:t>;</w:t>
      </w:r>
      <w:r w:rsidRPr="00976075">
        <w:rPr>
          <w:rFonts w:asciiTheme="majorHAnsi" w:hAnsiTheme="majorHAnsi" w:cstheme="majorHAnsi"/>
          <w:sz w:val="24"/>
          <w:szCs w:val="24"/>
          <w:lang w:val="ro-RO"/>
        </w:rPr>
        <w:t xml:space="preserve"> </w:t>
      </w:r>
      <w:r w:rsidRPr="008E45EF">
        <w:rPr>
          <w:rFonts w:asciiTheme="majorHAnsi" w:hAnsiTheme="majorHAnsi" w:cstheme="majorHAnsi"/>
          <w:sz w:val="24"/>
          <w:szCs w:val="24"/>
          <w:lang w:val="ro-RO"/>
        </w:rPr>
        <w:t>пере</w:t>
      </w:r>
      <w:r>
        <w:rPr>
          <w:rFonts w:asciiTheme="majorHAnsi" w:hAnsiTheme="majorHAnsi" w:cstheme="majorHAnsi"/>
          <w:sz w:val="24"/>
          <w:szCs w:val="24"/>
          <w:lang w:val="ru-RU"/>
        </w:rPr>
        <w:t>смотр</w:t>
      </w:r>
      <w:r w:rsidRPr="008E45EF">
        <w:rPr>
          <w:rFonts w:asciiTheme="majorHAnsi" w:hAnsiTheme="majorHAnsi" w:cstheme="majorHAnsi"/>
          <w:sz w:val="24"/>
          <w:szCs w:val="24"/>
          <w:lang w:val="ro-RO"/>
        </w:rPr>
        <w:t xml:space="preserve"> пенсий по инвалидности пенсионерам, </w:t>
      </w:r>
      <w:r w:rsidRPr="00976075">
        <w:rPr>
          <w:rFonts w:asciiTheme="majorHAnsi" w:hAnsiTheme="majorHAnsi" w:cstheme="majorHAnsi"/>
          <w:sz w:val="24"/>
          <w:szCs w:val="24"/>
          <w:lang w:val="ro-RO"/>
        </w:rPr>
        <w:t xml:space="preserve">которые работали после выхода на пенсию </w:t>
      </w:r>
      <w:r>
        <w:rPr>
          <w:rFonts w:asciiTheme="majorHAnsi" w:hAnsiTheme="majorHAnsi" w:cstheme="majorHAnsi"/>
          <w:sz w:val="24"/>
          <w:szCs w:val="24"/>
          <w:lang w:val="ru-RU"/>
        </w:rPr>
        <w:t xml:space="preserve">по инвалидности </w:t>
      </w:r>
      <w:r w:rsidRPr="00976075">
        <w:rPr>
          <w:rFonts w:asciiTheme="majorHAnsi" w:hAnsiTheme="majorHAnsi" w:cstheme="majorHAnsi"/>
          <w:sz w:val="24"/>
          <w:szCs w:val="24"/>
          <w:lang w:val="ro-RO"/>
        </w:rPr>
        <w:t>и реализовали страховой стаж более</w:t>
      </w:r>
      <w:r w:rsidRPr="008E45EF">
        <w:rPr>
          <w:rFonts w:asciiTheme="majorHAnsi" w:hAnsiTheme="majorHAnsi" w:cstheme="majorHAnsi"/>
          <w:sz w:val="24"/>
          <w:szCs w:val="24"/>
          <w:lang w:val="ro-RO"/>
        </w:rPr>
        <w:t xml:space="preserve"> 2 лет (в случае пенсий, установленных/пересмотренных до 01.01.1999)</w:t>
      </w:r>
      <w:r>
        <w:rPr>
          <w:rFonts w:asciiTheme="majorHAnsi" w:hAnsiTheme="majorHAnsi" w:cstheme="majorHAnsi"/>
          <w:sz w:val="24"/>
          <w:szCs w:val="24"/>
          <w:lang w:val="ru-RU"/>
        </w:rPr>
        <w:t xml:space="preserve">; </w:t>
      </w:r>
      <w:r w:rsidRPr="00C45164">
        <w:rPr>
          <w:rFonts w:asciiTheme="majorHAnsi" w:hAnsiTheme="majorHAnsi" w:cstheme="majorHAnsi"/>
          <w:sz w:val="24"/>
          <w:szCs w:val="24"/>
          <w:lang w:val="ru-RU"/>
        </w:rPr>
        <w:t>увеличение с 1 апреля 2022 г</w:t>
      </w:r>
      <w:r>
        <w:rPr>
          <w:rFonts w:asciiTheme="majorHAnsi" w:hAnsiTheme="majorHAnsi" w:cstheme="majorHAnsi"/>
          <w:sz w:val="24"/>
          <w:szCs w:val="24"/>
          <w:lang w:val="ru-RU"/>
        </w:rPr>
        <w:t>ода</w:t>
      </w:r>
      <w:r w:rsidRPr="00C45164">
        <w:rPr>
          <w:rFonts w:asciiTheme="majorHAnsi" w:hAnsiTheme="majorHAnsi" w:cstheme="majorHAnsi"/>
          <w:sz w:val="24"/>
          <w:szCs w:val="24"/>
          <w:lang w:val="ru-RU"/>
        </w:rPr>
        <w:t xml:space="preserve"> на 171,71 лея </w:t>
      </w:r>
      <w:r>
        <w:rPr>
          <w:rFonts w:asciiTheme="majorHAnsi" w:hAnsiTheme="majorHAnsi" w:cstheme="majorHAnsi"/>
          <w:sz w:val="24"/>
          <w:szCs w:val="24"/>
          <w:lang w:val="ru-RU"/>
        </w:rPr>
        <w:t>размера</w:t>
      </w:r>
      <w:r w:rsidRPr="00C45164">
        <w:rPr>
          <w:rFonts w:asciiTheme="majorHAnsi" w:hAnsiTheme="majorHAnsi" w:cstheme="majorHAnsi"/>
          <w:sz w:val="24"/>
          <w:szCs w:val="24"/>
          <w:lang w:val="ru-RU"/>
        </w:rPr>
        <w:t xml:space="preserve"> пенсий, рассчитанных в соответствии с положениями Закона о государственной пенсионной системе №156/1998</w:t>
      </w:r>
      <w:r>
        <w:rPr>
          <w:rFonts w:asciiTheme="majorHAnsi" w:hAnsiTheme="majorHAnsi" w:cstheme="majorHAnsi"/>
          <w:sz w:val="24"/>
          <w:szCs w:val="24"/>
          <w:lang w:val="ru-RU"/>
        </w:rPr>
        <w:t xml:space="preserve">, </w:t>
      </w:r>
      <w:r w:rsidRPr="00976075">
        <w:rPr>
          <w:rFonts w:asciiTheme="majorHAnsi" w:hAnsiTheme="majorHAnsi" w:cstheme="majorHAnsi"/>
          <w:sz w:val="24"/>
          <w:szCs w:val="24"/>
          <w:lang w:val="ro-RO"/>
        </w:rPr>
        <w:t xml:space="preserve">а также увеличение размера минимальной пенсии по возрасту </w:t>
      </w:r>
      <w:r>
        <w:rPr>
          <w:rFonts w:asciiTheme="majorHAnsi" w:hAnsiTheme="majorHAnsi" w:cstheme="majorHAnsi"/>
          <w:sz w:val="24"/>
          <w:szCs w:val="24"/>
          <w:lang w:val="ru-RU"/>
        </w:rPr>
        <w:t xml:space="preserve">с </w:t>
      </w:r>
      <w:r w:rsidRPr="00976075">
        <w:rPr>
          <w:rFonts w:asciiTheme="majorHAnsi" w:hAnsiTheme="majorHAnsi" w:cstheme="majorHAnsi"/>
          <w:sz w:val="24"/>
          <w:szCs w:val="24"/>
          <w:lang w:val="ro-RO"/>
        </w:rPr>
        <w:t>2 000 леев</w:t>
      </w:r>
      <w:r w:rsidRPr="00C45164">
        <w:rPr>
          <w:rFonts w:asciiTheme="majorHAnsi" w:hAnsiTheme="majorHAnsi" w:cstheme="majorHAnsi"/>
          <w:sz w:val="24"/>
          <w:szCs w:val="24"/>
          <w:lang w:val="ro-RO"/>
        </w:rPr>
        <w:t xml:space="preserve"> </w:t>
      </w:r>
      <w:r w:rsidRPr="00976075">
        <w:rPr>
          <w:rFonts w:asciiTheme="majorHAnsi" w:hAnsiTheme="majorHAnsi" w:cstheme="majorHAnsi"/>
          <w:sz w:val="24"/>
          <w:szCs w:val="24"/>
          <w:lang w:val="ro-RO"/>
        </w:rPr>
        <w:t>до</w:t>
      </w:r>
      <w:r>
        <w:rPr>
          <w:rFonts w:asciiTheme="majorHAnsi" w:hAnsiTheme="majorHAnsi" w:cstheme="majorHAnsi"/>
          <w:sz w:val="24"/>
          <w:szCs w:val="24"/>
          <w:lang w:val="ru-RU"/>
        </w:rPr>
        <w:t xml:space="preserve"> </w:t>
      </w:r>
      <w:r w:rsidRPr="0002783C">
        <w:rPr>
          <w:rFonts w:asciiTheme="majorHAnsi" w:eastAsia="Times New Roman" w:hAnsiTheme="majorHAnsi" w:cstheme="majorHAnsi"/>
          <w:sz w:val="24"/>
          <w:szCs w:val="24"/>
          <w:lang w:val="ro-RO"/>
        </w:rPr>
        <w:t>2</w:t>
      </w:r>
      <w:r>
        <w:rPr>
          <w:rFonts w:asciiTheme="majorHAnsi" w:eastAsia="Times New Roman" w:hAnsiTheme="majorHAnsi" w:cstheme="majorHAnsi"/>
          <w:sz w:val="24"/>
          <w:szCs w:val="24"/>
          <w:lang w:val="ro-RO"/>
        </w:rPr>
        <w:t xml:space="preserve"> </w:t>
      </w:r>
      <w:r w:rsidRPr="0002783C">
        <w:rPr>
          <w:rFonts w:asciiTheme="majorHAnsi" w:eastAsia="Times New Roman" w:hAnsiTheme="majorHAnsi" w:cstheme="majorHAnsi"/>
          <w:sz w:val="24"/>
          <w:szCs w:val="24"/>
          <w:lang w:val="ro-RO"/>
        </w:rPr>
        <w:t>278,80</w:t>
      </w:r>
      <w:r>
        <w:rPr>
          <w:rFonts w:asciiTheme="majorHAnsi" w:eastAsia="Times New Roman" w:hAnsiTheme="majorHAnsi" w:cstheme="majorHAnsi"/>
          <w:sz w:val="24"/>
          <w:szCs w:val="24"/>
          <w:lang w:val="ru-RU"/>
        </w:rPr>
        <w:t xml:space="preserve"> леев</w:t>
      </w:r>
      <w:r>
        <w:rPr>
          <w:rFonts w:asciiTheme="majorHAnsi" w:eastAsia="Times New Roman" w:hAnsiTheme="majorHAnsi" w:cstheme="majorHAnsi"/>
          <w:sz w:val="24"/>
          <w:szCs w:val="24"/>
          <w:lang w:val="ro-RO"/>
        </w:rPr>
        <w:t>.</w:t>
      </w:r>
    </w:p>
    <w:p w14:paraId="13130BB4" w14:textId="77777777" w:rsidR="00B749E7" w:rsidRDefault="00B749E7" w:rsidP="00B749E7">
      <w:pPr>
        <w:spacing w:after="0" w:line="276" w:lineRule="auto"/>
        <w:jc w:val="both"/>
        <w:rPr>
          <w:rFonts w:asciiTheme="majorHAnsi" w:hAnsiTheme="majorHAnsi" w:cstheme="majorHAnsi"/>
          <w:sz w:val="24"/>
          <w:szCs w:val="24"/>
          <w:lang w:val="ro-RO"/>
        </w:rPr>
      </w:pPr>
      <w:r w:rsidRPr="00976075">
        <w:rPr>
          <w:rFonts w:asciiTheme="majorHAnsi" w:hAnsiTheme="majorHAnsi" w:cstheme="majorHAnsi"/>
          <w:sz w:val="24"/>
          <w:szCs w:val="24"/>
          <w:lang w:val="ro-RO"/>
        </w:rPr>
        <w:t xml:space="preserve">Кроме того, в отношении пособий социального страхования зарегистрирован рост размера единовременного пособия при рождении ребенка, до </w:t>
      </w:r>
      <w:r>
        <w:rPr>
          <w:rFonts w:asciiTheme="majorHAnsi" w:hAnsiTheme="majorHAnsi" w:cstheme="majorHAnsi"/>
          <w:sz w:val="24"/>
          <w:szCs w:val="24"/>
          <w:lang w:val="ro-RO"/>
        </w:rPr>
        <w:t>10 068</w:t>
      </w:r>
      <w:r w:rsidRPr="00976075">
        <w:rPr>
          <w:rFonts w:asciiTheme="majorHAnsi" w:hAnsiTheme="majorHAnsi" w:cstheme="majorHAnsi"/>
          <w:sz w:val="24"/>
          <w:szCs w:val="24"/>
          <w:lang w:val="ro-RO"/>
        </w:rPr>
        <w:t xml:space="preserve"> леев</w:t>
      </w:r>
      <w:r w:rsidRPr="00DD55F3">
        <w:rPr>
          <w:rStyle w:val="a5"/>
          <w:rFonts w:asciiTheme="majorHAnsi" w:hAnsiTheme="majorHAnsi" w:cstheme="majorHAnsi"/>
          <w:sz w:val="24"/>
          <w:szCs w:val="24"/>
          <w:lang w:val="ru-MD"/>
        </w:rPr>
        <w:footnoteReference w:id="20"/>
      </w:r>
      <w:r>
        <w:rPr>
          <w:rFonts w:asciiTheme="majorHAnsi" w:hAnsiTheme="majorHAnsi" w:cstheme="majorHAnsi"/>
          <w:sz w:val="24"/>
          <w:szCs w:val="24"/>
          <w:lang w:val="ro-RO"/>
        </w:rPr>
        <w:t>.</w:t>
      </w:r>
    </w:p>
    <w:p w14:paraId="5CB4C2A5" w14:textId="77777777" w:rsidR="00B749E7" w:rsidRDefault="00B749E7" w:rsidP="00B749E7">
      <w:pPr>
        <w:spacing w:after="0" w:line="276" w:lineRule="auto"/>
        <w:jc w:val="both"/>
        <w:rPr>
          <w:rFonts w:asciiTheme="majorHAnsi" w:hAnsiTheme="majorHAnsi" w:cstheme="majorHAnsi"/>
          <w:sz w:val="12"/>
          <w:szCs w:val="12"/>
          <w:lang w:val="ro-RO"/>
        </w:rPr>
      </w:pPr>
    </w:p>
    <w:p w14:paraId="1D9C0E02" w14:textId="77777777" w:rsidR="00B749E7" w:rsidRDefault="00B749E7" w:rsidP="00B749E7">
      <w:pPr>
        <w:spacing w:after="0" w:line="276" w:lineRule="auto"/>
        <w:jc w:val="both"/>
        <w:rPr>
          <w:rFonts w:asciiTheme="majorHAnsi" w:hAnsiTheme="majorHAnsi" w:cstheme="majorHAnsi"/>
          <w:sz w:val="16"/>
          <w:szCs w:val="16"/>
          <w:lang w:val="ro-RO"/>
        </w:rPr>
      </w:pPr>
      <w:r w:rsidRPr="00EA5EDF">
        <w:rPr>
          <w:rFonts w:asciiTheme="majorHAnsi" w:hAnsiTheme="majorHAnsi" w:cstheme="majorHAnsi"/>
          <w:sz w:val="24"/>
          <w:szCs w:val="24"/>
          <w:lang w:val="ru-MD"/>
        </w:rPr>
        <w:t xml:space="preserve">Исполненные расходы на </w:t>
      </w:r>
      <w:r w:rsidRPr="00EA5EDF">
        <w:rPr>
          <w:rFonts w:asciiTheme="majorHAnsi" w:hAnsiTheme="majorHAnsi" w:cstheme="majorHAnsi"/>
          <w:b/>
          <w:sz w:val="24"/>
          <w:szCs w:val="24"/>
          <w:lang w:val="ru-MD"/>
        </w:rPr>
        <w:t>товары и услуги</w:t>
      </w:r>
      <w:r w:rsidRPr="00F9164A">
        <w:rPr>
          <w:rFonts w:asciiTheme="majorHAnsi" w:hAnsiTheme="majorHAnsi" w:cstheme="majorHAnsi"/>
          <w:sz w:val="24"/>
          <w:szCs w:val="24"/>
          <w:lang w:val="ru-MD"/>
        </w:rPr>
        <w:t xml:space="preserve"> составили </w:t>
      </w:r>
      <w:r>
        <w:rPr>
          <w:rFonts w:asciiTheme="majorHAnsi" w:hAnsiTheme="majorHAnsi" w:cstheme="majorHAnsi"/>
          <w:sz w:val="24"/>
          <w:szCs w:val="24"/>
          <w:lang w:val="ro-RO"/>
        </w:rPr>
        <w:t>243,3</w:t>
      </w:r>
      <w:r w:rsidRPr="00F9164A">
        <w:rPr>
          <w:rFonts w:asciiTheme="majorHAnsi" w:hAnsiTheme="majorHAnsi" w:cstheme="majorHAnsi"/>
          <w:sz w:val="24"/>
          <w:szCs w:val="24"/>
          <w:lang w:val="ru-MD"/>
        </w:rPr>
        <w:t xml:space="preserve"> млн. леев, или на уровне </w:t>
      </w:r>
      <w:r>
        <w:rPr>
          <w:rFonts w:asciiTheme="majorHAnsi" w:hAnsiTheme="majorHAnsi" w:cstheme="majorHAnsi"/>
          <w:sz w:val="24"/>
          <w:szCs w:val="24"/>
          <w:lang w:val="ro-RO"/>
        </w:rPr>
        <w:t>86,9</w:t>
      </w:r>
      <w:r w:rsidRPr="00F9164A">
        <w:rPr>
          <w:rFonts w:asciiTheme="majorHAnsi" w:hAnsiTheme="majorHAnsi" w:cstheme="majorHAnsi"/>
          <w:sz w:val="24"/>
          <w:szCs w:val="24"/>
          <w:lang w:val="ru-MD"/>
        </w:rPr>
        <w:t xml:space="preserve">%, что на </w:t>
      </w:r>
      <w:r>
        <w:rPr>
          <w:rFonts w:asciiTheme="majorHAnsi" w:hAnsiTheme="majorHAnsi" w:cstheme="majorHAnsi"/>
          <w:sz w:val="24"/>
          <w:szCs w:val="24"/>
          <w:lang w:val="ro-RO"/>
        </w:rPr>
        <w:t>7 903,2</w:t>
      </w:r>
      <w:r w:rsidRPr="00F9164A">
        <w:rPr>
          <w:rFonts w:asciiTheme="majorHAnsi" w:hAnsiTheme="majorHAnsi" w:cstheme="majorHAnsi"/>
          <w:sz w:val="24"/>
          <w:szCs w:val="24"/>
          <w:lang w:val="ru-MD"/>
        </w:rPr>
        <w:t xml:space="preserve"> тыс. леев, или </w:t>
      </w:r>
      <w:r>
        <w:rPr>
          <w:rFonts w:asciiTheme="majorHAnsi" w:hAnsiTheme="majorHAnsi" w:cstheme="majorHAnsi"/>
          <w:sz w:val="24"/>
          <w:szCs w:val="24"/>
          <w:lang w:val="ru-MD"/>
        </w:rPr>
        <w:t>3</w:t>
      </w:r>
      <w:r w:rsidRPr="00F9164A">
        <w:rPr>
          <w:rFonts w:asciiTheme="majorHAnsi" w:hAnsiTheme="majorHAnsi" w:cstheme="majorHAnsi"/>
          <w:sz w:val="24"/>
          <w:szCs w:val="24"/>
          <w:lang w:val="ru-MD"/>
        </w:rPr>
        <w:t>,</w:t>
      </w:r>
      <w:r>
        <w:rPr>
          <w:rFonts w:asciiTheme="majorHAnsi" w:hAnsiTheme="majorHAnsi" w:cstheme="majorHAnsi"/>
          <w:sz w:val="24"/>
          <w:szCs w:val="24"/>
          <w:lang w:val="ru-MD"/>
        </w:rPr>
        <w:t>4</w:t>
      </w:r>
      <w:r w:rsidRPr="00F9164A">
        <w:rPr>
          <w:rFonts w:asciiTheme="majorHAnsi" w:hAnsiTheme="majorHAnsi" w:cstheme="majorHAnsi"/>
          <w:sz w:val="24"/>
          <w:szCs w:val="24"/>
          <w:lang w:val="ru-MD"/>
        </w:rPr>
        <w:t>% больше по сравнению с предыдущим годом. К данной категории относятся расходы на содержание НКСС и информационных систем НКСС</w:t>
      </w:r>
      <w:r>
        <w:rPr>
          <w:rFonts w:asciiTheme="majorHAnsi" w:hAnsiTheme="majorHAnsi" w:cstheme="majorHAnsi"/>
          <w:sz w:val="24"/>
          <w:szCs w:val="24"/>
          <w:lang w:val="ro-RO"/>
        </w:rPr>
        <w:t xml:space="preserve">: </w:t>
      </w:r>
      <w:r w:rsidRPr="00976075">
        <w:rPr>
          <w:rFonts w:asciiTheme="majorHAnsi" w:hAnsiTheme="majorHAnsi" w:cstheme="majorHAnsi"/>
          <w:sz w:val="24"/>
          <w:szCs w:val="24"/>
          <w:lang w:val="ro-RO"/>
        </w:rPr>
        <w:t xml:space="preserve">энергетические и коммунальные услуги, информационные и телекоммуникационные услуги, услуги </w:t>
      </w:r>
      <w:r>
        <w:rPr>
          <w:rFonts w:asciiTheme="majorHAnsi" w:hAnsiTheme="majorHAnsi" w:cstheme="majorHAnsi"/>
          <w:sz w:val="24"/>
          <w:szCs w:val="24"/>
          <w:lang w:val="ru-RU"/>
        </w:rPr>
        <w:t>найма</w:t>
      </w:r>
      <w:r w:rsidRPr="00976075">
        <w:rPr>
          <w:rFonts w:asciiTheme="majorHAnsi" w:hAnsiTheme="majorHAnsi" w:cstheme="majorHAnsi"/>
          <w:sz w:val="24"/>
          <w:szCs w:val="24"/>
          <w:lang w:val="ro-RO"/>
        </w:rPr>
        <w:t xml:space="preserve">, транспортные услуги, услуги по текущему ремонту, профессиональное обучение, </w:t>
      </w:r>
      <w:r>
        <w:rPr>
          <w:rFonts w:asciiTheme="majorHAnsi" w:hAnsiTheme="majorHAnsi" w:cstheme="majorHAnsi"/>
          <w:sz w:val="24"/>
          <w:szCs w:val="24"/>
          <w:lang w:val="ru-RU"/>
        </w:rPr>
        <w:t>служебные коммандировки</w:t>
      </w:r>
      <w:r w:rsidRPr="00976075">
        <w:rPr>
          <w:rFonts w:asciiTheme="majorHAnsi" w:hAnsiTheme="majorHAnsi" w:cstheme="majorHAnsi"/>
          <w:sz w:val="24"/>
          <w:szCs w:val="24"/>
          <w:lang w:val="ro-RO"/>
        </w:rPr>
        <w:t>, почтовые услуги и услуги по распр</w:t>
      </w:r>
      <w:r>
        <w:rPr>
          <w:rFonts w:asciiTheme="majorHAnsi" w:hAnsiTheme="majorHAnsi" w:cstheme="majorHAnsi"/>
          <w:sz w:val="24"/>
          <w:szCs w:val="24"/>
          <w:lang w:val="ru-RU"/>
        </w:rPr>
        <w:t>ед</w:t>
      </w:r>
      <w:r w:rsidRPr="00976075">
        <w:rPr>
          <w:rFonts w:asciiTheme="majorHAnsi" w:hAnsiTheme="majorHAnsi" w:cstheme="majorHAnsi"/>
          <w:sz w:val="24"/>
          <w:szCs w:val="24"/>
          <w:lang w:val="ro-RO"/>
        </w:rPr>
        <w:t>е</w:t>
      </w:r>
      <w:r>
        <w:rPr>
          <w:rFonts w:asciiTheme="majorHAnsi" w:hAnsiTheme="majorHAnsi" w:cstheme="majorHAnsi"/>
          <w:sz w:val="24"/>
          <w:szCs w:val="24"/>
          <w:lang w:val="ru-RU"/>
        </w:rPr>
        <w:t>ле</w:t>
      </w:r>
      <w:r w:rsidRPr="00976075">
        <w:rPr>
          <w:rFonts w:asciiTheme="majorHAnsi" w:hAnsiTheme="majorHAnsi" w:cstheme="majorHAnsi"/>
          <w:sz w:val="24"/>
          <w:szCs w:val="24"/>
          <w:lang w:val="ro-RO"/>
        </w:rPr>
        <w:t xml:space="preserve">нию социальных </w:t>
      </w:r>
      <w:r>
        <w:rPr>
          <w:rFonts w:asciiTheme="majorHAnsi" w:hAnsiTheme="majorHAnsi" w:cstheme="majorHAnsi"/>
          <w:sz w:val="24"/>
          <w:szCs w:val="24"/>
          <w:lang w:val="ru-RU"/>
        </w:rPr>
        <w:t>пособий</w:t>
      </w:r>
      <w:r w:rsidRPr="00976075">
        <w:rPr>
          <w:rFonts w:asciiTheme="majorHAnsi" w:hAnsiTheme="majorHAnsi" w:cstheme="majorHAnsi"/>
          <w:sz w:val="24"/>
          <w:szCs w:val="24"/>
          <w:lang w:val="ro-RO"/>
        </w:rPr>
        <w:t>, другие услуги</w:t>
      </w:r>
      <w:r>
        <w:rPr>
          <w:rFonts w:asciiTheme="majorHAnsi" w:hAnsiTheme="majorHAnsi" w:cstheme="majorHAnsi"/>
          <w:sz w:val="24"/>
          <w:szCs w:val="24"/>
          <w:lang w:val="ro-RO"/>
        </w:rPr>
        <w:t>.</w:t>
      </w:r>
    </w:p>
    <w:p w14:paraId="06D222F2" w14:textId="77777777" w:rsidR="00B749E7" w:rsidRPr="00F73A94" w:rsidRDefault="00B749E7" w:rsidP="00B749E7">
      <w:pPr>
        <w:spacing w:after="0" w:line="276" w:lineRule="auto"/>
        <w:jc w:val="both"/>
        <w:rPr>
          <w:rFonts w:asciiTheme="majorHAnsi" w:hAnsiTheme="majorHAnsi" w:cstheme="majorHAnsi"/>
          <w:sz w:val="16"/>
          <w:szCs w:val="16"/>
          <w:lang w:val="ro-RO"/>
        </w:rPr>
      </w:pPr>
    </w:p>
    <w:p w14:paraId="46934494" w14:textId="77777777" w:rsidR="00B749E7" w:rsidRDefault="00B749E7" w:rsidP="00B749E7">
      <w:pPr>
        <w:spacing w:line="276" w:lineRule="auto"/>
        <w:jc w:val="both"/>
        <w:rPr>
          <w:rFonts w:asciiTheme="majorHAnsi" w:hAnsiTheme="majorHAnsi" w:cstheme="majorHAnsi"/>
          <w:sz w:val="24"/>
          <w:szCs w:val="24"/>
          <w:lang w:val="ro-RO"/>
        </w:rPr>
      </w:pPr>
      <w:r w:rsidRPr="00E57338">
        <w:rPr>
          <w:rFonts w:asciiTheme="majorHAnsi" w:hAnsiTheme="majorHAnsi" w:cstheme="majorHAnsi"/>
          <w:sz w:val="24"/>
          <w:szCs w:val="24"/>
          <w:lang w:val="ru-MD"/>
        </w:rPr>
        <w:t xml:space="preserve">Средства, утвержденные для расходов на персонал, были использованы на основании нормативных актов, регулирующих оплату труда в бюджетном секторе. Для </w:t>
      </w:r>
      <w:r w:rsidRPr="00E57338">
        <w:rPr>
          <w:rFonts w:asciiTheme="majorHAnsi" w:hAnsiTheme="majorHAnsi" w:cstheme="majorHAnsi"/>
          <w:b/>
          <w:sz w:val="24"/>
          <w:szCs w:val="24"/>
          <w:lang w:val="ru-MD"/>
        </w:rPr>
        <w:t>расходов на персонал</w:t>
      </w:r>
      <w:r w:rsidRPr="00E57338">
        <w:rPr>
          <w:rFonts w:asciiTheme="majorHAnsi" w:hAnsiTheme="majorHAnsi" w:cstheme="majorHAnsi"/>
          <w:sz w:val="24"/>
          <w:szCs w:val="24"/>
          <w:lang w:val="ru-MD"/>
        </w:rPr>
        <w:t xml:space="preserve"> было предусмотрено </w:t>
      </w:r>
      <w:r>
        <w:rPr>
          <w:rFonts w:asciiTheme="majorHAnsi" w:hAnsiTheme="majorHAnsi" w:cstheme="majorHAnsi"/>
          <w:sz w:val="24"/>
          <w:szCs w:val="24"/>
          <w:lang w:val="ro-RO"/>
        </w:rPr>
        <w:t>188,8</w:t>
      </w:r>
      <w:r w:rsidRPr="00E57338">
        <w:rPr>
          <w:rFonts w:asciiTheme="majorHAnsi" w:hAnsiTheme="majorHAnsi" w:cstheme="majorHAnsi"/>
          <w:sz w:val="24"/>
          <w:szCs w:val="24"/>
          <w:lang w:val="ru-MD"/>
        </w:rPr>
        <w:t xml:space="preserve"> млн. леев, которые были исполнены в сумме </w:t>
      </w:r>
      <w:r>
        <w:rPr>
          <w:rFonts w:asciiTheme="majorHAnsi" w:hAnsiTheme="majorHAnsi" w:cstheme="majorHAnsi"/>
          <w:sz w:val="24"/>
          <w:szCs w:val="24"/>
          <w:lang w:val="ro-RO"/>
        </w:rPr>
        <w:t>185,7</w:t>
      </w:r>
      <w:r w:rsidRPr="00E57338">
        <w:rPr>
          <w:rFonts w:asciiTheme="majorHAnsi" w:hAnsiTheme="majorHAnsi" w:cstheme="majorHAnsi"/>
          <w:sz w:val="24"/>
          <w:szCs w:val="24"/>
          <w:lang w:val="ru-MD"/>
        </w:rPr>
        <w:t xml:space="preserve"> млн. леев, что составляет 9</w:t>
      </w:r>
      <w:r>
        <w:rPr>
          <w:rFonts w:asciiTheme="majorHAnsi" w:hAnsiTheme="majorHAnsi" w:cstheme="majorHAnsi"/>
          <w:sz w:val="24"/>
          <w:szCs w:val="24"/>
          <w:lang w:val="ru-MD"/>
        </w:rPr>
        <w:t>8</w:t>
      </w:r>
      <w:r w:rsidRPr="00E57338">
        <w:rPr>
          <w:rFonts w:asciiTheme="majorHAnsi" w:hAnsiTheme="majorHAnsi" w:cstheme="majorHAnsi"/>
          <w:sz w:val="24"/>
          <w:szCs w:val="24"/>
          <w:lang w:val="ru-MD"/>
        </w:rPr>
        <w:t>,</w:t>
      </w:r>
      <w:r>
        <w:rPr>
          <w:rFonts w:asciiTheme="majorHAnsi" w:hAnsiTheme="majorHAnsi" w:cstheme="majorHAnsi"/>
          <w:sz w:val="24"/>
          <w:szCs w:val="24"/>
          <w:lang w:val="ru-MD"/>
        </w:rPr>
        <w:t>3</w:t>
      </w:r>
      <w:r w:rsidRPr="00E57338">
        <w:rPr>
          <w:rFonts w:asciiTheme="majorHAnsi" w:hAnsiTheme="majorHAnsi" w:cstheme="majorHAnsi"/>
          <w:sz w:val="24"/>
          <w:szCs w:val="24"/>
          <w:lang w:val="ru-MD"/>
        </w:rPr>
        <w:t>% от запланированной суммы</w:t>
      </w:r>
      <w:r>
        <w:rPr>
          <w:rFonts w:asciiTheme="majorHAnsi" w:hAnsiTheme="majorHAnsi" w:cstheme="majorHAnsi"/>
          <w:sz w:val="24"/>
          <w:szCs w:val="24"/>
          <w:lang w:val="ro-RO"/>
        </w:rPr>
        <w:t>.</w:t>
      </w:r>
    </w:p>
    <w:p w14:paraId="1ABAB11E" w14:textId="77777777" w:rsidR="00B749E7" w:rsidRPr="00183D72" w:rsidRDefault="00B749E7" w:rsidP="00B749E7">
      <w:pPr>
        <w:pStyle w:val="aa"/>
        <w:numPr>
          <w:ilvl w:val="1"/>
          <w:numId w:val="2"/>
        </w:numPr>
        <w:tabs>
          <w:tab w:val="left" w:pos="0"/>
          <w:tab w:val="left" w:pos="709"/>
          <w:tab w:val="left" w:pos="993"/>
        </w:tabs>
        <w:spacing w:line="276" w:lineRule="auto"/>
        <w:ind w:left="0" w:firstLine="0"/>
        <w:jc w:val="both"/>
        <w:outlineLvl w:val="1"/>
        <w:rPr>
          <w:rFonts w:asciiTheme="majorHAnsi" w:hAnsiTheme="majorHAnsi" w:cstheme="majorHAnsi"/>
          <w:b/>
          <w:sz w:val="24"/>
          <w:szCs w:val="24"/>
          <w:lang w:val="ro-MD"/>
        </w:rPr>
      </w:pPr>
      <w:r w:rsidRPr="00E42214">
        <w:rPr>
          <w:rFonts w:asciiTheme="majorHAnsi" w:hAnsiTheme="majorHAnsi" w:cstheme="majorHAnsi"/>
          <w:b/>
          <w:sz w:val="24"/>
          <w:szCs w:val="24"/>
          <w:lang w:val="ru-MD"/>
        </w:rPr>
        <w:t>За последние пять лет темпы роста понесенных расходов из БГСС превышают темпы роста собственных доходов на 26,5%, что обусловило сохранение нехватки собственных средств государственной системы социального страхования для исполнения обязательств</w:t>
      </w:r>
      <w:r>
        <w:rPr>
          <w:rFonts w:asciiTheme="majorHAnsi" w:hAnsiTheme="majorHAnsi" w:cstheme="majorHAnsi"/>
          <w:b/>
          <w:sz w:val="24"/>
          <w:szCs w:val="24"/>
          <w:lang w:val="ru-MD"/>
        </w:rPr>
        <w:t>,</w:t>
      </w:r>
      <w:r w:rsidRPr="00E42214">
        <w:rPr>
          <w:rFonts w:asciiTheme="majorHAnsi" w:hAnsiTheme="majorHAnsi" w:cstheme="majorHAnsi"/>
          <w:b/>
          <w:sz w:val="24"/>
          <w:szCs w:val="24"/>
          <w:lang w:val="ru-MD"/>
        </w:rPr>
        <w:t xml:space="preserve"> и формирование зависимости от трансфертов из государственного бюджета</w:t>
      </w:r>
      <w:r>
        <w:rPr>
          <w:rFonts w:asciiTheme="majorHAnsi" w:hAnsiTheme="majorHAnsi" w:cstheme="majorHAnsi"/>
          <w:b/>
          <w:sz w:val="24"/>
          <w:szCs w:val="24"/>
          <w:lang w:val="ru-RU"/>
        </w:rPr>
        <w:t>.</w:t>
      </w:r>
      <w:r w:rsidRPr="00E42214">
        <w:rPr>
          <w:rFonts w:asciiTheme="majorHAnsi" w:hAnsiTheme="majorHAnsi" w:cstheme="majorHAnsi"/>
          <w:b/>
          <w:sz w:val="24"/>
          <w:szCs w:val="24"/>
          <w:lang w:val="ro-RO"/>
        </w:rPr>
        <w:t xml:space="preserve"> </w:t>
      </w:r>
    </w:p>
    <w:p w14:paraId="07298D17" w14:textId="414EE785" w:rsidR="00B749E7" w:rsidRPr="001946CD" w:rsidRDefault="00B749E7" w:rsidP="00B749E7">
      <w:pPr>
        <w:spacing w:line="276" w:lineRule="auto"/>
        <w:jc w:val="both"/>
        <w:rPr>
          <w:rFonts w:asciiTheme="majorHAnsi" w:hAnsiTheme="majorHAnsi" w:cstheme="majorHAnsi"/>
          <w:sz w:val="24"/>
          <w:szCs w:val="24"/>
          <w:lang w:val="ru-MD"/>
        </w:rPr>
      </w:pPr>
      <w:r w:rsidRPr="001946CD">
        <w:rPr>
          <w:rFonts w:asciiTheme="majorHAnsi" w:hAnsiTheme="majorHAnsi" w:cstheme="majorHAnsi"/>
          <w:sz w:val="24"/>
          <w:szCs w:val="24"/>
          <w:lang w:val="ru-MD"/>
        </w:rPr>
        <w:t>Существенную долю собственного дохода БГСС составляют взносы социального страхования, перечисленные плательщиками взносов, юридическими и физическими лицами. С другой стороны, существенную долю понесенных расходов из БГСС составляют выплаты социальных пособий (пенсии социально</w:t>
      </w:r>
      <w:r w:rsidR="00C2361F">
        <w:rPr>
          <w:rFonts w:asciiTheme="majorHAnsi" w:hAnsiTheme="majorHAnsi" w:cstheme="majorHAnsi"/>
          <w:sz w:val="24"/>
          <w:szCs w:val="24"/>
          <w:lang w:val="ru-MD"/>
        </w:rPr>
        <w:t>го</w:t>
      </w:r>
      <w:r w:rsidRPr="001946CD">
        <w:rPr>
          <w:rFonts w:asciiTheme="majorHAnsi" w:hAnsiTheme="majorHAnsi" w:cstheme="majorHAnsi"/>
          <w:sz w:val="24"/>
          <w:szCs w:val="24"/>
          <w:lang w:val="ru-MD"/>
        </w:rPr>
        <w:t xml:space="preserve"> страховани</w:t>
      </w:r>
      <w:r w:rsidR="00C2361F">
        <w:rPr>
          <w:rFonts w:asciiTheme="majorHAnsi" w:hAnsiTheme="majorHAnsi" w:cstheme="majorHAnsi"/>
          <w:sz w:val="24"/>
          <w:szCs w:val="24"/>
          <w:lang w:val="ru-MD"/>
        </w:rPr>
        <w:t>я</w:t>
      </w:r>
      <w:r w:rsidRPr="001946CD">
        <w:rPr>
          <w:rFonts w:asciiTheme="majorHAnsi" w:hAnsiTheme="majorHAnsi" w:cstheme="majorHAnsi"/>
          <w:sz w:val="24"/>
          <w:szCs w:val="24"/>
          <w:lang w:val="ru-MD"/>
        </w:rPr>
        <w:t xml:space="preserve">, пособия социального страхования и другие пособия социального </w:t>
      </w:r>
      <w:r w:rsidR="00C2361F">
        <w:rPr>
          <w:rFonts w:asciiTheme="majorHAnsi" w:hAnsiTheme="majorHAnsi" w:cstheme="majorHAnsi"/>
          <w:sz w:val="24"/>
          <w:szCs w:val="24"/>
          <w:lang w:val="ru-MD"/>
        </w:rPr>
        <w:t>страхова</w:t>
      </w:r>
      <w:r w:rsidRPr="001946CD">
        <w:rPr>
          <w:rFonts w:asciiTheme="majorHAnsi" w:hAnsiTheme="majorHAnsi" w:cstheme="majorHAnsi"/>
          <w:sz w:val="24"/>
          <w:szCs w:val="24"/>
          <w:lang w:val="ru-MD"/>
        </w:rPr>
        <w:t>ния). Так, в период 2018-2022 годов расходы БГСС превысили собственные доходы с 842,4 млн. леев в 2018 году, до 4 902,6 млн. леев в 2022 году, ситуация представлена в таблице ниже.</w:t>
      </w:r>
    </w:p>
    <w:p w14:paraId="60165FE1" w14:textId="77777777" w:rsidR="00B749E7" w:rsidRPr="00973149" w:rsidRDefault="00B749E7" w:rsidP="00B749E7">
      <w:pPr>
        <w:spacing w:after="0" w:line="276" w:lineRule="auto"/>
        <w:jc w:val="right"/>
        <w:rPr>
          <w:rFonts w:asciiTheme="majorHAnsi" w:hAnsiTheme="majorHAnsi" w:cstheme="majorHAnsi"/>
          <w:b/>
          <w:sz w:val="24"/>
          <w:szCs w:val="24"/>
          <w:lang w:val="ru-MD"/>
        </w:rPr>
      </w:pPr>
      <w:r w:rsidRPr="00973149">
        <w:rPr>
          <w:rFonts w:asciiTheme="majorHAnsi" w:hAnsiTheme="majorHAnsi" w:cstheme="majorHAnsi"/>
          <w:b/>
          <w:sz w:val="24"/>
          <w:szCs w:val="24"/>
          <w:lang w:val="ru-MD"/>
        </w:rPr>
        <w:t>Таблица №4</w:t>
      </w:r>
    </w:p>
    <w:p w14:paraId="5569213D" w14:textId="77777777" w:rsidR="00B749E7" w:rsidRPr="00973149" w:rsidRDefault="00B749E7" w:rsidP="00B749E7">
      <w:pPr>
        <w:tabs>
          <w:tab w:val="left" w:pos="426"/>
          <w:tab w:val="left" w:pos="709"/>
          <w:tab w:val="left" w:pos="993"/>
        </w:tabs>
        <w:spacing w:after="0" w:line="276" w:lineRule="auto"/>
        <w:jc w:val="center"/>
        <w:rPr>
          <w:rFonts w:asciiTheme="majorHAnsi" w:hAnsiTheme="majorHAnsi" w:cstheme="majorHAnsi"/>
          <w:b/>
          <w:sz w:val="24"/>
          <w:szCs w:val="24"/>
          <w:lang w:val="ru-MD"/>
        </w:rPr>
      </w:pPr>
      <w:r w:rsidRPr="00973149">
        <w:rPr>
          <w:rFonts w:asciiTheme="majorHAnsi" w:hAnsiTheme="majorHAnsi" w:cstheme="majorHAnsi"/>
          <w:b/>
          <w:sz w:val="24"/>
          <w:szCs w:val="24"/>
          <w:lang w:val="ru-MD"/>
        </w:rPr>
        <w:t>Темпы роста расходов по сравнению с темпами роста доходов в 2018-2022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1447"/>
        <w:gridCol w:w="1447"/>
        <w:gridCol w:w="1446"/>
        <w:gridCol w:w="1446"/>
        <w:gridCol w:w="2510"/>
      </w:tblGrid>
      <w:tr w:rsidR="00B749E7" w:rsidRPr="00973149" w14:paraId="14A81112" w14:textId="77777777" w:rsidTr="000E41FD">
        <w:trPr>
          <w:trHeight w:val="130"/>
        </w:trPr>
        <w:tc>
          <w:tcPr>
            <w:tcW w:w="1446" w:type="dxa"/>
            <w:vAlign w:val="center"/>
          </w:tcPr>
          <w:p w14:paraId="3D2D0D95" w14:textId="77777777" w:rsidR="00B749E7" w:rsidRPr="00973149" w:rsidRDefault="00B749E7" w:rsidP="000E41FD">
            <w:pPr>
              <w:pStyle w:val="Default"/>
              <w:jc w:val="center"/>
              <w:rPr>
                <w:rFonts w:asciiTheme="majorHAnsi" w:hAnsiTheme="majorHAnsi" w:cstheme="majorHAnsi"/>
                <w:b/>
                <w:bCs/>
                <w:lang w:val="ru-MD"/>
              </w:rPr>
            </w:pPr>
            <w:r w:rsidRPr="00973149">
              <w:rPr>
                <w:rFonts w:asciiTheme="majorHAnsi" w:hAnsiTheme="majorHAnsi" w:cstheme="majorHAnsi"/>
                <w:b/>
                <w:bCs/>
                <w:lang w:val="ru-MD"/>
              </w:rPr>
              <w:t>Год</w:t>
            </w:r>
          </w:p>
        </w:tc>
        <w:tc>
          <w:tcPr>
            <w:tcW w:w="1447" w:type="dxa"/>
            <w:vAlign w:val="center"/>
          </w:tcPr>
          <w:p w14:paraId="046EE09A" w14:textId="77777777" w:rsidR="00B749E7" w:rsidRPr="00973149" w:rsidRDefault="00B749E7" w:rsidP="000E41FD">
            <w:pPr>
              <w:pStyle w:val="Default"/>
              <w:jc w:val="center"/>
              <w:rPr>
                <w:rFonts w:asciiTheme="majorHAnsi" w:hAnsiTheme="majorHAnsi" w:cstheme="majorHAnsi"/>
                <w:b/>
                <w:lang w:val="ru-MD"/>
              </w:rPr>
            </w:pPr>
            <w:r w:rsidRPr="00973149">
              <w:rPr>
                <w:rFonts w:asciiTheme="majorHAnsi" w:hAnsiTheme="majorHAnsi" w:cstheme="majorHAnsi"/>
                <w:b/>
                <w:bCs/>
                <w:lang w:val="ru-MD"/>
              </w:rPr>
              <w:t>Понесенные расходы из БГСС, млн. леев</w:t>
            </w:r>
          </w:p>
        </w:tc>
        <w:tc>
          <w:tcPr>
            <w:tcW w:w="1447" w:type="dxa"/>
            <w:vAlign w:val="center"/>
          </w:tcPr>
          <w:p w14:paraId="2CAB34C3" w14:textId="77777777" w:rsidR="00B749E7" w:rsidRPr="00973149" w:rsidRDefault="00B749E7" w:rsidP="000E41FD">
            <w:pPr>
              <w:pStyle w:val="Default"/>
              <w:jc w:val="center"/>
              <w:rPr>
                <w:rFonts w:asciiTheme="majorHAnsi" w:hAnsiTheme="majorHAnsi" w:cstheme="majorHAnsi"/>
                <w:b/>
                <w:lang w:val="ru-MD"/>
              </w:rPr>
            </w:pPr>
            <w:r w:rsidRPr="00973149">
              <w:rPr>
                <w:rFonts w:asciiTheme="majorHAnsi" w:hAnsiTheme="majorHAnsi" w:cstheme="majorHAnsi"/>
                <w:b/>
                <w:lang w:val="ru-MD"/>
              </w:rPr>
              <w:t>Темпы роста расходов по сравнению с предыду щим годом, %</w:t>
            </w:r>
          </w:p>
        </w:tc>
        <w:tc>
          <w:tcPr>
            <w:tcW w:w="1446" w:type="dxa"/>
            <w:vAlign w:val="center"/>
          </w:tcPr>
          <w:p w14:paraId="3F13D4E3" w14:textId="77777777" w:rsidR="00B749E7" w:rsidRPr="00973149" w:rsidRDefault="00B749E7" w:rsidP="000E41FD">
            <w:pPr>
              <w:pStyle w:val="Default"/>
              <w:jc w:val="center"/>
              <w:rPr>
                <w:rFonts w:asciiTheme="majorHAnsi" w:hAnsiTheme="majorHAnsi" w:cstheme="majorHAnsi"/>
                <w:b/>
                <w:bCs/>
                <w:lang w:val="ru-MD"/>
              </w:rPr>
            </w:pPr>
            <w:r w:rsidRPr="00973149">
              <w:rPr>
                <w:rFonts w:asciiTheme="majorHAnsi" w:hAnsiTheme="majorHAnsi" w:cstheme="majorHAnsi"/>
                <w:b/>
                <w:bCs/>
                <w:lang w:val="ru-MD"/>
              </w:rPr>
              <w:t xml:space="preserve">Собственные доходы БГСС, </w:t>
            </w:r>
          </w:p>
          <w:p w14:paraId="76DADD35" w14:textId="77777777" w:rsidR="00B749E7" w:rsidRPr="00973149" w:rsidRDefault="00B749E7" w:rsidP="000E41FD">
            <w:pPr>
              <w:pStyle w:val="Default"/>
              <w:jc w:val="center"/>
              <w:rPr>
                <w:rFonts w:asciiTheme="majorHAnsi" w:hAnsiTheme="majorHAnsi" w:cstheme="majorHAnsi"/>
                <w:b/>
                <w:lang w:val="ru-MD"/>
              </w:rPr>
            </w:pPr>
            <w:r w:rsidRPr="00973149">
              <w:rPr>
                <w:rFonts w:asciiTheme="majorHAnsi" w:hAnsiTheme="majorHAnsi" w:cstheme="majorHAnsi"/>
                <w:b/>
                <w:bCs/>
                <w:lang w:val="ru-MD"/>
              </w:rPr>
              <w:t>млн. леев</w:t>
            </w:r>
          </w:p>
        </w:tc>
        <w:tc>
          <w:tcPr>
            <w:tcW w:w="1446" w:type="dxa"/>
            <w:vAlign w:val="center"/>
          </w:tcPr>
          <w:p w14:paraId="456524CD" w14:textId="77777777" w:rsidR="00B749E7" w:rsidRPr="00973149" w:rsidRDefault="00B749E7" w:rsidP="000E41FD">
            <w:pPr>
              <w:pStyle w:val="Default"/>
              <w:jc w:val="center"/>
              <w:rPr>
                <w:rFonts w:asciiTheme="majorHAnsi" w:hAnsiTheme="majorHAnsi" w:cstheme="majorHAnsi"/>
                <w:b/>
                <w:lang w:val="ru-MD"/>
              </w:rPr>
            </w:pPr>
            <w:r w:rsidRPr="00973149">
              <w:rPr>
                <w:rFonts w:asciiTheme="majorHAnsi" w:hAnsiTheme="majorHAnsi" w:cstheme="majorHAnsi"/>
                <w:b/>
                <w:lang w:val="ru-MD"/>
              </w:rPr>
              <w:t>Темпы роста доходов по сравнению с предыду щим годом, %</w:t>
            </w:r>
          </w:p>
        </w:tc>
        <w:tc>
          <w:tcPr>
            <w:tcW w:w="2510" w:type="dxa"/>
            <w:vAlign w:val="center"/>
          </w:tcPr>
          <w:p w14:paraId="5441B1B3" w14:textId="77777777" w:rsidR="00B749E7" w:rsidRPr="00973149" w:rsidRDefault="00B749E7" w:rsidP="000E41FD">
            <w:pPr>
              <w:pStyle w:val="Default"/>
              <w:jc w:val="center"/>
              <w:rPr>
                <w:rFonts w:asciiTheme="majorHAnsi" w:hAnsiTheme="majorHAnsi" w:cstheme="majorHAnsi"/>
                <w:b/>
                <w:lang w:val="ru-MD"/>
              </w:rPr>
            </w:pPr>
            <w:r w:rsidRPr="00973149">
              <w:rPr>
                <w:rFonts w:asciiTheme="majorHAnsi" w:hAnsiTheme="majorHAnsi" w:cstheme="majorHAnsi"/>
                <w:b/>
                <w:bCs/>
                <w:lang w:val="ru-MD"/>
              </w:rPr>
              <w:t>Превышение расходов БГСС над собственными доходами,</w:t>
            </w:r>
          </w:p>
          <w:p w14:paraId="774B0913" w14:textId="77777777" w:rsidR="00B749E7" w:rsidRPr="00973149" w:rsidRDefault="00B749E7" w:rsidP="000E41FD">
            <w:pPr>
              <w:pStyle w:val="Default"/>
              <w:jc w:val="center"/>
              <w:rPr>
                <w:rFonts w:asciiTheme="majorHAnsi" w:hAnsiTheme="majorHAnsi" w:cstheme="majorHAnsi"/>
                <w:b/>
                <w:lang w:val="ru-MD"/>
              </w:rPr>
            </w:pPr>
            <w:r w:rsidRPr="00973149">
              <w:rPr>
                <w:rFonts w:asciiTheme="majorHAnsi" w:hAnsiTheme="majorHAnsi" w:cstheme="majorHAnsi"/>
                <w:b/>
                <w:iCs/>
                <w:lang w:val="ru-MD"/>
              </w:rPr>
              <w:t>млн. леев</w:t>
            </w:r>
          </w:p>
        </w:tc>
      </w:tr>
      <w:tr w:rsidR="00B749E7" w:rsidRPr="00EB56AE" w14:paraId="43F51207" w14:textId="77777777" w:rsidTr="000E41FD">
        <w:trPr>
          <w:trHeight w:val="130"/>
        </w:trPr>
        <w:tc>
          <w:tcPr>
            <w:tcW w:w="1446" w:type="dxa"/>
          </w:tcPr>
          <w:p w14:paraId="0EA39A10" w14:textId="77777777" w:rsidR="00B749E7" w:rsidRPr="00EB56AE" w:rsidRDefault="00B749E7" w:rsidP="000E41FD">
            <w:pPr>
              <w:pStyle w:val="Default"/>
              <w:jc w:val="center"/>
              <w:rPr>
                <w:rFonts w:asciiTheme="majorHAnsi" w:hAnsiTheme="majorHAnsi" w:cstheme="majorHAnsi"/>
                <w:lang w:val="ro-RO"/>
              </w:rPr>
            </w:pPr>
            <w:r w:rsidRPr="00EB56AE">
              <w:rPr>
                <w:rFonts w:asciiTheme="majorHAnsi" w:hAnsiTheme="majorHAnsi" w:cstheme="majorHAnsi"/>
                <w:b/>
                <w:bCs/>
                <w:lang w:val="ro-RO"/>
              </w:rPr>
              <w:t>2018</w:t>
            </w:r>
          </w:p>
        </w:tc>
        <w:tc>
          <w:tcPr>
            <w:tcW w:w="1447" w:type="dxa"/>
          </w:tcPr>
          <w:p w14:paraId="355A05F8" w14:textId="77777777" w:rsidR="00B749E7" w:rsidRPr="00EB56AE" w:rsidRDefault="00B749E7" w:rsidP="000E41FD">
            <w:pPr>
              <w:pStyle w:val="Default"/>
              <w:jc w:val="right"/>
              <w:rPr>
                <w:rFonts w:asciiTheme="majorHAnsi" w:hAnsiTheme="majorHAnsi" w:cstheme="majorHAnsi"/>
                <w:lang w:val="ro-RO"/>
              </w:rPr>
            </w:pPr>
            <w:r w:rsidRPr="00EB56AE">
              <w:rPr>
                <w:rFonts w:asciiTheme="majorHAnsi" w:hAnsiTheme="majorHAnsi" w:cstheme="majorHAnsi"/>
                <w:lang w:val="ro-RO"/>
              </w:rPr>
              <w:t>13</w:t>
            </w:r>
            <w:r>
              <w:rPr>
                <w:rFonts w:asciiTheme="majorHAnsi" w:hAnsiTheme="majorHAnsi" w:cstheme="majorHAnsi"/>
                <w:lang w:val="ro-RO"/>
              </w:rPr>
              <w:t xml:space="preserve"> </w:t>
            </w:r>
            <w:r w:rsidRPr="00EB56AE">
              <w:rPr>
                <w:rFonts w:asciiTheme="majorHAnsi" w:hAnsiTheme="majorHAnsi" w:cstheme="majorHAnsi"/>
                <w:lang w:val="ro-RO"/>
              </w:rPr>
              <w:t xml:space="preserve">962,5 </w:t>
            </w:r>
          </w:p>
        </w:tc>
        <w:tc>
          <w:tcPr>
            <w:tcW w:w="1447" w:type="dxa"/>
          </w:tcPr>
          <w:p w14:paraId="59A3D0BC" w14:textId="77777777" w:rsidR="00B749E7" w:rsidRPr="00EB56AE" w:rsidRDefault="00B749E7" w:rsidP="000E41FD">
            <w:pPr>
              <w:pStyle w:val="Default"/>
              <w:jc w:val="right"/>
              <w:rPr>
                <w:rFonts w:asciiTheme="majorHAnsi" w:hAnsiTheme="majorHAnsi" w:cstheme="majorHAnsi"/>
                <w:lang w:val="ro-RO"/>
              </w:rPr>
            </w:pPr>
            <w:r w:rsidRPr="00EB56AE">
              <w:rPr>
                <w:rFonts w:asciiTheme="majorHAnsi" w:hAnsiTheme="majorHAnsi" w:cstheme="majorHAnsi"/>
                <w:lang w:val="ro-RO"/>
              </w:rPr>
              <w:t xml:space="preserve">110,5 </w:t>
            </w:r>
          </w:p>
        </w:tc>
        <w:tc>
          <w:tcPr>
            <w:tcW w:w="1446" w:type="dxa"/>
          </w:tcPr>
          <w:p w14:paraId="7C8BADBC" w14:textId="77777777" w:rsidR="00B749E7" w:rsidRPr="00EB56AE" w:rsidRDefault="00B749E7" w:rsidP="000E41FD">
            <w:pPr>
              <w:pStyle w:val="Default"/>
              <w:jc w:val="right"/>
              <w:rPr>
                <w:rFonts w:asciiTheme="majorHAnsi" w:hAnsiTheme="majorHAnsi" w:cstheme="majorHAnsi"/>
                <w:lang w:val="ro-RO"/>
              </w:rPr>
            </w:pPr>
            <w:r w:rsidRPr="00EB56AE">
              <w:rPr>
                <w:rFonts w:asciiTheme="majorHAnsi" w:hAnsiTheme="majorHAnsi" w:cstheme="majorHAnsi"/>
                <w:lang w:val="ro-RO"/>
              </w:rPr>
              <w:t>13</w:t>
            </w:r>
            <w:r>
              <w:rPr>
                <w:rFonts w:asciiTheme="majorHAnsi" w:hAnsiTheme="majorHAnsi" w:cstheme="majorHAnsi"/>
                <w:lang w:val="ro-RO"/>
              </w:rPr>
              <w:t xml:space="preserve"> </w:t>
            </w:r>
            <w:r w:rsidRPr="00EB56AE">
              <w:rPr>
                <w:rFonts w:asciiTheme="majorHAnsi" w:hAnsiTheme="majorHAnsi" w:cstheme="majorHAnsi"/>
                <w:lang w:val="ro-RO"/>
              </w:rPr>
              <w:t xml:space="preserve">120,1 </w:t>
            </w:r>
          </w:p>
        </w:tc>
        <w:tc>
          <w:tcPr>
            <w:tcW w:w="1446" w:type="dxa"/>
          </w:tcPr>
          <w:p w14:paraId="159505A7" w14:textId="77777777" w:rsidR="00B749E7" w:rsidRPr="00EB56AE" w:rsidRDefault="00B749E7" w:rsidP="000E41FD">
            <w:pPr>
              <w:pStyle w:val="Default"/>
              <w:jc w:val="right"/>
              <w:rPr>
                <w:rFonts w:asciiTheme="majorHAnsi" w:hAnsiTheme="majorHAnsi" w:cstheme="majorHAnsi"/>
                <w:lang w:val="ro-RO"/>
              </w:rPr>
            </w:pPr>
            <w:r w:rsidRPr="00EB56AE">
              <w:rPr>
                <w:rFonts w:asciiTheme="majorHAnsi" w:hAnsiTheme="majorHAnsi" w:cstheme="majorHAnsi"/>
                <w:lang w:val="ro-RO"/>
              </w:rPr>
              <w:t xml:space="preserve">110,5 </w:t>
            </w:r>
          </w:p>
        </w:tc>
        <w:tc>
          <w:tcPr>
            <w:tcW w:w="2510" w:type="dxa"/>
          </w:tcPr>
          <w:p w14:paraId="110690FE" w14:textId="77777777" w:rsidR="00B749E7" w:rsidRPr="00EB56AE" w:rsidRDefault="00B749E7" w:rsidP="000E41FD">
            <w:pPr>
              <w:pStyle w:val="Default"/>
              <w:jc w:val="right"/>
              <w:rPr>
                <w:rFonts w:asciiTheme="majorHAnsi" w:hAnsiTheme="majorHAnsi" w:cstheme="majorHAnsi"/>
                <w:lang w:val="ro-RO"/>
              </w:rPr>
            </w:pPr>
            <w:r w:rsidRPr="00EB56AE">
              <w:rPr>
                <w:rFonts w:asciiTheme="majorHAnsi" w:hAnsiTheme="majorHAnsi" w:cstheme="majorHAnsi"/>
                <w:lang w:val="ro-RO"/>
              </w:rPr>
              <w:t xml:space="preserve">842,4 </w:t>
            </w:r>
          </w:p>
        </w:tc>
      </w:tr>
      <w:tr w:rsidR="00B749E7" w:rsidRPr="00EB56AE" w14:paraId="6FBD62DE" w14:textId="77777777" w:rsidTr="000E41FD">
        <w:trPr>
          <w:trHeight w:val="130"/>
        </w:trPr>
        <w:tc>
          <w:tcPr>
            <w:tcW w:w="1446" w:type="dxa"/>
          </w:tcPr>
          <w:p w14:paraId="2BC16166" w14:textId="77777777" w:rsidR="00B749E7" w:rsidRPr="00EB56AE" w:rsidRDefault="00B749E7" w:rsidP="000E41FD">
            <w:pPr>
              <w:pStyle w:val="Default"/>
              <w:jc w:val="center"/>
              <w:rPr>
                <w:rFonts w:asciiTheme="majorHAnsi" w:hAnsiTheme="majorHAnsi" w:cstheme="majorHAnsi"/>
                <w:lang w:val="ro-RO"/>
              </w:rPr>
            </w:pPr>
            <w:r w:rsidRPr="00EB56AE">
              <w:rPr>
                <w:rFonts w:asciiTheme="majorHAnsi" w:hAnsiTheme="majorHAnsi" w:cstheme="majorHAnsi"/>
                <w:b/>
                <w:bCs/>
                <w:lang w:val="ro-RO"/>
              </w:rPr>
              <w:t>2019</w:t>
            </w:r>
          </w:p>
        </w:tc>
        <w:tc>
          <w:tcPr>
            <w:tcW w:w="1447" w:type="dxa"/>
          </w:tcPr>
          <w:p w14:paraId="34C24B24" w14:textId="77777777" w:rsidR="00B749E7" w:rsidRPr="00EB56AE" w:rsidRDefault="00B749E7" w:rsidP="000E41FD">
            <w:pPr>
              <w:pStyle w:val="Default"/>
              <w:jc w:val="right"/>
              <w:rPr>
                <w:rFonts w:asciiTheme="majorHAnsi" w:hAnsiTheme="majorHAnsi" w:cstheme="majorHAnsi"/>
                <w:lang w:val="ro-RO"/>
              </w:rPr>
            </w:pPr>
            <w:r w:rsidRPr="00EB56AE">
              <w:rPr>
                <w:rFonts w:asciiTheme="majorHAnsi" w:hAnsiTheme="majorHAnsi" w:cstheme="majorHAnsi"/>
                <w:lang w:val="ro-RO"/>
              </w:rPr>
              <w:t>15</w:t>
            </w:r>
            <w:r>
              <w:rPr>
                <w:rFonts w:asciiTheme="majorHAnsi" w:hAnsiTheme="majorHAnsi" w:cstheme="majorHAnsi"/>
                <w:lang w:val="ro-RO"/>
              </w:rPr>
              <w:t xml:space="preserve"> </w:t>
            </w:r>
            <w:r w:rsidRPr="00EB56AE">
              <w:rPr>
                <w:rFonts w:asciiTheme="majorHAnsi" w:hAnsiTheme="majorHAnsi" w:cstheme="majorHAnsi"/>
                <w:lang w:val="ro-RO"/>
              </w:rPr>
              <w:t xml:space="preserve">686,0 </w:t>
            </w:r>
          </w:p>
        </w:tc>
        <w:tc>
          <w:tcPr>
            <w:tcW w:w="1447" w:type="dxa"/>
          </w:tcPr>
          <w:p w14:paraId="1CC969B0" w14:textId="77777777" w:rsidR="00B749E7" w:rsidRPr="00EB56AE" w:rsidRDefault="00B749E7" w:rsidP="000E41FD">
            <w:pPr>
              <w:pStyle w:val="Default"/>
              <w:jc w:val="right"/>
              <w:rPr>
                <w:rFonts w:asciiTheme="majorHAnsi" w:hAnsiTheme="majorHAnsi" w:cstheme="majorHAnsi"/>
                <w:lang w:val="ro-RO"/>
              </w:rPr>
            </w:pPr>
            <w:r w:rsidRPr="00EB56AE">
              <w:rPr>
                <w:rFonts w:asciiTheme="majorHAnsi" w:hAnsiTheme="majorHAnsi" w:cstheme="majorHAnsi"/>
                <w:lang w:val="ro-RO"/>
              </w:rPr>
              <w:t xml:space="preserve">112,3 </w:t>
            </w:r>
          </w:p>
        </w:tc>
        <w:tc>
          <w:tcPr>
            <w:tcW w:w="1446" w:type="dxa"/>
          </w:tcPr>
          <w:p w14:paraId="75E854F5" w14:textId="77777777" w:rsidR="00B749E7" w:rsidRPr="00EB56AE" w:rsidRDefault="00B749E7" w:rsidP="000E41FD">
            <w:pPr>
              <w:pStyle w:val="Default"/>
              <w:jc w:val="right"/>
              <w:rPr>
                <w:rFonts w:asciiTheme="majorHAnsi" w:hAnsiTheme="majorHAnsi" w:cstheme="majorHAnsi"/>
                <w:lang w:val="ro-RO"/>
              </w:rPr>
            </w:pPr>
            <w:r w:rsidRPr="00EB56AE">
              <w:rPr>
                <w:rFonts w:asciiTheme="majorHAnsi" w:hAnsiTheme="majorHAnsi" w:cstheme="majorHAnsi"/>
                <w:lang w:val="ro-RO"/>
              </w:rPr>
              <w:t>13</w:t>
            </w:r>
            <w:r>
              <w:rPr>
                <w:rFonts w:asciiTheme="majorHAnsi" w:hAnsiTheme="majorHAnsi" w:cstheme="majorHAnsi"/>
                <w:lang w:val="ro-RO"/>
              </w:rPr>
              <w:t xml:space="preserve"> </w:t>
            </w:r>
            <w:r w:rsidRPr="00EB56AE">
              <w:rPr>
                <w:rFonts w:asciiTheme="majorHAnsi" w:hAnsiTheme="majorHAnsi" w:cstheme="majorHAnsi"/>
                <w:lang w:val="ro-RO"/>
              </w:rPr>
              <w:t xml:space="preserve">791,4 </w:t>
            </w:r>
          </w:p>
        </w:tc>
        <w:tc>
          <w:tcPr>
            <w:tcW w:w="1446" w:type="dxa"/>
          </w:tcPr>
          <w:p w14:paraId="6D103AE7" w14:textId="77777777" w:rsidR="00B749E7" w:rsidRPr="00EB56AE" w:rsidRDefault="00B749E7" w:rsidP="000E41FD">
            <w:pPr>
              <w:pStyle w:val="Default"/>
              <w:jc w:val="right"/>
              <w:rPr>
                <w:rFonts w:asciiTheme="majorHAnsi" w:hAnsiTheme="majorHAnsi" w:cstheme="majorHAnsi"/>
                <w:lang w:val="ro-RO"/>
              </w:rPr>
            </w:pPr>
            <w:r w:rsidRPr="00EB56AE">
              <w:rPr>
                <w:rFonts w:asciiTheme="majorHAnsi" w:hAnsiTheme="majorHAnsi" w:cstheme="majorHAnsi"/>
                <w:lang w:val="ro-RO"/>
              </w:rPr>
              <w:t xml:space="preserve">105,1 </w:t>
            </w:r>
          </w:p>
        </w:tc>
        <w:tc>
          <w:tcPr>
            <w:tcW w:w="2510" w:type="dxa"/>
          </w:tcPr>
          <w:p w14:paraId="22B0B285" w14:textId="77777777" w:rsidR="00B749E7" w:rsidRPr="00EB56AE" w:rsidRDefault="00B749E7" w:rsidP="000E41FD">
            <w:pPr>
              <w:pStyle w:val="Default"/>
              <w:jc w:val="right"/>
              <w:rPr>
                <w:rFonts w:asciiTheme="majorHAnsi" w:hAnsiTheme="majorHAnsi" w:cstheme="majorHAnsi"/>
                <w:lang w:val="ro-RO"/>
              </w:rPr>
            </w:pPr>
            <w:r w:rsidRPr="00EB56AE">
              <w:rPr>
                <w:rFonts w:asciiTheme="majorHAnsi" w:hAnsiTheme="majorHAnsi" w:cstheme="majorHAnsi"/>
                <w:lang w:val="ro-RO"/>
              </w:rPr>
              <w:t>1</w:t>
            </w:r>
            <w:r>
              <w:rPr>
                <w:rFonts w:asciiTheme="majorHAnsi" w:hAnsiTheme="majorHAnsi" w:cstheme="majorHAnsi"/>
                <w:lang w:val="ro-RO"/>
              </w:rPr>
              <w:t xml:space="preserve"> </w:t>
            </w:r>
            <w:r w:rsidRPr="00EB56AE">
              <w:rPr>
                <w:rFonts w:asciiTheme="majorHAnsi" w:hAnsiTheme="majorHAnsi" w:cstheme="majorHAnsi"/>
                <w:lang w:val="ro-RO"/>
              </w:rPr>
              <w:t xml:space="preserve">894,6 </w:t>
            </w:r>
          </w:p>
        </w:tc>
      </w:tr>
      <w:tr w:rsidR="00B749E7" w:rsidRPr="00403833" w14:paraId="7574989E" w14:textId="77777777" w:rsidTr="000E41FD">
        <w:trPr>
          <w:trHeight w:val="130"/>
        </w:trPr>
        <w:tc>
          <w:tcPr>
            <w:tcW w:w="1446" w:type="dxa"/>
          </w:tcPr>
          <w:p w14:paraId="4F86D496" w14:textId="77777777" w:rsidR="00B749E7" w:rsidRPr="00403833" w:rsidRDefault="00B749E7" w:rsidP="000E41FD">
            <w:pPr>
              <w:pStyle w:val="Default"/>
              <w:jc w:val="center"/>
              <w:rPr>
                <w:rFonts w:asciiTheme="majorHAnsi" w:hAnsiTheme="majorHAnsi" w:cstheme="majorHAnsi"/>
                <w:lang w:val="ro-RO"/>
              </w:rPr>
            </w:pPr>
            <w:r w:rsidRPr="00403833">
              <w:rPr>
                <w:rFonts w:asciiTheme="majorHAnsi" w:hAnsiTheme="majorHAnsi" w:cstheme="majorHAnsi"/>
                <w:b/>
                <w:bCs/>
                <w:lang w:val="ro-RO"/>
              </w:rPr>
              <w:t>2020</w:t>
            </w:r>
          </w:p>
        </w:tc>
        <w:tc>
          <w:tcPr>
            <w:tcW w:w="1447" w:type="dxa"/>
          </w:tcPr>
          <w:p w14:paraId="029654BD" w14:textId="77777777" w:rsidR="00B749E7" w:rsidRPr="00403833" w:rsidRDefault="00B749E7" w:rsidP="000E41FD">
            <w:pPr>
              <w:pStyle w:val="Default"/>
              <w:jc w:val="right"/>
              <w:rPr>
                <w:rFonts w:asciiTheme="majorHAnsi" w:hAnsiTheme="majorHAnsi" w:cstheme="majorHAnsi"/>
                <w:lang w:val="ro-RO"/>
              </w:rPr>
            </w:pPr>
            <w:r w:rsidRPr="00403833">
              <w:rPr>
                <w:rFonts w:asciiTheme="majorHAnsi" w:hAnsiTheme="majorHAnsi" w:cstheme="majorHAnsi"/>
                <w:lang w:val="ro-RO"/>
              </w:rPr>
              <w:t xml:space="preserve">17 138,8 </w:t>
            </w:r>
          </w:p>
        </w:tc>
        <w:tc>
          <w:tcPr>
            <w:tcW w:w="1447" w:type="dxa"/>
          </w:tcPr>
          <w:p w14:paraId="5C3D8CC2" w14:textId="77777777" w:rsidR="00B749E7" w:rsidRPr="00403833" w:rsidRDefault="00B749E7" w:rsidP="000E41FD">
            <w:pPr>
              <w:pStyle w:val="Default"/>
              <w:jc w:val="right"/>
              <w:rPr>
                <w:rFonts w:asciiTheme="majorHAnsi" w:hAnsiTheme="majorHAnsi" w:cstheme="majorHAnsi"/>
                <w:lang w:val="ro-RO"/>
              </w:rPr>
            </w:pPr>
            <w:r w:rsidRPr="00403833">
              <w:rPr>
                <w:rFonts w:asciiTheme="majorHAnsi" w:hAnsiTheme="majorHAnsi" w:cstheme="majorHAnsi"/>
                <w:lang w:val="ro-RO"/>
              </w:rPr>
              <w:t xml:space="preserve">109,3 </w:t>
            </w:r>
          </w:p>
        </w:tc>
        <w:tc>
          <w:tcPr>
            <w:tcW w:w="1446" w:type="dxa"/>
          </w:tcPr>
          <w:p w14:paraId="404DCDDD" w14:textId="77777777" w:rsidR="00B749E7" w:rsidRPr="00403833" w:rsidRDefault="00B749E7" w:rsidP="000E41FD">
            <w:pPr>
              <w:pStyle w:val="Default"/>
              <w:jc w:val="right"/>
              <w:rPr>
                <w:rFonts w:asciiTheme="majorHAnsi" w:hAnsiTheme="majorHAnsi" w:cstheme="majorHAnsi"/>
                <w:lang w:val="ro-RO"/>
              </w:rPr>
            </w:pPr>
            <w:r w:rsidRPr="00403833">
              <w:rPr>
                <w:rFonts w:asciiTheme="majorHAnsi" w:hAnsiTheme="majorHAnsi" w:cstheme="majorHAnsi"/>
                <w:lang w:val="ro-RO"/>
              </w:rPr>
              <w:t xml:space="preserve">14 516,2 </w:t>
            </w:r>
          </w:p>
        </w:tc>
        <w:tc>
          <w:tcPr>
            <w:tcW w:w="1446" w:type="dxa"/>
          </w:tcPr>
          <w:p w14:paraId="03DF6A89" w14:textId="77777777" w:rsidR="00B749E7" w:rsidRPr="00403833" w:rsidRDefault="00B749E7" w:rsidP="000E41FD">
            <w:pPr>
              <w:pStyle w:val="Default"/>
              <w:jc w:val="right"/>
              <w:rPr>
                <w:rFonts w:asciiTheme="majorHAnsi" w:hAnsiTheme="majorHAnsi" w:cstheme="majorHAnsi"/>
                <w:lang w:val="ro-RO"/>
              </w:rPr>
            </w:pPr>
            <w:r w:rsidRPr="00403833">
              <w:rPr>
                <w:rFonts w:asciiTheme="majorHAnsi" w:hAnsiTheme="majorHAnsi" w:cstheme="majorHAnsi"/>
                <w:lang w:val="ro-RO"/>
              </w:rPr>
              <w:t xml:space="preserve">105,3 </w:t>
            </w:r>
          </w:p>
        </w:tc>
        <w:tc>
          <w:tcPr>
            <w:tcW w:w="2510" w:type="dxa"/>
          </w:tcPr>
          <w:p w14:paraId="2D06B5AE" w14:textId="77777777" w:rsidR="00B749E7" w:rsidRPr="00403833" w:rsidRDefault="00B749E7" w:rsidP="000E41FD">
            <w:pPr>
              <w:pStyle w:val="Default"/>
              <w:jc w:val="right"/>
              <w:rPr>
                <w:rFonts w:asciiTheme="majorHAnsi" w:hAnsiTheme="majorHAnsi" w:cstheme="majorHAnsi"/>
                <w:lang w:val="ro-RO"/>
              </w:rPr>
            </w:pPr>
            <w:r w:rsidRPr="00403833">
              <w:rPr>
                <w:rFonts w:asciiTheme="majorHAnsi" w:hAnsiTheme="majorHAnsi" w:cstheme="majorHAnsi"/>
                <w:lang w:val="ro-RO"/>
              </w:rPr>
              <w:t xml:space="preserve">2 622,6 </w:t>
            </w:r>
          </w:p>
        </w:tc>
      </w:tr>
      <w:tr w:rsidR="00B749E7" w:rsidRPr="00403833" w14:paraId="3E354778" w14:textId="77777777" w:rsidTr="000E41FD">
        <w:trPr>
          <w:trHeight w:val="130"/>
        </w:trPr>
        <w:tc>
          <w:tcPr>
            <w:tcW w:w="1446" w:type="dxa"/>
          </w:tcPr>
          <w:p w14:paraId="150FDF62" w14:textId="77777777" w:rsidR="00B749E7" w:rsidRPr="00403833" w:rsidRDefault="00B749E7" w:rsidP="000E41FD">
            <w:pPr>
              <w:pStyle w:val="Default"/>
              <w:jc w:val="center"/>
              <w:rPr>
                <w:rFonts w:asciiTheme="majorHAnsi" w:hAnsiTheme="majorHAnsi" w:cstheme="majorHAnsi"/>
                <w:lang w:val="ro-RO"/>
              </w:rPr>
            </w:pPr>
            <w:r w:rsidRPr="00403833">
              <w:rPr>
                <w:rFonts w:asciiTheme="majorHAnsi" w:hAnsiTheme="majorHAnsi" w:cstheme="majorHAnsi"/>
                <w:b/>
                <w:bCs/>
                <w:lang w:val="ro-RO"/>
              </w:rPr>
              <w:t>2021</w:t>
            </w:r>
          </w:p>
        </w:tc>
        <w:tc>
          <w:tcPr>
            <w:tcW w:w="1447" w:type="dxa"/>
          </w:tcPr>
          <w:p w14:paraId="1CF9815B" w14:textId="77777777" w:rsidR="00B749E7" w:rsidRPr="00403833" w:rsidRDefault="00B749E7" w:rsidP="000E41FD">
            <w:pPr>
              <w:pStyle w:val="Default"/>
              <w:jc w:val="right"/>
              <w:rPr>
                <w:rFonts w:asciiTheme="majorHAnsi" w:hAnsiTheme="majorHAnsi" w:cstheme="majorHAnsi"/>
                <w:lang w:val="ro-RO"/>
              </w:rPr>
            </w:pPr>
            <w:r w:rsidRPr="00403833">
              <w:rPr>
                <w:rFonts w:asciiTheme="majorHAnsi" w:hAnsiTheme="majorHAnsi" w:cstheme="majorHAnsi"/>
                <w:lang w:val="ro-RO"/>
              </w:rPr>
              <w:t xml:space="preserve">19 343,2 </w:t>
            </w:r>
          </w:p>
        </w:tc>
        <w:tc>
          <w:tcPr>
            <w:tcW w:w="1447" w:type="dxa"/>
          </w:tcPr>
          <w:p w14:paraId="2AE42FDD" w14:textId="77777777" w:rsidR="00B749E7" w:rsidRPr="00403833" w:rsidRDefault="00B749E7" w:rsidP="000E41FD">
            <w:pPr>
              <w:pStyle w:val="Default"/>
              <w:jc w:val="right"/>
              <w:rPr>
                <w:rFonts w:asciiTheme="majorHAnsi" w:hAnsiTheme="majorHAnsi" w:cstheme="majorHAnsi"/>
                <w:lang w:val="ro-RO"/>
              </w:rPr>
            </w:pPr>
            <w:r w:rsidRPr="00403833">
              <w:rPr>
                <w:rFonts w:asciiTheme="majorHAnsi" w:hAnsiTheme="majorHAnsi" w:cstheme="majorHAnsi"/>
                <w:lang w:val="ro-RO"/>
              </w:rPr>
              <w:t xml:space="preserve">112,9 </w:t>
            </w:r>
          </w:p>
        </w:tc>
        <w:tc>
          <w:tcPr>
            <w:tcW w:w="1446" w:type="dxa"/>
          </w:tcPr>
          <w:p w14:paraId="0F0D06C8" w14:textId="77777777" w:rsidR="00B749E7" w:rsidRPr="00403833" w:rsidRDefault="00B749E7" w:rsidP="000E41FD">
            <w:pPr>
              <w:pStyle w:val="Default"/>
              <w:jc w:val="right"/>
              <w:rPr>
                <w:rFonts w:asciiTheme="majorHAnsi" w:hAnsiTheme="majorHAnsi" w:cstheme="majorHAnsi"/>
                <w:lang w:val="ro-RO"/>
              </w:rPr>
            </w:pPr>
            <w:r w:rsidRPr="00403833">
              <w:rPr>
                <w:rFonts w:asciiTheme="majorHAnsi" w:hAnsiTheme="majorHAnsi" w:cstheme="majorHAnsi"/>
                <w:lang w:val="ro-RO"/>
              </w:rPr>
              <w:t xml:space="preserve">16 522,1 </w:t>
            </w:r>
          </w:p>
        </w:tc>
        <w:tc>
          <w:tcPr>
            <w:tcW w:w="1446" w:type="dxa"/>
          </w:tcPr>
          <w:p w14:paraId="01C9E3CD" w14:textId="77777777" w:rsidR="00B749E7" w:rsidRPr="00403833" w:rsidRDefault="00B749E7" w:rsidP="000E41FD">
            <w:pPr>
              <w:pStyle w:val="Default"/>
              <w:jc w:val="right"/>
              <w:rPr>
                <w:rFonts w:asciiTheme="majorHAnsi" w:hAnsiTheme="majorHAnsi" w:cstheme="majorHAnsi"/>
                <w:lang w:val="ro-RO"/>
              </w:rPr>
            </w:pPr>
            <w:r w:rsidRPr="00403833">
              <w:rPr>
                <w:rFonts w:asciiTheme="majorHAnsi" w:hAnsiTheme="majorHAnsi" w:cstheme="majorHAnsi"/>
                <w:lang w:val="ro-RO"/>
              </w:rPr>
              <w:t xml:space="preserve">113,8 </w:t>
            </w:r>
          </w:p>
        </w:tc>
        <w:tc>
          <w:tcPr>
            <w:tcW w:w="2510" w:type="dxa"/>
          </w:tcPr>
          <w:p w14:paraId="3934EB57" w14:textId="77777777" w:rsidR="00B749E7" w:rsidRPr="00403833" w:rsidRDefault="00B749E7" w:rsidP="000E41FD">
            <w:pPr>
              <w:pStyle w:val="Default"/>
              <w:jc w:val="right"/>
              <w:rPr>
                <w:rFonts w:asciiTheme="majorHAnsi" w:hAnsiTheme="majorHAnsi" w:cstheme="majorHAnsi"/>
                <w:lang w:val="ro-RO"/>
              </w:rPr>
            </w:pPr>
            <w:r w:rsidRPr="00403833">
              <w:rPr>
                <w:rFonts w:asciiTheme="majorHAnsi" w:hAnsiTheme="majorHAnsi" w:cstheme="majorHAnsi"/>
                <w:lang w:val="ro-RO"/>
              </w:rPr>
              <w:t xml:space="preserve">2 821,1 </w:t>
            </w:r>
          </w:p>
        </w:tc>
      </w:tr>
      <w:tr w:rsidR="00B749E7" w:rsidRPr="00403833" w14:paraId="1DCC8007" w14:textId="77777777" w:rsidTr="000E41FD">
        <w:trPr>
          <w:trHeight w:val="130"/>
        </w:trPr>
        <w:tc>
          <w:tcPr>
            <w:tcW w:w="1446" w:type="dxa"/>
          </w:tcPr>
          <w:p w14:paraId="1D038F6D" w14:textId="77777777" w:rsidR="00B749E7" w:rsidRPr="00403833" w:rsidRDefault="00B749E7" w:rsidP="000E41FD">
            <w:pPr>
              <w:pStyle w:val="Default"/>
              <w:jc w:val="center"/>
              <w:rPr>
                <w:rFonts w:asciiTheme="majorHAnsi" w:hAnsiTheme="majorHAnsi" w:cstheme="majorHAnsi"/>
                <w:b/>
                <w:bCs/>
                <w:lang w:val="ro-RO"/>
              </w:rPr>
            </w:pPr>
            <w:r w:rsidRPr="00403833">
              <w:rPr>
                <w:rFonts w:asciiTheme="majorHAnsi" w:hAnsiTheme="majorHAnsi" w:cstheme="majorHAnsi"/>
                <w:b/>
                <w:bCs/>
                <w:lang w:val="ro-RO"/>
              </w:rPr>
              <w:t>2022</w:t>
            </w:r>
          </w:p>
        </w:tc>
        <w:tc>
          <w:tcPr>
            <w:tcW w:w="1447" w:type="dxa"/>
          </w:tcPr>
          <w:p w14:paraId="2CA2115B" w14:textId="77777777" w:rsidR="00B749E7" w:rsidRPr="00403833" w:rsidRDefault="00B749E7" w:rsidP="000E41FD">
            <w:pPr>
              <w:pStyle w:val="Default"/>
              <w:jc w:val="right"/>
              <w:rPr>
                <w:rFonts w:asciiTheme="majorHAnsi" w:hAnsiTheme="majorHAnsi" w:cstheme="majorHAnsi"/>
                <w:lang w:val="ro-RO"/>
              </w:rPr>
            </w:pPr>
            <w:r w:rsidRPr="00403833">
              <w:rPr>
                <w:rFonts w:asciiTheme="majorHAnsi" w:hAnsiTheme="majorHAnsi" w:cstheme="majorHAnsi"/>
                <w:lang w:val="ro-RO"/>
              </w:rPr>
              <w:t>23 559,4</w:t>
            </w:r>
          </w:p>
        </w:tc>
        <w:tc>
          <w:tcPr>
            <w:tcW w:w="1447" w:type="dxa"/>
          </w:tcPr>
          <w:p w14:paraId="608091D8" w14:textId="77777777" w:rsidR="00B749E7" w:rsidRPr="00403833" w:rsidRDefault="00B749E7" w:rsidP="000E41FD">
            <w:pPr>
              <w:pStyle w:val="Default"/>
              <w:jc w:val="right"/>
              <w:rPr>
                <w:rFonts w:asciiTheme="majorHAnsi" w:hAnsiTheme="majorHAnsi" w:cstheme="majorHAnsi"/>
                <w:lang w:val="ro-RO"/>
              </w:rPr>
            </w:pPr>
            <w:r w:rsidRPr="00403833">
              <w:rPr>
                <w:rFonts w:asciiTheme="majorHAnsi" w:hAnsiTheme="majorHAnsi" w:cstheme="majorHAnsi"/>
                <w:lang w:val="ro-RO"/>
              </w:rPr>
              <w:t>117,8</w:t>
            </w:r>
          </w:p>
        </w:tc>
        <w:tc>
          <w:tcPr>
            <w:tcW w:w="1446" w:type="dxa"/>
          </w:tcPr>
          <w:p w14:paraId="3F67F7BE" w14:textId="77777777" w:rsidR="00B749E7" w:rsidRPr="00403833" w:rsidRDefault="00B749E7" w:rsidP="000E41FD">
            <w:pPr>
              <w:pStyle w:val="Default"/>
              <w:jc w:val="right"/>
              <w:rPr>
                <w:rFonts w:asciiTheme="majorHAnsi" w:hAnsiTheme="majorHAnsi" w:cstheme="majorHAnsi"/>
                <w:lang w:val="ro-RO"/>
              </w:rPr>
            </w:pPr>
            <w:r w:rsidRPr="00403833">
              <w:rPr>
                <w:rFonts w:asciiTheme="majorHAnsi" w:hAnsiTheme="majorHAnsi" w:cstheme="majorHAnsi"/>
                <w:lang w:val="ro-RO"/>
              </w:rPr>
              <w:t>18 656,8</w:t>
            </w:r>
          </w:p>
        </w:tc>
        <w:tc>
          <w:tcPr>
            <w:tcW w:w="1446" w:type="dxa"/>
          </w:tcPr>
          <w:p w14:paraId="1297F98F" w14:textId="77777777" w:rsidR="00B749E7" w:rsidRPr="00403833" w:rsidRDefault="00B749E7" w:rsidP="000E41FD">
            <w:pPr>
              <w:pStyle w:val="Default"/>
              <w:jc w:val="right"/>
              <w:rPr>
                <w:rFonts w:asciiTheme="majorHAnsi" w:hAnsiTheme="majorHAnsi" w:cstheme="majorHAnsi"/>
                <w:lang w:val="ro-RO"/>
              </w:rPr>
            </w:pPr>
            <w:r w:rsidRPr="00403833">
              <w:rPr>
                <w:rFonts w:asciiTheme="majorHAnsi" w:hAnsiTheme="majorHAnsi" w:cstheme="majorHAnsi"/>
                <w:lang w:val="ro-RO"/>
              </w:rPr>
              <w:t>112,9</w:t>
            </w:r>
          </w:p>
        </w:tc>
        <w:tc>
          <w:tcPr>
            <w:tcW w:w="2510" w:type="dxa"/>
          </w:tcPr>
          <w:p w14:paraId="6B4DAC01" w14:textId="77777777" w:rsidR="00B749E7" w:rsidRPr="00403833" w:rsidRDefault="00B749E7" w:rsidP="000E41FD">
            <w:pPr>
              <w:pStyle w:val="Default"/>
              <w:jc w:val="right"/>
              <w:rPr>
                <w:rFonts w:asciiTheme="majorHAnsi" w:hAnsiTheme="majorHAnsi" w:cstheme="majorHAnsi"/>
                <w:lang w:val="ro-RO"/>
              </w:rPr>
            </w:pPr>
            <w:r w:rsidRPr="00403833">
              <w:rPr>
                <w:rFonts w:asciiTheme="majorHAnsi" w:hAnsiTheme="majorHAnsi" w:cstheme="majorHAnsi"/>
                <w:lang w:val="ro-RO"/>
              </w:rPr>
              <w:t>4 902,6</w:t>
            </w:r>
          </w:p>
        </w:tc>
      </w:tr>
    </w:tbl>
    <w:p w14:paraId="4958421E" w14:textId="77777777" w:rsidR="00B749E7" w:rsidRPr="008102F7" w:rsidRDefault="00B749E7" w:rsidP="00B749E7">
      <w:pPr>
        <w:tabs>
          <w:tab w:val="left" w:pos="426"/>
          <w:tab w:val="left" w:pos="709"/>
          <w:tab w:val="left" w:pos="993"/>
        </w:tabs>
        <w:spacing w:line="276" w:lineRule="auto"/>
        <w:jc w:val="both"/>
        <w:rPr>
          <w:rFonts w:asciiTheme="majorHAnsi" w:hAnsiTheme="majorHAnsi" w:cstheme="majorHAnsi"/>
          <w:i/>
          <w:sz w:val="20"/>
          <w:szCs w:val="20"/>
          <w:lang w:val="ru-MD"/>
        </w:rPr>
      </w:pPr>
      <w:r w:rsidRPr="008102F7">
        <w:rPr>
          <w:rFonts w:asciiTheme="majorHAnsi" w:hAnsiTheme="majorHAnsi" w:cstheme="majorHAnsi"/>
          <w:i/>
          <w:sz w:val="20"/>
          <w:szCs w:val="20"/>
          <w:lang w:val="ru-MD"/>
        </w:rPr>
        <w:t>Источник: Отчеты об исполнении БГСС за 2018-2022 годы.</w:t>
      </w:r>
    </w:p>
    <w:p w14:paraId="59ED4DDE" w14:textId="1CB9053D" w:rsidR="00B749E7" w:rsidRPr="008102F7" w:rsidRDefault="00B749E7" w:rsidP="00B749E7">
      <w:pPr>
        <w:tabs>
          <w:tab w:val="left" w:pos="426"/>
          <w:tab w:val="left" w:pos="709"/>
          <w:tab w:val="left" w:pos="993"/>
        </w:tabs>
        <w:spacing w:line="276" w:lineRule="auto"/>
        <w:jc w:val="both"/>
        <w:rPr>
          <w:rFonts w:asciiTheme="majorHAnsi" w:hAnsiTheme="majorHAnsi" w:cstheme="majorHAnsi"/>
          <w:sz w:val="24"/>
          <w:szCs w:val="24"/>
          <w:lang w:val="ru-MD"/>
        </w:rPr>
      </w:pPr>
      <w:r w:rsidRPr="008102F7">
        <w:rPr>
          <w:rFonts w:asciiTheme="majorHAnsi" w:hAnsiTheme="majorHAnsi" w:cstheme="majorHAnsi"/>
          <w:sz w:val="24"/>
          <w:szCs w:val="24"/>
          <w:lang w:val="ru-MD"/>
        </w:rPr>
        <w:t xml:space="preserve">Устойчивость системы государственного социального страхования может быть обеспечена только в условиях покрытия расходов на пособия социального страхования собственными доходами, поступающими в бюджет государственного социального страхования. В этом контексте отмечается, что темпы роста </w:t>
      </w:r>
      <w:r w:rsidR="00A33CB8" w:rsidRPr="008102F7">
        <w:rPr>
          <w:rFonts w:asciiTheme="majorHAnsi" w:hAnsiTheme="majorHAnsi" w:cstheme="majorHAnsi"/>
          <w:sz w:val="24"/>
          <w:szCs w:val="24"/>
          <w:lang w:val="ru-MD"/>
        </w:rPr>
        <w:t xml:space="preserve">понесенных </w:t>
      </w:r>
      <w:r w:rsidRPr="008102F7">
        <w:rPr>
          <w:rFonts w:asciiTheme="majorHAnsi" w:hAnsiTheme="majorHAnsi" w:cstheme="majorHAnsi"/>
          <w:sz w:val="24"/>
          <w:szCs w:val="24"/>
          <w:lang w:val="ru-MD"/>
        </w:rPr>
        <w:t>расходов</w:t>
      </w:r>
      <w:r w:rsidR="00A33CB8">
        <w:rPr>
          <w:rFonts w:asciiTheme="majorHAnsi" w:hAnsiTheme="majorHAnsi" w:cstheme="majorHAnsi"/>
          <w:sz w:val="24"/>
          <w:szCs w:val="24"/>
          <w:lang w:val="ru-MD"/>
        </w:rPr>
        <w:t xml:space="preserve"> из</w:t>
      </w:r>
      <w:r w:rsidRPr="008102F7">
        <w:rPr>
          <w:rFonts w:asciiTheme="majorHAnsi" w:hAnsiTheme="majorHAnsi" w:cstheme="majorHAnsi"/>
          <w:sz w:val="24"/>
          <w:szCs w:val="24"/>
          <w:lang w:val="ru-MD"/>
        </w:rPr>
        <w:t xml:space="preserve"> БГСС (168,7%) в 2022 году</w:t>
      </w:r>
      <w:r w:rsidR="00A33CB8">
        <w:rPr>
          <w:rFonts w:asciiTheme="majorHAnsi" w:hAnsiTheme="majorHAnsi" w:cstheme="majorHAnsi"/>
          <w:sz w:val="24"/>
          <w:szCs w:val="24"/>
          <w:lang w:val="ru-MD"/>
        </w:rPr>
        <w:t>,</w:t>
      </w:r>
      <w:r w:rsidRPr="008102F7">
        <w:rPr>
          <w:rFonts w:asciiTheme="majorHAnsi" w:hAnsiTheme="majorHAnsi" w:cstheme="majorHAnsi"/>
          <w:sz w:val="24"/>
          <w:szCs w:val="24"/>
          <w:lang w:val="ru-MD"/>
        </w:rPr>
        <w:t xml:space="preserve"> по сравнению с 2018 годом, превысили темпы роста собственных доходов (142,3%) на 26,5 процентных пункта (Таблица №5), что обусловило запрос необходимых финансовых средств для покрытия дефицита. Этот факт был вызван недостаточностью собственных доходов, используемых для покрытия расходов, исходя из необходимости обеспечения выплаты социальных пособий бенефициарам/гражданам в установленные сроки. </w:t>
      </w:r>
    </w:p>
    <w:p w14:paraId="7FD116BC" w14:textId="77777777" w:rsidR="00B749E7" w:rsidRPr="008102F7" w:rsidRDefault="00B749E7" w:rsidP="00B749E7">
      <w:pPr>
        <w:spacing w:after="0" w:line="276" w:lineRule="auto"/>
        <w:jc w:val="right"/>
        <w:rPr>
          <w:rFonts w:asciiTheme="majorHAnsi" w:hAnsiTheme="majorHAnsi" w:cstheme="majorHAnsi"/>
          <w:b/>
          <w:sz w:val="24"/>
          <w:szCs w:val="24"/>
          <w:lang w:val="ru-MD"/>
        </w:rPr>
      </w:pPr>
      <w:r w:rsidRPr="008102F7">
        <w:rPr>
          <w:rFonts w:asciiTheme="majorHAnsi" w:hAnsiTheme="majorHAnsi" w:cstheme="majorHAnsi"/>
          <w:b/>
          <w:sz w:val="24"/>
          <w:szCs w:val="24"/>
          <w:lang w:val="ru-MD"/>
        </w:rPr>
        <w:t>Таблица №5</w:t>
      </w:r>
    </w:p>
    <w:p w14:paraId="13622961" w14:textId="77777777" w:rsidR="00B749E7" w:rsidRPr="008102F7" w:rsidRDefault="00B749E7" w:rsidP="00B749E7">
      <w:pPr>
        <w:tabs>
          <w:tab w:val="left" w:pos="426"/>
          <w:tab w:val="left" w:pos="709"/>
          <w:tab w:val="left" w:pos="993"/>
        </w:tabs>
        <w:spacing w:after="0" w:line="276" w:lineRule="auto"/>
        <w:jc w:val="center"/>
        <w:rPr>
          <w:rFonts w:asciiTheme="majorHAnsi" w:hAnsiTheme="majorHAnsi" w:cstheme="majorHAnsi"/>
          <w:b/>
          <w:sz w:val="24"/>
          <w:szCs w:val="24"/>
          <w:lang w:val="ru-MD"/>
        </w:rPr>
      </w:pPr>
      <w:r w:rsidRPr="008102F7">
        <w:rPr>
          <w:rFonts w:asciiTheme="majorHAnsi" w:hAnsiTheme="majorHAnsi" w:cstheme="majorHAnsi"/>
          <w:b/>
          <w:sz w:val="24"/>
          <w:szCs w:val="24"/>
          <w:lang w:val="ru-MD"/>
        </w:rPr>
        <w:t>Темпы роста расходов по сравнению с темпами роста доходов за 2018-2022 годы</w:t>
      </w:r>
    </w:p>
    <w:tbl>
      <w:tblPr>
        <w:tblStyle w:val="af1"/>
        <w:tblW w:w="9634" w:type="dxa"/>
        <w:tblLook w:val="04A0" w:firstRow="1" w:lastRow="0" w:firstColumn="1" w:lastColumn="0" w:noHBand="0" w:noVBand="1"/>
      </w:tblPr>
      <w:tblGrid>
        <w:gridCol w:w="846"/>
        <w:gridCol w:w="6520"/>
        <w:gridCol w:w="2268"/>
      </w:tblGrid>
      <w:tr w:rsidR="00B749E7" w:rsidRPr="008102F7" w14:paraId="1F25E2AA" w14:textId="77777777" w:rsidTr="000E41FD">
        <w:trPr>
          <w:trHeight w:val="633"/>
        </w:trPr>
        <w:tc>
          <w:tcPr>
            <w:tcW w:w="846" w:type="dxa"/>
            <w:vAlign w:val="center"/>
          </w:tcPr>
          <w:p w14:paraId="37DA241D" w14:textId="77777777" w:rsidR="00B749E7" w:rsidRPr="008102F7" w:rsidRDefault="00B749E7" w:rsidP="000E41FD">
            <w:pPr>
              <w:tabs>
                <w:tab w:val="left" w:pos="426"/>
                <w:tab w:val="left" w:pos="709"/>
                <w:tab w:val="left" w:pos="993"/>
              </w:tabs>
              <w:spacing w:line="276" w:lineRule="auto"/>
              <w:jc w:val="center"/>
              <w:rPr>
                <w:rFonts w:asciiTheme="majorHAnsi" w:hAnsiTheme="majorHAnsi" w:cstheme="majorHAnsi"/>
                <w:b/>
                <w:sz w:val="24"/>
                <w:szCs w:val="24"/>
                <w:lang w:val="ru-MD"/>
              </w:rPr>
            </w:pPr>
            <w:r w:rsidRPr="008102F7">
              <w:rPr>
                <w:rFonts w:asciiTheme="majorHAnsi" w:hAnsiTheme="majorHAnsi" w:cstheme="majorHAnsi"/>
                <w:b/>
                <w:sz w:val="24"/>
                <w:szCs w:val="24"/>
                <w:lang w:val="ru-MD"/>
              </w:rPr>
              <w:t>№</w:t>
            </w:r>
          </w:p>
        </w:tc>
        <w:tc>
          <w:tcPr>
            <w:tcW w:w="6520" w:type="dxa"/>
            <w:vAlign w:val="center"/>
          </w:tcPr>
          <w:p w14:paraId="46A83704" w14:textId="77777777" w:rsidR="00B749E7" w:rsidRPr="008102F7" w:rsidRDefault="00B749E7" w:rsidP="000E41FD">
            <w:pPr>
              <w:tabs>
                <w:tab w:val="left" w:pos="426"/>
                <w:tab w:val="left" w:pos="709"/>
                <w:tab w:val="left" w:pos="993"/>
              </w:tabs>
              <w:spacing w:line="276" w:lineRule="auto"/>
              <w:jc w:val="center"/>
              <w:rPr>
                <w:rFonts w:asciiTheme="majorHAnsi" w:hAnsiTheme="majorHAnsi" w:cstheme="majorHAnsi"/>
                <w:b/>
                <w:sz w:val="24"/>
                <w:szCs w:val="24"/>
                <w:lang w:val="ru-MD"/>
              </w:rPr>
            </w:pPr>
            <w:r w:rsidRPr="008102F7">
              <w:rPr>
                <w:rFonts w:asciiTheme="majorHAnsi" w:hAnsiTheme="majorHAnsi" w:cstheme="majorHAnsi"/>
                <w:b/>
                <w:sz w:val="24"/>
                <w:szCs w:val="24"/>
                <w:lang w:val="ru-MD"/>
              </w:rPr>
              <w:t>Показатели</w:t>
            </w:r>
          </w:p>
        </w:tc>
        <w:tc>
          <w:tcPr>
            <w:tcW w:w="2268" w:type="dxa"/>
            <w:vAlign w:val="center"/>
          </w:tcPr>
          <w:p w14:paraId="3E535D0F" w14:textId="77777777" w:rsidR="00B749E7" w:rsidRPr="008102F7" w:rsidRDefault="00B749E7" w:rsidP="000E41FD">
            <w:pPr>
              <w:tabs>
                <w:tab w:val="left" w:pos="426"/>
                <w:tab w:val="left" w:pos="709"/>
                <w:tab w:val="left" w:pos="993"/>
              </w:tabs>
              <w:spacing w:line="276" w:lineRule="auto"/>
              <w:jc w:val="center"/>
              <w:rPr>
                <w:rFonts w:asciiTheme="majorHAnsi" w:hAnsiTheme="majorHAnsi" w:cstheme="majorHAnsi"/>
                <w:b/>
                <w:sz w:val="24"/>
                <w:szCs w:val="24"/>
                <w:lang w:val="ru-MD"/>
              </w:rPr>
            </w:pPr>
            <w:r w:rsidRPr="008102F7">
              <w:rPr>
                <w:rFonts w:asciiTheme="majorHAnsi" w:hAnsiTheme="majorHAnsi" w:cstheme="majorHAnsi"/>
                <w:b/>
                <w:sz w:val="24"/>
                <w:szCs w:val="24"/>
                <w:lang w:val="ru-MD"/>
              </w:rPr>
              <w:t>Сумма</w:t>
            </w:r>
          </w:p>
        </w:tc>
      </w:tr>
      <w:tr w:rsidR="00B749E7" w:rsidRPr="008102F7" w14:paraId="4BB207F5" w14:textId="77777777" w:rsidTr="000E41FD">
        <w:tc>
          <w:tcPr>
            <w:tcW w:w="846" w:type="dxa"/>
          </w:tcPr>
          <w:p w14:paraId="0B7561E9" w14:textId="77777777" w:rsidR="00B749E7" w:rsidRPr="008102F7" w:rsidRDefault="00B749E7" w:rsidP="000E41FD">
            <w:pPr>
              <w:tabs>
                <w:tab w:val="left" w:pos="426"/>
                <w:tab w:val="left" w:pos="709"/>
                <w:tab w:val="left" w:pos="993"/>
              </w:tabs>
              <w:spacing w:line="276" w:lineRule="auto"/>
              <w:jc w:val="center"/>
              <w:rPr>
                <w:rFonts w:asciiTheme="majorHAnsi" w:hAnsiTheme="majorHAnsi" w:cstheme="majorHAnsi"/>
                <w:sz w:val="24"/>
                <w:szCs w:val="24"/>
                <w:lang w:val="ru-MD"/>
              </w:rPr>
            </w:pPr>
            <w:r w:rsidRPr="008102F7">
              <w:rPr>
                <w:rFonts w:asciiTheme="majorHAnsi" w:hAnsiTheme="majorHAnsi" w:cstheme="majorHAnsi"/>
                <w:sz w:val="24"/>
                <w:szCs w:val="24"/>
                <w:lang w:val="ru-MD"/>
              </w:rPr>
              <w:t>1.</w:t>
            </w:r>
          </w:p>
        </w:tc>
        <w:tc>
          <w:tcPr>
            <w:tcW w:w="6520" w:type="dxa"/>
          </w:tcPr>
          <w:p w14:paraId="3139EC6E" w14:textId="77777777" w:rsidR="00B749E7" w:rsidRPr="008102F7" w:rsidRDefault="00B749E7" w:rsidP="000E41FD">
            <w:pPr>
              <w:tabs>
                <w:tab w:val="left" w:pos="426"/>
                <w:tab w:val="left" w:pos="709"/>
                <w:tab w:val="left" w:pos="993"/>
              </w:tabs>
              <w:spacing w:line="276" w:lineRule="auto"/>
              <w:jc w:val="both"/>
              <w:rPr>
                <w:rFonts w:asciiTheme="majorHAnsi" w:hAnsiTheme="majorHAnsi" w:cstheme="majorHAnsi"/>
                <w:sz w:val="24"/>
                <w:szCs w:val="24"/>
                <w:lang w:val="ru-MD"/>
              </w:rPr>
            </w:pPr>
            <w:r w:rsidRPr="008102F7">
              <w:rPr>
                <w:rFonts w:asciiTheme="majorHAnsi" w:hAnsiTheme="majorHAnsi" w:cstheme="majorHAnsi"/>
                <w:bCs/>
                <w:sz w:val="24"/>
                <w:szCs w:val="24"/>
                <w:lang w:val="ru-MD"/>
              </w:rPr>
              <w:t xml:space="preserve">Собственные доходы БГСС в 2018 году, млн. леев </w:t>
            </w:r>
          </w:p>
        </w:tc>
        <w:tc>
          <w:tcPr>
            <w:tcW w:w="2268" w:type="dxa"/>
          </w:tcPr>
          <w:p w14:paraId="16300810" w14:textId="77777777" w:rsidR="00B749E7" w:rsidRPr="008102F7" w:rsidRDefault="00B749E7" w:rsidP="000E41FD">
            <w:pPr>
              <w:tabs>
                <w:tab w:val="left" w:pos="426"/>
                <w:tab w:val="left" w:pos="709"/>
                <w:tab w:val="left" w:pos="993"/>
              </w:tabs>
              <w:spacing w:line="276" w:lineRule="auto"/>
              <w:jc w:val="right"/>
              <w:rPr>
                <w:rFonts w:asciiTheme="majorHAnsi" w:hAnsiTheme="majorHAnsi" w:cstheme="majorHAnsi"/>
                <w:sz w:val="24"/>
                <w:szCs w:val="24"/>
                <w:lang w:val="ru-MD"/>
              </w:rPr>
            </w:pPr>
            <w:r w:rsidRPr="008102F7">
              <w:rPr>
                <w:rFonts w:asciiTheme="majorHAnsi" w:hAnsiTheme="majorHAnsi" w:cstheme="majorHAnsi"/>
                <w:sz w:val="24"/>
                <w:szCs w:val="24"/>
                <w:lang w:val="ru-MD"/>
              </w:rPr>
              <w:t>13 120,1</w:t>
            </w:r>
          </w:p>
        </w:tc>
      </w:tr>
      <w:tr w:rsidR="00B749E7" w:rsidRPr="008102F7" w14:paraId="17570208" w14:textId="77777777" w:rsidTr="000E41FD">
        <w:tc>
          <w:tcPr>
            <w:tcW w:w="846" w:type="dxa"/>
          </w:tcPr>
          <w:p w14:paraId="07E81A0C" w14:textId="77777777" w:rsidR="00B749E7" w:rsidRPr="008102F7" w:rsidRDefault="00B749E7" w:rsidP="000E41FD">
            <w:pPr>
              <w:tabs>
                <w:tab w:val="left" w:pos="426"/>
                <w:tab w:val="left" w:pos="709"/>
                <w:tab w:val="left" w:pos="993"/>
              </w:tabs>
              <w:spacing w:line="276" w:lineRule="auto"/>
              <w:jc w:val="center"/>
              <w:rPr>
                <w:rFonts w:asciiTheme="majorHAnsi" w:hAnsiTheme="majorHAnsi" w:cstheme="majorHAnsi"/>
                <w:sz w:val="24"/>
                <w:szCs w:val="24"/>
                <w:lang w:val="ru-MD"/>
              </w:rPr>
            </w:pPr>
            <w:r w:rsidRPr="008102F7">
              <w:rPr>
                <w:rFonts w:asciiTheme="majorHAnsi" w:hAnsiTheme="majorHAnsi" w:cstheme="majorHAnsi"/>
                <w:sz w:val="24"/>
                <w:szCs w:val="24"/>
                <w:lang w:val="ru-MD"/>
              </w:rPr>
              <w:t>2.</w:t>
            </w:r>
          </w:p>
        </w:tc>
        <w:tc>
          <w:tcPr>
            <w:tcW w:w="6520" w:type="dxa"/>
          </w:tcPr>
          <w:p w14:paraId="6E3C023E" w14:textId="77777777" w:rsidR="00B749E7" w:rsidRPr="008102F7" w:rsidRDefault="00B749E7" w:rsidP="000E41FD">
            <w:pPr>
              <w:tabs>
                <w:tab w:val="left" w:pos="426"/>
                <w:tab w:val="left" w:pos="709"/>
                <w:tab w:val="left" w:pos="993"/>
              </w:tabs>
              <w:spacing w:line="276" w:lineRule="auto"/>
              <w:jc w:val="both"/>
              <w:rPr>
                <w:rFonts w:asciiTheme="majorHAnsi" w:hAnsiTheme="majorHAnsi" w:cstheme="majorHAnsi"/>
                <w:sz w:val="24"/>
                <w:szCs w:val="24"/>
                <w:lang w:val="ru-MD"/>
              </w:rPr>
            </w:pPr>
            <w:r w:rsidRPr="008102F7">
              <w:rPr>
                <w:rFonts w:asciiTheme="majorHAnsi" w:hAnsiTheme="majorHAnsi" w:cstheme="majorHAnsi"/>
                <w:bCs/>
                <w:sz w:val="24"/>
                <w:szCs w:val="24"/>
                <w:lang w:val="ru-MD"/>
              </w:rPr>
              <w:t>Собственные доходы БГСС в 2022 году, млн. леев</w:t>
            </w:r>
          </w:p>
        </w:tc>
        <w:tc>
          <w:tcPr>
            <w:tcW w:w="2268" w:type="dxa"/>
          </w:tcPr>
          <w:p w14:paraId="0F2EF418" w14:textId="77777777" w:rsidR="00B749E7" w:rsidRPr="008102F7" w:rsidRDefault="00B749E7" w:rsidP="000E41FD">
            <w:pPr>
              <w:tabs>
                <w:tab w:val="left" w:pos="426"/>
                <w:tab w:val="left" w:pos="709"/>
                <w:tab w:val="left" w:pos="993"/>
              </w:tabs>
              <w:spacing w:line="276" w:lineRule="auto"/>
              <w:jc w:val="right"/>
              <w:rPr>
                <w:rFonts w:asciiTheme="majorHAnsi" w:hAnsiTheme="majorHAnsi" w:cstheme="majorHAnsi"/>
                <w:sz w:val="24"/>
                <w:szCs w:val="24"/>
                <w:lang w:val="ru-MD"/>
              </w:rPr>
            </w:pPr>
            <w:r w:rsidRPr="008102F7">
              <w:rPr>
                <w:rFonts w:asciiTheme="majorHAnsi" w:hAnsiTheme="majorHAnsi" w:cstheme="majorHAnsi"/>
                <w:sz w:val="24"/>
                <w:szCs w:val="24"/>
                <w:lang w:val="ru-MD"/>
              </w:rPr>
              <w:t>18 656,8</w:t>
            </w:r>
          </w:p>
        </w:tc>
      </w:tr>
      <w:tr w:rsidR="00B749E7" w:rsidRPr="008102F7" w14:paraId="21BD9F36" w14:textId="77777777" w:rsidTr="000E41FD">
        <w:tc>
          <w:tcPr>
            <w:tcW w:w="846" w:type="dxa"/>
          </w:tcPr>
          <w:p w14:paraId="7FF5A10E" w14:textId="77777777" w:rsidR="00B749E7" w:rsidRPr="008102F7" w:rsidRDefault="00B749E7" w:rsidP="000E41FD">
            <w:pPr>
              <w:tabs>
                <w:tab w:val="left" w:pos="426"/>
                <w:tab w:val="left" w:pos="709"/>
                <w:tab w:val="left" w:pos="993"/>
              </w:tabs>
              <w:spacing w:line="276" w:lineRule="auto"/>
              <w:jc w:val="center"/>
              <w:rPr>
                <w:rFonts w:asciiTheme="majorHAnsi" w:hAnsiTheme="majorHAnsi" w:cstheme="majorHAnsi"/>
                <w:sz w:val="24"/>
                <w:szCs w:val="24"/>
                <w:lang w:val="ru-MD"/>
              </w:rPr>
            </w:pPr>
            <w:r w:rsidRPr="008102F7">
              <w:rPr>
                <w:rFonts w:asciiTheme="majorHAnsi" w:hAnsiTheme="majorHAnsi" w:cstheme="majorHAnsi"/>
                <w:sz w:val="24"/>
                <w:szCs w:val="24"/>
                <w:lang w:val="ru-MD"/>
              </w:rPr>
              <w:t>3.</w:t>
            </w:r>
          </w:p>
        </w:tc>
        <w:tc>
          <w:tcPr>
            <w:tcW w:w="6520" w:type="dxa"/>
          </w:tcPr>
          <w:p w14:paraId="0D30801D" w14:textId="77777777" w:rsidR="00B749E7" w:rsidRPr="008102F7" w:rsidRDefault="00B749E7" w:rsidP="000E41FD">
            <w:pPr>
              <w:tabs>
                <w:tab w:val="left" w:pos="426"/>
                <w:tab w:val="left" w:pos="709"/>
                <w:tab w:val="left" w:pos="993"/>
              </w:tabs>
              <w:spacing w:line="276" w:lineRule="auto"/>
              <w:jc w:val="both"/>
              <w:rPr>
                <w:rFonts w:asciiTheme="majorHAnsi" w:hAnsiTheme="majorHAnsi" w:cstheme="majorHAnsi"/>
                <w:sz w:val="24"/>
                <w:szCs w:val="24"/>
                <w:lang w:val="ru-MD"/>
              </w:rPr>
            </w:pPr>
            <w:r w:rsidRPr="008102F7">
              <w:rPr>
                <w:rFonts w:asciiTheme="majorHAnsi" w:hAnsiTheme="majorHAnsi" w:cstheme="majorHAnsi"/>
                <w:bCs/>
                <w:sz w:val="24"/>
                <w:szCs w:val="24"/>
                <w:lang w:val="ru-MD"/>
              </w:rPr>
              <w:t>Расходы, понесенные из БГСС в 2018 году, млн. леев</w:t>
            </w:r>
          </w:p>
        </w:tc>
        <w:tc>
          <w:tcPr>
            <w:tcW w:w="2268" w:type="dxa"/>
          </w:tcPr>
          <w:p w14:paraId="18AF8CEA" w14:textId="77777777" w:rsidR="00B749E7" w:rsidRPr="008102F7" w:rsidRDefault="00B749E7" w:rsidP="000E41FD">
            <w:pPr>
              <w:tabs>
                <w:tab w:val="left" w:pos="426"/>
                <w:tab w:val="left" w:pos="709"/>
                <w:tab w:val="left" w:pos="993"/>
              </w:tabs>
              <w:spacing w:line="276" w:lineRule="auto"/>
              <w:jc w:val="right"/>
              <w:rPr>
                <w:rFonts w:asciiTheme="majorHAnsi" w:hAnsiTheme="majorHAnsi" w:cstheme="majorHAnsi"/>
                <w:sz w:val="24"/>
                <w:szCs w:val="24"/>
                <w:lang w:val="ru-MD"/>
              </w:rPr>
            </w:pPr>
            <w:r w:rsidRPr="008102F7">
              <w:rPr>
                <w:rFonts w:asciiTheme="majorHAnsi" w:hAnsiTheme="majorHAnsi" w:cstheme="majorHAnsi"/>
                <w:sz w:val="24"/>
                <w:szCs w:val="24"/>
                <w:lang w:val="ru-MD"/>
              </w:rPr>
              <w:t>13 962,5</w:t>
            </w:r>
          </w:p>
        </w:tc>
      </w:tr>
      <w:tr w:rsidR="00B749E7" w:rsidRPr="008102F7" w14:paraId="748801A9" w14:textId="77777777" w:rsidTr="000E41FD">
        <w:tc>
          <w:tcPr>
            <w:tcW w:w="846" w:type="dxa"/>
          </w:tcPr>
          <w:p w14:paraId="0291A8EC" w14:textId="77777777" w:rsidR="00B749E7" w:rsidRPr="008102F7" w:rsidRDefault="00B749E7" w:rsidP="000E41FD">
            <w:pPr>
              <w:tabs>
                <w:tab w:val="left" w:pos="426"/>
                <w:tab w:val="left" w:pos="709"/>
                <w:tab w:val="left" w:pos="993"/>
              </w:tabs>
              <w:spacing w:line="276" w:lineRule="auto"/>
              <w:jc w:val="center"/>
              <w:rPr>
                <w:rFonts w:asciiTheme="majorHAnsi" w:hAnsiTheme="majorHAnsi" w:cstheme="majorHAnsi"/>
                <w:sz w:val="24"/>
                <w:szCs w:val="24"/>
                <w:lang w:val="ru-MD"/>
              </w:rPr>
            </w:pPr>
            <w:r w:rsidRPr="008102F7">
              <w:rPr>
                <w:rFonts w:asciiTheme="majorHAnsi" w:hAnsiTheme="majorHAnsi" w:cstheme="majorHAnsi"/>
                <w:sz w:val="24"/>
                <w:szCs w:val="24"/>
                <w:lang w:val="ru-MD"/>
              </w:rPr>
              <w:t>4.</w:t>
            </w:r>
          </w:p>
        </w:tc>
        <w:tc>
          <w:tcPr>
            <w:tcW w:w="6520" w:type="dxa"/>
          </w:tcPr>
          <w:p w14:paraId="290A1218" w14:textId="77777777" w:rsidR="00B749E7" w:rsidRPr="008102F7" w:rsidRDefault="00B749E7" w:rsidP="000E41FD">
            <w:pPr>
              <w:tabs>
                <w:tab w:val="left" w:pos="426"/>
                <w:tab w:val="left" w:pos="709"/>
                <w:tab w:val="left" w:pos="993"/>
              </w:tabs>
              <w:spacing w:line="276" w:lineRule="auto"/>
              <w:jc w:val="both"/>
              <w:rPr>
                <w:rFonts w:asciiTheme="majorHAnsi" w:hAnsiTheme="majorHAnsi" w:cstheme="majorHAnsi"/>
                <w:sz w:val="24"/>
                <w:szCs w:val="24"/>
                <w:lang w:val="ru-MD"/>
              </w:rPr>
            </w:pPr>
            <w:r w:rsidRPr="008102F7">
              <w:rPr>
                <w:rFonts w:asciiTheme="majorHAnsi" w:hAnsiTheme="majorHAnsi" w:cstheme="majorHAnsi"/>
                <w:bCs/>
                <w:sz w:val="24"/>
                <w:szCs w:val="24"/>
                <w:lang w:val="ru-MD"/>
              </w:rPr>
              <w:t>Расходы, понесенные из БГСС в 2022 году, млн. леев</w:t>
            </w:r>
          </w:p>
        </w:tc>
        <w:tc>
          <w:tcPr>
            <w:tcW w:w="2268" w:type="dxa"/>
          </w:tcPr>
          <w:p w14:paraId="0264EA95" w14:textId="77777777" w:rsidR="00B749E7" w:rsidRPr="008102F7" w:rsidRDefault="00B749E7" w:rsidP="000E41FD">
            <w:pPr>
              <w:tabs>
                <w:tab w:val="left" w:pos="426"/>
                <w:tab w:val="left" w:pos="709"/>
                <w:tab w:val="left" w:pos="993"/>
              </w:tabs>
              <w:spacing w:line="276" w:lineRule="auto"/>
              <w:jc w:val="right"/>
              <w:rPr>
                <w:rFonts w:asciiTheme="majorHAnsi" w:hAnsiTheme="majorHAnsi" w:cstheme="majorHAnsi"/>
                <w:sz w:val="24"/>
                <w:szCs w:val="24"/>
                <w:lang w:val="ru-MD"/>
              </w:rPr>
            </w:pPr>
            <w:r w:rsidRPr="008102F7">
              <w:rPr>
                <w:rFonts w:asciiTheme="majorHAnsi" w:hAnsiTheme="majorHAnsi" w:cstheme="majorHAnsi"/>
                <w:sz w:val="24"/>
                <w:szCs w:val="24"/>
                <w:lang w:val="ru-MD"/>
              </w:rPr>
              <w:t>23 559,4</w:t>
            </w:r>
          </w:p>
        </w:tc>
      </w:tr>
      <w:tr w:rsidR="00B749E7" w:rsidRPr="008102F7" w14:paraId="763FBC73" w14:textId="77777777" w:rsidTr="000E41FD">
        <w:tc>
          <w:tcPr>
            <w:tcW w:w="846" w:type="dxa"/>
          </w:tcPr>
          <w:p w14:paraId="20B49EB2" w14:textId="77777777" w:rsidR="00B749E7" w:rsidRPr="008102F7" w:rsidRDefault="00B749E7" w:rsidP="000E41FD">
            <w:pPr>
              <w:tabs>
                <w:tab w:val="left" w:pos="426"/>
                <w:tab w:val="left" w:pos="709"/>
                <w:tab w:val="left" w:pos="993"/>
              </w:tabs>
              <w:spacing w:line="276" w:lineRule="auto"/>
              <w:jc w:val="center"/>
              <w:rPr>
                <w:rFonts w:asciiTheme="majorHAnsi" w:hAnsiTheme="majorHAnsi" w:cstheme="majorHAnsi"/>
                <w:sz w:val="24"/>
                <w:szCs w:val="24"/>
                <w:lang w:val="ru-MD"/>
              </w:rPr>
            </w:pPr>
            <w:r w:rsidRPr="008102F7">
              <w:rPr>
                <w:rFonts w:asciiTheme="majorHAnsi" w:hAnsiTheme="majorHAnsi" w:cstheme="majorHAnsi"/>
                <w:sz w:val="24"/>
                <w:szCs w:val="24"/>
                <w:lang w:val="ru-MD"/>
              </w:rPr>
              <w:t>5.</w:t>
            </w:r>
          </w:p>
        </w:tc>
        <w:tc>
          <w:tcPr>
            <w:tcW w:w="6520" w:type="dxa"/>
          </w:tcPr>
          <w:p w14:paraId="4C38C53E" w14:textId="77777777" w:rsidR="00B749E7" w:rsidRPr="008102F7" w:rsidRDefault="00B749E7" w:rsidP="000E41FD">
            <w:pPr>
              <w:tabs>
                <w:tab w:val="left" w:pos="426"/>
                <w:tab w:val="left" w:pos="709"/>
                <w:tab w:val="left" w:pos="993"/>
              </w:tabs>
              <w:spacing w:line="276" w:lineRule="auto"/>
              <w:jc w:val="both"/>
              <w:rPr>
                <w:rFonts w:asciiTheme="majorHAnsi" w:hAnsiTheme="majorHAnsi" w:cstheme="majorHAnsi"/>
                <w:sz w:val="24"/>
                <w:szCs w:val="24"/>
                <w:lang w:val="ru-MD"/>
              </w:rPr>
            </w:pPr>
            <w:r w:rsidRPr="008102F7">
              <w:rPr>
                <w:rFonts w:asciiTheme="majorHAnsi" w:hAnsiTheme="majorHAnsi" w:cstheme="majorHAnsi"/>
                <w:sz w:val="24"/>
                <w:szCs w:val="24"/>
                <w:lang w:val="ru-MD"/>
              </w:rPr>
              <w:t>Темпы роста доходов за последние 5 лет, 2022/2018, %</w:t>
            </w:r>
          </w:p>
        </w:tc>
        <w:tc>
          <w:tcPr>
            <w:tcW w:w="2268" w:type="dxa"/>
          </w:tcPr>
          <w:p w14:paraId="38F3A64D" w14:textId="77777777" w:rsidR="00B749E7" w:rsidRPr="008102F7" w:rsidRDefault="00B749E7" w:rsidP="000E41FD">
            <w:pPr>
              <w:tabs>
                <w:tab w:val="left" w:pos="426"/>
                <w:tab w:val="left" w:pos="709"/>
                <w:tab w:val="left" w:pos="993"/>
              </w:tabs>
              <w:spacing w:line="276" w:lineRule="auto"/>
              <w:jc w:val="right"/>
              <w:rPr>
                <w:rFonts w:asciiTheme="majorHAnsi" w:hAnsiTheme="majorHAnsi" w:cstheme="majorHAnsi"/>
                <w:sz w:val="24"/>
                <w:szCs w:val="24"/>
                <w:lang w:val="ru-MD"/>
              </w:rPr>
            </w:pPr>
            <w:r w:rsidRPr="008102F7">
              <w:rPr>
                <w:rFonts w:asciiTheme="majorHAnsi" w:hAnsiTheme="majorHAnsi" w:cstheme="majorHAnsi"/>
                <w:sz w:val="24"/>
                <w:szCs w:val="24"/>
                <w:lang w:val="ru-MD"/>
              </w:rPr>
              <w:t>142,2</w:t>
            </w:r>
          </w:p>
        </w:tc>
      </w:tr>
      <w:tr w:rsidR="00B749E7" w:rsidRPr="008102F7" w14:paraId="1A169FE9" w14:textId="77777777" w:rsidTr="000E41FD">
        <w:tc>
          <w:tcPr>
            <w:tcW w:w="846" w:type="dxa"/>
          </w:tcPr>
          <w:p w14:paraId="062D77E0" w14:textId="77777777" w:rsidR="00B749E7" w:rsidRPr="008102F7" w:rsidRDefault="00B749E7" w:rsidP="000E41FD">
            <w:pPr>
              <w:tabs>
                <w:tab w:val="left" w:pos="426"/>
                <w:tab w:val="left" w:pos="709"/>
                <w:tab w:val="left" w:pos="993"/>
              </w:tabs>
              <w:spacing w:line="276" w:lineRule="auto"/>
              <w:jc w:val="center"/>
              <w:rPr>
                <w:rFonts w:asciiTheme="majorHAnsi" w:hAnsiTheme="majorHAnsi" w:cstheme="majorHAnsi"/>
                <w:sz w:val="24"/>
                <w:szCs w:val="24"/>
                <w:lang w:val="ru-MD"/>
              </w:rPr>
            </w:pPr>
            <w:r w:rsidRPr="008102F7">
              <w:rPr>
                <w:rFonts w:asciiTheme="majorHAnsi" w:hAnsiTheme="majorHAnsi" w:cstheme="majorHAnsi"/>
                <w:sz w:val="24"/>
                <w:szCs w:val="24"/>
                <w:lang w:val="ru-MD"/>
              </w:rPr>
              <w:t>6.</w:t>
            </w:r>
          </w:p>
        </w:tc>
        <w:tc>
          <w:tcPr>
            <w:tcW w:w="6520" w:type="dxa"/>
          </w:tcPr>
          <w:p w14:paraId="195C75AA" w14:textId="77777777" w:rsidR="00B749E7" w:rsidRPr="008102F7" w:rsidRDefault="00B749E7" w:rsidP="000E41FD">
            <w:pPr>
              <w:tabs>
                <w:tab w:val="left" w:pos="426"/>
                <w:tab w:val="left" w:pos="709"/>
                <w:tab w:val="left" w:pos="993"/>
              </w:tabs>
              <w:spacing w:line="276" w:lineRule="auto"/>
              <w:jc w:val="both"/>
              <w:rPr>
                <w:rFonts w:asciiTheme="majorHAnsi" w:hAnsiTheme="majorHAnsi" w:cstheme="majorHAnsi"/>
                <w:sz w:val="24"/>
                <w:szCs w:val="24"/>
                <w:lang w:val="ru-MD"/>
              </w:rPr>
            </w:pPr>
            <w:r w:rsidRPr="008102F7">
              <w:rPr>
                <w:rFonts w:asciiTheme="majorHAnsi" w:hAnsiTheme="majorHAnsi" w:cstheme="majorHAnsi"/>
                <w:sz w:val="24"/>
                <w:szCs w:val="24"/>
                <w:lang w:val="ru-MD"/>
              </w:rPr>
              <w:t>Темпы роста расходов за последние 5 лет, 2022/2018, %</w:t>
            </w:r>
          </w:p>
        </w:tc>
        <w:tc>
          <w:tcPr>
            <w:tcW w:w="2268" w:type="dxa"/>
          </w:tcPr>
          <w:p w14:paraId="0B1AB176" w14:textId="77777777" w:rsidR="00B749E7" w:rsidRPr="008102F7" w:rsidRDefault="00B749E7" w:rsidP="000E41FD">
            <w:pPr>
              <w:tabs>
                <w:tab w:val="left" w:pos="426"/>
                <w:tab w:val="left" w:pos="709"/>
                <w:tab w:val="left" w:pos="993"/>
              </w:tabs>
              <w:spacing w:line="276" w:lineRule="auto"/>
              <w:jc w:val="right"/>
              <w:rPr>
                <w:rFonts w:asciiTheme="majorHAnsi" w:hAnsiTheme="majorHAnsi" w:cstheme="majorHAnsi"/>
                <w:sz w:val="24"/>
                <w:szCs w:val="24"/>
                <w:lang w:val="ru-MD"/>
              </w:rPr>
            </w:pPr>
            <w:r w:rsidRPr="008102F7">
              <w:rPr>
                <w:rFonts w:asciiTheme="majorHAnsi" w:hAnsiTheme="majorHAnsi" w:cstheme="majorHAnsi"/>
                <w:sz w:val="24"/>
                <w:szCs w:val="24"/>
                <w:lang w:val="ru-MD"/>
              </w:rPr>
              <w:t>168,7</w:t>
            </w:r>
          </w:p>
        </w:tc>
      </w:tr>
      <w:tr w:rsidR="00B749E7" w:rsidRPr="008102F7" w14:paraId="0EFB6F67" w14:textId="77777777" w:rsidTr="000E41FD">
        <w:tc>
          <w:tcPr>
            <w:tcW w:w="846" w:type="dxa"/>
          </w:tcPr>
          <w:p w14:paraId="71016F47" w14:textId="77777777" w:rsidR="00B749E7" w:rsidRPr="008102F7" w:rsidRDefault="00B749E7" w:rsidP="000E41FD">
            <w:pPr>
              <w:tabs>
                <w:tab w:val="left" w:pos="426"/>
                <w:tab w:val="left" w:pos="709"/>
                <w:tab w:val="left" w:pos="993"/>
              </w:tabs>
              <w:spacing w:line="276" w:lineRule="auto"/>
              <w:jc w:val="center"/>
              <w:rPr>
                <w:rFonts w:asciiTheme="majorHAnsi" w:hAnsiTheme="majorHAnsi" w:cstheme="majorHAnsi"/>
                <w:sz w:val="24"/>
                <w:szCs w:val="24"/>
                <w:lang w:val="ru-MD"/>
              </w:rPr>
            </w:pPr>
            <w:r w:rsidRPr="008102F7">
              <w:rPr>
                <w:rFonts w:asciiTheme="majorHAnsi" w:hAnsiTheme="majorHAnsi" w:cstheme="majorHAnsi"/>
                <w:sz w:val="24"/>
                <w:szCs w:val="24"/>
                <w:lang w:val="ru-MD"/>
              </w:rPr>
              <w:t>7.</w:t>
            </w:r>
          </w:p>
        </w:tc>
        <w:tc>
          <w:tcPr>
            <w:tcW w:w="6520" w:type="dxa"/>
          </w:tcPr>
          <w:p w14:paraId="5F16FB7D" w14:textId="77777777" w:rsidR="00B749E7" w:rsidRPr="008102F7" w:rsidRDefault="00B749E7" w:rsidP="000E41FD">
            <w:pPr>
              <w:tabs>
                <w:tab w:val="left" w:pos="426"/>
                <w:tab w:val="left" w:pos="709"/>
                <w:tab w:val="left" w:pos="993"/>
              </w:tabs>
              <w:spacing w:line="276" w:lineRule="auto"/>
              <w:jc w:val="both"/>
              <w:rPr>
                <w:rFonts w:asciiTheme="majorHAnsi" w:hAnsiTheme="majorHAnsi" w:cstheme="majorHAnsi"/>
                <w:sz w:val="24"/>
                <w:szCs w:val="24"/>
                <w:lang w:val="ru-MD"/>
              </w:rPr>
            </w:pPr>
            <w:r w:rsidRPr="008102F7">
              <w:rPr>
                <w:rFonts w:asciiTheme="majorHAnsi" w:hAnsiTheme="majorHAnsi" w:cstheme="majorHAnsi"/>
                <w:sz w:val="24"/>
                <w:szCs w:val="24"/>
                <w:lang w:val="ru-MD"/>
              </w:rPr>
              <w:t>Превышение темпов расходов по сравнению с темпами доходов, %</w:t>
            </w:r>
          </w:p>
        </w:tc>
        <w:tc>
          <w:tcPr>
            <w:tcW w:w="2268" w:type="dxa"/>
          </w:tcPr>
          <w:p w14:paraId="0FBADEA1" w14:textId="77777777" w:rsidR="00B749E7" w:rsidRPr="008102F7" w:rsidRDefault="00B749E7" w:rsidP="000E41FD">
            <w:pPr>
              <w:tabs>
                <w:tab w:val="left" w:pos="426"/>
                <w:tab w:val="left" w:pos="709"/>
                <w:tab w:val="left" w:pos="993"/>
              </w:tabs>
              <w:spacing w:line="276" w:lineRule="auto"/>
              <w:jc w:val="right"/>
              <w:rPr>
                <w:rFonts w:asciiTheme="majorHAnsi" w:hAnsiTheme="majorHAnsi" w:cstheme="majorHAnsi"/>
                <w:sz w:val="24"/>
                <w:szCs w:val="24"/>
                <w:lang w:val="ru-MD"/>
              </w:rPr>
            </w:pPr>
            <w:r w:rsidRPr="008102F7">
              <w:rPr>
                <w:rFonts w:asciiTheme="majorHAnsi" w:hAnsiTheme="majorHAnsi" w:cstheme="majorHAnsi"/>
                <w:sz w:val="24"/>
                <w:szCs w:val="24"/>
                <w:lang w:val="ru-MD"/>
              </w:rPr>
              <w:t>26,5</w:t>
            </w:r>
          </w:p>
        </w:tc>
      </w:tr>
    </w:tbl>
    <w:p w14:paraId="5EED7CA3" w14:textId="77777777" w:rsidR="00B749E7" w:rsidRPr="008102F7" w:rsidRDefault="00B749E7" w:rsidP="00B749E7">
      <w:pPr>
        <w:tabs>
          <w:tab w:val="left" w:pos="426"/>
          <w:tab w:val="left" w:pos="709"/>
          <w:tab w:val="left" w:pos="993"/>
        </w:tabs>
        <w:spacing w:line="276" w:lineRule="auto"/>
        <w:jc w:val="both"/>
        <w:rPr>
          <w:rFonts w:asciiTheme="majorHAnsi" w:hAnsiTheme="majorHAnsi" w:cstheme="majorHAnsi"/>
          <w:i/>
          <w:sz w:val="20"/>
          <w:szCs w:val="20"/>
          <w:highlight w:val="yellow"/>
          <w:lang w:val="ru-MD"/>
        </w:rPr>
      </w:pPr>
      <w:r w:rsidRPr="008102F7">
        <w:rPr>
          <w:rFonts w:asciiTheme="majorHAnsi" w:hAnsiTheme="majorHAnsi" w:cstheme="majorHAnsi"/>
          <w:i/>
          <w:sz w:val="20"/>
          <w:szCs w:val="20"/>
          <w:lang w:val="ru-MD"/>
        </w:rPr>
        <w:t>Источник: : Отчеты об исполнении БГСС за 2018-2022 годы.</w:t>
      </w:r>
    </w:p>
    <w:p w14:paraId="57D35839" w14:textId="56831AF0" w:rsidR="00B749E7" w:rsidRPr="00B024EB" w:rsidRDefault="00B749E7" w:rsidP="00B749E7">
      <w:pPr>
        <w:tabs>
          <w:tab w:val="left" w:pos="426"/>
          <w:tab w:val="left" w:pos="709"/>
          <w:tab w:val="left" w:pos="993"/>
        </w:tabs>
        <w:spacing w:line="276" w:lineRule="auto"/>
        <w:jc w:val="both"/>
        <w:rPr>
          <w:rFonts w:asciiTheme="majorHAnsi" w:hAnsiTheme="majorHAnsi" w:cstheme="majorHAnsi"/>
          <w:sz w:val="24"/>
          <w:szCs w:val="24"/>
          <w:lang w:val="ru-MD"/>
        </w:rPr>
      </w:pPr>
      <w:r w:rsidRPr="00B024EB">
        <w:rPr>
          <w:rFonts w:asciiTheme="majorHAnsi" w:hAnsiTheme="majorHAnsi" w:cstheme="majorHAnsi"/>
          <w:sz w:val="24"/>
          <w:szCs w:val="24"/>
          <w:lang w:val="ru-MD"/>
        </w:rPr>
        <w:t xml:space="preserve">Значительная разница в росте расходов обусловлена несколькими факторами, в частности, внедрением НКСС новых процессов и политик, направленных на увеличение пособий и поддержку граждан. Среди наиболее значимых из них, отмечается: внедрение реформы государственной пенсионной системы 2017 года, согласно которой, помимо норм по установлению пенсионного возраста, необходимого страхового стажа, порядка годовой индексации пенсии и других специальных норм, </w:t>
      </w:r>
      <w:r w:rsidRPr="00730DC7">
        <w:rPr>
          <w:rFonts w:asciiTheme="majorHAnsi" w:hAnsiTheme="majorHAnsi" w:cstheme="majorHAnsi"/>
          <w:sz w:val="24"/>
          <w:szCs w:val="24"/>
          <w:lang w:val="ru-MD"/>
        </w:rPr>
        <w:t xml:space="preserve">был реализован механизм валоризации застрахованного дохода, учитываемый при установлении права на пенсию; поэтапный пересмотр пенсий по </w:t>
      </w:r>
      <w:r w:rsidR="00C2361F" w:rsidRPr="00730DC7">
        <w:rPr>
          <w:rFonts w:asciiTheme="majorHAnsi" w:hAnsiTheme="majorHAnsi" w:cstheme="majorHAnsi"/>
          <w:sz w:val="24"/>
          <w:szCs w:val="24"/>
          <w:lang w:val="ru-MD"/>
        </w:rPr>
        <w:t>возрасту</w:t>
      </w:r>
      <w:r w:rsidRPr="00730DC7">
        <w:rPr>
          <w:rFonts w:asciiTheme="majorHAnsi" w:hAnsiTheme="majorHAnsi" w:cstheme="majorHAnsi"/>
          <w:sz w:val="24"/>
          <w:szCs w:val="24"/>
          <w:lang w:val="ru-MD"/>
        </w:rPr>
        <w:t>; предоставление</w:t>
      </w:r>
      <w:r w:rsidRPr="00B024EB">
        <w:rPr>
          <w:rFonts w:asciiTheme="majorHAnsi" w:hAnsiTheme="majorHAnsi" w:cstheme="majorHAnsi"/>
          <w:sz w:val="24"/>
          <w:szCs w:val="24"/>
          <w:lang w:val="ru-MD"/>
        </w:rPr>
        <w:t xml:space="preserve"> досрочной пенсии для мужчин; выравнивание минимальной пенсии для работников аграрного сектора путем ее повышения до минимальной пенсии предоставляемой лицам, которые работали в остальных областях национальной экономики. В 2019 году на 10% были увеличены пенсии, размер которых не превышал прожиточного минимума. Начиная с 2022 года предоставляется досрочная пенсия за долгую карьеру, пересматриваются пенсии по инвалидности за годы работы после установления пенсии, выплачивалось дополнительное увеличение к пенсии (171,71 лея) посредством механизма транспонирования экономического роста в пенсии, в зависимости от роста ВВП. Все эти меры увеличили расходы на государственное социальное страхование.</w:t>
      </w:r>
    </w:p>
    <w:p w14:paraId="61EC68D5" w14:textId="1F01D39E" w:rsidR="00B749E7" w:rsidRPr="001E471E" w:rsidRDefault="00B749E7" w:rsidP="00B749E7">
      <w:pPr>
        <w:pStyle w:val="Default"/>
        <w:spacing w:line="276" w:lineRule="auto"/>
        <w:jc w:val="both"/>
        <w:rPr>
          <w:sz w:val="28"/>
          <w:szCs w:val="28"/>
          <w:lang w:val="ru-MD"/>
        </w:rPr>
      </w:pPr>
      <w:r w:rsidRPr="001E471E">
        <w:rPr>
          <w:rFonts w:asciiTheme="majorHAnsi" w:hAnsiTheme="majorHAnsi" w:cstheme="majorHAnsi"/>
          <w:lang w:val="ru-MD"/>
        </w:rPr>
        <w:t>С другой стороны, темпы роста доходов в меньшем размере, чем расход</w:t>
      </w:r>
      <w:r w:rsidR="00730DC7">
        <w:rPr>
          <w:rFonts w:asciiTheme="majorHAnsi" w:hAnsiTheme="majorHAnsi" w:cstheme="majorHAnsi"/>
          <w:lang w:val="ru-MD"/>
        </w:rPr>
        <w:t>ов</w:t>
      </w:r>
      <w:r w:rsidRPr="001E471E">
        <w:rPr>
          <w:rFonts w:asciiTheme="majorHAnsi" w:hAnsiTheme="majorHAnsi" w:cstheme="majorHAnsi"/>
          <w:lang w:val="ru-MD"/>
        </w:rPr>
        <w:t>, обусловлен внедрением преференциальной и поддерживающей политики для различных секторов экономики РМ. Так, из единой системы расчета взносов были исключены ряд плательщиков и переведены в преференциальные системы, например: некоторые категории работников аграрного сектора, сотрудники резидентов парков для информационных технологий, работники в области дорожного транспорта пассажиров в режиме такси, лица, осуществляющие самостоятельно профессию врача в одной из форм организации профессиональной деятельности, предусмотренных Законом об охране здоровья №411/1995. В то же время, с октября 2018 года для работодателей частного сектора ставка взносов снизилась на 5 процентных пунктов (с 29% до 24%).</w:t>
      </w:r>
    </w:p>
    <w:p w14:paraId="457EA352" w14:textId="77777777" w:rsidR="00B749E7" w:rsidRPr="0031324D" w:rsidRDefault="00B749E7" w:rsidP="00B749E7">
      <w:pPr>
        <w:pStyle w:val="Default"/>
        <w:spacing w:line="276" w:lineRule="auto"/>
        <w:jc w:val="both"/>
        <w:rPr>
          <w:rFonts w:asciiTheme="majorHAnsi" w:hAnsiTheme="majorHAnsi" w:cstheme="majorHAnsi"/>
          <w:lang w:val="ro-RO"/>
        </w:rPr>
      </w:pPr>
      <w:r w:rsidRPr="00F14C23">
        <w:rPr>
          <w:rFonts w:asciiTheme="majorHAnsi" w:hAnsiTheme="majorHAnsi" w:cstheme="majorHAnsi"/>
          <w:lang w:val="ro-RO"/>
        </w:rPr>
        <w:t xml:space="preserve"> </w:t>
      </w:r>
    </w:p>
    <w:p w14:paraId="264C68DE" w14:textId="77777777" w:rsidR="00B749E7" w:rsidRPr="00730DC7" w:rsidRDefault="00B749E7" w:rsidP="00B749E7">
      <w:pPr>
        <w:spacing w:line="276" w:lineRule="auto"/>
        <w:jc w:val="both"/>
        <w:rPr>
          <w:rFonts w:asciiTheme="majorHAnsi" w:hAnsiTheme="majorHAnsi" w:cstheme="majorHAnsi"/>
          <w:sz w:val="24"/>
          <w:szCs w:val="24"/>
          <w:lang w:val="ru-MD"/>
        </w:rPr>
      </w:pPr>
      <w:r w:rsidRPr="00796454">
        <w:rPr>
          <w:rFonts w:asciiTheme="majorHAnsi" w:hAnsiTheme="majorHAnsi" w:cstheme="majorHAnsi"/>
          <w:sz w:val="24"/>
          <w:szCs w:val="24"/>
          <w:lang w:val="ru-MD"/>
        </w:rPr>
        <w:t xml:space="preserve">Таким образом, отмечается, что внедрение новых политик в области пособий социального страхования, в сочетании с использованием социального страхования в качестве инструмента экономической поддержки определенных секторов, привело к сохранению недостаточности собственных средств государственной системы социального страхования и увеличению зависимости от трансфертов из государственного бюджета для покрытия дефицита бюджета </w:t>
      </w:r>
      <w:r w:rsidRPr="00730DC7">
        <w:rPr>
          <w:rFonts w:asciiTheme="majorHAnsi" w:hAnsiTheme="majorHAnsi" w:cstheme="majorHAnsi"/>
          <w:sz w:val="24"/>
          <w:szCs w:val="24"/>
          <w:lang w:val="ru-MD"/>
        </w:rPr>
        <w:t xml:space="preserve">государственного социального страхования. </w:t>
      </w:r>
    </w:p>
    <w:p w14:paraId="1913DD70" w14:textId="723431AE" w:rsidR="00183D72" w:rsidRPr="00730DC7" w:rsidRDefault="001A7707" w:rsidP="00757017">
      <w:pPr>
        <w:pStyle w:val="aa"/>
        <w:numPr>
          <w:ilvl w:val="1"/>
          <w:numId w:val="2"/>
        </w:numPr>
        <w:spacing w:after="0" w:line="276" w:lineRule="auto"/>
        <w:ind w:left="0" w:firstLine="0"/>
        <w:jc w:val="both"/>
        <w:outlineLvl w:val="1"/>
        <w:rPr>
          <w:rFonts w:asciiTheme="majorHAnsi" w:hAnsiTheme="majorHAnsi" w:cstheme="majorHAnsi"/>
          <w:b/>
          <w:sz w:val="24"/>
          <w:szCs w:val="24"/>
          <w:lang w:val="ru-MD"/>
        </w:rPr>
      </w:pPr>
      <w:r w:rsidRPr="00730DC7">
        <w:rPr>
          <w:rFonts w:asciiTheme="majorHAnsi" w:hAnsiTheme="majorHAnsi" w:cstheme="majorHAnsi"/>
          <w:b/>
          <w:sz w:val="24"/>
          <w:szCs w:val="24"/>
          <w:lang w:val="ru-MD"/>
        </w:rPr>
        <w:t>Повышение зависимости БГСС от государственного бюджета, в связи с запросом трансфертов общего назначения для покрытия дефицита, который за последние пять лет увеличился в четыре раза, может отразится на устойчивости данного бюджета</w:t>
      </w:r>
      <w:r w:rsidR="00183D72" w:rsidRPr="00730DC7">
        <w:rPr>
          <w:rFonts w:asciiTheme="majorHAnsi" w:hAnsiTheme="majorHAnsi" w:cstheme="majorHAnsi"/>
          <w:b/>
          <w:sz w:val="24"/>
          <w:szCs w:val="24"/>
          <w:lang w:val="ru-MD"/>
        </w:rPr>
        <w:t>.</w:t>
      </w:r>
      <w:r w:rsidR="00B8287B">
        <w:rPr>
          <w:rFonts w:asciiTheme="majorHAnsi" w:hAnsiTheme="majorHAnsi" w:cstheme="majorHAnsi"/>
          <w:b/>
          <w:sz w:val="24"/>
          <w:szCs w:val="24"/>
          <w:lang w:val="ru-MD"/>
        </w:rPr>
        <w:t xml:space="preserve"> </w:t>
      </w:r>
    </w:p>
    <w:p w14:paraId="2A22C085" w14:textId="64D290CE" w:rsidR="00183D72" w:rsidRPr="001A7707" w:rsidRDefault="001A7707" w:rsidP="00183D72">
      <w:pPr>
        <w:spacing w:line="276" w:lineRule="auto"/>
        <w:jc w:val="both"/>
        <w:rPr>
          <w:rFonts w:asciiTheme="majorHAnsi" w:hAnsiTheme="majorHAnsi" w:cstheme="majorHAnsi"/>
          <w:sz w:val="24"/>
          <w:szCs w:val="24"/>
          <w:lang w:val="ru-MD"/>
        </w:rPr>
      </w:pPr>
      <w:r w:rsidRPr="001A7707">
        <w:rPr>
          <w:rFonts w:asciiTheme="majorHAnsi" w:hAnsiTheme="majorHAnsi" w:cstheme="majorHAnsi"/>
          <w:sz w:val="24"/>
          <w:szCs w:val="24"/>
          <w:lang w:val="ru-MD"/>
        </w:rPr>
        <w:t>Серьезной проблемой для БГСС является его постоянная финансовая зависимость от государственного бюджета, поскольку полученные трансферты общего назначения ежегодно увеличиваются по сравнению с предыдущим годом, а за последние пять лет они увеличились в 4 раза</w:t>
      </w:r>
      <w:r w:rsidR="00183D72" w:rsidRPr="001A7707">
        <w:rPr>
          <w:rFonts w:asciiTheme="majorHAnsi" w:hAnsiTheme="majorHAnsi" w:cstheme="majorHAnsi"/>
          <w:sz w:val="24"/>
          <w:szCs w:val="24"/>
          <w:lang w:val="ru-MD"/>
        </w:rPr>
        <w:t>.</w:t>
      </w:r>
    </w:p>
    <w:p w14:paraId="124075F3" w14:textId="77777777" w:rsidR="00183D72" w:rsidRPr="00653E85" w:rsidRDefault="00183D72" w:rsidP="00FB7074">
      <w:pPr>
        <w:spacing w:line="276" w:lineRule="auto"/>
        <w:jc w:val="center"/>
        <w:rPr>
          <w:rFonts w:asciiTheme="majorHAnsi" w:hAnsiTheme="majorHAnsi" w:cstheme="majorHAnsi"/>
          <w:sz w:val="24"/>
          <w:szCs w:val="24"/>
          <w:lang w:val="ro-MD"/>
        </w:rPr>
      </w:pPr>
      <w:r w:rsidRPr="00653E85">
        <w:rPr>
          <w:noProof/>
          <w:lang w:val="ru-RU" w:eastAsia="ru-RU"/>
        </w:rPr>
        <w:drawing>
          <wp:inline distT="0" distB="0" distL="0" distR="0" wp14:anchorId="1AFD3136" wp14:editId="0433F0E3">
            <wp:extent cx="5621216" cy="1682261"/>
            <wp:effectExtent l="0" t="0" r="1778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F9B7A1" w14:textId="3492B4B7" w:rsidR="00183D72" w:rsidRPr="00653E85" w:rsidRDefault="00B7373E" w:rsidP="00183D72">
      <w:pPr>
        <w:spacing w:line="276" w:lineRule="auto"/>
        <w:jc w:val="both"/>
        <w:rPr>
          <w:rFonts w:asciiTheme="majorHAnsi" w:hAnsiTheme="majorHAnsi" w:cstheme="majorHAnsi"/>
          <w:i/>
          <w:sz w:val="20"/>
          <w:szCs w:val="20"/>
          <w:lang w:val="ro-MD"/>
        </w:rPr>
      </w:pPr>
      <w:r>
        <w:rPr>
          <w:rFonts w:asciiTheme="majorHAnsi" w:hAnsiTheme="majorHAnsi" w:cstheme="majorHAnsi"/>
          <w:b/>
          <w:sz w:val="20"/>
          <w:szCs w:val="20"/>
          <w:lang w:val="ro-MD"/>
        </w:rPr>
        <w:t>Рисунок №</w:t>
      </w:r>
      <w:r w:rsidR="000C781C" w:rsidRPr="00653E85">
        <w:rPr>
          <w:rFonts w:asciiTheme="majorHAnsi" w:hAnsiTheme="majorHAnsi" w:cstheme="majorHAnsi"/>
          <w:b/>
          <w:sz w:val="20"/>
          <w:szCs w:val="20"/>
          <w:lang w:val="ro-MD"/>
        </w:rPr>
        <w:t>1</w:t>
      </w:r>
      <w:r w:rsidR="00D85D04">
        <w:rPr>
          <w:rFonts w:asciiTheme="majorHAnsi" w:hAnsiTheme="majorHAnsi" w:cstheme="majorHAnsi"/>
          <w:b/>
          <w:sz w:val="20"/>
          <w:szCs w:val="20"/>
          <w:lang w:val="ru-RU"/>
        </w:rPr>
        <w:t>:</w:t>
      </w:r>
      <w:r>
        <w:rPr>
          <w:rFonts w:asciiTheme="majorHAnsi" w:hAnsiTheme="majorHAnsi" w:cstheme="majorHAnsi"/>
          <w:i/>
          <w:sz w:val="20"/>
          <w:szCs w:val="20"/>
          <w:lang w:val="ro-MD"/>
        </w:rPr>
        <w:t xml:space="preserve"> </w:t>
      </w:r>
      <w:r w:rsidRPr="00B7373E">
        <w:rPr>
          <w:rFonts w:asciiTheme="majorHAnsi" w:hAnsiTheme="majorHAnsi" w:cstheme="majorHAnsi"/>
          <w:bCs/>
          <w:i/>
          <w:sz w:val="20"/>
          <w:szCs w:val="20"/>
          <w:lang w:val="ro-MD"/>
        </w:rPr>
        <w:t>Динамика трансфертов из государственного бюджета на покрытие дефицита бюджета государственного социального страхования за 2017-2022 годы</w:t>
      </w:r>
      <w:r w:rsidR="00254978" w:rsidRPr="00653E85">
        <w:rPr>
          <w:rFonts w:asciiTheme="majorHAnsi" w:hAnsiTheme="majorHAnsi" w:cstheme="majorHAnsi"/>
          <w:bCs/>
          <w:i/>
          <w:sz w:val="20"/>
          <w:szCs w:val="20"/>
          <w:lang w:val="ro-MD"/>
        </w:rPr>
        <w:t>.</w:t>
      </w:r>
    </w:p>
    <w:p w14:paraId="000678DA" w14:textId="6CC1836A" w:rsidR="00183D72" w:rsidRPr="00653E85" w:rsidRDefault="00B7373E" w:rsidP="00183D72">
      <w:pPr>
        <w:tabs>
          <w:tab w:val="left" w:pos="426"/>
          <w:tab w:val="left" w:pos="709"/>
          <w:tab w:val="left" w:pos="993"/>
        </w:tabs>
        <w:spacing w:line="276" w:lineRule="auto"/>
        <w:jc w:val="both"/>
        <w:rPr>
          <w:rFonts w:asciiTheme="majorHAnsi" w:hAnsiTheme="majorHAnsi" w:cstheme="majorHAnsi"/>
          <w:sz w:val="24"/>
          <w:szCs w:val="24"/>
          <w:lang w:val="ro-MD"/>
        </w:rPr>
      </w:pPr>
      <w:r w:rsidRPr="00B7373E">
        <w:rPr>
          <w:rFonts w:asciiTheme="majorHAnsi" w:hAnsiTheme="majorHAnsi" w:cstheme="majorHAnsi"/>
          <w:sz w:val="24"/>
          <w:szCs w:val="24"/>
          <w:lang w:val="ro-MD"/>
        </w:rPr>
        <w:t xml:space="preserve">В 2022 году трансферты общего назначения составили в целом </w:t>
      </w:r>
      <w:r w:rsidR="00D85D04" w:rsidRPr="00653E85">
        <w:rPr>
          <w:rFonts w:asciiTheme="majorHAnsi" w:hAnsiTheme="majorHAnsi" w:cstheme="majorHAnsi"/>
          <w:sz w:val="24"/>
          <w:szCs w:val="24"/>
          <w:lang w:val="ro-MD"/>
        </w:rPr>
        <w:t>4 434,1</w:t>
      </w:r>
      <w:r w:rsidRPr="00B7373E">
        <w:rPr>
          <w:rFonts w:asciiTheme="majorHAnsi" w:hAnsiTheme="majorHAnsi" w:cstheme="majorHAnsi"/>
          <w:sz w:val="24"/>
          <w:szCs w:val="24"/>
          <w:lang w:val="ro-MD"/>
        </w:rPr>
        <w:t xml:space="preserve"> млн. леев, что на </w:t>
      </w:r>
      <w:r w:rsidR="00D85D04" w:rsidRPr="00653E85">
        <w:rPr>
          <w:rFonts w:asciiTheme="majorHAnsi" w:hAnsiTheme="majorHAnsi" w:cstheme="majorHAnsi"/>
          <w:sz w:val="24"/>
          <w:szCs w:val="24"/>
          <w:lang w:val="ro-MD"/>
        </w:rPr>
        <w:t>56,3</w:t>
      </w:r>
      <w:r w:rsidRPr="00B7373E">
        <w:rPr>
          <w:rFonts w:asciiTheme="majorHAnsi" w:hAnsiTheme="majorHAnsi" w:cstheme="majorHAnsi"/>
          <w:sz w:val="24"/>
          <w:szCs w:val="24"/>
          <w:lang w:val="ro-MD"/>
        </w:rPr>
        <w:t>% больше, чем в предыдущем году (</w:t>
      </w:r>
      <w:r w:rsidR="00D85D04" w:rsidRPr="00653E85">
        <w:rPr>
          <w:rFonts w:asciiTheme="majorHAnsi" w:hAnsiTheme="majorHAnsi" w:cstheme="majorHAnsi"/>
          <w:sz w:val="24"/>
          <w:szCs w:val="24"/>
          <w:lang w:val="ro-MD"/>
        </w:rPr>
        <w:t xml:space="preserve">2 840,0 </w:t>
      </w:r>
      <w:r w:rsidRPr="00B7373E">
        <w:rPr>
          <w:rFonts w:asciiTheme="majorHAnsi" w:hAnsiTheme="majorHAnsi" w:cstheme="majorHAnsi"/>
          <w:sz w:val="24"/>
          <w:szCs w:val="24"/>
          <w:lang w:val="ro-MD"/>
        </w:rPr>
        <w:t>млн. леев)</w:t>
      </w:r>
      <w:r w:rsidR="00183D72" w:rsidRPr="00653E85">
        <w:rPr>
          <w:rFonts w:asciiTheme="majorHAnsi" w:hAnsiTheme="majorHAnsi" w:cstheme="majorHAnsi"/>
          <w:sz w:val="24"/>
          <w:szCs w:val="24"/>
          <w:lang w:val="ro-MD"/>
        </w:rPr>
        <w:t xml:space="preserve">.  </w:t>
      </w:r>
    </w:p>
    <w:p w14:paraId="1357031D" w14:textId="015836A6" w:rsidR="00183D72" w:rsidRPr="00653E85" w:rsidRDefault="00D85D04" w:rsidP="00183D72">
      <w:pPr>
        <w:spacing w:line="276" w:lineRule="auto"/>
        <w:jc w:val="both"/>
        <w:rPr>
          <w:rFonts w:asciiTheme="majorHAnsi" w:hAnsiTheme="majorHAnsi" w:cstheme="majorHAnsi"/>
          <w:sz w:val="24"/>
          <w:szCs w:val="24"/>
          <w:lang w:val="ro-MD"/>
        </w:rPr>
      </w:pPr>
      <w:r>
        <w:rPr>
          <w:rFonts w:asciiTheme="majorHAnsi" w:hAnsiTheme="majorHAnsi" w:cstheme="majorHAnsi"/>
          <w:sz w:val="24"/>
          <w:szCs w:val="24"/>
          <w:lang w:val="ru-RU"/>
        </w:rPr>
        <w:t>Таким образом</w:t>
      </w:r>
      <w:r w:rsidR="00183D72" w:rsidRPr="00653E85">
        <w:rPr>
          <w:rFonts w:asciiTheme="majorHAnsi" w:hAnsiTheme="majorHAnsi" w:cstheme="majorHAnsi"/>
          <w:sz w:val="24"/>
          <w:szCs w:val="24"/>
          <w:lang w:val="ro-MD"/>
        </w:rPr>
        <w:t xml:space="preserve">, </w:t>
      </w:r>
      <w:r>
        <w:rPr>
          <w:rFonts w:asciiTheme="majorHAnsi" w:hAnsiTheme="majorHAnsi" w:cstheme="majorHAnsi"/>
          <w:sz w:val="24"/>
          <w:szCs w:val="24"/>
          <w:lang w:val="ru-MD"/>
        </w:rPr>
        <w:t>э</w:t>
      </w:r>
      <w:r w:rsidRPr="00DD713A">
        <w:rPr>
          <w:rFonts w:asciiTheme="majorHAnsi" w:hAnsiTheme="majorHAnsi" w:cstheme="majorHAnsi"/>
          <w:sz w:val="24"/>
          <w:szCs w:val="24"/>
          <w:lang w:val="ru-MD"/>
        </w:rPr>
        <w:t xml:space="preserve">волюция трансфертов, </w:t>
      </w:r>
      <w:r>
        <w:rPr>
          <w:rFonts w:asciiTheme="majorHAnsi" w:hAnsiTheme="majorHAnsi" w:cstheme="majorHAnsi"/>
          <w:sz w:val="24"/>
          <w:szCs w:val="24"/>
          <w:lang w:val="ru-MD"/>
        </w:rPr>
        <w:t>в соотношении с</w:t>
      </w:r>
      <w:r w:rsidRPr="00DD713A">
        <w:rPr>
          <w:rFonts w:asciiTheme="majorHAnsi" w:hAnsiTheme="majorHAnsi" w:cstheme="majorHAnsi"/>
          <w:sz w:val="24"/>
          <w:szCs w:val="24"/>
          <w:lang w:val="ru-MD"/>
        </w:rPr>
        <w:t xml:space="preserve"> обязательств</w:t>
      </w:r>
      <w:r>
        <w:rPr>
          <w:rFonts w:asciiTheme="majorHAnsi" w:hAnsiTheme="majorHAnsi" w:cstheme="majorHAnsi"/>
          <w:sz w:val="24"/>
          <w:szCs w:val="24"/>
          <w:lang w:val="ru-MD"/>
        </w:rPr>
        <w:t>ами</w:t>
      </w:r>
      <w:r w:rsidRPr="00DD713A">
        <w:rPr>
          <w:rFonts w:asciiTheme="majorHAnsi" w:hAnsiTheme="majorHAnsi" w:cstheme="majorHAnsi"/>
          <w:sz w:val="24"/>
          <w:szCs w:val="24"/>
          <w:lang w:val="ru-MD"/>
        </w:rPr>
        <w:t xml:space="preserve"> перед бенефициарами, которые будут выполнены в будущих финансовых годах, могут повлиять на устойчивость БГСС. Это может привести к нарушению баланса бюджета государственного социального страхования, что повлечет за собой увеличение бремени бюджета государственного социального страхования </w:t>
      </w:r>
      <w:r>
        <w:rPr>
          <w:rFonts w:asciiTheme="majorHAnsi" w:hAnsiTheme="majorHAnsi" w:cstheme="majorHAnsi"/>
          <w:sz w:val="24"/>
          <w:szCs w:val="24"/>
          <w:lang w:val="ru-MD"/>
        </w:rPr>
        <w:t>на</w:t>
      </w:r>
      <w:r w:rsidRPr="00DD713A">
        <w:rPr>
          <w:rFonts w:asciiTheme="majorHAnsi" w:hAnsiTheme="majorHAnsi" w:cstheme="majorHAnsi"/>
          <w:sz w:val="24"/>
          <w:szCs w:val="24"/>
          <w:lang w:val="ru-MD"/>
        </w:rPr>
        <w:t xml:space="preserve"> государственн</w:t>
      </w:r>
      <w:r>
        <w:rPr>
          <w:rFonts w:asciiTheme="majorHAnsi" w:hAnsiTheme="majorHAnsi" w:cstheme="majorHAnsi"/>
          <w:sz w:val="24"/>
          <w:szCs w:val="24"/>
          <w:lang w:val="ru-MD"/>
        </w:rPr>
        <w:t>ый</w:t>
      </w:r>
      <w:r w:rsidRPr="00DD713A">
        <w:rPr>
          <w:rFonts w:asciiTheme="majorHAnsi" w:hAnsiTheme="majorHAnsi" w:cstheme="majorHAnsi"/>
          <w:sz w:val="24"/>
          <w:szCs w:val="24"/>
          <w:lang w:val="ru-MD"/>
        </w:rPr>
        <w:t xml:space="preserve"> бюджет, в связи с запросом трансфертов общего назначения (финансовых ресурсов для покрытия дефицита), и вызывает причины для беспокойства в </w:t>
      </w:r>
      <w:r>
        <w:rPr>
          <w:rFonts w:asciiTheme="majorHAnsi" w:hAnsiTheme="majorHAnsi" w:cstheme="majorHAnsi"/>
          <w:sz w:val="24"/>
          <w:szCs w:val="24"/>
          <w:lang w:val="ru-MD"/>
        </w:rPr>
        <w:t>отношении</w:t>
      </w:r>
      <w:r w:rsidRPr="00DD713A">
        <w:rPr>
          <w:rFonts w:asciiTheme="majorHAnsi" w:hAnsiTheme="majorHAnsi" w:cstheme="majorHAnsi"/>
          <w:sz w:val="24"/>
          <w:szCs w:val="24"/>
          <w:lang w:val="ru-MD"/>
        </w:rPr>
        <w:t xml:space="preserve"> динамик</w:t>
      </w:r>
      <w:r>
        <w:rPr>
          <w:rFonts w:asciiTheme="majorHAnsi" w:hAnsiTheme="majorHAnsi" w:cstheme="majorHAnsi"/>
          <w:sz w:val="24"/>
          <w:szCs w:val="24"/>
          <w:lang w:val="ru-MD"/>
        </w:rPr>
        <w:t>и</w:t>
      </w:r>
      <w:r w:rsidRPr="00DD713A">
        <w:rPr>
          <w:rFonts w:asciiTheme="majorHAnsi" w:hAnsiTheme="majorHAnsi" w:cstheme="majorHAnsi"/>
          <w:sz w:val="24"/>
          <w:szCs w:val="24"/>
          <w:lang w:val="ru-MD"/>
        </w:rPr>
        <w:t xml:space="preserve"> доходов БГСС по сравнению с расходами, которые будут понесены</w:t>
      </w:r>
      <w:r w:rsidR="00183D72" w:rsidRPr="00653E85">
        <w:rPr>
          <w:rFonts w:asciiTheme="majorHAnsi" w:hAnsiTheme="majorHAnsi" w:cstheme="majorHAnsi"/>
          <w:sz w:val="24"/>
          <w:szCs w:val="24"/>
          <w:lang w:val="ro-MD"/>
        </w:rPr>
        <w:t>.</w:t>
      </w:r>
    </w:p>
    <w:p w14:paraId="0C1F20B1" w14:textId="520DDFBB" w:rsidR="00183D72" w:rsidRPr="00653E85" w:rsidRDefault="0059674A" w:rsidP="00183D72">
      <w:pPr>
        <w:tabs>
          <w:tab w:val="left" w:pos="426"/>
          <w:tab w:val="left" w:pos="709"/>
          <w:tab w:val="left" w:pos="993"/>
        </w:tabs>
        <w:spacing w:line="276" w:lineRule="auto"/>
        <w:jc w:val="both"/>
        <w:rPr>
          <w:rFonts w:asciiTheme="majorHAnsi" w:hAnsiTheme="majorHAnsi" w:cstheme="majorHAnsi"/>
          <w:sz w:val="24"/>
          <w:szCs w:val="24"/>
          <w:lang w:val="ro-MD"/>
        </w:rPr>
      </w:pPr>
      <w:r w:rsidRPr="00DD713A">
        <w:rPr>
          <w:rFonts w:asciiTheme="majorHAnsi" w:hAnsiTheme="majorHAnsi" w:cstheme="majorHAnsi"/>
          <w:sz w:val="24"/>
          <w:szCs w:val="24"/>
          <w:lang w:val="ru-MD"/>
        </w:rPr>
        <w:t>Одновременно отмечается, что для покрытия временного кассового разрыва, в целях выполнения обязательств перед бенефициарами и обеспечения своевременного перевода социальных пособий, в период с ноября по декабрь 202</w:t>
      </w:r>
      <w:r>
        <w:rPr>
          <w:rFonts w:asciiTheme="majorHAnsi" w:hAnsiTheme="majorHAnsi" w:cstheme="majorHAnsi"/>
          <w:sz w:val="24"/>
          <w:szCs w:val="24"/>
          <w:lang w:val="ru-MD"/>
        </w:rPr>
        <w:t>2</w:t>
      </w:r>
      <w:r w:rsidRPr="00DD713A">
        <w:rPr>
          <w:rFonts w:asciiTheme="majorHAnsi" w:hAnsiTheme="majorHAnsi" w:cstheme="majorHAnsi"/>
          <w:sz w:val="24"/>
          <w:szCs w:val="24"/>
          <w:lang w:val="ru-MD"/>
        </w:rPr>
        <w:t xml:space="preserve"> года, НКСС была вынуждена законтрактовать 2 займа из государственного бюджета, на общую сумму </w:t>
      </w:r>
      <w:r w:rsidRPr="00653E85">
        <w:rPr>
          <w:rFonts w:asciiTheme="majorHAnsi" w:hAnsiTheme="majorHAnsi" w:cstheme="majorHAnsi"/>
          <w:sz w:val="24"/>
          <w:szCs w:val="24"/>
          <w:lang w:val="ro-MD"/>
        </w:rPr>
        <w:t>690,0</w:t>
      </w:r>
      <w:r w:rsidRPr="00DD713A">
        <w:rPr>
          <w:rFonts w:asciiTheme="majorHAnsi" w:hAnsiTheme="majorHAnsi" w:cstheme="majorHAnsi"/>
          <w:sz w:val="24"/>
          <w:szCs w:val="24"/>
          <w:lang w:val="ru-MD"/>
        </w:rPr>
        <w:t xml:space="preserve"> млн. леев, которые были возвращены в том же бюджетном году</w:t>
      </w:r>
      <w:r w:rsidRPr="00DD713A">
        <w:rPr>
          <w:rStyle w:val="a5"/>
          <w:rFonts w:asciiTheme="majorHAnsi" w:hAnsiTheme="majorHAnsi" w:cstheme="majorHAnsi"/>
          <w:sz w:val="24"/>
          <w:szCs w:val="24"/>
          <w:lang w:val="ru-MD"/>
        </w:rPr>
        <w:footnoteReference w:id="21"/>
      </w:r>
      <w:r w:rsidRPr="00DD713A">
        <w:rPr>
          <w:rFonts w:asciiTheme="majorHAnsi" w:hAnsiTheme="majorHAnsi" w:cstheme="majorHAnsi"/>
          <w:sz w:val="24"/>
          <w:szCs w:val="24"/>
          <w:lang w:val="ru-MD"/>
        </w:rPr>
        <w:t xml:space="preserve">. Анализ </w:t>
      </w:r>
      <w:r w:rsidR="00702B1A">
        <w:rPr>
          <w:rFonts w:asciiTheme="majorHAnsi" w:hAnsiTheme="majorHAnsi" w:cstheme="majorHAnsi"/>
          <w:sz w:val="24"/>
          <w:szCs w:val="24"/>
          <w:lang w:val="ru-MD"/>
        </w:rPr>
        <w:t xml:space="preserve">трансфертов, </w:t>
      </w:r>
      <w:r w:rsidRPr="00DD713A">
        <w:rPr>
          <w:rFonts w:asciiTheme="majorHAnsi" w:hAnsiTheme="majorHAnsi" w:cstheme="majorHAnsi"/>
          <w:sz w:val="24"/>
          <w:szCs w:val="24"/>
          <w:lang w:val="ru-MD"/>
        </w:rPr>
        <w:t>полученных из государственного бюджета</w:t>
      </w:r>
      <w:r w:rsidR="00702B1A">
        <w:rPr>
          <w:rFonts w:asciiTheme="majorHAnsi" w:hAnsiTheme="majorHAnsi" w:cstheme="majorHAnsi"/>
          <w:sz w:val="24"/>
          <w:szCs w:val="24"/>
          <w:lang w:val="ru-MD"/>
        </w:rPr>
        <w:t>,</w:t>
      </w:r>
      <w:r w:rsidRPr="00DD713A">
        <w:rPr>
          <w:rFonts w:asciiTheme="majorHAnsi" w:hAnsiTheme="majorHAnsi" w:cstheme="majorHAnsi"/>
          <w:sz w:val="24"/>
          <w:szCs w:val="24"/>
          <w:lang w:val="ru-MD"/>
        </w:rPr>
        <w:t xml:space="preserve"> представлен в Приложении №</w:t>
      </w:r>
      <w:r w:rsidR="00702B1A">
        <w:rPr>
          <w:rFonts w:asciiTheme="majorHAnsi" w:hAnsiTheme="majorHAnsi" w:cstheme="majorHAnsi"/>
          <w:sz w:val="24"/>
          <w:szCs w:val="24"/>
          <w:lang w:val="ru-MD"/>
        </w:rPr>
        <w:t>15</w:t>
      </w:r>
      <w:r w:rsidRPr="00DD713A">
        <w:rPr>
          <w:rFonts w:asciiTheme="majorHAnsi" w:hAnsiTheme="majorHAnsi" w:cstheme="majorHAnsi"/>
          <w:sz w:val="24"/>
          <w:szCs w:val="24"/>
          <w:lang w:val="ru-MD"/>
        </w:rPr>
        <w:t xml:space="preserve"> к настоящему Отчету аудита</w:t>
      </w:r>
      <w:r w:rsidR="00183D72" w:rsidRPr="00653E85">
        <w:rPr>
          <w:rFonts w:asciiTheme="majorHAnsi" w:hAnsiTheme="majorHAnsi" w:cstheme="majorHAnsi"/>
          <w:sz w:val="24"/>
          <w:szCs w:val="24"/>
          <w:lang w:val="ro-MD"/>
        </w:rPr>
        <w:t>.</w:t>
      </w:r>
    </w:p>
    <w:p w14:paraId="2135ED6E" w14:textId="22D6EBF9" w:rsidR="00183D72" w:rsidRPr="00174E61" w:rsidRDefault="00702B1A" w:rsidP="00183D72">
      <w:pPr>
        <w:jc w:val="both"/>
        <w:rPr>
          <w:rFonts w:asciiTheme="majorHAnsi" w:hAnsiTheme="majorHAnsi" w:cstheme="majorHAnsi"/>
          <w:sz w:val="24"/>
          <w:szCs w:val="24"/>
          <w:lang w:val="ru-MD"/>
        </w:rPr>
      </w:pPr>
      <w:r w:rsidRPr="00174E61">
        <w:rPr>
          <w:rFonts w:asciiTheme="majorHAnsi" w:hAnsiTheme="majorHAnsi" w:cstheme="majorHAnsi"/>
          <w:sz w:val="24"/>
          <w:szCs w:val="24"/>
          <w:lang w:val="ru-MD"/>
        </w:rPr>
        <w:t>Отме</w:t>
      </w:r>
      <w:r w:rsidR="00174E61" w:rsidRPr="00174E61">
        <w:rPr>
          <w:rFonts w:asciiTheme="majorHAnsi" w:hAnsiTheme="majorHAnsi" w:cstheme="majorHAnsi"/>
          <w:sz w:val="24"/>
          <w:szCs w:val="24"/>
          <w:lang w:val="ru-MD"/>
        </w:rPr>
        <w:t>чается</w:t>
      </w:r>
      <w:r w:rsidRPr="00174E61">
        <w:rPr>
          <w:rFonts w:asciiTheme="majorHAnsi" w:hAnsiTheme="majorHAnsi" w:cstheme="majorHAnsi"/>
          <w:sz w:val="24"/>
          <w:szCs w:val="24"/>
          <w:lang w:val="ru-MD"/>
        </w:rPr>
        <w:t xml:space="preserve">, что в течение 2022 года НКСС </w:t>
      </w:r>
      <w:r w:rsidR="00174E61" w:rsidRPr="00174E61">
        <w:rPr>
          <w:rFonts w:asciiTheme="majorHAnsi" w:hAnsiTheme="majorHAnsi" w:cstheme="majorHAnsi"/>
          <w:sz w:val="24"/>
          <w:szCs w:val="24"/>
          <w:lang w:val="ru-MD"/>
        </w:rPr>
        <w:t>предупреждала</w:t>
      </w:r>
      <w:r w:rsidRPr="00174E61">
        <w:rPr>
          <w:rFonts w:asciiTheme="majorHAnsi" w:hAnsiTheme="majorHAnsi" w:cstheme="majorHAnsi"/>
          <w:sz w:val="24"/>
          <w:szCs w:val="24"/>
          <w:lang w:val="ru-MD"/>
        </w:rPr>
        <w:t xml:space="preserve"> Министерств</w:t>
      </w:r>
      <w:r w:rsidR="00174E61" w:rsidRPr="00174E61">
        <w:rPr>
          <w:rFonts w:asciiTheme="majorHAnsi" w:hAnsiTheme="majorHAnsi" w:cstheme="majorHAnsi"/>
          <w:sz w:val="24"/>
          <w:szCs w:val="24"/>
          <w:lang w:val="ru-MD"/>
        </w:rPr>
        <w:t>о</w:t>
      </w:r>
      <w:r w:rsidRPr="00174E61">
        <w:rPr>
          <w:rFonts w:asciiTheme="majorHAnsi" w:hAnsiTheme="majorHAnsi" w:cstheme="majorHAnsi"/>
          <w:sz w:val="24"/>
          <w:szCs w:val="24"/>
          <w:lang w:val="ru-MD"/>
        </w:rPr>
        <w:t xml:space="preserve"> финансов и выра</w:t>
      </w:r>
      <w:r w:rsidR="00174E61" w:rsidRPr="00174E61">
        <w:rPr>
          <w:rFonts w:asciiTheme="majorHAnsi" w:hAnsiTheme="majorHAnsi" w:cstheme="majorHAnsi"/>
          <w:sz w:val="24"/>
          <w:szCs w:val="24"/>
          <w:lang w:val="ru-MD"/>
        </w:rPr>
        <w:t>жа</w:t>
      </w:r>
      <w:r w:rsidRPr="00174E61">
        <w:rPr>
          <w:rFonts w:asciiTheme="majorHAnsi" w:hAnsiTheme="majorHAnsi" w:cstheme="majorHAnsi"/>
          <w:sz w:val="24"/>
          <w:szCs w:val="24"/>
          <w:lang w:val="ru-MD"/>
        </w:rPr>
        <w:t>л</w:t>
      </w:r>
      <w:r w:rsidR="00174E61" w:rsidRPr="00174E61">
        <w:rPr>
          <w:rFonts w:asciiTheme="majorHAnsi" w:hAnsiTheme="majorHAnsi" w:cstheme="majorHAnsi"/>
          <w:sz w:val="24"/>
          <w:szCs w:val="24"/>
          <w:lang w:val="ru-MD"/>
        </w:rPr>
        <w:t>а</w:t>
      </w:r>
      <w:r w:rsidRPr="00174E61">
        <w:rPr>
          <w:rFonts w:asciiTheme="majorHAnsi" w:hAnsiTheme="majorHAnsi" w:cstheme="majorHAnsi"/>
          <w:sz w:val="24"/>
          <w:szCs w:val="24"/>
          <w:lang w:val="ru-MD"/>
        </w:rPr>
        <w:t xml:space="preserve"> обеспокоенность по поводу обеспечения устойчивости бюджета государственного социального страхования и </w:t>
      </w:r>
      <w:r w:rsidR="00174E61" w:rsidRPr="00174E61">
        <w:rPr>
          <w:rFonts w:asciiTheme="majorHAnsi" w:hAnsiTheme="majorHAnsi" w:cstheme="majorHAnsi"/>
          <w:sz w:val="24"/>
          <w:szCs w:val="24"/>
          <w:lang w:val="ru-MD"/>
        </w:rPr>
        <w:t>несогласие</w:t>
      </w:r>
      <w:r w:rsidRPr="00174E61">
        <w:rPr>
          <w:rFonts w:asciiTheme="majorHAnsi" w:hAnsiTheme="majorHAnsi" w:cstheme="majorHAnsi"/>
          <w:sz w:val="24"/>
          <w:szCs w:val="24"/>
          <w:lang w:val="ru-MD"/>
        </w:rPr>
        <w:t xml:space="preserve"> </w:t>
      </w:r>
      <w:r w:rsidR="00174E61" w:rsidRPr="00174E61">
        <w:rPr>
          <w:rFonts w:asciiTheme="majorHAnsi" w:hAnsiTheme="majorHAnsi" w:cstheme="majorHAnsi"/>
          <w:sz w:val="24"/>
          <w:szCs w:val="24"/>
          <w:lang w:val="ru-MD"/>
        </w:rPr>
        <w:t>с</w:t>
      </w:r>
      <w:r w:rsidRPr="00174E61">
        <w:rPr>
          <w:rFonts w:asciiTheme="majorHAnsi" w:hAnsiTheme="majorHAnsi" w:cstheme="majorHAnsi"/>
          <w:sz w:val="24"/>
          <w:szCs w:val="24"/>
          <w:lang w:val="ru-MD"/>
        </w:rPr>
        <w:t xml:space="preserve"> использовани</w:t>
      </w:r>
      <w:r w:rsidR="00174E61" w:rsidRPr="00174E61">
        <w:rPr>
          <w:rFonts w:asciiTheme="majorHAnsi" w:hAnsiTheme="majorHAnsi" w:cstheme="majorHAnsi"/>
          <w:sz w:val="24"/>
          <w:szCs w:val="24"/>
          <w:lang w:val="ru-MD"/>
        </w:rPr>
        <w:t>ем</w:t>
      </w:r>
      <w:r w:rsidRPr="00174E61">
        <w:rPr>
          <w:rFonts w:asciiTheme="majorHAnsi" w:hAnsiTheme="majorHAnsi" w:cstheme="majorHAnsi"/>
          <w:sz w:val="24"/>
          <w:szCs w:val="24"/>
          <w:lang w:val="ru-MD"/>
        </w:rPr>
        <w:t xml:space="preserve"> социального страхования в качестве инструмента экономической поддержки определенных секторов</w:t>
      </w:r>
      <w:r w:rsidR="00183D72" w:rsidRPr="00174E61">
        <w:rPr>
          <w:rStyle w:val="a5"/>
          <w:rFonts w:asciiTheme="majorHAnsi" w:hAnsiTheme="majorHAnsi" w:cstheme="majorHAnsi"/>
          <w:sz w:val="24"/>
          <w:szCs w:val="24"/>
          <w:lang w:val="ru-MD"/>
        </w:rPr>
        <w:footnoteReference w:id="22"/>
      </w:r>
      <w:r w:rsidR="00183D72" w:rsidRPr="00174E61">
        <w:rPr>
          <w:rFonts w:asciiTheme="majorHAnsi" w:hAnsiTheme="majorHAnsi" w:cstheme="majorHAnsi"/>
          <w:sz w:val="24"/>
          <w:szCs w:val="24"/>
          <w:lang w:val="ru-MD"/>
        </w:rPr>
        <w:t xml:space="preserve">. </w:t>
      </w:r>
    </w:p>
    <w:p w14:paraId="00FF6EEF" w14:textId="519C0130" w:rsidR="00183D72" w:rsidRPr="00653E85" w:rsidRDefault="00702B1A" w:rsidP="0068377C">
      <w:pPr>
        <w:spacing w:line="276" w:lineRule="auto"/>
        <w:jc w:val="both"/>
        <w:rPr>
          <w:rFonts w:asciiTheme="majorHAnsi" w:hAnsiTheme="majorHAnsi" w:cstheme="majorHAnsi"/>
          <w:sz w:val="24"/>
          <w:szCs w:val="24"/>
          <w:lang w:val="ro-MD"/>
        </w:rPr>
      </w:pPr>
      <w:r w:rsidRPr="00DD713A">
        <w:rPr>
          <w:rFonts w:asciiTheme="majorHAnsi" w:hAnsiTheme="majorHAnsi" w:cstheme="majorHAnsi"/>
          <w:b/>
          <w:sz w:val="24"/>
          <w:szCs w:val="24"/>
          <w:lang w:val="ru-MD"/>
        </w:rPr>
        <w:t xml:space="preserve">Что касается трансфертов специального назначения </w:t>
      </w:r>
      <w:r w:rsidRPr="00DD713A">
        <w:rPr>
          <w:rFonts w:asciiTheme="majorHAnsi" w:hAnsiTheme="majorHAnsi" w:cstheme="majorHAnsi"/>
          <w:sz w:val="24"/>
          <w:szCs w:val="24"/>
          <w:lang w:val="ru-MD"/>
        </w:rPr>
        <w:t xml:space="preserve">в сумме </w:t>
      </w:r>
      <w:r w:rsidR="00174E61" w:rsidRPr="00653E85">
        <w:rPr>
          <w:rFonts w:asciiTheme="majorHAnsi" w:hAnsiTheme="majorHAnsi" w:cstheme="majorHAnsi"/>
          <w:sz w:val="24"/>
          <w:szCs w:val="24"/>
          <w:lang w:val="ro-MD"/>
        </w:rPr>
        <w:t>10 359,9</w:t>
      </w:r>
      <w:r w:rsidR="00174E61">
        <w:rPr>
          <w:rFonts w:asciiTheme="majorHAnsi" w:hAnsiTheme="majorHAnsi" w:cstheme="majorHAnsi"/>
          <w:sz w:val="24"/>
          <w:szCs w:val="24"/>
          <w:lang w:val="ru-RU"/>
        </w:rPr>
        <w:t xml:space="preserve"> </w:t>
      </w:r>
      <w:r w:rsidRPr="00DD713A">
        <w:rPr>
          <w:rFonts w:asciiTheme="majorHAnsi" w:hAnsiTheme="majorHAnsi" w:cstheme="majorHAnsi"/>
          <w:sz w:val="24"/>
          <w:szCs w:val="24"/>
          <w:lang w:val="ru-MD"/>
        </w:rPr>
        <w:t>млн. леев, отмечается, что они использовались преимущественно на выплату пособий социальной помощи (99</w:t>
      </w:r>
      <w:r w:rsidR="00174E61">
        <w:rPr>
          <w:rFonts w:asciiTheme="majorHAnsi" w:hAnsiTheme="majorHAnsi" w:cstheme="majorHAnsi"/>
          <w:sz w:val="24"/>
          <w:szCs w:val="24"/>
          <w:lang w:val="ru-MD"/>
        </w:rPr>
        <w:t>,2</w:t>
      </w:r>
      <w:r w:rsidRPr="00DD713A">
        <w:rPr>
          <w:rFonts w:asciiTheme="majorHAnsi" w:hAnsiTheme="majorHAnsi" w:cstheme="majorHAnsi"/>
          <w:sz w:val="24"/>
          <w:szCs w:val="24"/>
          <w:lang w:val="ru-MD"/>
        </w:rPr>
        <w:t xml:space="preserve">%, или </w:t>
      </w:r>
      <w:r w:rsidR="00174E61" w:rsidRPr="00653E85">
        <w:rPr>
          <w:rFonts w:asciiTheme="majorHAnsi" w:hAnsiTheme="majorHAnsi" w:cstheme="majorHAnsi"/>
          <w:sz w:val="24"/>
          <w:szCs w:val="24"/>
          <w:lang w:val="ro-MD"/>
        </w:rPr>
        <w:t>10 285,0</w:t>
      </w:r>
      <w:r w:rsidRPr="00DD713A">
        <w:rPr>
          <w:rFonts w:asciiTheme="majorHAnsi" w:hAnsiTheme="majorHAnsi" w:cstheme="majorHAnsi"/>
          <w:sz w:val="24"/>
          <w:szCs w:val="24"/>
          <w:lang w:val="ru-MD"/>
        </w:rPr>
        <w:t xml:space="preserve"> млн. леев), которые, согласно законодательству, финансируются из государственного бюджета и предоставляются некоторым категориям населения через Национальную кассу социального страхования. Одновременно, некоторые из них были использованы для компенсации разницы в ставках обязательного государственного социального страхования в аграрном секторе (7</w:t>
      </w:r>
      <w:r w:rsidR="00174E61">
        <w:rPr>
          <w:rFonts w:asciiTheme="majorHAnsi" w:hAnsiTheme="majorHAnsi" w:cstheme="majorHAnsi"/>
          <w:sz w:val="24"/>
          <w:szCs w:val="24"/>
          <w:lang w:val="ru-MD"/>
        </w:rPr>
        <w:t>3</w:t>
      </w:r>
      <w:r w:rsidRPr="00DD713A">
        <w:rPr>
          <w:rFonts w:asciiTheme="majorHAnsi" w:hAnsiTheme="majorHAnsi" w:cstheme="majorHAnsi"/>
          <w:sz w:val="24"/>
          <w:szCs w:val="24"/>
          <w:lang w:val="ru-MD"/>
        </w:rPr>
        <w:t>,</w:t>
      </w:r>
      <w:r w:rsidR="00174E61">
        <w:rPr>
          <w:rFonts w:asciiTheme="majorHAnsi" w:hAnsiTheme="majorHAnsi" w:cstheme="majorHAnsi"/>
          <w:sz w:val="24"/>
          <w:szCs w:val="24"/>
          <w:lang w:val="ru-MD"/>
        </w:rPr>
        <w:t>7</w:t>
      </w:r>
      <w:r w:rsidRPr="00DD713A">
        <w:rPr>
          <w:rFonts w:asciiTheme="majorHAnsi" w:hAnsiTheme="majorHAnsi" w:cstheme="majorHAnsi"/>
          <w:sz w:val="24"/>
          <w:szCs w:val="24"/>
          <w:lang w:val="ru-MD"/>
        </w:rPr>
        <w:t xml:space="preserve"> млн. леев) и на возмещение упущенных доходов бюджета государственного социального страхования, в связи с освобождением владельцев сельскохозяйственных земельных участков, расположенных за трассой Рыбница-Тирасполь, от уплаты взносов обязательного государственного социального страхования (</w:t>
      </w:r>
      <w:r w:rsidR="00174E61">
        <w:rPr>
          <w:rFonts w:asciiTheme="majorHAnsi" w:hAnsiTheme="majorHAnsi" w:cstheme="majorHAnsi"/>
          <w:sz w:val="24"/>
          <w:szCs w:val="24"/>
          <w:lang w:val="ru-MD"/>
        </w:rPr>
        <w:t>1</w:t>
      </w:r>
      <w:r w:rsidRPr="00DD713A">
        <w:rPr>
          <w:rFonts w:asciiTheme="majorHAnsi" w:hAnsiTheme="majorHAnsi" w:cstheme="majorHAnsi"/>
          <w:sz w:val="24"/>
          <w:szCs w:val="24"/>
          <w:lang w:val="ru-MD"/>
        </w:rPr>
        <w:t>,</w:t>
      </w:r>
      <w:r w:rsidR="00174E61">
        <w:rPr>
          <w:rFonts w:asciiTheme="majorHAnsi" w:hAnsiTheme="majorHAnsi" w:cstheme="majorHAnsi"/>
          <w:sz w:val="24"/>
          <w:szCs w:val="24"/>
          <w:lang w:val="ru-MD"/>
        </w:rPr>
        <w:t>2</w:t>
      </w:r>
      <w:r w:rsidRPr="00DD713A">
        <w:rPr>
          <w:rFonts w:asciiTheme="majorHAnsi" w:hAnsiTheme="majorHAnsi" w:cstheme="majorHAnsi"/>
          <w:sz w:val="24"/>
          <w:szCs w:val="24"/>
          <w:lang w:val="ru-MD"/>
        </w:rPr>
        <w:t xml:space="preserve"> млн. леев)</w:t>
      </w:r>
      <w:r w:rsidR="00183D72" w:rsidRPr="00653E85">
        <w:rPr>
          <w:rFonts w:asciiTheme="majorHAnsi" w:hAnsiTheme="majorHAnsi" w:cstheme="majorHAnsi"/>
          <w:sz w:val="24"/>
          <w:szCs w:val="24"/>
          <w:lang w:val="ro-MD"/>
        </w:rPr>
        <w:t xml:space="preserve">. </w:t>
      </w:r>
    </w:p>
    <w:p w14:paraId="6F473923" w14:textId="224E9B31" w:rsidR="00883E08" w:rsidRPr="007A1B6F" w:rsidRDefault="007A1B6F" w:rsidP="007A1B6F">
      <w:pPr>
        <w:pStyle w:val="aa"/>
        <w:numPr>
          <w:ilvl w:val="1"/>
          <w:numId w:val="2"/>
        </w:numPr>
        <w:ind w:left="0" w:firstLine="0"/>
        <w:jc w:val="both"/>
        <w:outlineLvl w:val="1"/>
        <w:rPr>
          <w:rFonts w:asciiTheme="majorHAnsi" w:hAnsiTheme="majorHAnsi" w:cstheme="majorHAnsi"/>
          <w:b/>
          <w:sz w:val="24"/>
          <w:szCs w:val="24"/>
          <w:lang w:val="ru-MD"/>
        </w:rPr>
      </w:pPr>
      <w:r w:rsidRPr="007A1B6F">
        <w:rPr>
          <w:rFonts w:asciiTheme="majorHAnsi" w:hAnsiTheme="majorHAnsi" w:cstheme="majorHAnsi"/>
          <w:b/>
          <w:sz w:val="24"/>
          <w:szCs w:val="24"/>
          <w:lang w:val="ru-MD"/>
        </w:rPr>
        <w:t xml:space="preserve">Снижение ставки взноса для частного сектора с 29% до 24% не дало ожидаемого эффекта, а именно, расширения расчетной базы и выведения из тени фонда оплаты труда. </w:t>
      </w:r>
    </w:p>
    <w:p w14:paraId="1A67DBDE" w14:textId="48305EFB" w:rsidR="00883E08" w:rsidRPr="00257B39" w:rsidRDefault="007A1B6F" w:rsidP="00257B39">
      <w:pPr>
        <w:spacing w:line="276" w:lineRule="auto"/>
        <w:jc w:val="both"/>
        <w:rPr>
          <w:rFonts w:asciiTheme="majorHAnsi" w:hAnsiTheme="majorHAnsi" w:cstheme="majorHAnsi"/>
          <w:sz w:val="24"/>
          <w:szCs w:val="24"/>
          <w:lang w:val="ru-MD"/>
        </w:rPr>
      </w:pPr>
      <w:r w:rsidRPr="00257B39">
        <w:rPr>
          <w:rFonts w:asciiTheme="majorHAnsi" w:hAnsiTheme="majorHAnsi" w:cstheme="majorHAnsi"/>
          <w:sz w:val="24"/>
          <w:szCs w:val="24"/>
          <w:lang w:val="ru-MD"/>
        </w:rPr>
        <w:t>В ходе развития системы государственного социального страхования в Республике Молдова ставка взноса, применяемая к фонду оплаты труда, варьировала от ставки 46% в 1992 году до ставки 29%, установленной в 2005 году и сохранявшейся до 2018 года. С 2018 года, для работодателей в частном секторе ставка взноса была снижена на 5 процентных пунктов и составляет 24%. Так, согласно п</w:t>
      </w:r>
      <w:r w:rsidR="00883E08" w:rsidRPr="00257B39">
        <w:rPr>
          <w:rFonts w:asciiTheme="majorHAnsi" w:hAnsiTheme="majorHAnsi" w:cstheme="majorHAnsi"/>
          <w:sz w:val="24"/>
          <w:szCs w:val="24"/>
          <w:lang w:val="ru-MD"/>
        </w:rPr>
        <w:t xml:space="preserve">.1.1 </w:t>
      </w:r>
      <w:r w:rsidRPr="00257B39">
        <w:rPr>
          <w:rFonts w:asciiTheme="majorHAnsi" w:hAnsiTheme="majorHAnsi" w:cstheme="majorHAnsi"/>
          <w:sz w:val="24"/>
          <w:szCs w:val="24"/>
          <w:lang w:val="ru-MD"/>
        </w:rPr>
        <w:t>Приложения №</w:t>
      </w:r>
      <w:r w:rsidR="00883E08" w:rsidRPr="00257B39">
        <w:rPr>
          <w:rFonts w:asciiTheme="majorHAnsi" w:hAnsiTheme="majorHAnsi" w:cstheme="majorHAnsi"/>
          <w:sz w:val="24"/>
          <w:szCs w:val="24"/>
          <w:lang w:val="ru-MD"/>
        </w:rPr>
        <w:t xml:space="preserve">1 </w:t>
      </w:r>
      <w:r w:rsidRPr="00257B39">
        <w:rPr>
          <w:rFonts w:asciiTheme="majorHAnsi" w:hAnsiTheme="majorHAnsi" w:cstheme="majorHAnsi"/>
          <w:sz w:val="24"/>
          <w:szCs w:val="24"/>
          <w:lang w:val="ru-MD"/>
        </w:rPr>
        <w:t>к Закону №</w:t>
      </w:r>
      <w:r w:rsidR="00883E08" w:rsidRPr="00257B39">
        <w:rPr>
          <w:rFonts w:asciiTheme="majorHAnsi" w:hAnsiTheme="majorHAnsi" w:cstheme="majorHAnsi"/>
          <w:sz w:val="24"/>
          <w:szCs w:val="24"/>
          <w:lang w:val="ru-MD"/>
        </w:rPr>
        <w:t xml:space="preserve">489/1999, </w:t>
      </w:r>
      <w:r w:rsidRPr="00257B39">
        <w:rPr>
          <w:rFonts w:asciiTheme="majorHAnsi" w:eastAsia="Calibri" w:hAnsiTheme="majorHAnsi" w:cstheme="majorHAnsi"/>
          <w:noProof/>
          <w:sz w:val="24"/>
          <w:szCs w:val="24"/>
          <w:lang w:val="ru-MD"/>
        </w:rPr>
        <w:t>работодатель, юридическое или физическое лицо, приравненное к работодателю</w:t>
      </w:r>
      <w:r w:rsidR="004C1F58" w:rsidRPr="00257B39">
        <w:rPr>
          <w:rFonts w:asciiTheme="majorHAnsi" w:hAnsiTheme="majorHAnsi" w:cstheme="majorHAnsi"/>
          <w:sz w:val="24"/>
          <w:szCs w:val="24"/>
          <w:lang w:val="ru-MD"/>
        </w:rPr>
        <w:t>,</w:t>
      </w:r>
      <w:r w:rsidR="00883E08" w:rsidRPr="00257B39">
        <w:rPr>
          <w:rFonts w:asciiTheme="majorHAnsi" w:hAnsiTheme="majorHAnsi" w:cstheme="majorHAnsi"/>
          <w:sz w:val="24"/>
          <w:szCs w:val="24"/>
          <w:lang w:val="ru-MD"/>
        </w:rPr>
        <w:t xml:space="preserve"> </w:t>
      </w:r>
      <w:r w:rsidRPr="00257B39">
        <w:rPr>
          <w:rFonts w:asciiTheme="majorHAnsi" w:hAnsiTheme="majorHAnsi" w:cstheme="majorHAnsi"/>
          <w:sz w:val="24"/>
          <w:szCs w:val="24"/>
          <w:lang w:val="ru-MD"/>
        </w:rPr>
        <w:t>оплачивает взносы социального страхования</w:t>
      </w:r>
      <w:r w:rsidR="00883E08" w:rsidRPr="00257B39">
        <w:rPr>
          <w:rFonts w:asciiTheme="majorHAnsi" w:hAnsiTheme="majorHAnsi" w:cstheme="majorHAnsi"/>
          <w:sz w:val="24"/>
          <w:szCs w:val="24"/>
          <w:lang w:val="ru-MD"/>
        </w:rPr>
        <w:t xml:space="preserve">: - </w:t>
      </w:r>
      <w:r w:rsidR="00257B39" w:rsidRPr="00257B39">
        <w:rPr>
          <w:rFonts w:asciiTheme="majorHAnsi" w:hAnsiTheme="majorHAnsi" w:cstheme="majorHAnsi"/>
          <w:sz w:val="24"/>
          <w:szCs w:val="24"/>
          <w:lang w:val="ru-MD"/>
        </w:rPr>
        <w:t>29 процентов на фонд заработных плат и другие выплаты, ежемесячно начисляемые всем работникам, для работодателей бюджетных органов/учреждений и публичных органов/учреждений на самоуправлении, за исключением учреждений высшего образования и медико-санитарных учреждений</w:t>
      </w:r>
      <w:r w:rsidR="00883E08" w:rsidRPr="00257B39">
        <w:rPr>
          <w:rFonts w:asciiTheme="majorHAnsi" w:hAnsiTheme="majorHAnsi" w:cstheme="majorHAnsi"/>
          <w:sz w:val="24"/>
          <w:szCs w:val="24"/>
          <w:lang w:val="ru-MD"/>
        </w:rPr>
        <w:t xml:space="preserve">; - </w:t>
      </w:r>
      <w:r w:rsidR="00257B39" w:rsidRPr="00257B39">
        <w:rPr>
          <w:rFonts w:asciiTheme="majorHAnsi" w:hAnsiTheme="majorHAnsi" w:cstheme="majorHAnsi"/>
          <w:sz w:val="24"/>
          <w:szCs w:val="24"/>
          <w:lang w:val="ru-MD"/>
        </w:rPr>
        <w:t>24 процента на фонд заработных плат и другие выплаты, ежемесячно начисляемые всем работникам, для работодателей частного сектора, учреждений высшего образования и медико-санитарных учреждений</w:t>
      </w:r>
      <w:r w:rsidR="00883E08" w:rsidRPr="00257B39">
        <w:rPr>
          <w:rFonts w:asciiTheme="majorHAnsi" w:hAnsiTheme="majorHAnsi" w:cstheme="majorHAnsi"/>
          <w:sz w:val="24"/>
          <w:szCs w:val="24"/>
          <w:lang w:val="ru-MD"/>
        </w:rPr>
        <w:t>.</w:t>
      </w:r>
    </w:p>
    <w:p w14:paraId="1D6A99B5" w14:textId="1C570770" w:rsidR="00883E08" w:rsidRPr="00D96147" w:rsidRDefault="00CC250F" w:rsidP="00883E08">
      <w:pPr>
        <w:spacing w:line="276" w:lineRule="auto"/>
        <w:jc w:val="both"/>
        <w:rPr>
          <w:rFonts w:asciiTheme="majorHAnsi" w:hAnsiTheme="majorHAnsi" w:cstheme="majorHAnsi"/>
          <w:i/>
          <w:sz w:val="24"/>
          <w:szCs w:val="24"/>
          <w:lang w:val="ru-MD"/>
        </w:rPr>
      </w:pPr>
      <w:r w:rsidRPr="00D96147">
        <w:rPr>
          <w:rFonts w:asciiTheme="majorHAnsi" w:hAnsiTheme="majorHAnsi" w:cstheme="majorHAnsi"/>
          <w:sz w:val="24"/>
          <w:szCs w:val="24"/>
          <w:lang w:val="ru-MD"/>
        </w:rPr>
        <w:t>Согласно МТСЗ</w:t>
      </w:r>
      <w:r w:rsidRPr="00D96147">
        <w:rPr>
          <w:rStyle w:val="a5"/>
          <w:rFonts w:asciiTheme="majorHAnsi" w:hAnsiTheme="majorHAnsi" w:cstheme="majorHAnsi"/>
          <w:sz w:val="24"/>
          <w:szCs w:val="24"/>
          <w:lang w:val="ru-MD"/>
        </w:rPr>
        <w:footnoteReference w:id="23"/>
      </w:r>
      <w:r w:rsidRPr="00D96147">
        <w:rPr>
          <w:rFonts w:asciiTheme="majorHAnsi" w:hAnsiTheme="majorHAnsi" w:cstheme="majorHAnsi"/>
          <w:sz w:val="24"/>
          <w:szCs w:val="24"/>
          <w:lang w:val="ru-MD"/>
        </w:rPr>
        <w:t xml:space="preserve"> </w:t>
      </w:r>
      <w:r w:rsidRPr="00D96147">
        <w:rPr>
          <w:rFonts w:asciiTheme="majorHAnsi" w:hAnsiTheme="majorHAnsi" w:cstheme="majorHAnsi"/>
          <w:i/>
          <w:sz w:val="24"/>
          <w:szCs w:val="24"/>
          <w:lang w:val="ru-MD"/>
        </w:rPr>
        <w:t xml:space="preserve">„снижение ставки взносов с течением времени было оправдано ежегодным увеличением числа застрахованных лиц, участвующих в государственной системе социального страхования, и увеличением фонда оплаты труда. </w:t>
      </w:r>
      <w:r w:rsidR="00D96147" w:rsidRPr="00D96147">
        <w:rPr>
          <w:rFonts w:asciiTheme="majorHAnsi" w:hAnsiTheme="majorHAnsi" w:cstheme="majorHAnsi"/>
          <w:i/>
          <w:sz w:val="24"/>
          <w:szCs w:val="24"/>
          <w:lang w:val="ru-MD"/>
        </w:rPr>
        <w:t>Преследуемая ц</w:t>
      </w:r>
      <w:r w:rsidRPr="00D96147">
        <w:rPr>
          <w:rFonts w:asciiTheme="majorHAnsi" w:hAnsiTheme="majorHAnsi" w:cstheme="majorHAnsi"/>
          <w:i/>
          <w:sz w:val="24"/>
          <w:szCs w:val="24"/>
          <w:lang w:val="ru-MD"/>
        </w:rPr>
        <w:t>ель</w:t>
      </w:r>
      <w:r w:rsidR="00D96147" w:rsidRPr="00D96147">
        <w:rPr>
          <w:rFonts w:asciiTheme="majorHAnsi" w:hAnsiTheme="majorHAnsi" w:cstheme="majorHAnsi"/>
          <w:i/>
          <w:sz w:val="24"/>
          <w:szCs w:val="24"/>
          <w:lang w:val="ru-MD"/>
        </w:rPr>
        <w:t xml:space="preserve"> от</w:t>
      </w:r>
      <w:r w:rsidRPr="00D96147">
        <w:rPr>
          <w:rFonts w:asciiTheme="majorHAnsi" w:hAnsiTheme="majorHAnsi" w:cstheme="majorHAnsi"/>
          <w:i/>
          <w:sz w:val="24"/>
          <w:szCs w:val="24"/>
          <w:lang w:val="ru-MD"/>
        </w:rPr>
        <w:t xml:space="preserve"> </w:t>
      </w:r>
      <w:r w:rsidR="00D96147" w:rsidRPr="00D96147">
        <w:rPr>
          <w:rFonts w:asciiTheme="majorHAnsi" w:hAnsiTheme="majorHAnsi" w:cstheme="majorHAnsi"/>
          <w:i/>
          <w:sz w:val="24"/>
          <w:szCs w:val="24"/>
          <w:lang w:val="ru-MD"/>
        </w:rPr>
        <w:t>снижения ставки</w:t>
      </w:r>
      <w:r w:rsidRPr="00D96147">
        <w:rPr>
          <w:rFonts w:asciiTheme="majorHAnsi" w:hAnsiTheme="majorHAnsi" w:cstheme="majorHAnsi"/>
          <w:i/>
          <w:sz w:val="24"/>
          <w:szCs w:val="24"/>
          <w:lang w:val="ru-MD"/>
        </w:rPr>
        <w:t xml:space="preserve"> взносов, </w:t>
      </w:r>
      <w:r w:rsidR="00D96147" w:rsidRPr="00D96147">
        <w:rPr>
          <w:rFonts w:asciiTheme="majorHAnsi" w:hAnsiTheme="majorHAnsi" w:cstheme="majorHAnsi"/>
          <w:i/>
          <w:sz w:val="24"/>
          <w:szCs w:val="24"/>
          <w:lang w:val="ru-MD"/>
        </w:rPr>
        <w:t xml:space="preserve">подлежащих уплате </w:t>
      </w:r>
      <w:r w:rsidRPr="00D96147">
        <w:rPr>
          <w:rFonts w:asciiTheme="majorHAnsi" w:hAnsiTheme="majorHAnsi" w:cstheme="majorHAnsi"/>
          <w:i/>
          <w:sz w:val="24"/>
          <w:szCs w:val="24"/>
          <w:lang w:val="ru-MD"/>
        </w:rPr>
        <w:t>работодател</w:t>
      </w:r>
      <w:r w:rsidR="00D96147" w:rsidRPr="00D96147">
        <w:rPr>
          <w:rFonts w:asciiTheme="majorHAnsi" w:hAnsiTheme="majorHAnsi" w:cstheme="majorHAnsi"/>
          <w:i/>
          <w:sz w:val="24"/>
          <w:szCs w:val="24"/>
          <w:lang w:val="ru-MD"/>
        </w:rPr>
        <w:t>ем,</w:t>
      </w:r>
      <w:r w:rsidRPr="00D96147">
        <w:rPr>
          <w:rFonts w:asciiTheme="majorHAnsi" w:hAnsiTheme="majorHAnsi" w:cstheme="majorHAnsi"/>
          <w:i/>
          <w:sz w:val="24"/>
          <w:szCs w:val="24"/>
          <w:lang w:val="ru-MD"/>
        </w:rPr>
        <w:t xml:space="preserve"> </w:t>
      </w:r>
      <w:r w:rsidR="00D96147" w:rsidRPr="00D96147">
        <w:rPr>
          <w:rFonts w:asciiTheme="majorHAnsi" w:hAnsiTheme="majorHAnsi" w:cstheme="majorHAnsi"/>
          <w:i/>
          <w:sz w:val="24"/>
          <w:szCs w:val="24"/>
          <w:lang w:val="ru-MD"/>
        </w:rPr>
        <w:t>для</w:t>
      </w:r>
      <w:r w:rsidRPr="00D96147">
        <w:rPr>
          <w:rFonts w:asciiTheme="majorHAnsi" w:hAnsiTheme="majorHAnsi" w:cstheme="majorHAnsi"/>
          <w:i/>
          <w:sz w:val="24"/>
          <w:szCs w:val="24"/>
          <w:lang w:val="ru-MD"/>
        </w:rPr>
        <w:t xml:space="preserve"> расширения </w:t>
      </w:r>
      <w:r w:rsidR="00D96147" w:rsidRPr="00D96147">
        <w:rPr>
          <w:rFonts w:asciiTheme="majorHAnsi" w:hAnsiTheme="majorHAnsi" w:cstheme="majorHAnsi"/>
          <w:i/>
          <w:sz w:val="24"/>
          <w:szCs w:val="24"/>
          <w:lang w:val="ru-MD"/>
        </w:rPr>
        <w:t>расчетн</w:t>
      </w:r>
      <w:r w:rsidRPr="00D96147">
        <w:rPr>
          <w:rFonts w:asciiTheme="majorHAnsi" w:hAnsiTheme="majorHAnsi" w:cstheme="majorHAnsi"/>
          <w:i/>
          <w:sz w:val="24"/>
          <w:szCs w:val="24"/>
          <w:lang w:val="ru-MD"/>
        </w:rPr>
        <w:t xml:space="preserve">ой базы, заключалась в том, чтобы вывести фонд оплаты труда из </w:t>
      </w:r>
      <w:r w:rsidR="00D96147" w:rsidRPr="00D96147">
        <w:rPr>
          <w:rFonts w:asciiTheme="majorHAnsi" w:hAnsiTheme="majorHAnsi" w:cstheme="majorHAnsi"/>
          <w:i/>
          <w:sz w:val="24"/>
          <w:szCs w:val="24"/>
          <w:lang w:val="ru-MD"/>
        </w:rPr>
        <w:t>серой зоны</w:t>
      </w:r>
      <w:r w:rsidRPr="00D96147">
        <w:rPr>
          <w:rFonts w:asciiTheme="majorHAnsi" w:hAnsiTheme="majorHAnsi" w:cstheme="majorHAnsi"/>
          <w:i/>
          <w:sz w:val="24"/>
          <w:szCs w:val="24"/>
          <w:lang w:val="ru-MD"/>
        </w:rPr>
        <w:t>”</w:t>
      </w:r>
      <w:r w:rsidR="00883E08" w:rsidRPr="00D96147">
        <w:rPr>
          <w:rFonts w:asciiTheme="majorHAnsi" w:hAnsiTheme="majorHAnsi" w:cstheme="majorHAnsi"/>
          <w:i/>
          <w:color w:val="000000"/>
          <w:sz w:val="24"/>
          <w:szCs w:val="24"/>
          <w:lang w:val="ru-MD"/>
        </w:rPr>
        <w:t xml:space="preserve">. </w:t>
      </w:r>
    </w:p>
    <w:p w14:paraId="1D97883A" w14:textId="2A20622D" w:rsidR="00883E08" w:rsidRPr="00D96147" w:rsidRDefault="001A4780" w:rsidP="00883E08">
      <w:pPr>
        <w:pStyle w:val="Default"/>
        <w:spacing w:line="276" w:lineRule="auto"/>
        <w:jc w:val="both"/>
        <w:rPr>
          <w:rFonts w:asciiTheme="majorHAnsi" w:hAnsiTheme="majorHAnsi" w:cstheme="majorHAnsi"/>
          <w:color w:val="auto"/>
          <w:lang w:val="ru-MD"/>
        </w:rPr>
      </w:pPr>
      <w:r w:rsidRPr="00D96147">
        <w:rPr>
          <w:rFonts w:asciiTheme="majorHAnsi" w:hAnsiTheme="majorHAnsi" w:cstheme="majorHAnsi"/>
          <w:color w:val="auto"/>
          <w:lang w:val="ru-MD"/>
        </w:rPr>
        <w:t>А</w:t>
      </w:r>
      <w:r w:rsidR="0003408A" w:rsidRPr="00D96147">
        <w:rPr>
          <w:rFonts w:asciiTheme="majorHAnsi" w:hAnsiTheme="majorHAnsi" w:cstheme="majorHAnsi"/>
          <w:color w:val="auto"/>
          <w:lang w:val="ru-MD"/>
        </w:rPr>
        <w:t xml:space="preserve">удит отмечает, что, хотя уменьшение </w:t>
      </w:r>
      <w:r w:rsidRPr="00D96147">
        <w:rPr>
          <w:rFonts w:asciiTheme="majorHAnsi" w:hAnsiTheme="majorHAnsi" w:cstheme="majorHAnsi"/>
          <w:color w:val="auto"/>
          <w:lang w:val="ru-MD"/>
        </w:rPr>
        <w:t>ставк</w:t>
      </w:r>
      <w:r w:rsidR="0003408A" w:rsidRPr="00D96147">
        <w:rPr>
          <w:rFonts w:asciiTheme="majorHAnsi" w:hAnsiTheme="majorHAnsi" w:cstheme="majorHAnsi"/>
          <w:color w:val="auto"/>
          <w:lang w:val="ru-MD"/>
        </w:rPr>
        <w:t xml:space="preserve">и взносов было </w:t>
      </w:r>
      <w:r w:rsidRPr="00D96147">
        <w:rPr>
          <w:rFonts w:asciiTheme="majorHAnsi" w:hAnsiTheme="majorHAnsi" w:cstheme="majorHAnsi"/>
          <w:color w:val="auto"/>
          <w:lang w:val="ru-MD"/>
        </w:rPr>
        <w:t>реализовано</w:t>
      </w:r>
      <w:r w:rsidR="0003408A" w:rsidRPr="00D96147">
        <w:rPr>
          <w:rFonts w:asciiTheme="majorHAnsi" w:hAnsiTheme="majorHAnsi" w:cstheme="majorHAnsi"/>
          <w:color w:val="auto"/>
          <w:lang w:val="ru-MD"/>
        </w:rPr>
        <w:t xml:space="preserve"> с целью поддержки частного сектора, представления и п</w:t>
      </w:r>
      <w:r w:rsidRPr="00D96147">
        <w:rPr>
          <w:rFonts w:asciiTheme="majorHAnsi" w:hAnsiTheme="majorHAnsi" w:cstheme="majorHAnsi"/>
          <w:color w:val="auto"/>
          <w:lang w:val="ru-MD"/>
        </w:rPr>
        <w:t>еречисле</w:t>
      </w:r>
      <w:r w:rsidR="0003408A" w:rsidRPr="00D96147">
        <w:rPr>
          <w:rFonts w:asciiTheme="majorHAnsi" w:hAnsiTheme="majorHAnsi" w:cstheme="majorHAnsi"/>
          <w:color w:val="auto"/>
          <w:lang w:val="ru-MD"/>
        </w:rPr>
        <w:t xml:space="preserve">ния взносов обязательного государственного социального страхования в бюджет государственного социального страхования, связанных с </w:t>
      </w:r>
      <w:r w:rsidRPr="00D96147">
        <w:rPr>
          <w:rFonts w:asciiTheme="majorHAnsi" w:hAnsiTheme="majorHAnsi" w:cstheme="majorHAnsi"/>
          <w:color w:val="auto"/>
          <w:lang w:val="ru-MD"/>
        </w:rPr>
        <w:t>начислен</w:t>
      </w:r>
      <w:r w:rsidR="0003408A" w:rsidRPr="00D96147">
        <w:rPr>
          <w:rFonts w:asciiTheme="majorHAnsi" w:hAnsiTheme="majorHAnsi" w:cstheme="majorHAnsi"/>
          <w:color w:val="auto"/>
          <w:lang w:val="ru-MD"/>
        </w:rPr>
        <w:t>ной заработной платой и другими в</w:t>
      </w:r>
      <w:r w:rsidRPr="00D96147">
        <w:rPr>
          <w:rFonts w:asciiTheme="majorHAnsi" w:hAnsiTheme="majorHAnsi" w:cstheme="majorHAnsi"/>
          <w:color w:val="auto"/>
          <w:lang w:val="ru-MD"/>
        </w:rPr>
        <w:t>ыплата</w:t>
      </w:r>
      <w:r w:rsidR="0003408A" w:rsidRPr="00D96147">
        <w:rPr>
          <w:rFonts w:asciiTheme="majorHAnsi" w:hAnsiTheme="majorHAnsi" w:cstheme="majorHAnsi"/>
          <w:color w:val="auto"/>
          <w:lang w:val="ru-MD"/>
        </w:rPr>
        <w:t xml:space="preserve">ми, </w:t>
      </w:r>
      <w:r w:rsidRPr="00D96147">
        <w:rPr>
          <w:rFonts w:asciiTheme="majorHAnsi" w:hAnsiTheme="majorHAnsi" w:cstheme="majorHAnsi"/>
          <w:color w:val="auto"/>
          <w:lang w:val="ru-MD"/>
        </w:rPr>
        <w:t>публич</w:t>
      </w:r>
      <w:r w:rsidR="0003408A" w:rsidRPr="00D96147">
        <w:rPr>
          <w:rFonts w:asciiTheme="majorHAnsi" w:hAnsiTheme="majorHAnsi" w:cstheme="majorHAnsi"/>
          <w:color w:val="auto"/>
          <w:lang w:val="ru-MD"/>
        </w:rPr>
        <w:t xml:space="preserve">ные органы не </w:t>
      </w:r>
      <w:r w:rsidRPr="00D96147">
        <w:rPr>
          <w:rFonts w:asciiTheme="majorHAnsi" w:hAnsiTheme="majorHAnsi" w:cstheme="majorHAnsi"/>
          <w:color w:val="auto"/>
          <w:lang w:val="ru-MD"/>
        </w:rPr>
        <w:t>располага</w:t>
      </w:r>
      <w:r w:rsidR="0003408A" w:rsidRPr="00D96147">
        <w:rPr>
          <w:rFonts w:asciiTheme="majorHAnsi" w:hAnsiTheme="majorHAnsi" w:cstheme="majorHAnsi"/>
          <w:color w:val="auto"/>
          <w:lang w:val="ru-MD"/>
        </w:rPr>
        <w:t>ют данны</w:t>
      </w:r>
      <w:r w:rsidRPr="00D96147">
        <w:rPr>
          <w:rFonts w:asciiTheme="majorHAnsi" w:hAnsiTheme="majorHAnsi" w:cstheme="majorHAnsi"/>
          <w:color w:val="auto"/>
          <w:lang w:val="ru-MD"/>
        </w:rPr>
        <w:t>ми</w:t>
      </w:r>
      <w:r w:rsidR="0003408A" w:rsidRPr="00D96147">
        <w:rPr>
          <w:rFonts w:asciiTheme="majorHAnsi" w:hAnsiTheme="majorHAnsi" w:cstheme="majorHAnsi"/>
          <w:color w:val="auto"/>
          <w:lang w:val="ru-MD"/>
        </w:rPr>
        <w:t xml:space="preserve"> о в</w:t>
      </w:r>
      <w:r w:rsidRPr="00D96147">
        <w:rPr>
          <w:rFonts w:asciiTheme="majorHAnsi" w:hAnsiTheme="majorHAnsi" w:cstheme="majorHAnsi"/>
          <w:color w:val="auto"/>
          <w:lang w:val="ru-MD"/>
        </w:rPr>
        <w:t>оздействи</w:t>
      </w:r>
      <w:r w:rsidR="0003408A" w:rsidRPr="00D96147">
        <w:rPr>
          <w:rFonts w:asciiTheme="majorHAnsi" w:hAnsiTheme="majorHAnsi" w:cstheme="majorHAnsi"/>
          <w:color w:val="auto"/>
          <w:lang w:val="ru-MD"/>
        </w:rPr>
        <w:t xml:space="preserve">и </w:t>
      </w:r>
      <w:r w:rsidRPr="00D96147">
        <w:rPr>
          <w:rFonts w:asciiTheme="majorHAnsi" w:hAnsiTheme="majorHAnsi" w:cstheme="majorHAnsi"/>
          <w:color w:val="auto"/>
          <w:lang w:val="ru-MD"/>
        </w:rPr>
        <w:t>данной меры/</w:t>
      </w:r>
      <w:r w:rsidR="0003408A" w:rsidRPr="00D96147">
        <w:rPr>
          <w:rFonts w:asciiTheme="majorHAnsi" w:hAnsiTheme="majorHAnsi" w:cstheme="majorHAnsi"/>
          <w:color w:val="auto"/>
          <w:lang w:val="ru-MD"/>
        </w:rPr>
        <w:t>предоставленно</w:t>
      </w:r>
      <w:r w:rsidRPr="00D96147">
        <w:rPr>
          <w:rFonts w:asciiTheme="majorHAnsi" w:hAnsiTheme="majorHAnsi" w:cstheme="majorHAnsi"/>
          <w:color w:val="auto"/>
          <w:lang w:val="ru-MD"/>
        </w:rPr>
        <w:t>й</w:t>
      </w:r>
      <w:r w:rsidR="0003408A" w:rsidRPr="00D96147">
        <w:rPr>
          <w:rFonts w:asciiTheme="majorHAnsi" w:hAnsiTheme="majorHAnsi" w:cstheme="majorHAnsi"/>
          <w:color w:val="auto"/>
          <w:lang w:val="ru-MD"/>
        </w:rPr>
        <w:t xml:space="preserve"> </w:t>
      </w:r>
      <w:r w:rsidRPr="00D96147">
        <w:rPr>
          <w:rFonts w:asciiTheme="majorHAnsi" w:hAnsiTheme="majorHAnsi" w:cstheme="majorHAnsi"/>
          <w:color w:val="auto"/>
          <w:lang w:val="ru-MD"/>
        </w:rPr>
        <w:t>льготы</w:t>
      </w:r>
      <w:r w:rsidR="0003408A" w:rsidRPr="00D96147">
        <w:rPr>
          <w:rFonts w:asciiTheme="majorHAnsi" w:hAnsiTheme="majorHAnsi" w:cstheme="majorHAnsi"/>
          <w:color w:val="auto"/>
          <w:lang w:val="ru-MD"/>
        </w:rPr>
        <w:t>.</w:t>
      </w:r>
      <w:r w:rsidR="00883E08" w:rsidRPr="00D96147">
        <w:rPr>
          <w:rFonts w:asciiTheme="majorHAnsi" w:hAnsiTheme="majorHAnsi" w:cstheme="majorHAnsi"/>
          <w:color w:val="auto"/>
          <w:lang w:val="ru-MD"/>
        </w:rPr>
        <w:t xml:space="preserve"> </w:t>
      </w:r>
      <w:r w:rsidRPr="00D96147">
        <w:rPr>
          <w:rFonts w:asciiTheme="majorHAnsi" w:hAnsiTheme="majorHAnsi" w:cstheme="majorHAnsi"/>
          <w:color w:val="auto"/>
          <w:lang w:val="ru-MD"/>
        </w:rPr>
        <w:t>Также уточняем, что, согласно нормативной базе</w:t>
      </w:r>
      <w:r w:rsidR="00883E08" w:rsidRPr="00D96147">
        <w:rPr>
          <w:vertAlign w:val="superscript"/>
          <w:lang w:val="ru-MD"/>
        </w:rPr>
        <w:footnoteReference w:id="24"/>
      </w:r>
      <w:r w:rsidR="00883E08" w:rsidRPr="00D96147">
        <w:rPr>
          <w:rFonts w:asciiTheme="majorHAnsi" w:hAnsiTheme="majorHAnsi" w:cstheme="majorHAnsi"/>
          <w:color w:val="auto"/>
          <w:lang w:val="ru-MD"/>
        </w:rPr>
        <w:t xml:space="preserve">, </w:t>
      </w:r>
      <w:r w:rsidRPr="00D96147">
        <w:rPr>
          <w:rFonts w:asciiTheme="majorHAnsi" w:hAnsiTheme="majorHAnsi" w:cstheme="majorHAnsi"/>
          <w:color w:val="auto"/>
          <w:lang w:val="ru-MD"/>
        </w:rPr>
        <w:t>государственная помощь - это мера поддержки, которая может быть предоставлена в том числе посредством освобождения и/или снижения уплаты налогов, сборов и других обязательных платежей</w:t>
      </w:r>
      <w:r w:rsidR="00883E08" w:rsidRPr="00D96147">
        <w:rPr>
          <w:rFonts w:asciiTheme="majorHAnsi" w:hAnsiTheme="majorHAnsi" w:cstheme="majorHAnsi"/>
          <w:color w:val="auto"/>
          <w:lang w:val="ru-MD"/>
        </w:rPr>
        <w:t xml:space="preserve">. </w:t>
      </w:r>
      <w:r w:rsidRPr="00D96147">
        <w:rPr>
          <w:rFonts w:asciiTheme="majorHAnsi" w:hAnsiTheme="majorHAnsi" w:cstheme="majorHAnsi"/>
          <w:color w:val="auto"/>
          <w:lang w:val="ru-MD"/>
        </w:rPr>
        <w:t>Кроме того, указанный закон предусматривает</w:t>
      </w:r>
      <w:r w:rsidR="00D96147" w:rsidRPr="00D96147">
        <w:rPr>
          <w:rFonts w:asciiTheme="majorHAnsi" w:hAnsiTheme="majorHAnsi" w:cstheme="majorHAnsi"/>
          <w:color w:val="auto"/>
          <w:lang w:val="ru-MD"/>
        </w:rPr>
        <w:t>, что</w:t>
      </w:r>
      <w:r w:rsidRPr="00D96147">
        <w:rPr>
          <w:rFonts w:asciiTheme="majorHAnsi" w:hAnsiTheme="majorHAnsi" w:cstheme="majorHAnsi"/>
          <w:color w:val="auto"/>
          <w:lang w:val="ru-MD"/>
        </w:rPr>
        <w:t xml:space="preserve"> поставщик государственной помощи/государственный орган обязан вести строгий учет предоставленной государственной помощи</w:t>
      </w:r>
      <w:r w:rsidR="00883E08" w:rsidRPr="00D96147">
        <w:rPr>
          <w:rFonts w:asciiTheme="majorHAnsi" w:hAnsiTheme="majorHAnsi" w:cstheme="majorHAnsi"/>
          <w:color w:val="auto"/>
          <w:vertAlign w:val="superscript"/>
          <w:lang w:val="ru-MD"/>
        </w:rPr>
        <w:footnoteReference w:id="25"/>
      </w:r>
      <w:r w:rsidR="00883E08" w:rsidRPr="00D96147">
        <w:rPr>
          <w:rFonts w:asciiTheme="majorHAnsi" w:hAnsiTheme="majorHAnsi" w:cstheme="majorHAnsi"/>
          <w:color w:val="auto"/>
          <w:lang w:val="ru-MD"/>
        </w:rPr>
        <w:t>.</w:t>
      </w:r>
    </w:p>
    <w:p w14:paraId="5951D9E2" w14:textId="23138723" w:rsidR="00883E08" w:rsidRPr="00E66E5E" w:rsidRDefault="00E66E5E" w:rsidP="00883E08">
      <w:pPr>
        <w:pStyle w:val="Default"/>
        <w:spacing w:line="276" w:lineRule="auto"/>
        <w:jc w:val="both"/>
        <w:rPr>
          <w:rFonts w:asciiTheme="majorHAnsi" w:hAnsiTheme="majorHAnsi" w:cstheme="majorHAnsi"/>
          <w:color w:val="auto"/>
          <w:lang w:val="ru-MD"/>
        </w:rPr>
      </w:pPr>
      <w:r w:rsidRPr="00E66E5E">
        <w:rPr>
          <w:rFonts w:asciiTheme="majorHAnsi" w:hAnsiTheme="majorHAnsi" w:cstheme="majorHAnsi"/>
          <w:color w:val="auto"/>
          <w:lang w:val="ru-MD"/>
        </w:rPr>
        <w:t>Таким образом, исходя из расчетной базы, за</w:t>
      </w:r>
      <w:r>
        <w:rPr>
          <w:rFonts w:asciiTheme="majorHAnsi" w:hAnsiTheme="majorHAnsi" w:cstheme="majorHAnsi"/>
          <w:color w:val="auto"/>
          <w:lang w:val="ru-MD"/>
        </w:rPr>
        <w:t>декларирова</w:t>
      </w:r>
      <w:r w:rsidRPr="00E66E5E">
        <w:rPr>
          <w:rFonts w:asciiTheme="majorHAnsi" w:hAnsiTheme="majorHAnsi" w:cstheme="majorHAnsi"/>
          <w:color w:val="auto"/>
          <w:lang w:val="ru-MD"/>
        </w:rPr>
        <w:t>нной частным сектором, аудит подсчитал, что применение положения о снижении ставки взносов социального страхования в 2022 году составило на 2 618,9 млн. леев меньше, см. таблицу ниже</w:t>
      </w:r>
      <w:r w:rsidR="00883E08" w:rsidRPr="00E66E5E">
        <w:rPr>
          <w:rFonts w:asciiTheme="majorHAnsi" w:hAnsiTheme="majorHAnsi" w:cstheme="majorHAnsi"/>
          <w:color w:val="auto"/>
          <w:lang w:val="ru-MD"/>
        </w:rPr>
        <w:t>.</w:t>
      </w:r>
    </w:p>
    <w:p w14:paraId="34209183" w14:textId="388EA115" w:rsidR="00883E08" w:rsidRPr="002436CD" w:rsidRDefault="00E66E5E" w:rsidP="00883E08">
      <w:pPr>
        <w:pStyle w:val="Default"/>
        <w:spacing w:line="276" w:lineRule="auto"/>
        <w:jc w:val="right"/>
        <w:rPr>
          <w:rFonts w:asciiTheme="majorHAnsi" w:hAnsiTheme="majorHAnsi" w:cstheme="majorHAnsi"/>
          <w:b/>
          <w:color w:val="auto"/>
          <w:lang w:val="ru-MD"/>
        </w:rPr>
      </w:pPr>
      <w:r w:rsidRPr="002436CD">
        <w:rPr>
          <w:rFonts w:asciiTheme="majorHAnsi" w:hAnsiTheme="majorHAnsi" w:cstheme="majorHAnsi"/>
          <w:b/>
          <w:color w:val="auto"/>
          <w:lang w:val="ru-MD"/>
        </w:rPr>
        <w:t>Таблица №</w:t>
      </w:r>
      <w:r w:rsidR="00933CC8" w:rsidRPr="002436CD">
        <w:rPr>
          <w:rFonts w:asciiTheme="majorHAnsi" w:hAnsiTheme="majorHAnsi" w:cstheme="majorHAnsi"/>
          <w:b/>
          <w:color w:val="auto"/>
          <w:lang w:val="ru-MD"/>
        </w:rPr>
        <w:t>6</w:t>
      </w:r>
    </w:p>
    <w:p w14:paraId="6F25AC18" w14:textId="4BF127B6" w:rsidR="0068377C" w:rsidRPr="002436CD" w:rsidRDefault="002436CD" w:rsidP="000A7004">
      <w:pPr>
        <w:pStyle w:val="Default"/>
        <w:spacing w:line="276" w:lineRule="auto"/>
        <w:jc w:val="center"/>
        <w:rPr>
          <w:rFonts w:asciiTheme="majorHAnsi" w:hAnsiTheme="majorHAnsi" w:cstheme="majorHAnsi"/>
          <w:b/>
          <w:color w:val="auto"/>
          <w:lang w:val="ru-MD"/>
        </w:rPr>
      </w:pPr>
      <w:r w:rsidRPr="002436CD">
        <w:rPr>
          <w:rFonts w:asciiTheme="majorHAnsi" w:hAnsiTheme="majorHAnsi" w:cstheme="majorHAnsi"/>
          <w:b/>
          <w:color w:val="auto"/>
          <w:lang w:val="ru-MD"/>
        </w:rPr>
        <w:t>В</w:t>
      </w:r>
      <w:r w:rsidR="002F3B96">
        <w:rPr>
          <w:rFonts w:asciiTheme="majorHAnsi" w:hAnsiTheme="majorHAnsi" w:cstheme="majorHAnsi"/>
          <w:b/>
          <w:color w:val="auto"/>
          <w:lang w:val="ru-MD"/>
        </w:rPr>
        <w:t>оздейств</w:t>
      </w:r>
      <w:r w:rsidRPr="002436CD">
        <w:rPr>
          <w:rFonts w:asciiTheme="majorHAnsi" w:hAnsiTheme="majorHAnsi" w:cstheme="majorHAnsi"/>
          <w:b/>
          <w:color w:val="auto"/>
          <w:lang w:val="ru-MD"/>
        </w:rPr>
        <w:t xml:space="preserve">ие применения ставки взносов социального страхования </w:t>
      </w:r>
    </w:p>
    <w:p w14:paraId="37F840F3" w14:textId="76959848" w:rsidR="00883E08" w:rsidRPr="002436CD" w:rsidRDefault="002436CD" w:rsidP="000A7004">
      <w:pPr>
        <w:spacing w:after="0"/>
        <w:jc w:val="both"/>
        <w:rPr>
          <w:rFonts w:asciiTheme="majorHAnsi" w:hAnsiTheme="majorHAnsi" w:cstheme="majorHAnsi"/>
          <w:sz w:val="20"/>
          <w:szCs w:val="20"/>
          <w:lang w:val="ru-MD"/>
        </w:rPr>
      </w:pPr>
      <w:r w:rsidRPr="002436CD">
        <w:rPr>
          <w:rFonts w:asciiTheme="majorHAnsi" w:eastAsia="Times New Roman" w:hAnsiTheme="majorHAnsi" w:cstheme="majorHAnsi"/>
          <w:color w:val="000000"/>
          <w:sz w:val="20"/>
          <w:szCs w:val="20"/>
          <w:lang w:val="ru-MD"/>
        </w:rPr>
        <w:t>Справка</w:t>
      </w:r>
      <w:r w:rsidR="00883E08" w:rsidRPr="002436CD">
        <w:rPr>
          <w:rFonts w:asciiTheme="majorHAnsi" w:eastAsia="Times New Roman" w:hAnsiTheme="majorHAnsi" w:cstheme="majorHAnsi"/>
          <w:color w:val="000000"/>
          <w:sz w:val="20"/>
          <w:szCs w:val="20"/>
          <w:lang w:val="ru-MD"/>
        </w:rPr>
        <w:t>: *</w:t>
      </w:r>
      <w:r w:rsidRPr="002436CD">
        <w:rPr>
          <w:lang w:val="ru-MD"/>
        </w:rPr>
        <w:t xml:space="preserve"> </w:t>
      </w:r>
      <w:r w:rsidRPr="002436CD">
        <w:rPr>
          <w:rFonts w:asciiTheme="majorHAnsi" w:eastAsia="Times New Roman" w:hAnsiTheme="majorHAnsi" w:cstheme="majorHAnsi"/>
          <w:color w:val="000000"/>
          <w:sz w:val="20"/>
          <w:szCs w:val="20"/>
          <w:lang w:val="ru-MD"/>
        </w:rPr>
        <w:t>В 2018 году взносы в частном секторе в размере 18%+6% представлены за 3 месяца (с момента вступления в силу законодательных положений)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964"/>
        <w:gridCol w:w="1058"/>
        <w:gridCol w:w="1058"/>
        <w:gridCol w:w="1057"/>
        <w:gridCol w:w="1059"/>
        <w:gridCol w:w="1330"/>
        <w:gridCol w:w="828"/>
      </w:tblGrid>
      <w:tr w:rsidR="009338F7" w:rsidRPr="00B7675F" w14:paraId="3F0A2F0C" w14:textId="77777777" w:rsidTr="00143761">
        <w:trPr>
          <w:trHeight w:val="804"/>
        </w:trPr>
        <w:tc>
          <w:tcPr>
            <w:tcW w:w="1344" w:type="pct"/>
            <w:shd w:val="clear" w:color="auto" w:fill="auto"/>
            <w:vAlign w:val="center"/>
            <w:hideMark/>
          </w:tcPr>
          <w:p w14:paraId="61BF8460" w14:textId="0501BAF4" w:rsidR="009338F7" w:rsidRPr="002436CD" w:rsidRDefault="002436CD" w:rsidP="00143761">
            <w:pPr>
              <w:spacing w:after="0" w:line="240" w:lineRule="auto"/>
              <w:jc w:val="center"/>
              <w:rPr>
                <w:rFonts w:asciiTheme="majorHAnsi" w:eastAsia="Times New Roman" w:hAnsiTheme="majorHAnsi" w:cstheme="majorHAnsi"/>
                <w:b/>
                <w:bCs/>
                <w:color w:val="000000"/>
                <w:lang w:val="ru-RU"/>
              </w:rPr>
            </w:pPr>
            <w:r>
              <w:rPr>
                <w:rFonts w:asciiTheme="majorHAnsi" w:eastAsia="Times New Roman" w:hAnsiTheme="majorHAnsi" w:cstheme="majorHAnsi"/>
                <w:b/>
                <w:bCs/>
                <w:color w:val="000000"/>
                <w:lang w:val="ru-RU"/>
              </w:rPr>
              <w:t>Показатель</w:t>
            </w:r>
          </w:p>
        </w:tc>
        <w:tc>
          <w:tcPr>
            <w:tcW w:w="493" w:type="pct"/>
            <w:shd w:val="clear" w:color="auto" w:fill="auto"/>
            <w:vAlign w:val="center"/>
            <w:hideMark/>
          </w:tcPr>
          <w:p w14:paraId="0B4647DF" w14:textId="77777777" w:rsidR="009338F7" w:rsidRPr="00653E85" w:rsidRDefault="009338F7" w:rsidP="00143761">
            <w:pPr>
              <w:spacing w:after="0" w:line="240" w:lineRule="auto"/>
              <w:jc w:val="center"/>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 xml:space="preserve">2018 </w:t>
            </w:r>
          </w:p>
        </w:tc>
        <w:tc>
          <w:tcPr>
            <w:tcW w:w="539" w:type="pct"/>
            <w:shd w:val="clear" w:color="auto" w:fill="auto"/>
            <w:vAlign w:val="center"/>
            <w:hideMark/>
          </w:tcPr>
          <w:p w14:paraId="223FE631" w14:textId="77777777" w:rsidR="009338F7" w:rsidRPr="00653E85" w:rsidRDefault="009338F7" w:rsidP="00143761">
            <w:pPr>
              <w:spacing w:after="0" w:line="240" w:lineRule="auto"/>
              <w:jc w:val="center"/>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 xml:space="preserve">2019     </w:t>
            </w:r>
          </w:p>
        </w:tc>
        <w:tc>
          <w:tcPr>
            <w:tcW w:w="539" w:type="pct"/>
            <w:shd w:val="clear" w:color="auto" w:fill="auto"/>
            <w:vAlign w:val="center"/>
            <w:hideMark/>
          </w:tcPr>
          <w:p w14:paraId="086EB7C7" w14:textId="77777777" w:rsidR="009338F7" w:rsidRPr="00653E85" w:rsidRDefault="009338F7" w:rsidP="00143761">
            <w:pPr>
              <w:spacing w:after="0" w:line="240" w:lineRule="auto"/>
              <w:jc w:val="center"/>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 xml:space="preserve">2020 </w:t>
            </w:r>
          </w:p>
        </w:tc>
        <w:tc>
          <w:tcPr>
            <w:tcW w:w="538" w:type="pct"/>
            <w:shd w:val="clear" w:color="auto" w:fill="auto"/>
            <w:noWrap/>
            <w:vAlign w:val="center"/>
            <w:hideMark/>
          </w:tcPr>
          <w:p w14:paraId="1A8CF5D5" w14:textId="77777777" w:rsidR="009338F7" w:rsidRPr="00653E85" w:rsidRDefault="009338F7" w:rsidP="00143761">
            <w:pPr>
              <w:spacing w:after="0" w:line="240" w:lineRule="auto"/>
              <w:jc w:val="center"/>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2021</w:t>
            </w:r>
          </w:p>
        </w:tc>
        <w:tc>
          <w:tcPr>
            <w:tcW w:w="539" w:type="pct"/>
            <w:shd w:val="clear" w:color="auto" w:fill="auto"/>
            <w:noWrap/>
            <w:vAlign w:val="center"/>
            <w:hideMark/>
          </w:tcPr>
          <w:p w14:paraId="2CBFAA1F" w14:textId="77777777" w:rsidR="009338F7" w:rsidRPr="00653E85" w:rsidRDefault="009338F7" w:rsidP="00143761">
            <w:pPr>
              <w:spacing w:after="0" w:line="240" w:lineRule="auto"/>
              <w:jc w:val="center"/>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2022</w:t>
            </w:r>
          </w:p>
        </w:tc>
        <w:tc>
          <w:tcPr>
            <w:tcW w:w="591" w:type="pct"/>
            <w:vAlign w:val="center"/>
          </w:tcPr>
          <w:p w14:paraId="4FEE3483" w14:textId="04A4F8DD" w:rsidR="009338F7" w:rsidRPr="002436CD" w:rsidRDefault="002436CD" w:rsidP="00143761">
            <w:pPr>
              <w:spacing w:after="0" w:line="240" w:lineRule="auto"/>
              <w:jc w:val="center"/>
              <w:rPr>
                <w:rFonts w:asciiTheme="majorHAnsi" w:eastAsia="Times New Roman" w:hAnsiTheme="majorHAnsi" w:cstheme="majorHAnsi"/>
                <w:b/>
                <w:bCs/>
                <w:color w:val="000000"/>
                <w:lang w:val="ru-RU"/>
              </w:rPr>
            </w:pPr>
            <w:r>
              <w:rPr>
                <w:rFonts w:asciiTheme="majorHAnsi" w:eastAsia="Times New Roman" w:hAnsiTheme="majorHAnsi" w:cstheme="majorHAnsi"/>
                <w:b/>
                <w:bCs/>
                <w:color w:val="000000"/>
                <w:lang w:val="ru-RU"/>
              </w:rPr>
              <w:t>Отклонения</w:t>
            </w:r>
          </w:p>
          <w:p w14:paraId="006169D9" w14:textId="77777777" w:rsidR="009338F7" w:rsidRPr="00653E85" w:rsidRDefault="009338F7" w:rsidP="00143761">
            <w:pPr>
              <w:spacing w:after="0" w:line="240" w:lineRule="auto"/>
              <w:jc w:val="center"/>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2022-2019</w:t>
            </w:r>
          </w:p>
        </w:tc>
        <w:tc>
          <w:tcPr>
            <w:tcW w:w="416" w:type="pct"/>
            <w:tcBorders>
              <w:bottom w:val="single" w:sz="4" w:space="0" w:color="auto"/>
            </w:tcBorders>
            <w:shd w:val="clear" w:color="auto" w:fill="auto"/>
            <w:vAlign w:val="center"/>
            <w:hideMark/>
          </w:tcPr>
          <w:p w14:paraId="34265EA8" w14:textId="2C63440E" w:rsidR="009338F7" w:rsidRPr="002436CD" w:rsidRDefault="002436CD" w:rsidP="00143761">
            <w:pPr>
              <w:spacing w:after="0" w:line="240" w:lineRule="auto"/>
              <w:jc w:val="center"/>
              <w:rPr>
                <w:rFonts w:asciiTheme="majorHAnsi" w:eastAsia="Times New Roman" w:hAnsiTheme="majorHAnsi" w:cstheme="majorHAnsi"/>
                <w:b/>
                <w:bCs/>
                <w:color w:val="000000"/>
                <w:lang w:val="ru-RU"/>
              </w:rPr>
            </w:pPr>
            <w:r>
              <w:rPr>
                <w:rFonts w:asciiTheme="majorHAnsi" w:eastAsia="Times New Roman" w:hAnsiTheme="majorHAnsi" w:cstheme="majorHAnsi"/>
                <w:b/>
                <w:bCs/>
                <w:color w:val="000000"/>
                <w:lang w:val="ru-RU"/>
              </w:rPr>
              <w:t>Всего</w:t>
            </w:r>
          </w:p>
        </w:tc>
      </w:tr>
      <w:tr w:rsidR="009338F7" w:rsidRPr="002F3B96" w14:paraId="6EAEFC50" w14:textId="77777777" w:rsidTr="00143761">
        <w:trPr>
          <w:trHeight w:val="535"/>
        </w:trPr>
        <w:tc>
          <w:tcPr>
            <w:tcW w:w="1344" w:type="pct"/>
            <w:shd w:val="clear" w:color="auto" w:fill="auto"/>
            <w:vAlign w:val="bottom"/>
            <w:hideMark/>
          </w:tcPr>
          <w:p w14:paraId="04BBA353" w14:textId="5A6C05A7" w:rsidR="009338F7" w:rsidRPr="002F3B96" w:rsidRDefault="002436CD" w:rsidP="002436CD">
            <w:pPr>
              <w:spacing w:after="0" w:line="240" w:lineRule="auto"/>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Средняя численность работников в государственных органах</w:t>
            </w:r>
            <w:r w:rsidR="009338F7" w:rsidRPr="002F3B96">
              <w:rPr>
                <w:rFonts w:asciiTheme="majorHAnsi" w:eastAsia="Times New Roman" w:hAnsiTheme="majorHAnsi" w:cstheme="majorHAnsi"/>
                <w:color w:val="000000"/>
                <w:lang w:val="ru-MD"/>
              </w:rPr>
              <w:t>, 29%</w:t>
            </w:r>
          </w:p>
        </w:tc>
        <w:tc>
          <w:tcPr>
            <w:tcW w:w="493" w:type="pct"/>
            <w:shd w:val="clear" w:color="auto" w:fill="auto"/>
            <w:noWrap/>
            <w:vAlign w:val="center"/>
            <w:hideMark/>
          </w:tcPr>
          <w:p w14:paraId="2D7550F7" w14:textId="77777777" w:rsidR="009338F7" w:rsidRPr="002F3B96" w:rsidRDefault="009338F7" w:rsidP="00143761">
            <w:pPr>
              <w:spacing w:after="0" w:line="240" w:lineRule="auto"/>
              <w:jc w:val="center"/>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x</w:t>
            </w:r>
          </w:p>
        </w:tc>
        <w:tc>
          <w:tcPr>
            <w:tcW w:w="539" w:type="pct"/>
            <w:shd w:val="clear" w:color="auto" w:fill="auto"/>
            <w:noWrap/>
            <w:vAlign w:val="center"/>
            <w:hideMark/>
          </w:tcPr>
          <w:p w14:paraId="08AFD4D9"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189515</w:t>
            </w:r>
          </w:p>
        </w:tc>
        <w:tc>
          <w:tcPr>
            <w:tcW w:w="539" w:type="pct"/>
            <w:shd w:val="clear" w:color="auto" w:fill="auto"/>
            <w:noWrap/>
            <w:vAlign w:val="center"/>
            <w:hideMark/>
          </w:tcPr>
          <w:p w14:paraId="5C853663"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183526</w:t>
            </w:r>
          </w:p>
        </w:tc>
        <w:tc>
          <w:tcPr>
            <w:tcW w:w="538" w:type="pct"/>
            <w:shd w:val="clear" w:color="auto" w:fill="auto"/>
            <w:noWrap/>
            <w:vAlign w:val="center"/>
            <w:hideMark/>
          </w:tcPr>
          <w:p w14:paraId="7D845E96"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185235</w:t>
            </w:r>
          </w:p>
        </w:tc>
        <w:tc>
          <w:tcPr>
            <w:tcW w:w="539" w:type="pct"/>
            <w:tcBorders>
              <w:right w:val="single" w:sz="4" w:space="0" w:color="auto"/>
            </w:tcBorders>
            <w:shd w:val="clear" w:color="auto" w:fill="auto"/>
            <w:noWrap/>
            <w:vAlign w:val="center"/>
            <w:hideMark/>
          </w:tcPr>
          <w:p w14:paraId="5A2D8C8A"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181845</w:t>
            </w:r>
          </w:p>
        </w:tc>
        <w:tc>
          <w:tcPr>
            <w:tcW w:w="591" w:type="pct"/>
            <w:tcBorders>
              <w:right w:val="single" w:sz="4" w:space="0" w:color="auto"/>
            </w:tcBorders>
            <w:vAlign w:val="center"/>
          </w:tcPr>
          <w:p w14:paraId="20756147" w14:textId="77777777" w:rsidR="009338F7" w:rsidRPr="002F3B96" w:rsidRDefault="009338F7" w:rsidP="00143761">
            <w:pPr>
              <w:spacing w:after="0" w:line="240" w:lineRule="auto"/>
              <w:jc w:val="center"/>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-7670</w:t>
            </w:r>
          </w:p>
        </w:tc>
        <w:tc>
          <w:tcPr>
            <w:tcW w:w="416" w:type="pct"/>
            <w:tcBorders>
              <w:top w:val="single" w:sz="4" w:space="0" w:color="auto"/>
              <w:left w:val="single" w:sz="4" w:space="0" w:color="auto"/>
              <w:right w:val="single" w:sz="4" w:space="0" w:color="auto"/>
            </w:tcBorders>
            <w:shd w:val="clear" w:color="auto" w:fill="auto"/>
            <w:noWrap/>
            <w:vAlign w:val="center"/>
            <w:hideMark/>
          </w:tcPr>
          <w:p w14:paraId="52219DC9" w14:textId="77777777" w:rsidR="009338F7" w:rsidRPr="002F3B96" w:rsidRDefault="009338F7" w:rsidP="00143761">
            <w:pPr>
              <w:spacing w:after="0" w:line="240" w:lineRule="auto"/>
              <w:jc w:val="center"/>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x</w:t>
            </w:r>
          </w:p>
        </w:tc>
      </w:tr>
      <w:tr w:rsidR="009338F7" w:rsidRPr="002F3B96" w14:paraId="3A97C1EB" w14:textId="77777777" w:rsidTr="00143761">
        <w:trPr>
          <w:trHeight w:val="804"/>
        </w:trPr>
        <w:tc>
          <w:tcPr>
            <w:tcW w:w="1344" w:type="pct"/>
            <w:shd w:val="clear" w:color="auto" w:fill="auto"/>
            <w:vAlign w:val="bottom"/>
            <w:hideMark/>
          </w:tcPr>
          <w:p w14:paraId="4A12702A" w14:textId="338F9731" w:rsidR="009338F7" w:rsidRPr="002F3B96" w:rsidRDefault="002436CD" w:rsidP="00143761">
            <w:pPr>
              <w:spacing w:after="0" w:line="240" w:lineRule="auto"/>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Заявленная расчетная база взносов в публичных органах, млн. леев</w:t>
            </w:r>
          </w:p>
        </w:tc>
        <w:tc>
          <w:tcPr>
            <w:tcW w:w="493" w:type="pct"/>
            <w:shd w:val="clear" w:color="auto" w:fill="auto"/>
            <w:noWrap/>
            <w:vAlign w:val="center"/>
            <w:hideMark/>
          </w:tcPr>
          <w:p w14:paraId="4065D2B3" w14:textId="77777777" w:rsidR="009338F7" w:rsidRPr="002F3B96" w:rsidRDefault="009338F7" w:rsidP="00143761">
            <w:pPr>
              <w:spacing w:after="0" w:line="240" w:lineRule="auto"/>
              <w:jc w:val="center"/>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x</w:t>
            </w:r>
          </w:p>
        </w:tc>
        <w:tc>
          <w:tcPr>
            <w:tcW w:w="539" w:type="pct"/>
            <w:shd w:val="clear" w:color="auto" w:fill="auto"/>
            <w:noWrap/>
            <w:vAlign w:val="center"/>
            <w:hideMark/>
          </w:tcPr>
          <w:p w14:paraId="1D50F5E5"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14491,9</w:t>
            </w:r>
          </w:p>
        </w:tc>
        <w:tc>
          <w:tcPr>
            <w:tcW w:w="539" w:type="pct"/>
            <w:shd w:val="clear" w:color="auto" w:fill="auto"/>
            <w:noWrap/>
            <w:vAlign w:val="center"/>
            <w:hideMark/>
          </w:tcPr>
          <w:p w14:paraId="45F61600"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15781,1</w:t>
            </w:r>
          </w:p>
        </w:tc>
        <w:tc>
          <w:tcPr>
            <w:tcW w:w="538" w:type="pct"/>
            <w:shd w:val="clear" w:color="auto" w:fill="auto"/>
            <w:noWrap/>
            <w:vAlign w:val="center"/>
            <w:hideMark/>
          </w:tcPr>
          <w:p w14:paraId="0CB6E69A"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16884,9</w:t>
            </w:r>
          </w:p>
        </w:tc>
        <w:tc>
          <w:tcPr>
            <w:tcW w:w="539" w:type="pct"/>
            <w:tcBorders>
              <w:right w:val="single" w:sz="4" w:space="0" w:color="auto"/>
            </w:tcBorders>
            <w:shd w:val="clear" w:color="auto" w:fill="auto"/>
            <w:noWrap/>
            <w:vAlign w:val="center"/>
            <w:hideMark/>
          </w:tcPr>
          <w:p w14:paraId="5FB96B4C"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19146,4</w:t>
            </w:r>
          </w:p>
        </w:tc>
        <w:tc>
          <w:tcPr>
            <w:tcW w:w="591" w:type="pct"/>
            <w:tcBorders>
              <w:right w:val="single" w:sz="4" w:space="0" w:color="auto"/>
            </w:tcBorders>
            <w:vAlign w:val="center"/>
          </w:tcPr>
          <w:p w14:paraId="67563C24" w14:textId="77777777" w:rsidR="009338F7" w:rsidRPr="002F3B96" w:rsidRDefault="009338F7" w:rsidP="00143761">
            <w:pPr>
              <w:spacing w:after="0" w:line="240" w:lineRule="auto"/>
              <w:jc w:val="center"/>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4654,5</w:t>
            </w:r>
          </w:p>
        </w:tc>
        <w:tc>
          <w:tcPr>
            <w:tcW w:w="416" w:type="pct"/>
            <w:tcBorders>
              <w:left w:val="single" w:sz="4" w:space="0" w:color="auto"/>
              <w:right w:val="single" w:sz="4" w:space="0" w:color="auto"/>
            </w:tcBorders>
            <w:shd w:val="clear" w:color="auto" w:fill="auto"/>
            <w:noWrap/>
            <w:vAlign w:val="center"/>
            <w:hideMark/>
          </w:tcPr>
          <w:p w14:paraId="724E22BE" w14:textId="77777777" w:rsidR="009338F7" w:rsidRPr="002F3B96" w:rsidRDefault="009338F7" w:rsidP="00143761">
            <w:pPr>
              <w:spacing w:after="0" w:line="240" w:lineRule="auto"/>
              <w:jc w:val="center"/>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x</w:t>
            </w:r>
          </w:p>
        </w:tc>
      </w:tr>
      <w:tr w:rsidR="009338F7" w:rsidRPr="002F3B96" w14:paraId="5D4B6901" w14:textId="77777777" w:rsidTr="00143761">
        <w:trPr>
          <w:trHeight w:val="535"/>
        </w:trPr>
        <w:tc>
          <w:tcPr>
            <w:tcW w:w="1344" w:type="pct"/>
            <w:shd w:val="clear" w:color="auto" w:fill="auto"/>
            <w:vAlign w:val="bottom"/>
            <w:hideMark/>
          </w:tcPr>
          <w:p w14:paraId="6AF7279D" w14:textId="13FB3F86" w:rsidR="009338F7" w:rsidRPr="002F3B96" w:rsidRDefault="002436CD" w:rsidP="002436CD">
            <w:pPr>
              <w:spacing w:after="0" w:line="240" w:lineRule="auto"/>
              <w:rPr>
                <w:rFonts w:asciiTheme="majorHAnsi" w:eastAsia="Times New Roman" w:hAnsiTheme="majorHAnsi" w:cstheme="majorHAnsi"/>
                <w:b/>
                <w:bCs/>
                <w:color w:val="000000"/>
                <w:lang w:val="ru-MD"/>
              </w:rPr>
            </w:pPr>
            <w:r w:rsidRPr="002F3B96">
              <w:rPr>
                <w:rFonts w:asciiTheme="majorHAnsi" w:eastAsia="Times New Roman" w:hAnsiTheme="majorHAnsi" w:cstheme="majorHAnsi"/>
                <w:b/>
                <w:bCs/>
                <w:color w:val="000000"/>
                <w:lang w:val="ru-MD"/>
              </w:rPr>
              <w:t>Начисленные взносы согласно тарифу</w:t>
            </w:r>
            <w:r w:rsidR="009338F7" w:rsidRPr="002F3B96">
              <w:rPr>
                <w:rFonts w:asciiTheme="majorHAnsi" w:eastAsia="Times New Roman" w:hAnsiTheme="majorHAnsi" w:cstheme="majorHAnsi"/>
                <w:b/>
                <w:bCs/>
                <w:color w:val="000000"/>
                <w:lang w:val="ru-MD"/>
              </w:rPr>
              <w:t>, 29%</w:t>
            </w:r>
          </w:p>
        </w:tc>
        <w:tc>
          <w:tcPr>
            <w:tcW w:w="493" w:type="pct"/>
            <w:shd w:val="clear" w:color="auto" w:fill="auto"/>
            <w:noWrap/>
            <w:vAlign w:val="center"/>
            <w:hideMark/>
          </w:tcPr>
          <w:p w14:paraId="26B7AAAC" w14:textId="77777777" w:rsidR="009338F7" w:rsidRPr="002F3B96" w:rsidRDefault="009338F7" w:rsidP="00143761">
            <w:pPr>
              <w:spacing w:after="0" w:line="240" w:lineRule="auto"/>
              <w:jc w:val="center"/>
              <w:rPr>
                <w:rFonts w:asciiTheme="majorHAnsi" w:eastAsia="Times New Roman" w:hAnsiTheme="majorHAnsi" w:cstheme="majorHAnsi"/>
                <w:b/>
                <w:bCs/>
                <w:color w:val="000000"/>
                <w:lang w:val="ru-MD"/>
              </w:rPr>
            </w:pPr>
            <w:r w:rsidRPr="002F3B96">
              <w:rPr>
                <w:rFonts w:asciiTheme="majorHAnsi" w:eastAsia="Times New Roman" w:hAnsiTheme="majorHAnsi" w:cstheme="majorHAnsi"/>
                <w:b/>
                <w:bCs/>
                <w:color w:val="000000"/>
                <w:lang w:val="ru-MD"/>
              </w:rPr>
              <w:t>x</w:t>
            </w:r>
          </w:p>
        </w:tc>
        <w:tc>
          <w:tcPr>
            <w:tcW w:w="539" w:type="pct"/>
            <w:shd w:val="clear" w:color="auto" w:fill="auto"/>
            <w:noWrap/>
            <w:vAlign w:val="center"/>
            <w:hideMark/>
          </w:tcPr>
          <w:p w14:paraId="6F1B4D0B" w14:textId="77777777" w:rsidR="009338F7" w:rsidRPr="002F3B96" w:rsidRDefault="009338F7" w:rsidP="00143761">
            <w:pPr>
              <w:spacing w:after="0" w:line="240" w:lineRule="auto"/>
              <w:jc w:val="right"/>
              <w:rPr>
                <w:rFonts w:asciiTheme="majorHAnsi" w:eastAsia="Times New Roman" w:hAnsiTheme="majorHAnsi" w:cstheme="majorHAnsi"/>
                <w:b/>
                <w:bCs/>
                <w:color w:val="000000"/>
                <w:lang w:val="ru-MD"/>
              </w:rPr>
            </w:pPr>
            <w:r w:rsidRPr="002F3B96">
              <w:rPr>
                <w:rFonts w:asciiTheme="majorHAnsi" w:eastAsia="Times New Roman" w:hAnsiTheme="majorHAnsi" w:cstheme="majorHAnsi"/>
                <w:b/>
                <w:bCs/>
                <w:color w:val="000000"/>
                <w:lang w:val="ru-MD"/>
              </w:rPr>
              <w:t>4202,65</w:t>
            </w:r>
          </w:p>
        </w:tc>
        <w:tc>
          <w:tcPr>
            <w:tcW w:w="539" w:type="pct"/>
            <w:shd w:val="clear" w:color="auto" w:fill="auto"/>
            <w:noWrap/>
            <w:vAlign w:val="center"/>
            <w:hideMark/>
          </w:tcPr>
          <w:p w14:paraId="0567808F" w14:textId="77777777" w:rsidR="009338F7" w:rsidRPr="002F3B96" w:rsidRDefault="009338F7" w:rsidP="00143761">
            <w:pPr>
              <w:spacing w:after="0" w:line="240" w:lineRule="auto"/>
              <w:jc w:val="right"/>
              <w:rPr>
                <w:rFonts w:asciiTheme="majorHAnsi" w:eastAsia="Times New Roman" w:hAnsiTheme="majorHAnsi" w:cstheme="majorHAnsi"/>
                <w:b/>
                <w:bCs/>
                <w:color w:val="000000"/>
                <w:lang w:val="ru-MD"/>
              </w:rPr>
            </w:pPr>
            <w:r w:rsidRPr="002F3B96">
              <w:rPr>
                <w:rFonts w:asciiTheme="majorHAnsi" w:eastAsia="Times New Roman" w:hAnsiTheme="majorHAnsi" w:cstheme="majorHAnsi"/>
                <w:b/>
                <w:bCs/>
                <w:color w:val="000000"/>
                <w:lang w:val="ru-MD"/>
              </w:rPr>
              <w:t>4576,52</w:t>
            </w:r>
          </w:p>
        </w:tc>
        <w:tc>
          <w:tcPr>
            <w:tcW w:w="538" w:type="pct"/>
            <w:shd w:val="clear" w:color="auto" w:fill="auto"/>
            <w:noWrap/>
            <w:vAlign w:val="center"/>
            <w:hideMark/>
          </w:tcPr>
          <w:p w14:paraId="6EBB8E3E" w14:textId="77777777" w:rsidR="009338F7" w:rsidRPr="002F3B96" w:rsidRDefault="009338F7" w:rsidP="00143761">
            <w:pPr>
              <w:spacing w:after="0" w:line="240" w:lineRule="auto"/>
              <w:jc w:val="right"/>
              <w:rPr>
                <w:rFonts w:asciiTheme="majorHAnsi" w:eastAsia="Times New Roman" w:hAnsiTheme="majorHAnsi" w:cstheme="majorHAnsi"/>
                <w:b/>
                <w:bCs/>
                <w:color w:val="000000"/>
                <w:lang w:val="ru-MD"/>
              </w:rPr>
            </w:pPr>
            <w:r w:rsidRPr="002F3B96">
              <w:rPr>
                <w:rFonts w:asciiTheme="majorHAnsi" w:eastAsia="Times New Roman" w:hAnsiTheme="majorHAnsi" w:cstheme="majorHAnsi"/>
                <w:b/>
                <w:bCs/>
                <w:color w:val="000000"/>
                <w:lang w:val="ru-MD"/>
              </w:rPr>
              <w:t>4896,62</w:t>
            </w:r>
          </w:p>
        </w:tc>
        <w:tc>
          <w:tcPr>
            <w:tcW w:w="539" w:type="pct"/>
            <w:tcBorders>
              <w:right w:val="single" w:sz="4" w:space="0" w:color="auto"/>
            </w:tcBorders>
            <w:shd w:val="clear" w:color="auto" w:fill="auto"/>
            <w:noWrap/>
            <w:vAlign w:val="center"/>
            <w:hideMark/>
          </w:tcPr>
          <w:p w14:paraId="2C4CC561" w14:textId="77777777" w:rsidR="009338F7" w:rsidRPr="002F3B96" w:rsidRDefault="009338F7" w:rsidP="00143761">
            <w:pPr>
              <w:spacing w:after="0" w:line="240" w:lineRule="auto"/>
              <w:jc w:val="right"/>
              <w:rPr>
                <w:rFonts w:asciiTheme="majorHAnsi" w:eastAsia="Times New Roman" w:hAnsiTheme="majorHAnsi" w:cstheme="majorHAnsi"/>
                <w:b/>
                <w:bCs/>
                <w:color w:val="000000"/>
                <w:lang w:val="ru-MD"/>
              </w:rPr>
            </w:pPr>
            <w:r w:rsidRPr="002F3B96">
              <w:rPr>
                <w:rFonts w:asciiTheme="majorHAnsi" w:eastAsia="Times New Roman" w:hAnsiTheme="majorHAnsi" w:cstheme="majorHAnsi"/>
                <w:b/>
                <w:bCs/>
                <w:color w:val="000000"/>
                <w:lang w:val="ru-MD"/>
              </w:rPr>
              <w:t>5552,46</w:t>
            </w:r>
          </w:p>
        </w:tc>
        <w:tc>
          <w:tcPr>
            <w:tcW w:w="591" w:type="pct"/>
            <w:tcBorders>
              <w:right w:val="single" w:sz="4" w:space="0" w:color="auto"/>
            </w:tcBorders>
            <w:vAlign w:val="center"/>
          </w:tcPr>
          <w:p w14:paraId="183CE099" w14:textId="77777777" w:rsidR="009338F7" w:rsidRPr="002F3B96" w:rsidRDefault="009338F7" w:rsidP="00143761">
            <w:pPr>
              <w:spacing w:after="0" w:line="240" w:lineRule="auto"/>
              <w:jc w:val="center"/>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1349,81</w:t>
            </w:r>
          </w:p>
        </w:tc>
        <w:tc>
          <w:tcPr>
            <w:tcW w:w="416" w:type="pct"/>
            <w:tcBorders>
              <w:left w:val="single" w:sz="4" w:space="0" w:color="auto"/>
              <w:right w:val="single" w:sz="4" w:space="0" w:color="auto"/>
            </w:tcBorders>
            <w:shd w:val="clear" w:color="auto" w:fill="auto"/>
            <w:noWrap/>
            <w:vAlign w:val="center"/>
            <w:hideMark/>
          </w:tcPr>
          <w:p w14:paraId="7281168F" w14:textId="77777777" w:rsidR="009338F7" w:rsidRPr="002F3B96" w:rsidRDefault="009338F7" w:rsidP="00143761">
            <w:pPr>
              <w:spacing w:after="0" w:line="240" w:lineRule="auto"/>
              <w:jc w:val="center"/>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x</w:t>
            </w:r>
          </w:p>
        </w:tc>
      </w:tr>
      <w:tr w:rsidR="009338F7" w:rsidRPr="002F3B96" w14:paraId="39A83429" w14:textId="77777777" w:rsidTr="00143761">
        <w:trPr>
          <w:trHeight w:val="535"/>
        </w:trPr>
        <w:tc>
          <w:tcPr>
            <w:tcW w:w="1344" w:type="pct"/>
            <w:shd w:val="clear" w:color="auto" w:fill="auto"/>
            <w:vAlign w:val="bottom"/>
            <w:hideMark/>
          </w:tcPr>
          <w:p w14:paraId="31082B59" w14:textId="2F750741" w:rsidR="009338F7" w:rsidRPr="002F3B96" w:rsidRDefault="002436CD" w:rsidP="00143761">
            <w:pPr>
              <w:spacing w:after="0" w:line="240" w:lineRule="auto"/>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Средняя численность работников в частном секторе</w:t>
            </w:r>
            <w:r w:rsidR="009338F7" w:rsidRPr="002F3B96">
              <w:rPr>
                <w:rFonts w:asciiTheme="majorHAnsi" w:eastAsia="Times New Roman" w:hAnsiTheme="majorHAnsi" w:cstheme="majorHAnsi"/>
                <w:color w:val="000000"/>
                <w:lang w:val="ru-MD"/>
              </w:rPr>
              <w:t>, 24%</w:t>
            </w:r>
          </w:p>
        </w:tc>
        <w:tc>
          <w:tcPr>
            <w:tcW w:w="493" w:type="pct"/>
            <w:shd w:val="clear" w:color="auto" w:fill="auto"/>
            <w:noWrap/>
            <w:vAlign w:val="center"/>
            <w:hideMark/>
          </w:tcPr>
          <w:p w14:paraId="2173C2F6"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551004</w:t>
            </w:r>
          </w:p>
        </w:tc>
        <w:tc>
          <w:tcPr>
            <w:tcW w:w="539" w:type="pct"/>
            <w:shd w:val="clear" w:color="auto" w:fill="auto"/>
            <w:noWrap/>
            <w:vAlign w:val="center"/>
            <w:hideMark/>
          </w:tcPr>
          <w:p w14:paraId="710B11BC"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558602</w:t>
            </w:r>
          </w:p>
        </w:tc>
        <w:tc>
          <w:tcPr>
            <w:tcW w:w="539" w:type="pct"/>
            <w:shd w:val="clear" w:color="auto" w:fill="auto"/>
            <w:noWrap/>
            <w:vAlign w:val="center"/>
            <w:hideMark/>
          </w:tcPr>
          <w:p w14:paraId="50B4463E"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540933</w:t>
            </w:r>
          </w:p>
        </w:tc>
        <w:tc>
          <w:tcPr>
            <w:tcW w:w="538" w:type="pct"/>
            <w:shd w:val="clear" w:color="auto" w:fill="auto"/>
            <w:noWrap/>
            <w:vAlign w:val="center"/>
            <w:hideMark/>
          </w:tcPr>
          <w:p w14:paraId="2EF7968F"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550769</w:t>
            </w:r>
          </w:p>
        </w:tc>
        <w:tc>
          <w:tcPr>
            <w:tcW w:w="539" w:type="pct"/>
            <w:tcBorders>
              <w:right w:val="single" w:sz="4" w:space="0" w:color="auto"/>
            </w:tcBorders>
            <w:shd w:val="clear" w:color="auto" w:fill="auto"/>
            <w:noWrap/>
            <w:vAlign w:val="center"/>
            <w:hideMark/>
          </w:tcPr>
          <w:p w14:paraId="6B57C436"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552622</w:t>
            </w:r>
          </w:p>
        </w:tc>
        <w:tc>
          <w:tcPr>
            <w:tcW w:w="591" w:type="pct"/>
            <w:tcBorders>
              <w:right w:val="single" w:sz="4" w:space="0" w:color="auto"/>
            </w:tcBorders>
            <w:vAlign w:val="center"/>
          </w:tcPr>
          <w:p w14:paraId="210F4AC6" w14:textId="77777777" w:rsidR="009338F7" w:rsidRPr="002F3B96" w:rsidRDefault="009338F7" w:rsidP="00143761">
            <w:pPr>
              <w:spacing w:after="0" w:line="240" w:lineRule="auto"/>
              <w:jc w:val="center"/>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-5980</w:t>
            </w:r>
          </w:p>
        </w:tc>
        <w:tc>
          <w:tcPr>
            <w:tcW w:w="416" w:type="pct"/>
            <w:tcBorders>
              <w:left w:val="single" w:sz="4" w:space="0" w:color="auto"/>
              <w:right w:val="single" w:sz="4" w:space="0" w:color="auto"/>
            </w:tcBorders>
            <w:shd w:val="clear" w:color="auto" w:fill="auto"/>
            <w:noWrap/>
            <w:vAlign w:val="center"/>
            <w:hideMark/>
          </w:tcPr>
          <w:p w14:paraId="62B44AD8" w14:textId="77777777" w:rsidR="009338F7" w:rsidRPr="002F3B96" w:rsidRDefault="009338F7" w:rsidP="00143761">
            <w:pPr>
              <w:spacing w:after="0" w:line="240" w:lineRule="auto"/>
              <w:jc w:val="center"/>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x</w:t>
            </w:r>
          </w:p>
        </w:tc>
      </w:tr>
      <w:tr w:rsidR="009338F7" w:rsidRPr="002F3B96" w14:paraId="3413E840" w14:textId="77777777" w:rsidTr="00143761">
        <w:trPr>
          <w:trHeight w:val="804"/>
        </w:trPr>
        <w:tc>
          <w:tcPr>
            <w:tcW w:w="1344" w:type="pct"/>
            <w:shd w:val="clear" w:color="auto" w:fill="auto"/>
            <w:vAlign w:val="bottom"/>
            <w:hideMark/>
          </w:tcPr>
          <w:p w14:paraId="04E5CDC2" w14:textId="03640CE2" w:rsidR="009338F7" w:rsidRPr="002F3B96" w:rsidRDefault="002436CD" w:rsidP="002436CD">
            <w:pPr>
              <w:spacing w:after="0" w:line="240" w:lineRule="auto"/>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Заявленная расчетная база взносов в частном секторе</w:t>
            </w:r>
            <w:r w:rsidR="009338F7" w:rsidRPr="002F3B96">
              <w:rPr>
                <w:rFonts w:asciiTheme="majorHAnsi" w:eastAsia="Times New Roman" w:hAnsiTheme="majorHAnsi" w:cstheme="majorHAnsi"/>
                <w:color w:val="000000"/>
                <w:lang w:val="ru-MD"/>
              </w:rPr>
              <w:t xml:space="preserve">, </w:t>
            </w:r>
            <w:r w:rsidRPr="002F3B96">
              <w:rPr>
                <w:rFonts w:asciiTheme="majorHAnsi" w:eastAsia="Times New Roman" w:hAnsiTheme="majorHAnsi" w:cstheme="majorHAnsi"/>
                <w:color w:val="000000"/>
                <w:lang w:val="ru-MD"/>
              </w:rPr>
              <w:t>млн. леев</w:t>
            </w:r>
          </w:p>
        </w:tc>
        <w:tc>
          <w:tcPr>
            <w:tcW w:w="493" w:type="pct"/>
            <w:shd w:val="clear" w:color="auto" w:fill="auto"/>
            <w:noWrap/>
            <w:vAlign w:val="center"/>
            <w:hideMark/>
          </w:tcPr>
          <w:p w14:paraId="7F133C2D"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8940,5*</w:t>
            </w:r>
          </w:p>
        </w:tc>
        <w:tc>
          <w:tcPr>
            <w:tcW w:w="539" w:type="pct"/>
            <w:shd w:val="clear" w:color="auto" w:fill="auto"/>
            <w:noWrap/>
            <w:vAlign w:val="center"/>
            <w:hideMark/>
          </w:tcPr>
          <w:p w14:paraId="1FF88D1A"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37969,7</w:t>
            </w:r>
          </w:p>
        </w:tc>
        <w:tc>
          <w:tcPr>
            <w:tcW w:w="539" w:type="pct"/>
            <w:shd w:val="clear" w:color="auto" w:fill="auto"/>
            <w:noWrap/>
            <w:vAlign w:val="center"/>
            <w:hideMark/>
          </w:tcPr>
          <w:p w14:paraId="1D49D093"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38961,3</w:t>
            </w:r>
          </w:p>
        </w:tc>
        <w:tc>
          <w:tcPr>
            <w:tcW w:w="538" w:type="pct"/>
            <w:shd w:val="clear" w:color="auto" w:fill="auto"/>
            <w:noWrap/>
            <w:vAlign w:val="center"/>
            <w:hideMark/>
          </w:tcPr>
          <w:p w14:paraId="33D35EBC"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45622,9</w:t>
            </w:r>
          </w:p>
        </w:tc>
        <w:tc>
          <w:tcPr>
            <w:tcW w:w="539" w:type="pct"/>
            <w:tcBorders>
              <w:right w:val="single" w:sz="4" w:space="0" w:color="auto"/>
            </w:tcBorders>
            <w:shd w:val="clear" w:color="auto" w:fill="auto"/>
            <w:noWrap/>
            <w:vAlign w:val="center"/>
            <w:hideMark/>
          </w:tcPr>
          <w:p w14:paraId="4EE62923"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52378,5</w:t>
            </w:r>
          </w:p>
        </w:tc>
        <w:tc>
          <w:tcPr>
            <w:tcW w:w="591" w:type="pct"/>
            <w:tcBorders>
              <w:right w:val="single" w:sz="4" w:space="0" w:color="auto"/>
            </w:tcBorders>
            <w:vAlign w:val="center"/>
          </w:tcPr>
          <w:p w14:paraId="6EC5118F" w14:textId="77777777" w:rsidR="009338F7" w:rsidRPr="002F3B96" w:rsidRDefault="009338F7" w:rsidP="00143761">
            <w:pPr>
              <w:spacing w:after="0" w:line="240" w:lineRule="auto"/>
              <w:jc w:val="center"/>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14408,8</w:t>
            </w:r>
          </w:p>
        </w:tc>
        <w:tc>
          <w:tcPr>
            <w:tcW w:w="416" w:type="pct"/>
            <w:tcBorders>
              <w:left w:val="single" w:sz="4" w:space="0" w:color="auto"/>
              <w:right w:val="single" w:sz="4" w:space="0" w:color="auto"/>
            </w:tcBorders>
            <w:shd w:val="clear" w:color="auto" w:fill="auto"/>
            <w:noWrap/>
            <w:vAlign w:val="center"/>
            <w:hideMark/>
          </w:tcPr>
          <w:p w14:paraId="193F7FBB" w14:textId="77777777" w:rsidR="009338F7" w:rsidRPr="002F3B96" w:rsidRDefault="009338F7" w:rsidP="00143761">
            <w:pPr>
              <w:spacing w:after="0" w:line="240" w:lineRule="auto"/>
              <w:jc w:val="center"/>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x</w:t>
            </w:r>
          </w:p>
        </w:tc>
      </w:tr>
      <w:tr w:rsidR="009338F7" w:rsidRPr="002F3B96" w14:paraId="7AB9395C" w14:textId="77777777" w:rsidTr="00143761">
        <w:trPr>
          <w:trHeight w:val="535"/>
        </w:trPr>
        <w:tc>
          <w:tcPr>
            <w:tcW w:w="1344" w:type="pct"/>
            <w:shd w:val="clear" w:color="auto" w:fill="auto"/>
            <w:vAlign w:val="bottom"/>
            <w:hideMark/>
          </w:tcPr>
          <w:p w14:paraId="7AC1A561" w14:textId="007974ED" w:rsidR="009338F7" w:rsidRPr="002F3B96" w:rsidRDefault="002436CD" w:rsidP="00143761">
            <w:pPr>
              <w:spacing w:after="0" w:line="240" w:lineRule="auto"/>
              <w:rPr>
                <w:rFonts w:asciiTheme="majorHAnsi" w:eastAsia="Times New Roman" w:hAnsiTheme="majorHAnsi" w:cstheme="majorHAnsi"/>
                <w:b/>
                <w:bCs/>
                <w:color w:val="000000"/>
                <w:lang w:val="ru-MD"/>
              </w:rPr>
            </w:pPr>
            <w:r w:rsidRPr="002F3B96">
              <w:rPr>
                <w:rFonts w:asciiTheme="majorHAnsi" w:eastAsia="Times New Roman" w:hAnsiTheme="majorHAnsi" w:cstheme="majorHAnsi"/>
                <w:b/>
                <w:bCs/>
                <w:color w:val="000000"/>
                <w:lang w:val="ru-MD"/>
              </w:rPr>
              <w:t>Начисленные взносы согласно тарифу</w:t>
            </w:r>
            <w:r w:rsidR="009338F7" w:rsidRPr="002F3B96">
              <w:rPr>
                <w:rFonts w:asciiTheme="majorHAnsi" w:eastAsia="Times New Roman" w:hAnsiTheme="majorHAnsi" w:cstheme="majorHAnsi"/>
                <w:b/>
                <w:bCs/>
                <w:color w:val="000000"/>
                <w:lang w:val="ru-MD"/>
              </w:rPr>
              <w:t>, 24%</w:t>
            </w:r>
          </w:p>
        </w:tc>
        <w:tc>
          <w:tcPr>
            <w:tcW w:w="493" w:type="pct"/>
            <w:shd w:val="clear" w:color="auto" w:fill="auto"/>
            <w:noWrap/>
            <w:vAlign w:val="center"/>
            <w:hideMark/>
          </w:tcPr>
          <w:p w14:paraId="71F27B0A" w14:textId="77777777" w:rsidR="009338F7" w:rsidRPr="002F3B96" w:rsidRDefault="009338F7" w:rsidP="00143761">
            <w:pPr>
              <w:spacing w:after="0" w:line="240" w:lineRule="auto"/>
              <w:jc w:val="right"/>
              <w:rPr>
                <w:rFonts w:asciiTheme="majorHAnsi" w:eastAsia="Times New Roman" w:hAnsiTheme="majorHAnsi" w:cstheme="majorHAnsi"/>
                <w:b/>
                <w:bCs/>
                <w:color w:val="000000"/>
                <w:lang w:val="ru-MD"/>
              </w:rPr>
            </w:pPr>
            <w:r w:rsidRPr="002F3B96">
              <w:rPr>
                <w:rFonts w:asciiTheme="majorHAnsi" w:eastAsia="Times New Roman" w:hAnsiTheme="majorHAnsi" w:cstheme="majorHAnsi"/>
                <w:b/>
                <w:bCs/>
                <w:color w:val="000000"/>
                <w:lang w:val="ru-MD"/>
              </w:rPr>
              <w:t>2145,7</w:t>
            </w:r>
          </w:p>
        </w:tc>
        <w:tc>
          <w:tcPr>
            <w:tcW w:w="539" w:type="pct"/>
            <w:shd w:val="clear" w:color="auto" w:fill="auto"/>
            <w:noWrap/>
            <w:vAlign w:val="center"/>
            <w:hideMark/>
          </w:tcPr>
          <w:p w14:paraId="7E6711C2" w14:textId="77777777" w:rsidR="009338F7" w:rsidRPr="002F3B96" w:rsidRDefault="009338F7" w:rsidP="00143761">
            <w:pPr>
              <w:spacing w:after="0" w:line="240" w:lineRule="auto"/>
              <w:jc w:val="right"/>
              <w:rPr>
                <w:rFonts w:asciiTheme="majorHAnsi" w:eastAsia="Times New Roman" w:hAnsiTheme="majorHAnsi" w:cstheme="majorHAnsi"/>
                <w:b/>
                <w:bCs/>
                <w:color w:val="000000"/>
                <w:lang w:val="ru-MD"/>
              </w:rPr>
            </w:pPr>
            <w:r w:rsidRPr="002F3B96">
              <w:rPr>
                <w:rFonts w:asciiTheme="majorHAnsi" w:eastAsia="Times New Roman" w:hAnsiTheme="majorHAnsi" w:cstheme="majorHAnsi"/>
                <w:b/>
                <w:bCs/>
                <w:color w:val="000000"/>
                <w:lang w:val="ru-MD"/>
              </w:rPr>
              <w:t>9112,7</w:t>
            </w:r>
          </w:p>
        </w:tc>
        <w:tc>
          <w:tcPr>
            <w:tcW w:w="539" w:type="pct"/>
            <w:shd w:val="clear" w:color="auto" w:fill="auto"/>
            <w:noWrap/>
            <w:vAlign w:val="center"/>
            <w:hideMark/>
          </w:tcPr>
          <w:p w14:paraId="53214BAB" w14:textId="77777777" w:rsidR="009338F7" w:rsidRPr="002F3B96" w:rsidRDefault="009338F7" w:rsidP="00143761">
            <w:pPr>
              <w:spacing w:after="0" w:line="240" w:lineRule="auto"/>
              <w:jc w:val="right"/>
              <w:rPr>
                <w:rFonts w:asciiTheme="majorHAnsi" w:eastAsia="Times New Roman" w:hAnsiTheme="majorHAnsi" w:cstheme="majorHAnsi"/>
                <w:b/>
                <w:bCs/>
                <w:color w:val="000000"/>
                <w:lang w:val="ru-MD"/>
              </w:rPr>
            </w:pPr>
            <w:r w:rsidRPr="002F3B96">
              <w:rPr>
                <w:rFonts w:asciiTheme="majorHAnsi" w:eastAsia="Times New Roman" w:hAnsiTheme="majorHAnsi" w:cstheme="majorHAnsi"/>
                <w:b/>
                <w:bCs/>
                <w:color w:val="000000"/>
                <w:lang w:val="ru-MD"/>
              </w:rPr>
              <w:t>9350,7</w:t>
            </w:r>
          </w:p>
        </w:tc>
        <w:tc>
          <w:tcPr>
            <w:tcW w:w="538" w:type="pct"/>
            <w:shd w:val="clear" w:color="auto" w:fill="auto"/>
            <w:noWrap/>
            <w:vAlign w:val="center"/>
            <w:hideMark/>
          </w:tcPr>
          <w:p w14:paraId="3F60B344" w14:textId="77777777" w:rsidR="009338F7" w:rsidRPr="002F3B96" w:rsidRDefault="009338F7" w:rsidP="00143761">
            <w:pPr>
              <w:spacing w:after="0" w:line="240" w:lineRule="auto"/>
              <w:jc w:val="right"/>
              <w:rPr>
                <w:rFonts w:asciiTheme="majorHAnsi" w:eastAsia="Times New Roman" w:hAnsiTheme="majorHAnsi" w:cstheme="majorHAnsi"/>
                <w:b/>
                <w:bCs/>
                <w:color w:val="000000"/>
                <w:lang w:val="ru-MD"/>
              </w:rPr>
            </w:pPr>
            <w:r w:rsidRPr="002F3B96">
              <w:rPr>
                <w:rFonts w:asciiTheme="majorHAnsi" w:eastAsia="Times New Roman" w:hAnsiTheme="majorHAnsi" w:cstheme="majorHAnsi"/>
                <w:b/>
                <w:bCs/>
                <w:color w:val="000000"/>
                <w:lang w:val="ru-MD"/>
              </w:rPr>
              <w:t>10949,5</w:t>
            </w:r>
          </w:p>
        </w:tc>
        <w:tc>
          <w:tcPr>
            <w:tcW w:w="539" w:type="pct"/>
            <w:tcBorders>
              <w:right w:val="single" w:sz="4" w:space="0" w:color="auto"/>
            </w:tcBorders>
            <w:shd w:val="clear" w:color="auto" w:fill="auto"/>
            <w:noWrap/>
            <w:vAlign w:val="center"/>
            <w:hideMark/>
          </w:tcPr>
          <w:p w14:paraId="7BCA10DD" w14:textId="77777777" w:rsidR="009338F7" w:rsidRPr="002F3B96" w:rsidRDefault="009338F7" w:rsidP="00143761">
            <w:pPr>
              <w:spacing w:after="0" w:line="240" w:lineRule="auto"/>
              <w:jc w:val="right"/>
              <w:rPr>
                <w:rFonts w:asciiTheme="majorHAnsi" w:eastAsia="Times New Roman" w:hAnsiTheme="majorHAnsi" w:cstheme="majorHAnsi"/>
                <w:b/>
                <w:bCs/>
                <w:color w:val="000000"/>
                <w:lang w:val="ru-MD"/>
              </w:rPr>
            </w:pPr>
            <w:r w:rsidRPr="002F3B96">
              <w:rPr>
                <w:rFonts w:asciiTheme="majorHAnsi" w:eastAsia="Times New Roman" w:hAnsiTheme="majorHAnsi" w:cstheme="majorHAnsi"/>
                <w:b/>
                <w:bCs/>
                <w:color w:val="000000"/>
                <w:lang w:val="ru-MD"/>
              </w:rPr>
              <w:t>12570,8</w:t>
            </w:r>
          </w:p>
        </w:tc>
        <w:tc>
          <w:tcPr>
            <w:tcW w:w="591" w:type="pct"/>
            <w:tcBorders>
              <w:right w:val="single" w:sz="4" w:space="0" w:color="auto"/>
            </w:tcBorders>
            <w:vAlign w:val="center"/>
          </w:tcPr>
          <w:p w14:paraId="11F5F456" w14:textId="77777777" w:rsidR="009338F7" w:rsidRPr="002F3B96" w:rsidRDefault="009338F7" w:rsidP="00143761">
            <w:pPr>
              <w:spacing w:after="0" w:line="240" w:lineRule="auto"/>
              <w:jc w:val="center"/>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3458,1</w:t>
            </w:r>
          </w:p>
        </w:tc>
        <w:tc>
          <w:tcPr>
            <w:tcW w:w="416" w:type="pct"/>
            <w:tcBorders>
              <w:left w:val="single" w:sz="4" w:space="0" w:color="auto"/>
              <w:right w:val="single" w:sz="4" w:space="0" w:color="auto"/>
            </w:tcBorders>
            <w:shd w:val="clear" w:color="auto" w:fill="auto"/>
            <w:noWrap/>
            <w:vAlign w:val="center"/>
            <w:hideMark/>
          </w:tcPr>
          <w:p w14:paraId="23AB3912" w14:textId="77777777" w:rsidR="009338F7" w:rsidRPr="002F3B96" w:rsidRDefault="009338F7" w:rsidP="00143761">
            <w:pPr>
              <w:spacing w:after="0" w:line="240" w:lineRule="auto"/>
              <w:jc w:val="center"/>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x</w:t>
            </w:r>
          </w:p>
        </w:tc>
      </w:tr>
      <w:tr w:rsidR="009338F7" w:rsidRPr="002F3B96" w14:paraId="58810F18" w14:textId="77777777" w:rsidTr="00143761">
        <w:trPr>
          <w:trHeight w:val="535"/>
        </w:trPr>
        <w:tc>
          <w:tcPr>
            <w:tcW w:w="1344" w:type="pct"/>
            <w:shd w:val="clear" w:color="auto" w:fill="auto"/>
            <w:vAlign w:val="bottom"/>
            <w:hideMark/>
          </w:tcPr>
          <w:p w14:paraId="2EDA65C0" w14:textId="0BB6967E" w:rsidR="009338F7" w:rsidRPr="002F3B96" w:rsidRDefault="002436CD" w:rsidP="00143761">
            <w:pPr>
              <w:spacing w:after="0" w:line="240" w:lineRule="auto"/>
              <w:rPr>
                <w:rFonts w:asciiTheme="majorHAnsi" w:eastAsia="Times New Roman" w:hAnsiTheme="majorHAnsi" w:cstheme="majorHAnsi"/>
                <w:b/>
                <w:bCs/>
                <w:color w:val="000000"/>
                <w:lang w:val="ru-MD"/>
              </w:rPr>
            </w:pPr>
            <w:r w:rsidRPr="002F3B96">
              <w:rPr>
                <w:rFonts w:asciiTheme="majorHAnsi" w:eastAsia="Times New Roman" w:hAnsiTheme="majorHAnsi" w:cstheme="majorHAnsi"/>
                <w:b/>
                <w:bCs/>
                <w:color w:val="000000"/>
                <w:lang w:val="ru-MD"/>
              </w:rPr>
              <w:t>Начисленные взносы согласно тарифу</w:t>
            </w:r>
            <w:r w:rsidR="009338F7" w:rsidRPr="002F3B96">
              <w:rPr>
                <w:rFonts w:asciiTheme="majorHAnsi" w:eastAsia="Times New Roman" w:hAnsiTheme="majorHAnsi" w:cstheme="majorHAnsi"/>
                <w:b/>
                <w:bCs/>
                <w:color w:val="000000"/>
                <w:lang w:val="ru-MD"/>
              </w:rPr>
              <w:t>, 29%</w:t>
            </w:r>
          </w:p>
        </w:tc>
        <w:tc>
          <w:tcPr>
            <w:tcW w:w="493" w:type="pct"/>
            <w:shd w:val="clear" w:color="auto" w:fill="auto"/>
            <w:noWrap/>
            <w:vAlign w:val="center"/>
            <w:hideMark/>
          </w:tcPr>
          <w:p w14:paraId="0B7E3CD0"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2592,7</w:t>
            </w:r>
          </w:p>
        </w:tc>
        <w:tc>
          <w:tcPr>
            <w:tcW w:w="539" w:type="pct"/>
            <w:shd w:val="clear" w:color="auto" w:fill="auto"/>
            <w:noWrap/>
            <w:vAlign w:val="center"/>
            <w:hideMark/>
          </w:tcPr>
          <w:p w14:paraId="04EFA4AC"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11011,2</w:t>
            </w:r>
          </w:p>
        </w:tc>
        <w:tc>
          <w:tcPr>
            <w:tcW w:w="539" w:type="pct"/>
            <w:shd w:val="clear" w:color="auto" w:fill="auto"/>
            <w:noWrap/>
            <w:vAlign w:val="center"/>
            <w:hideMark/>
          </w:tcPr>
          <w:p w14:paraId="788D1B4B"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11298,8</w:t>
            </w:r>
          </w:p>
        </w:tc>
        <w:tc>
          <w:tcPr>
            <w:tcW w:w="538" w:type="pct"/>
            <w:shd w:val="clear" w:color="auto" w:fill="auto"/>
            <w:noWrap/>
            <w:vAlign w:val="center"/>
            <w:hideMark/>
          </w:tcPr>
          <w:p w14:paraId="585D1105"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13230,6</w:t>
            </w:r>
          </w:p>
        </w:tc>
        <w:tc>
          <w:tcPr>
            <w:tcW w:w="539" w:type="pct"/>
            <w:tcBorders>
              <w:right w:val="single" w:sz="4" w:space="0" w:color="auto"/>
            </w:tcBorders>
            <w:shd w:val="clear" w:color="auto" w:fill="auto"/>
            <w:noWrap/>
            <w:vAlign w:val="center"/>
            <w:hideMark/>
          </w:tcPr>
          <w:p w14:paraId="0562C190"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15189,8</w:t>
            </w:r>
          </w:p>
        </w:tc>
        <w:tc>
          <w:tcPr>
            <w:tcW w:w="591" w:type="pct"/>
            <w:tcBorders>
              <w:right w:val="single" w:sz="4" w:space="0" w:color="auto"/>
            </w:tcBorders>
            <w:vAlign w:val="center"/>
          </w:tcPr>
          <w:p w14:paraId="38A8757F" w14:textId="77777777" w:rsidR="009338F7" w:rsidRPr="002F3B96" w:rsidRDefault="009338F7" w:rsidP="00143761">
            <w:pPr>
              <w:spacing w:after="0" w:line="240" w:lineRule="auto"/>
              <w:jc w:val="center"/>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4178,6</w:t>
            </w:r>
          </w:p>
        </w:tc>
        <w:tc>
          <w:tcPr>
            <w:tcW w:w="416" w:type="pct"/>
            <w:tcBorders>
              <w:left w:val="single" w:sz="4" w:space="0" w:color="auto"/>
              <w:bottom w:val="single" w:sz="4" w:space="0" w:color="auto"/>
              <w:right w:val="single" w:sz="4" w:space="0" w:color="auto"/>
            </w:tcBorders>
            <w:shd w:val="clear" w:color="auto" w:fill="auto"/>
            <w:noWrap/>
            <w:vAlign w:val="center"/>
            <w:hideMark/>
          </w:tcPr>
          <w:p w14:paraId="31B06E37" w14:textId="77777777" w:rsidR="009338F7" w:rsidRPr="002F3B96" w:rsidRDefault="009338F7" w:rsidP="00143761">
            <w:pPr>
              <w:spacing w:after="0" w:line="240" w:lineRule="auto"/>
              <w:jc w:val="center"/>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x</w:t>
            </w:r>
          </w:p>
        </w:tc>
      </w:tr>
      <w:tr w:rsidR="009338F7" w:rsidRPr="002F3B96" w14:paraId="1E75584D" w14:textId="77777777" w:rsidTr="00143761">
        <w:trPr>
          <w:trHeight w:val="1340"/>
        </w:trPr>
        <w:tc>
          <w:tcPr>
            <w:tcW w:w="1344" w:type="pct"/>
            <w:shd w:val="clear" w:color="auto" w:fill="auto"/>
            <w:vAlign w:val="center"/>
            <w:hideMark/>
          </w:tcPr>
          <w:p w14:paraId="6A2CE0C3" w14:textId="263BD4D6" w:rsidR="009338F7" w:rsidRPr="002F3B96" w:rsidRDefault="00074BEC" w:rsidP="00074BEC">
            <w:pPr>
              <w:spacing w:after="0" w:line="240" w:lineRule="auto"/>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Сумма льгот по уплате взносов, предоставленных частному сектору для развития и выведения экономики из серой зоны, оцененная аудитом</w:t>
            </w:r>
            <w:r w:rsidR="009338F7" w:rsidRPr="002F3B96">
              <w:rPr>
                <w:rFonts w:asciiTheme="majorHAnsi" w:eastAsia="Times New Roman" w:hAnsiTheme="majorHAnsi" w:cstheme="majorHAnsi"/>
                <w:color w:val="000000"/>
                <w:lang w:val="ru-MD"/>
              </w:rPr>
              <w:t xml:space="preserve">, </w:t>
            </w:r>
            <w:r w:rsidRPr="002F3B96">
              <w:rPr>
                <w:rFonts w:asciiTheme="majorHAnsi" w:eastAsia="Times New Roman" w:hAnsiTheme="majorHAnsi" w:cstheme="majorHAnsi"/>
                <w:color w:val="000000"/>
                <w:lang w:val="ru-MD"/>
              </w:rPr>
              <w:t>млн</w:t>
            </w:r>
            <w:r w:rsidR="003E1F5D" w:rsidRPr="002F3B96">
              <w:rPr>
                <w:rFonts w:asciiTheme="majorHAnsi" w:eastAsia="Times New Roman" w:hAnsiTheme="majorHAnsi" w:cstheme="majorHAnsi"/>
                <w:color w:val="000000"/>
                <w:lang w:val="ru-MD"/>
              </w:rPr>
              <w:t>.</w:t>
            </w:r>
            <w:r w:rsidR="009338F7" w:rsidRPr="002F3B96">
              <w:rPr>
                <w:rFonts w:asciiTheme="majorHAnsi" w:eastAsia="Times New Roman" w:hAnsiTheme="majorHAnsi" w:cstheme="majorHAnsi"/>
                <w:color w:val="000000"/>
                <w:lang w:val="ru-MD"/>
              </w:rPr>
              <w:t xml:space="preserve"> </w:t>
            </w:r>
            <w:r w:rsidRPr="002F3B96">
              <w:rPr>
                <w:rFonts w:asciiTheme="majorHAnsi" w:eastAsia="Times New Roman" w:hAnsiTheme="majorHAnsi" w:cstheme="majorHAnsi"/>
                <w:color w:val="000000"/>
                <w:lang w:val="ru-MD"/>
              </w:rPr>
              <w:t>леев</w:t>
            </w:r>
          </w:p>
        </w:tc>
        <w:tc>
          <w:tcPr>
            <w:tcW w:w="493" w:type="pct"/>
            <w:shd w:val="clear" w:color="auto" w:fill="auto"/>
            <w:noWrap/>
            <w:vAlign w:val="center"/>
            <w:hideMark/>
          </w:tcPr>
          <w:p w14:paraId="56B778E6"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447,0</w:t>
            </w:r>
          </w:p>
        </w:tc>
        <w:tc>
          <w:tcPr>
            <w:tcW w:w="539" w:type="pct"/>
            <w:shd w:val="clear" w:color="auto" w:fill="auto"/>
            <w:noWrap/>
            <w:vAlign w:val="center"/>
            <w:hideMark/>
          </w:tcPr>
          <w:p w14:paraId="57A5E426"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1898,5</w:t>
            </w:r>
          </w:p>
        </w:tc>
        <w:tc>
          <w:tcPr>
            <w:tcW w:w="539" w:type="pct"/>
            <w:shd w:val="clear" w:color="auto" w:fill="auto"/>
            <w:noWrap/>
            <w:vAlign w:val="center"/>
            <w:hideMark/>
          </w:tcPr>
          <w:p w14:paraId="122E626B"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1948,1</w:t>
            </w:r>
          </w:p>
        </w:tc>
        <w:tc>
          <w:tcPr>
            <w:tcW w:w="538" w:type="pct"/>
            <w:shd w:val="clear" w:color="auto" w:fill="auto"/>
            <w:noWrap/>
            <w:vAlign w:val="center"/>
            <w:hideMark/>
          </w:tcPr>
          <w:p w14:paraId="188269D5"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2281,1</w:t>
            </w:r>
          </w:p>
        </w:tc>
        <w:tc>
          <w:tcPr>
            <w:tcW w:w="539" w:type="pct"/>
            <w:shd w:val="clear" w:color="auto" w:fill="auto"/>
            <w:noWrap/>
            <w:vAlign w:val="center"/>
            <w:hideMark/>
          </w:tcPr>
          <w:p w14:paraId="5E22C461"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2618,9</w:t>
            </w:r>
          </w:p>
        </w:tc>
        <w:tc>
          <w:tcPr>
            <w:tcW w:w="591" w:type="pct"/>
            <w:vAlign w:val="center"/>
          </w:tcPr>
          <w:p w14:paraId="76D49952" w14:textId="7E4A2DC6" w:rsidR="009338F7" w:rsidRPr="002F3B96" w:rsidRDefault="009338F7" w:rsidP="00143761">
            <w:pPr>
              <w:spacing w:after="0" w:line="240" w:lineRule="auto"/>
              <w:jc w:val="center"/>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x</w:t>
            </w:r>
          </w:p>
        </w:tc>
        <w:tc>
          <w:tcPr>
            <w:tcW w:w="416" w:type="pct"/>
            <w:tcBorders>
              <w:top w:val="single" w:sz="4" w:space="0" w:color="auto"/>
            </w:tcBorders>
            <w:shd w:val="clear" w:color="auto" w:fill="auto"/>
            <w:noWrap/>
            <w:vAlign w:val="center"/>
            <w:hideMark/>
          </w:tcPr>
          <w:p w14:paraId="550AE80F" w14:textId="77777777" w:rsidR="009338F7" w:rsidRPr="002F3B96" w:rsidRDefault="009338F7" w:rsidP="00143761">
            <w:pPr>
              <w:spacing w:after="0" w:line="240" w:lineRule="auto"/>
              <w:jc w:val="right"/>
              <w:rPr>
                <w:rFonts w:asciiTheme="majorHAnsi" w:eastAsia="Times New Roman" w:hAnsiTheme="majorHAnsi" w:cstheme="majorHAnsi"/>
                <w:color w:val="000000"/>
                <w:lang w:val="ru-MD"/>
              </w:rPr>
            </w:pPr>
            <w:r w:rsidRPr="002F3B96">
              <w:rPr>
                <w:rFonts w:asciiTheme="majorHAnsi" w:eastAsia="Times New Roman" w:hAnsiTheme="majorHAnsi" w:cstheme="majorHAnsi"/>
                <w:color w:val="000000"/>
                <w:lang w:val="ru-MD"/>
              </w:rPr>
              <w:t>9193,6</w:t>
            </w:r>
          </w:p>
        </w:tc>
      </w:tr>
    </w:tbl>
    <w:p w14:paraId="49E07D86" w14:textId="53C58F45" w:rsidR="00883E08" w:rsidRPr="002F3B96" w:rsidRDefault="00074BEC" w:rsidP="00883E08">
      <w:pPr>
        <w:pStyle w:val="Default"/>
        <w:spacing w:line="276" w:lineRule="auto"/>
        <w:jc w:val="both"/>
        <w:rPr>
          <w:rFonts w:asciiTheme="majorHAnsi" w:hAnsiTheme="majorHAnsi" w:cstheme="majorHAnsi"/>
          <w:i/>
          <w:color w:val="auto"/>
          <w:sz w:val="20"/>
          <w:szCs w:val="20"/>
          <w:lang w:val="ru-MD"/>
        </w:rPr>
      </w:pPr>
      <w:r w:rsidRPr="002F3B96">
        <w:rPr>
          <w:rFonts w:asciiTheme="majorHAnsi" w:hAnsiTheme="majorHAnsi" w:cstheme="majorHAnsi"/>
          <w:color w:val="auto"/>
          <w:sz w:val="20"/>
          <w:szCs w:val="20"/>
          <w:lang w:val="ru-MD"/>
        </w:rPr>
        <w:t>Источник</w:t>
      </w:r>
      <w:r w:rsidR="00883E08" w:rsidRPr="002F3B96">
        <w:rPr>
          <w:rFonts w:asciiTheme="majorHAnsi" w:hAnsiTheme="majorHAnsi" w:cstheme="majorHAnsi"/>
          <w:color w:val="auto"/>
          <w:sz w:val="20"/>
          <w:szCs w:val="20"/>
          <w:lang w:val="ru-MD"/>
        </w:rPr>
        <w:t xml:space="preserve">: </w:t>
      </w:r>
      <w:r w:rsidRPr="002F3B96">
        <w:rPr>
          <w:rFonts w:asciiTheme="majorHAnsi" w:hAnsiTheme="majorHAnsi" w:cstheme="majorHAnsi"/>
          <w:i/>
          <w:color w:val="auto"/>
          <w:sz w:val="20"/>
          <w:szCs w:val="20"/>
          <w:lang w:val="ru-MD"/>
        </w:rPr>
        <w:t>Составлена аудитом на основе совокупных отчетов по расчете, применению и перечислению взносов государственного социального страхования за 2018-2022 годы</w:t>
      </w:r>
      <w:r w:rsidR="003E1F5D" w:rsidRPr="002F3B96">
        <w:rPr>
          <w:rFonts w:asciiTheme="majorHAnsi" w:hAnsiTheme="majorHAnsi" w:cstheme="majorHAnsi"/>
          <w:i/>
          <w:color w:val="auto"/>
          <w:sz w:val="20"/>
          <w:szCs w:val="20"/>
          <w:lang w:val="ru-MD"/>
        </w:rPr>
        <w:t>.</w:t>
      </w:r>
    </w:p>
    <w:p w14:paraId="443C4FF3" w14:textId="77777777" w:rsidR="00883E08" w:rsidRPr="00653E85" w:rsidRDefault="00883E08" w:rsidP="00883E08">
      <w:pPr>
        <w:pStyle w:val="Default"/>
        <w:spacing w:line="276" w:lineRule="auto"/>
        <w:jc w:val="both"/>
        <w:rPr>
          <w:rFonts w:asciiTheme="majorHAnsi" w:hAnsiTheme="majorHAnsi" w:cstheme="majorHAnsi"/>
          <w:color w:val="auto"/>
          <w:lang w:val="ro-MD"/>
        </w:rPr>
      </w:pPr>
    </w:p>
    <w:p w14:paraId="58D4080D" w14:textId="724B5E28" w:rsidR="00883E08" w:rsidRPr="00A5077B" w:rsidRDefault="00074BEC" w:rsidP="00883E08">
      <w:pPr>
        <w:pStyle w:val="Default"/>
        <w:spacing w:line="276" w:lineRule="auto"/>
        <w:jc w:val="both"/>
        <w:rPr>
          <w:rFonts w:asciiTheme="majorHAnsi" w:hAnsiTheme="majorHAnsi" w:cstheme="majorHAnsi"/>
          <w:color w:val="auto"/>
          <w:lang w:val="ru-MD"/>
        </w:rPr>
      </w:pPr>
      <w:r w:rsidRPr="00A5077B">
        <w:rPr>
          <w:rFonts w:asciiTheme="majorHAnsi" w:hAnsiTheme="majorHAnsi" w:cstheme="majorHAnsi"/>
          <w:color w:val="auto"/>
          <w:lang w:val="ru-MD"/>
        </w:rPr>
        <w:t xml:space="preserve">Данные </w:t>
      </w:r>
      <w:r w:rsidR="00A5077B" w:rsidRPr="00A5077B">
        <w:rPr>
          <w:rFonts w:asciiTheme="majorHAnsi" w:hAnsiTheme="majorHAnsi" w:cstheme="majorHAnsi"/>
          <w:color w:val="auto"/>
          <w:lang w:val="ru-MD"/>
        </w:rPr>
        <w:t>из</w:t>
      </w:r>
      <w:r w:rsidRPr="00A5077B">
        <w:rPr>
          <w:rFonts w:asciiTheme="majorHAnsi" w:hAnsiTheme="majorHAnsi" w:cstheme="majorHAnsi"/>
          <w:color w:val="auto"/>
          <w:lang w:val="ru-MD"/>
        </w:rPr>
        <w:t xml:space="preserve"> приведенной выше таблице указывают на то, что намерения </w:t>
      </w:r>
      <w:r w:rsidR="00A5077B" w:rsidRPr="00A5077B">
        <w:rPr>
          <w:rFonts w:asciiTheme="majorHAnsi" w:hAnsiTheme="majorHAnsi" w:cstheme="majorHAnsi"/>
          <w:color w:val="auto"/>
          <w:lang w:val="ru-MD"/>
        </w:rPr>
        <w:t>сниз</w:t>
      </w:r>
      <w:r w:rsidRPr="00A5077B">
        <w:rPr>
          <w:rFonts w:asciiTheme="majorHAnsi" w:hAnsiTheme="majorHAnsi" w:cstheme="majorHAnsi"/>
          <w:color w:val="auto"/>
          <w:lang w:val="ru-MD"/>
        </w:rPr>
        <w:t xml:space="preserve">ить </w:t>
      </w:r>
      <w:r w:rsidR="00A5077B" w:rsidRPr="00A5077B">
        <w:rPr>
          <w:rFonts w:asciiTheme="majorHAnsi" w:hAnsiTheme="majorHAnsi" w:cstheme="majorHAnsi"/>
          <w:color w:val="auto"/>
          <w:lang w:val="ru-MD"/>
        </w:rPr>
        <w:t>части</w:t>
      </w:r>
      <w:r w:rsidRPr="00A5077B">
        <w:rPr>
          <w:rFonts w:asciiTheme="majorHAnsi" w:hAnsiTheme="majorHAnsi" w:cstheme="majorHAnsi"/>
          <w:color w:val="auto"/>
          <w:lang w:val="ru-MD"/>
        </w:rPr>
        <w:t xml:space="preserve"> взноса, причитающегося </w:t>
      </w:r>
      <w:r w:rsidR="00A5077B" w:rsidRPr="00A5077B">
        <w:rPr>
          <w:rFonts w:asciiTheme="majorHAnsi" w:hAnsiTheme="majorHAnsi" w:cstheme="majorHAnsi"/>
          <w:color w:val="auto"/>
          <w:lang w:val="ru-MD"/>
        </w:rPr>
        <w:t xml:space="preserve">к уплате </w:t>
      </w:r>
      <w:r w:rsidRPr="00A5077B">
        <w:rPr>
          <w:rFonts w:asciiTheme="majorHAnsi" w:hAnsiTheme="majorHAnsi" w:cstheme="majorHAnsi"/>
          <w:color w:val="auto"/>
          <w:lang w:val="ru-MD"/>
        </w:rPr>
        <w:t>работодател</w:t>
      </w:r>
      <w:r w:rsidR="00A5077B" w:rsidRPr="00A5077B">
        <w:rPr>
          <w:rFonts w:asciiTheme="majorHAnsi" w:hAnsiTheme="majorHAnsi" w:cstheme="majorHAnsi"/>
          <w:color w:val="auto"/>
          <w:lang w:val="ru-MD"/>
        </w:rPr>
        <w:t>ем</w:t>
      </w:r>
      <w:r w:rsidRPr="00A5077B">
        <w:rPr>
          <w:rFonts w:asciiTheme="majorHAnsi" w:hAnsiTheme="majorHAnsi" w:cstheme="majorHAnsi"/>
          <w:color w:val="auto"/>
          <w:lang w:val="ru-MD"/>
        </w:rPr>
        <w:t xml:space="preserve"> с целью расширения </w:t>
      </w:r>
      <w:r w:rsidR="00A5077B" w:rsidRPr="00A5077B">
        <w:rPr>
          <w:rFonts w:asciiTheme="majorHAnsi" w:hAnsiTheme="majorHAnsi" w:cstheme="majorHAnsi"/>
          <w:color w:val="auto"/>
          <w:lang w:val="ru-MD"/>
        </w:rPr>
        <w:t>расчет</w:t>
      </w:r>
      <w:r w:rsidRPr="00A5077B">
        <w:rPr>
          <w:rFonts w:asciiTheme="majorHAnsi" w:hAnsiTheme="majorHAnsi" w:cstheme="majorHAnsi"/>
          <w:color w:val="auto"/>
          <w:lang w:val="ru-MD"/>
        </w:rPr>
        <w:t xml:space="preserve">ной базы </w:t>
      </w:r>
      <w:r w:rsidR="00A5077B" w:rsidRPr="00A5077B">
        <w:rPr>
          <w:rFonts w:asciiTheme="majorHAnsi" w:hAnsiTheme="majorHAnsi" w:cstheme="majorHAnsi"/>
          <w:color w:val="auto"/>
          <w:lang w:val="ru-MD"/>
        </w:rPr>
        <w:t>путем</w:t>
      </w:r>
      <w:r w:rsidRPr="00A5077B">
        <w:rPr>
          <w:rFonts w:asciiTheme="majorHAnsi" w:hAnsiTheme="majorHAnsi" w:cstheme="majorHAnsi"/>
          <w:color w:val="auto"/>
          <w:lang w:val="ru-MD"/>
        </w:rPr>
        <w:t xml:space="preserve"> вывода фонда оплаты труда из </w:t>
      </w:r>
      <w:r w:rsidR="00A5077B" w:rsidRPr="00A5077B">
        <w:rPr>
          <w:rFonts w:asciiTheme="majorHAnsi" w:hAnsiTheme="majorHAnsi" w:cstheme="majorHAnsi"/>
          <w:color w:val="auto"/>
          <w:lang w:val="ru-MD"/>
        </w:rPr>
        <w:t>серой зоны</w:t>
      </w:r>
      <w:r w:rsidRPr="00A5077B">
        <w:rPr>
          <w:rFonts w:asciiTheme="majorHAnsi" w:hAnsiTheme="majorHAnsi" w:cstheme="majorHAnsi"/>
          <w:color w:val="auto"/>
          <w:lang w:val="ru-MD"/>
        </w:rPr>
        <w:t xml:space="preserve">, не привели к значительным результатам. Так, хотя в 2022 году расчетная база увеличилась на 14 408,8 млн. </w:t>
      </w:r>
      <w:r w:rsidR="00A5077B" w:rsidRPr="00A5077B">
        <w:rPr>
          <w:rFonts w:asciiTheme="majorHAnsi" w:hAnsiTheme="majorHAnsi" w:cstheme="majorHAnsi"/>
          <w:color w:val="auto"/>
          <w:lang w:val="ru-MD"/>
        </w:rPr>
        <w:t xml:space="preserve">леев </w:t>
      </w:r>
      <w:r w:rsidRPr="00A5077B">
        <w:rPr>
          <w:rFonts w:asciiTheme="majorHAnsi" w:hAnsiTheme="majorHAnsi" w:cstheme="majorHAnsi"/>
          <w:color w:val="auto"/>
          <w:lang w:val="ru-MD"/>
        </w:rPr>
        <w:t>по сравнению с 2019 годом</w:t>
      </w:r>
      <w:r w:rsidR="00A5077B" w:rsidRPr="00A5077B">
        <w:rPr>
          <w:rFonts w:asciiTheme="majorHAnsi" w:hAnsiTheme="majorHAnsi" w:cstheme="majorHAnsi"/>
          <w:color w:val="auto"/>
          <w:lang w:val="ru-MD"/>
        </w:rPr>
        <w:t>,</w:t>
      </w:r>
      <w:r w:rsidRPr="00A5077B">
        <w:rPr>
          <w:rFonts w:asciiTheme="majorHAnsi" w:hAnsiTheme="majorHAnsi" w:cstheme="majorHAnsi"/>
          <w:color w:val="auto"/>
          <w:lang w:val="ru-MD"/>
        </w:rPr>
        <w:t xml:space="preserve"> число бенефициаров сократилось на 5 980 человек. </w:t>
      </w:r>
      <w:r w:rsidR="00A5077B" w:rsidRPr="00A5077B">
        <w:rPr>
          <w:rFonts w:asciiTheme="majorHAnsi" w:hAnsiTheme="majorHAnsi" w:cstheme="majorHAnsi"/>
          <w:color w:val="auto"/>
          <w:lang w:val="ru-MD"/>
        </w:rPr>
        <w:t>Следовательно</w:t>
      </w:r>
      <w:r w:rsidRPr="00A5077B">
        <w:rPr>
          <w:rFonts w:asciiTheme="majorHAnsi" w:hAnsiTheme="majorHAnsi" w:cstheme="majorHAnsi"/>
          <w:color w:val="auto"/>
          <w:lang w:val="ru-MD"/>
        </w:rPr>
        <w:t xml:space="preserve">, </w:t>
      </w:r>
      <w:r w:rsidR="00A5077B" w:rsidRPr="00A5077B">
        <w:rPr>
          <w:rFonts w:asciiTheme="majorHAnsi" w:hAnsiTheme="majorHAnsi" w:cstheme="majorHAnsi"/>
          <w:color w:val="auto"/>
          <w:lang w:val="ru-MD"/>
        </w:rPr>
        <w:t xml:space="preserve">расчетная </w:t>
      </w:r>
      <w:r w:rsidRPr="00A5077B">
        <w:rPr>
          <w:rFonts w:asciiTheme="majorHAnsi" w:hAnsiTheme="majorHAnsi" w:cstheme="majorHAnsi"/>
          <w:color w:val="auto"/>
          <w:lang w:val="ru-MD"/>
        </w:rPr>
        <w:t xml:space="preserve">база увеличилась </w:t>
      </w:r>
      <w:r w:rsidR="00A5077B" w:rsidRPr="00A5077B">
        <w:rPr>
          <w:rFonts w:asciiTheme="majorHAnsi" w:hAnsiTheme="majorHAnsi" w:cstheme="majorHAnsi"/>
          <w:color w:val="auto"/>
          <w:lang w:val="ru-MD"/>
        </w:rPr>
        <w:t>благодаря</w:t>
      </w:r>
      <w:r w:rsidRPr="00A5077B">
        <w:rPr>
          <w:rFonts w:asciiTheme="majorHAnsi" w:hAnsiTheme="majorHAnsi" w:cstheme="majorHAnsi"/>
          <w:color w:val="auto"/>
          <w:lang w:val="ru-MD"/>
        </w:rPr>
        <w:t xml:space="preserve"> </w:t>
      </w:r>
      <w:r w:rsidR="00A5077B" w:rsidRPr="00A5077B">
        <w:rPr>
          <w:rFonts w:asciiTheme="majorHAnsi" w:hAnsiTheme="majorHAnsi" w:cstheme="majorHAnsi"/>
          <w:color w:val="auto"/>
          <w:lang w:val="ru-MD"/>
        </w:rPr>
        <w:t>росту</w:t>
      </w:r>
      <w:r w:rsidRPr="00A5077B">
        <w:rPr>
          <w:rFonts w:asciiTheme="majorHAnsi" w:hAnsiTheme="majorHAnsi" w:cstheme="majorHAnsi"/>
          <w:color w:val="auto"/>
          <w:lang w:val="ru-MD"/>
        </w:rPr>
        <w:t xml:space="preserve"> средней заработной платы по экономике. </w:t>
      </w:r>
      <w:r w:rsidR="00A5077B" w:rsidRPr="00A5077B">
        <w:rPr>
          <w:rFonts w:asciiTheme="majorHAnsi" w:hAnsiTheme="majorHAnsi" w:cstheme="majorHAnsi"/>
          <w:color w:val="auto"/>
          <w:lang w:val="ru-MD"/>
        </w:rPr>
        <w:t>Одновременно,</w:t>
      </w:r>
      <w:r w:rsidRPr="00A5077B">
        <w:rPr>
          <w:rFonts w:asciiTheme="majorHAnsi" w:hAnsiTheme="majorHAnsi" w:cstheme="majorHAnsi"/>
          <w:color w:val="auto"/>
          <w:lang w:val="ru-MD"/>
        </w:rPr>
        <w:t xml:space="preserve"> экономический сектор </w:t>
      </w:r>
      <w:r w:rsidR="00A5077B" w:rsidRPr="00A5077B">
        <w:rPr>
          <w:rFonts w:asciiTheme="majorHAnsi" w:hAnsiTheme="majorHAnsi" w:cstheme="majorHAnsi"/>
          <w:color w:val="auto"/>
          <w:lang w:val="ru-MD"/>
        </w:rPr>
        <w:t xml:space="preserve">в этот период подвергался </w:t>
      </w:r>
      <w:r w:rsidRPr="00A5077B">
        <w:rPr>
          <w:rFonts w:asciiTheme="majorHAnsi" w:hAnsiTheme="majorHAnsi" w:cstheme="majorHAnsi"/>
          <w:color w:val="auto"/>
          <w:lang w:val="ru-MD"/>
        </w:rPr>
        <w:t>влия</w:t>
      </w:r>
      <w:r w:rsidR="00A5077B" w:rsidRPr="00A5077B">
        <w:rPr>
          <w:rFonts w:asciiTheme="majorHAnsi" w:hAnsiTheme="majorHAnsi" w:cstheme="majorHAnsi"/>
          <w:color w:val="auto"/>
          <w:lang w:val="ru-MD"/>
        </w:rPr>
        <w:t>нию</w:t>
      </w:r>
      <w:r w:rsidRPr="00A5077B">
        <w:rPr>
          <w:rFonts w:asciiTheme="majorHAnsi" w:hAnsiTheme="majorHAnsi" w:cstheme="majorHAnsi"/>
          <w:color w:val="auto"/>
          <w:lang w:val="ru-MD"/>
        </w:rPr>
        <w:t xml:space="preserve"> пандемическ</w:t>
      </w:r>
      <w:r w:rsidR="00A5077B" w:rsidRPr="00A5077B">
        <w:rPr>
          <w:rFonts w:asciiTheme="majorHAnsi" w:hAnsiTheme="majorHAnsi" w:cstheme="majorHAnsi"/>
          <w:color w:val="auto"/>
          <w:lang w:val="ru-MD"/>
        </w:rPr>
        <w:t>ого</w:t>
      </w:r>
      <w:r w:rsidRPr="00A5077B">
        <w:rPr>
          <w:rFonts w:asciiTheme="majorHAnsi" w:hAnsiTheme="majorHAnsi" w:cstheme="majorHAnsi"/>
          <w:color w:val="auto"/>
          <w:lang w:val="ru-MD"/>
        </w:rPr>
        <w:t xml:space="preserve"> кризис</w:t>
      </w:r>
      <w:r w:rsidR="00A5077B" w:rsidRPr="00A5077B">
        <w:rPr>
          <w:rFonts w:asciiTheme="majorHAnsi" w:hAnsiTheme="majorHAnsi" w:cstheme="majorHAnsi"/>
          <w:color w:val="auto"/>
          <w:lang w:val="ru-MD"/>
        </w:rPr>
        <w:t xml:space="preserve">а. </w:t>
      </w:r>
    </w:p>
    <w:p w14:paraId="5945AE57" w14:textId="77777777" w:rsidR="00883E08" w:rsidRPr="00653E85" w:rsidRDefault="00883E08" w:rsidP="00883E08">
      <w:pPr>
        <w:pStyle w:val="Default"/>
        <w:jc w:val="both"/>
        <w:rPr>
          <w:rFonts w:asciiTheme="majorHAnsi" w:hAnsiTheme="majorHAnsi" w:cstheme="majorHAnsi"/>
          <w:color w:val="auto"/>
          <w:highlight w:val="yellow"/>
          <w:lang w:val="ro-MD"/>
        </w:rPr>
      </w:pPr>
    </w:p>
    <w:p w14:paraId="613E34B7" w14:textId="5415C4B4" w:rsidR="00883E08" w:rsidRPr="009060B4" w:rsidRDefault="002D42CA" w:rsidP="00883E08">
      <w:pPr>
        <w:autoSpaceDE w:val="0"/>
        <w:autoSpaceDN w:val="0"/>
        <w:adjustRightInd w:val="0"/>
        <w:spacing w:after="84" w:line="276" w:lineRule="auto"/>
        <w:jc w:val="both"/>
        <w:rPr>
          <w:rFonts w:asciiTheme="majorHAnsi" w:hAnsiTheme="majorHAnsi" w:cstheme="majorHAnsi"/>
          <w:sz w:val="24"/>
          <w:szCs w:val="24"/>
          <w:lang w:val="ru-MD"/>
        </w:rPr>
      </w:pPr>
      <w:r w:rsidRPr="009060B4">
        <w:rPr>
          <w:rFonts w:asciiTheme="majorHAnsi" w:hAnsiTheme="majorHAnsi" w:cstheme="majorHAnsi"/>
          <w:sz w:val="24"/>
          <w:szCs w:val="24"/>
          <w:lang w:val="ru-MD"/>
        </w:rPr>
        <w:t xml:space="preserve">Дополнительно к этому </w:t>
      </w:r>
      <w:r w:rsidR="00EA382B" w:rsidRPr="009060B4">
        <w:rPr>
          <w:rFonts w:asciiTheme="majorHAnsi" w:hAnsiTheme="majorHAnsi" w:cstheme="majorHAnsi"/>
          <w:sz w:val="24"/>
          <w:szCs w:val="24"/>
          <w:lang w:val="ru-MD"/>
        </w:rPr>
        <w:t xml:space="preserve">аудит отмечает, что, хотя </w:t>
      </w:r>
      <w:r w:rsidR="006B31DE" w:rsidRPr="009060B4">
        <w:rPr>
          <w:rFonts w:asciiTheme="majorHAnsi" w:hAnsiTheme="majorHAnsi" w:cstheme="majorHAnsi"/>
          <w:sz w:val="24"/>
          <w:szCs w:val="24"/>
          <w:lang w:val="ru-MD"/>
        </w:rPr>
        <w:t>на</w:t>
      </w:r>
      <w:r w:rsidR="00EA382B" w:rsidRPr="009060B4">
        <w:rPr>
          <w:rFonts w:asciiTheme="majorHAnsi" w:hAnsiTheme="majorHAnsi" w:cstheme="majorHAnsi"/>
          <w:sz w:val="24"/>
          <w:szCs w:val="24"/>
          <w:lang w:val="ru-MD"/>
        </w:rPr>
        <w:t xml:space="preserve"> </w:t>
      </w:r>
      <w:r w:rsidR="006B31DE" w:rsidRPr="009060B4">
        <w:rPr>
          <w:rFonts w:asciiTheme="majorHAnsi" w:hAnsiTheme="majorHAnsi" w:cstheme="majorHAnsi"/>
          <w:sz w:val="24"/>
          <w:szCs w:val="24"/>
          <w:lang w:val="ru-MD"/>
        </w:rPr>
        <w:t>страхование одного</w:t>
      </w:r>
      <w:r w:rsidR="00EA382B" w:rsidRPr="009060B4">
        <w:rPr>
          <w:rFonts w:asciiTheme="majorHAnsi" w:hAnsiTheme="majorHAnsi" w:cstheme="majorHAnsi"/>
          <w:sz w:val="24"/>
          <w:szCs w:val="24"/>
          <w:lang w:val="ru-MD"/>
        </w:rPr>
        <w:t xml:space="preserve"> работника бюджетны</w:t>
      </w:r>
      <w:r w:rsidR="006B31DE" w:rsidRPr="009060B4">
        <w:rPr>
          <w:rFonts w:asciiTheme="majorHAnsi" w:hAnsiTheme="majorHAnsi" w:cstheme="majorHAnsi"/>
          <w:sz w:val="24"/>
          <w:szCs w:val="24"/>
          <w:lang w:val="ru-MD"/>
        </w:rPr>
        <w:t>е</w:t>
      </w:r>
      <w:r w:rsidR="00EA382B" w:rsidRPr="009060B4">
        <w:rPr>
          <w:rFonts w:asciiTheme="majorHAnsi" w:hAnsiTheme="majorHAnsi" w:cstheme="majorHAnsi"/>
          <w:sz w:val="24"/>
          <w:szCs w:val="24"/>
          <w:lang w:val="ru-MD"/>
        </w:rPr>
        <w:t xml:space="preserve"> орган</w:t>
      </w:r>
      <w:r w:rsidR="006B31DE" w:rsidRPr="009060B4">
        <w:rPr>
          <w:rFonts w:asciiTheme="majorHAnsi" w:hAnsiTheme="majorHAnsi" w:cstheme="majorHAnsi"/>
          <w:sz w:val="24"/>
          <w:szCs w:val="24"/>
          <w:lang w:val="ru-MD"/>
        </w:rPr>
        <w:t>ы</w:t>
      </w:r>
      <w:r w:rsidR="00EA382B" w:rsidRPr="009060B4">
        <w:rPr>
          <w:rFonts w:asciiTheme="majorHAnsi" w:hAnsiTheme="majorHAnsi" w:cstheme="majorHAnsi"/>
          <w:sz w:val="24"/>
          <w:szCs w:val="24"/>
          <w:lang w:val="ru-MD"/>
        </w:rPr>
        <w:t xml:space="preserve">/учреждения и </w:t>
      </w:r>
      <w:r w:rsidR="006B31DE" w:rsidRPr="009060B4">
        <w:rPr>
          <w:rFonts w:asciiTheme="majorHAnsi" w:hAnsiTheme="majorHAnsi" w:cstheme="majorHAnsi"/>
          <w:sz w:val="24"/>
          <w:szCs w:val="24"/>
          <w:lang w:val="ru-MD"/>
        </w:rPr>
        <w:t>публич</w:t>
      </w:r>
      <w:r w:rsidR="00EA382B" w:rsidRPr="009060B4">
        <w:rPr>
          <w:rFonts w:asciiTheme="majorHAnsi" w:hAnsiTheme="majorHAnsi" w:cstheme="majorHAnsi"/>
          <w:sz w:val="24"/>
          <w:szCs w:val="24"/>
          <w:lang w:val="ru-MD"/>
        </w:rPr>
        <w:t>ны</w:t>
      </w:r>
      <w:r w:rsidR="006B31DE" w:rsidRPr="009060B4">
        <w:rPr>
          <w:rFonts w:asciiTheme="majorHAnsi" w:hAnsiTheme="majorHAnsi" w:cstheme="majorHAnsi"/>
          <w:sz w:val="24"/>
          <w:szCs w:val="24"/>
          <w:lang w:val="ru-MD"/>
        </w:rPr>
        <w:t>е</w:t>
      </w:r>
      <w:r w:rsidR="00EA382B" w:rsidRPr="009060B4">
        <w:rPr>
          <w:rFonts w:asciiTheme="majorHAnsi" w:hAnsiTheme="majorHAnsi" w:cstheme="majorHAnsi"/>
          <w:sz w:val="24"/>
          <w:szCs w:val="24"/>
          <w:lang w:val="ru-MD"/>
        </w:rPr>
        <w:t xml:space="preserve"> орган</w:t>
      </w:r>
      <w:r w:rsidR="006B31DE" w:rsidRPr="009060B4">
        <w:rPr>
          <w:rFonts w:asciiTheme="majorHAnsi" w:hAnsiTheme="majorHAnsi" w:cstheme="majorHAnsi"/>
          <w:sz w:val="24"/>
          <w:szCs w:val="24"/>
          <w:lang w:val="ru-MD"/>
        </w:rPr>
        <w:t>ы</w:t>
      </w:r>
      <w:r w:rsidR="00EA382B" w:rsidRPr="009060B4">
        <w:rPr>
          <w:rFonts w:asciiTheme="majorHAnsi" w:hAnsiTheme="majorHAnsi" w:cstheme="majorHAnsi"/>
          <w:sz w:val="24"/>
          <w:szCs w:val="24"/>
          <w:lang w:val="ru-MD"/>
        </w:rPr>
        <w:t xml:space="preserve">/учреждения </w:t>
      </w:r>
      <w:r w:rsidR="006B31DE" w:rsidRPr="009060B4">
        <w:rPr>
          <w:rFonts w:asciiTheme="majorHAnsi" w:hAnsiTheme="majorHAnsi" w:cstheme="majorHAnsi"/>
          <w:sz w:val="24"/>
          <w:szCs w:val="24"/>
          <w:lang w:val="ru-MD"/>
        </w:rPr>
        <w:t>на</w:t>
      </w:r>
      <w:r w:rsidR="00EA382B" w:rsidRPr="009060B4">
        <w:rPr>
          <w:rFonts w:asciiTheme="majorHAnsi" w:hAnsiTheme="majorHAnsi" w:cstheme="majorHAnsi"/>
          <w:sz w:val="24"/>
          <w:szCs w:val="24"/>
          <w:lang w:val="ru-MD"/>
        </w:rPr>
        <w:t xml:space="preserve"> самоуправлени</w:t>
      </w:r>
      <w:r w:rsidR="006B31DE" w:rsidRPr="009060B4">
        <w:rPr>
          <w:rFonts w:asciiTheme="majorHAnsi" w:hAnsiTheme="majorHAnsi" w:cstheme="majorHAnsi"/>
          <w:sz w:val="24"/>
          <w:szCs w:val="24"/>
          <w:lang w:val="ru-MD"/>
        </w:rPr>
        <w:t>и</w:t>
      </w:r>
      <w:r w:rsidR="00EA382B" w:rsidRPr="009060B4">
        <w:rPr>
          <w:rFonts w:asciiTheme="majorHAnsi" w:hAnsiTheme="majorHAnsi" w:cstheme="majorHAnsi"/>
          <w:sz w:val="24"/>
          <w:szCs w:val="24"/>
          <w:lang w:val="ru-MD"/>
        </w:rPr>
        <w:t xml:space="preserve"> нес</w:t>
      </w:r>
      <w:r w:rsidR="006B31DE" w:rsidRPr="009060B4">
        <w:rPr>
          <w:rFonts w:asciiTheme="majorHAnsi" w:hAnsiTheme="majorHAnsi" w:cstheme="majorHAnsi"/>
          <w:sz w:val="24"/>
          <w:szCs w:val="24"/>
          <w:lang w:val="ru-MD"/>
        </w:rPr>
        <w:t>ут</w:t>
      </w:r>
      <w:r w:rsidR="00EA382B" w:rsidRPr="009060B4">
        <w:rPr>
          <w:rFonts w:asciiTheme="majorHAnsi" w:hAnsiTheme="majorHAnsi" w:cstheme="majorHAnsi"/>
          <w:sz w:val="24"/>
          <w:szCs w:val="24"/>
          <w:lang w:val="ru-MD"/>
        </w:rPr>
        <w:t xml:space="preserve"> расходы </w:t>
      </w:r>
      <w:r w:rsidR="006B31DE" w:rsidRPr="009060B4">
        <w:rPr>
          <w:rFonts w:asciiTheme="majorHAnsi" w:hAnsiTheme="majorHAnsi" w:cstheme="majorHAnsi"/>
          <w:sz w:val="24"/>
          <w:szCs w:val="24"/>
          <w:lang w:val="ru-MD"/>
        </w:rPr>
        <w:t xml:space="preserve">на уплату взносов </w:t>
      </w:r>
      <w:r w:rsidR="00EA382B" w:rsidRPr="009060B4">
        <w:rPr>
          <w:rFonts w:asciiTheme="majorHAnsi" w:hAnsiTheme="majorHAnsi" w:cstheme="majorHAnsi"/>
          <w:sz w:val="24"/>
          <w:szCs w:val="24"/>
          <w:lang w:val="ru-MD"/>
        </w:rPr>
        <w:t xml:space="preserve">в </w:t>
      </w:r>
      <w:r w:rsidR="006B31DE" w:rsidRPr="009060B4">
        <w:rPr>
          <w:rFonts w:asciiTheme="majorHAnsi" w:hAnsiTheme="majorHAnsi" w:cstheme="majorHAnsi"/>
          <w:sz w:val="24"/>
          <w:szCs w:val="24"/>
          <w:lang w:val="ru-MD"/>
        </w:rPr>
        <w:t xml:space="preserve">большем </w:t>
      </w:r>
      <w:r w:rsidR="00EA382B" w:rsidRPr="009060B4">
        <w:rPr>
          <w:rFonts w:asciiTheme="majorHAnsi" w:hAnsiTheme="majorHAnsi" w:cstheme="majorHAnsi"/>
          <w:sz w:val="24"/>
          <w:szCs w:val="24"/>
          <w:lang w:val="ru-MD"/>
        </w:rPr>
        <w:t>размере</w:t>
      </w:r>
      <w:r w:rsidR="006B31DE" w:rsidRPr="009060B4">
        <w:rPr>
          <w:rFonts w:asciiTheme="majorHAnsi" w:hAnsiTheme="majorHAnsi" w:cstheme="majorHAnsi"/>
          <w:sz w:val="24"/>
          <w:szCs w:val="24"/>
          <w:lang w:val="ru-MD"/>
        </w:rPr>
        <w:t>,</w:t>
      </w:r>
      <w:r w:rsidR="00EA382B" w:rsidRPr="009060B4">
        <w:rPr>
          <w:rFonts w:asciiTheme="majorHAnsi" w:hAnsiTheme="majorHAnsi" w:cstheme="majorHAnsi"/>
          <w:sz w:val="24"/>
          <w:szCs w:val="24"/>
          <w:lang w:val="ru-MD"/>
        </w:rPr>
        <w:t xml:space="preserve"> по сравнению с частным сектором, </w:t>
      </w:r>
      <w:r w:rsidR="006B31DE" w:rsidRPr="009060B4">
        <w:rPr>
          <w:rFonts w:asciiTheme="majorHAnsi" w:hAnsiTheme="majorHAnsi" w:cstheme="majorHAnsi"/>
          <w:sz w:val="24"/>
          <w:szCs w:val="24"/>
          <w:lang w:val="ru-MD"/>
        </w:rPr>
        <w:t>законодательн</w:t>
      </w:r>
      <w:r w:rsidR="00EA382B" w:rsidRPr="009060B4">
        <w:rPr>
          <w:rFonts w:asciiTheme="majorHAnsi" w:hAnsiTheme="majorHAnsi" w:cstheme="majorHAnsi"/>
          <w:sz w:val="24"/>
          <w:szCs w:val="24"/>
          <w:lang w:val="ru-MD"/>
        </w:rPr>
        <w:t xml:space="preserve">ая база не предусматривает </w:t>
      </w:r>
      <w:r w:rsidR="006B31DE" w:rsidRPr="009060B4">
        <w:rPr>
          <w:rFonts w:asciiTheme="majorHAnsi" w:hAnsiTheme="majorHAnsi" w:cstheme="majorHAnsi"/>
          <w:sz w:val="24"/>
          <w:szCs w:val="24"/>
          <w:lang w:val="ru-MD"/>
        </w:rPr>
        <w:t>никаки</w:t>
      </w:r>
      <w:r w:rsidR="00EA382B" w:rsidRPr="009060B4">
        <w:rPr>
          <w:rFonts w:asciiTheme="majorHAnsi" w:hAnsiTheme="majorHAnsi" w:cstheme="majorHAnsi"/>
          <w:sz w:val="24"/>
          <w:szCs w:val="24"/>
          <w:lang w:val="ru-MD"/>
        </w:rPr>
        <w:t xml:space="preserve">х мер </w:t>
      </w:r>
      <w:r w:rsidR="006B31DE" w:rsidRPr="009060B4">
        <w:rPr>
          <w:rFonts w:asciiTheme="majorHAnsi" w:hAnsiTheme="majorHAnsi" w:cstheme="majorHAnsi"/>
          <w:sz w:val="24"/>
          <w:szCs w:val="24"/>
          <w:lang w:val="ru-MD"/>
        </w:rPr>
        <w:t>для предоставления им</w:t>
      </w:r>
      <w:r w:rsidR="00EA382B" w:rsidRPr="009060B4">
        <w:rPr>
          <w:rFonts w:asciiTheme="majorHAnsi" w:hAnsiTheme="majorHAnsi" w:cstheme="majorHAnsi"/>
          <w:sz w:val="24"/>
          <w:szCs w:val="24"/>
          <w:lang w:val="ru-MD"/>
        </w:rPr>
        <w:t xml:space="preserve"> социальных пособий на </w:t>
      </w:r>
      <w:r w:rsidR="006B31DE" w:rsidRPr="009060B4">
        <w:rPr>
          <w:rFonts w:asciiTheme="majorHAnsi" w:hAnsiTheme="majorHAnsi" w:cstheme="majorHAnsi"/>
          <w:sz w:val="24"/>
          <w:szCs w:val="24"/>
          <w:lang w:val="ru-MD"/>
        </w:rPr>
        <w:t xml:space="preserve">других </w:t>
      </w:r>
      <w:r w:rsidR="00EA382B" w:rsidRPr="009060B4">
        <w:rPr>
          <w:rFonts w:asciiTheme="majorHAnsi" w:hAnsiTheme="majorHAnsi" w:cstheme="majorHAnsi"/>
          <w:sz w:val="24"/>
          <w:szCs w:val="24"/>
          <w:lang w:val="ru-MD"/>
        </w:rPr>
        <w:t xml:space="preserve">условиях, </w:t>
      </w:r>
      <w:r w:rsidR="006B31DE" w:rsidRPr="009060B4">
        <w:rPr>
          <w:rFonts w:asciiTheme="majorHAnsi" w:hAnsiTheme="majorHAnsi" w:cstheme="majorHAnsi"/>
          <w:sz w:val="24"/>
          <w:szCs w:val="24"/>
          <w:lang w:val="ru-MD"/>
        </w:rPr>
        <w:t>чем</w:t>
      </w:r>
      <w:r w:rsidR="00EA382B" w:rsidRPr="009060B4">
        <w:rPr>
          <w:rFonts w:asciiTheme="majorHAnsi" w:hAnsiTheme="majorHAnsi" w:cstheme="majorHAnsi"/>
          <w:sz w:val="24"/>
          <w:szCs w:val="24"/>
          <w:lang w:val="ru-MD"/>
        </w:rPr>
        <w:t xml:space="preserve"> работник</w:t>
      </w:r>
      <w:r w:rsidR="006B31DE" w:rsidRPr="009060B4">
        <w:rPr>
          <w:rFonts w:asciiTheme="majorHAnsi" w:hAnsiTheme="majorHAnsi" w:cstheme="majorHAnsi"/>
          <w:sz w:val="24"/>
          <w:szCs w:val="24"/>
          <w:lang w:val="ru-MD"/>
        </w:rPr>
        <w:t>и</w:t>
      </w:r>
      <w:r w:rsidR="00EA382B" w:rsidRPr="009060B4">
        <w:rPr>
          <w:rFonts w:asciiTheme="majorHAnsi" w:hAnsiTheme="majorHAnsi" w:cstheme="majorHAnsi"/>
          <w:sz w:val="24"/>
          <w:szCs w:val="24"/>
          <w:lang w:val="ru-MD"/>
        </w:rPr>
        <w:t xml:space="preserve"> частного сектора. Таким образом, исходя из того факта, что для сотрудников бюджетных органов/учреждений взимается более высокий тариф, это означает, что не обеспеч</w:t>
      </w:r>
      <w:r w:rsidR="006B31DE" w:rsidRPr="009060B4">
        <w:rPr>
          <w:rFonts w:asciiTheme="majorHAnsi" w:hAnsiTheme="majorHAnsi" w:cstheme="majorHAnsi"/>
          <w:sz w:val="24"/>
          <w:szCs w:val="24"/>
          <w:lang w:val="ru-MD"/>
        </w:rPr>
        <w:t>ивается принцип участия</w:t>
      </w:r>
      <w:r w:rsidR="00EA382B" w:rsidRPr="009060B4">
        <w:rPr>
          <w:rFonts w:asciiTheme="majorHAnsi" w:hAnsiTheme="majorHAnsi" w:cstheme="majorHAnsi"/>
          <w:sz w:val="24"/>
          <w:szCs w:val="24"/>
          <w:lang w:val="ru-MD"/>
        </w:rPr>
        <w:t xml:space="preserve">, </w:t>
      </w:r>
      <w:r w:rsidR="00867887" w:rsidRPr="009060B4">
        <w:rPr>
          <w:rFonts w:asciiTheme="majorHAnsi" w:hAnsiTheme="majorHAnsi" w:cstheme="majorHAnsi"/>
          <w:sz w:val="24"/>
          <w:szCs w:val="24"/>
          <w:lang w:val="ru-MD"/>
        </w:rPr>
        <w:t>согласно которому реализация права на социальное страхование зависит от уплаты взносов социального страхования</w:t>
      </w:r>
      <w:r w:rsidR="00EA382B" w:rsidRPr="009060B4">
        <w:rPr>
          <w:rFonts w:asciiTheme="majorHAnsi" w:hAnsiTheme="majorHAnsi" w:cstheme="majorHAnsi"/>
          <w:sz w:val="24"/>
          <w:szCs w:val="24"/>
          <w:lang w:val="ru-MD"/>
        </w:rPr>
        <w:t>, а также принцип обязатель</w:t>
      </w:r>
      <w:r w:rsidR="00867887" w:rsidRPr="009060B4">
        <w:rPr>
          <w:rFonts w:asciiTheme="majorHAnsi" w:hAnsiTheme="majorHAnsi" w:cstheme="majorHAnsi"/>
          <w:sz w:val="24"/>
          <w:szCs w:val="24"/>
          <w:lang w:val="ru-MD"/>
        </w:rPr>
        <w:t>ности</w:t>
      </w:r>
      <w:r w:rsidR="00EA382B" w:rsidRPr="009060B4">
        <w:rPr>
          <w:rFonts w:asciiTheme="majorHAnsi" w:hAnsiTheme="majorHAnsi" w:cstheme="majorHAnsi"/>
          <w:sz w:val="24"/>
          <w:szCs w:val="24"/>
          <w:lang w:val="ru-MD"/>
        </w:rPr>
        <w:t xml:space="preserve">, </w:t>
      </w:r>
      <w:r w:rsidR="00867887" w:rsidRPr="009060B4">
        <w:rPr>
          <w:rFonts w:asciiTheme="majorHAnsi" w:hAnsiTheme="majorHAnsi" w:cstheme="majorHAnsi"/>
          <w:sz w:val="24"/>
          <w:szCs w:val="24"/>
          <w:lang w:val="ru-MD"/>
        </w:rPr>
        <w:t xml:space="preserve">согласно которому юридические и физические лица в соответствии с законодательством обязаны быть участниками государственной системы страхования, и реализация их права на социальное страхование </w:t>
      </w:r>
      <w:r w:rsidR="00867887" w:rsidRPr="009060B4">
        <w:rPr>
          <w:rFonts w:asciiTheme="majorHAnsi" w:hAnsiTheme="majorHAnsi" w:cstheme="majorHAnsi"/>
          <w:b/>
          <w:sz w:val="24"/>
          <w:szCs w:val="24"/>
          <w:lang w:val="ru-MD"/>
        </w:rPr>
        <w:t xml:space="preserve">зависит </w:t>
      </w:r>
      <w:r w:rsidR="00867887" w:rsidRPr="009060B4">
        <w:rPr>
          <w:rFonts w:asciiTheme="majorHAnsi" w:hAnsiTheme="majorHAnsi" w:cstheme="majorHAnsi"/>
          <w:sz w:val="24"/>
          <w:szCs w:val="24"/>
          <w:lang w:val="ru-MD"/>
        </w:rPr>
        <w:t>от выполнения этой обязанности</w:t>
      </w:r>
      <w:r w:rsidR="00867887" w:rsidRPr="009060B4">
        <w:rPr>
          <w:rFonts w:asciiTheme="majorHAnsi" w:hAnsiTheme="majorHAnsi" w:cstheme="majorHAnsi"/>
          <w:sz w:val="24"/>
          <w:szCs w:val="24"/>
          <w:vertAlign w:val="superscript"/>
          <w:lang w:val="ru-MD"/>
        </w:rPr>
        <w:footnoteReference w:id="26"/>
      </w:r>
      <w:r w:rsidR="00EA382B" w:rsidRPr="009060B4">
        <w:rPr>
          <w:rFonts w:asciiTheme="majorHAnsi" w:hAnsiTheme="majorHAnsi" w:cstheme="majorHAnsi"/>
          <w:sz w:val="24"/>
          <w:szCs w:val="24"/>
          <w:lang w:val="ru-MD"/>
        </w:rPr>
        <w:t>. Это фундаментальные принципы, лежащие в основе системы социального страхования</w:t>
      </w:r>
      <w:r w:rsidR="00883E08" w:rsidRPr="009060B4">
        <w:rPr>
          <w:rFonts w:asciiTheme="majorHAnsi" w:hAnsiTheme="majorHAnsi" w:cstheme="majorHAnsi"/>
          <w:sz w:val="24"/>
          <w:szCs w:val="24"/>
          <w:lang w:val="ru-MD"/>
        </w:rPr>
        <w:t xml:space="preserve">. </w:t>
      </w:r>
    </w:p>
    <w:p w14:paraId="5E3D01AE" w14:textId="2E3C8CA2" w:rsidR="00883E08" w:rsidRPr="005127C1" w:rsidRDefault="00EA382B" w:rsidP="001F0CB1">
      <w:pPr>
        <w:spacing w:line="276" w:lineRule="auto"/>
        <w:jc w:val="both"/>
        <w:rPr>
          <w:rFonts w:asciiTheme="majorHAnsi" w:hAnsiTheme="majorHAnsi" w:cstheme="majorHAnsi"/>
          <w:sz w:val="24"/>
          <w:szCs w:val="24"/>
          <w:lang w:val="ru-MD"/>
        </w:rPr>
      </w:pPr>
      <w:r w:rsidRPr="005127C1">
        <w:rPr>
          <w:rFonts w:asciiTheme="majorHAnsi" w:hAnsiTheme="majorHAnsi" w:cstheme="majorHAnsi"/>
          <w:sz w:val="24"/>
          <w:szCs w:val="24"/>
          <w:lang w:val="ru-MD"/>
        </w:rPr>
        <w:t xml:space="preserve">Таким образом, </w:t>
      </w:r>
      <w:r w:rsidR="005127C1" w:rsidRPr="005127C1">
        <w:rPr>
          <w:rFonts w:asciiTheme="majorHAnsi" w:hAnsiTheme="majorHAnsi" w:cstheme="majorHAnsi"/>
          <w:sz w:val="24"/>
          <w:szCs w:val="24"/>
          <w:lang w:val="ru-MD"/>
        </w:rPr>
        <w:t>в условиях, когда</w:t>
      </w:r>
      <w:r w:rsidRPr="005127C1">
        <w:rPr>
          <w:rFonts w:asciiTheme="majorHAnsi" w:hAnsiTheme="majorHAnsi" w:cstheme="majorHAnsi"/>
          <w:sz w:val="24"/>
          <w:szCs w:val="24"/>
          <w:lang w:val="ru-MD"/>
        </w:rPr>
        <w:t xml:space="preserve"> </w:t>
      </w:r>
      <w:r w:rsidR="00D4300E" w:rsidRPr="005127C1">
        <w:rPr>
          <w:rFonts w:asciiTheme="majorHAnsi" w:hAnsiTheme="majorHAnsi" w:cstheme="majorHAnsi"/>
          <w:sz w:val="24"/>
          <w:szCs w:val="24"/>
          <w:lang w:val="ru-MD"/>
        </w:rPr>
        <w:t>законодательн</w:t>
      </w:r>
      <w:r w:rsidRPr="005127C1">
        <w:rPr>
          <w:rFonts w:asciiTheme="majorHAnsi" w:hAnsiTheme="majorHAnsi" w:cstheme="majorHAnsi"/>
          <w:sz w:val="24"/>
          <w:szCs w:val="24"/>
          <w:lang w:val="ru-MD"/>
        </w:rPr>
        <w:t xml:space="preserve">ая база неоднозначна, не предусматривает </w:t>
      </w:r>
      <w:r w:rsidR="00D4300E" w:rsidRPr="005127C1">
        <w:rPr>
          <w:rFonts w:asciiTheme="majorHAnsi" w:hAnsiTheme="majorHAnsi" w:cstheme="majorHAnsi"/>
          <w:sz w:val="24"/>
          <w:szCs w:val="24"/>
          <w:lang w:val="ru-MD"/>
        </w:rPr>
        <w:t xml:space="preserve">обеспечения </w:t>
      </w:r>
      <w:r w:rsidRPr="005127C1">
        <w:rPr>
          <w:rFonts w:asciiTheme="majorHAnsi" w:hAnsiTheme="majorHAnsi" w:cstheme="majorHAnsi"/>
          <w:sz w:val="24"/>
          <w:szCs w:val="24"/>
          <w:lang w:val="ru-MD"/>
        </w:rPr>
        <w:t>учета предоставленно</w:t>
      </w:r>
      <w:r w:rsidR="00D4300E" w:rsidRPr="005127C1">
        <w:rPr>
          <w:rFonts w:asciiTheme="majorHAnsi" w:hAnsiTheme="majorHAnsi" w:cstheme="majorHAnsi"/>
          <w:sz w:val="24"/>
          <w:szCs w:val="24"/>
          <w:lang w:val="ru-MD"/>
        </w:rPr>
        <w:t>й</w:t>
      </w:r>
      <w:r w:rsidRPr="005127C1">
        <w:rPr>
          <w:rFonts w:asciiTheme="majorHAnsi" w:hAnsiTheme="majorHAnsi" w:cstheme="majorHAnsi"/>
          <w:sz w:val="24"/>
          <w:szCs w:val="24"/>
          <w:lang w:val="ru-MD"/>
        </w:rPr>
        <w:t xml:space="preserve"> </w:t>
      </w:r>
      <w:r w:rsidR="00D4300E" w:rsidRPr="005127C1">
        <w:rPr>
          <w:rFonts w:asciiTheme="majorHAnsi" w:hAnsiTheme="majorHAnsi" w:cstheme="majorHAnsi"/>
          <w:sz w:val="24"/>
          <w:szCs w:val="24"/>
          <w:lang w:val="ru-MD"/>
        </w:rPr>
        <w:t>льготы</w:t>
      </w:r>
      <w:r w:rsidRPr="005127C1">
        <w:rPr>
          <w:rFonts w:asciiTheme="majorHAnsi" w:hAnsiTheme="majorHAnsi" w:cstheme="majorHAnsi"/>
          <w:sz w:val="24"/>
          <w:szCs w:val="24"/>
          <w:lang w:val="ru-MD"/>
        </w:rPr>
        <w:t xml:space="preserve">, </w:t>
      </w:r>
      <w:r w:rsidR="00D4300E" w:rsidRPr="005127C1">
        <w:rPr>
          <w:rFonts w:asciiTheme="majorHAnsi" w:hAnsiTheme="majorHAnsi" w:cstheme="majorHAnsi"/>
          <w:sz w:val="24"/>
          <w:szCs w:val="24"/>
          <w:lang w:val="ru-MD"/>
        </w:rPr>
        <w:t>отсутствуют</w:t>
      </w:r>
      <w:r w:rsidRPr="005127C1">
        <w:rPr>
          <w:rFonts w:asciiTheme="majorHAnsi" w:hAnsiTheme="majorHAnsi" w:cstheme="majorHAnsi"/>
          <w:sz w:val="24"/>
          <w:szCs w:val="24"/>
          <w:lang w:val="ru-MD"/>
        </w:rPr>
        <w:t xml:space="preserve"> оцен</w:t>
      </w:r>
      <w:r w:rsidR="00D4300E" w:rsidRPr="005127C1">
        <w:rPr>
          <w:rFonts w:asciiTheme="majorHAnsi" w:hAnsiTheme="majorHAnsi" w:cstheme="majorHAnsi"/>
          <w:sz w:val="24"/>
          <w:szCs w:val="24"/>
          <w:lang w:val="ru-MD"/>
        </w:rPr>
        <w:t>ки</w:t>
      </w:r>
      <w:r w:rsidRPr="005127C1">
        <w:rPr>
          <w:rFonts w:asciiTheme="majorHAnsi" w:hAnsiTheme="majorHAnsi" w:cstheme="majorHAnsi"/>
          <w:sz w:val="24"/>
          <w:szCs w:val="24"/>
          <w:lang w:val="ru-MD"/>
        </w:rPr>
        <w:t xml:space="preserve"> воздействия применяемого положения, а также прав</w:t>
      </w:r>
      <w:r w:rsidR="00D4300E" w:rsidRPr="005127C1">
        <w:rPr>
          <w:rFonts w:asciiTheme="majorHAnsi" w:hAnsiTheme="majorHAnsi" w:cstheme="majorHAnsi"/>
          <w:sz w:val="24"/>
          <w:szCs w:val="24"/>
          <w:lang w:val="ru-MD"/>
        </w:rPr>
        <w:t>а</w:t>
      </w:r>
      <w:r w:rsidRPr="005127C1">
        <w:rPr>
          <w:rFonts w:asciiTheme="majorHAnsi" w:hAnsiTheme="majorHAnsi" w:cstheme="majorHAnsi"/>
          <w:sz w:val="24"/>
          <w:szCs w:val="24"/>
          <w:lang w:val="ru-MD"/>
        </w:rPr>
        <w:t xml:space="preserve"> </w:t>
      </w:r>
      <w:r w:rsidR="00D4300E" w:rsidRPr="005127C1">
        <w:rPr>
          <w:rFonts w:asciiTheme="majorHAnsi" w:hAnsiTheme="majorHAnsi" w:cstheme="majorHAnsi"/>
          <w:sz w:val="24"/>
          <w:szCs w:val="24"/>
          <w:lang w:val="ru-MD"/>
        </w:rPr>
        <w:t xml:space="preserve">не предоставляются в зависимости от </w:t>
      </w:r>
      <w:r w:rsidRPr="005127C1">
        <w:rPr>
          <w:rFonts w:asciiTheme="majorHAnsi" w:hAnsiTheme="majorHAnsi" w:cstheme="majorHAnsi"/>
          <w:sz w:val="24"/>
          <w:szCs w:val="24"/>
          <w:lang w:val="ru-MD"/>
        </w:rPr>
        <w:t>выполнен</w:t>
      </w:r>
      <w:r w:rsidR="00D4300E" w:rsidRPr="005127C1">
        <w:rPr>
          <w:rFonts w:asciiTheme="majorHAnsi" w:hAnsiTheme="majorHAnsi" w:cstheme="majorHAnsi"/>
          <w:sz w:val="24"/>
          <w:szCs w:val="24"/>
          <w:lang w:val="ru-MD"/>
        </w:rPr>
        <w:t>ия</w:t>
      </w:r>
      <w:r w:rsidRPr="005127C1">
        <w:rPr>
          <w:rFonts w:asciiTheme="majorHAnsi" w:hAnsiTheme="majorHAnsi" w:cstheme="majorHAnsi"/>
          <w:sz w:val="24"/>
          <w:szCs w:val="24"/>
          <w:lang w:val="ru-MD"/>
        </w:rPr>
        <w:t xml:space="preserve"> обязательств, </w:t>
      </w:r>
      <w:r w:rsidR="00D4300E" w:rsidRPr="005127C1">
        <w:rPr>
          <w:rFonts w:asciiTheme="majorHAnsi" w:hAnsiTheme="majorHAnsi" w:cstheme="majorHAnsi"/>
          <w:sz w:val="24"/>
          <w:szCs w:val="24"/>
          <w:lang w:val="ru-MD"/>
        </w:rPr>
        <w:t>профили</w:t>
      </w:r>
      <w:r w:rsidRPr="005127C1">
        <w:rPr>
          <w:rFonts w:asciiTheme="majorHAnsi" w:hAnsiTheme="majorHAnsi" w:cstheme="majorHAnsi"/>
          <w:sz w:val="24"/>
          <w:szCs w:val="24"/>
          <w:lang w:val="ru-MD"/>
        </w:rPr>
        <w:t xml:space="preserve">руется риск поддержки </w:t>
      </w:r>
      <w:r w:rsidR="005127C1" w:rsidRPr="005127C1">
        <w:rPr>
          <w:rFonts w:asciiTheme="majorHAnsi" w:hAnsiTheme="majorHAnsi" w:cstheme="majorHAnsi"/>
          <w:sz w:val="24"/>
          <w:szCs w:val="24"/>
          <w:lang w:val="ru-MD"/>
        </w:rPr>
        <w:t>БГСС</w:t>
      </w:r>
      <w:r w:rsidRPr="005127C1">
        <w:rPr>
          <w:rFonts w:asciiTheme="majorHAnsi" w:hAnsiTheme="majorHAnsi" w:cstheme="majorHAnsi"/>
          <w:sz w:val="24"/>
          <w:szCs w:val="24"/>
          <w:lang w:val="ru-MD"/>
        </w:rPr>
        <w:t xml:space="preserve"> посредством скрытых/косвенных </w:t>
      </w:r>
      <w:r w:rsidR="005127C1" w:rsidRPr="005127C1">
        <w:rPr>
          <w:rFonts w:asciiTheme="majorHAnsi" w:hAnsiTheme="majorHAnsi" w:cstheme="majorHAnsi"/>
          <w:sz w:val="24"/>
          <w:szCs w:val="24"/>
          <w:lang w:val="ru-MD"/>
        </w:rPr>
        <w:t>трансферт</w:t>
      </w:r>
      <w:r w:rsidRPr="005127C1">
        <w:rPr>
          <w:rFonts w:asciiTheme="majorHAnsi" w:hAnsiTheme="majorHAnsi" w:cstheme="majorHAnsi"/>
          <w:sz w:val="24"/>
          <w:szCs w:val="24"/>
          <w:lang w:val="ru-MD"/>
        </w:rPr>
        <w:t xml:space="preserve">ов из государственного бюджета и бюджетов административно-территориальных единиц, которые оцениваются аудитом в </w:t>
      </w:r>
      <w:r w:rsidR="005127C1" w:rsidRPr="005127C1">
        <w:rPr>
          <w:rFonts w:asciiTheme="majorHAnsi" w:hAnsiTheme="majorHAnsi" w:cstheme="majorHAnsi"/>
          <w:sz w:val="24"/>
          <w:szCs w:val="24"/>
          <w:lang w:val="ru-MD"/>
        </w:rPr>
        <w:t xml:space="preserve">размере </w:t>
      </w:r>
      <w:r w:rsidRPr="005127C1">
        <w:rPr>
          <w:rFonts w:asciiTheme="majorHAnsi" w:hAnsiTheme="majorHAnsi" w:cstheme="majorHAnsi"/>
          <w:sz w:val="24"/>
          <w:szCs w:val="24"/>
          <w:lang w:val="ru-MD"/>
        </w:rPr>
        <w:t>около 9,2 млрд. леев</w:t>
      </w:r>
      <w:r w:rsidR="00883E08" w:rsidRPr="005127C1">
        <w:rPr>
          <w:rFonts w:asciiTheme="majorHAnsi" w:hAnsiTheme="majorHAnsi" w:cstheme="majorHAnsi"/>
          <w:sz w:val="24"/>
          <w:szCs w:val="24"/>
          <w:lang w:val="ru-MD"/>
        </w:rPr>
        <w:t>.</w:t>
      </w:r>
    </w:p>
    <w:p w14:paraId="0BCA785A" w14:textId="6A373432" w:rsidR="00FF3AE0" w:rsidRPr="00CB5B19" w:rsidRDefault="00E711B8" w:rsidP="00E711B8">
      <w:pPr>
        <w:pStyle w:val="aa"/>
        <w:numPr>
          <w:ilvl w:val="1"/>
          <w:numId w:val="2"/>
        </w:numPr>
        <w:spacing w:line="276" w:lineRule="auto"/>
        <w:ind w:left="0" w:firstLine="0"/>
        <w:jc w:val="both"/>
        <w:outlineLvl w:val="1"/>
        <w:rPr>
          <w:rFonts w:asciiTheme="majorHAnsi" w:hAnsiTheme="majorHAnsi" w:cstheme="majorHAnsi"/>
          <w:b/>
          <w:sz w:val="24"/>
          <w:szCs w:val="24"/>
          <w:lang w:val="ru-MD"/>
        </w:rPr>
      </w:pPr>
      <w:r w:rsidRPr="00CB5B19">
        <w:rPr>
          <w:rFonts w:asciiTheme="majorHAnsi" w:hAnsiTheme="majorHAnsi" w:cstheme="majorHAnsi"/>
          <w:b/>
          <w:sz w:val="24"/>
          <w:szCs w:val="24"/>
          <w:lang w:val="ru-MD"/>
        </w:rPr>
        <w:t>Неуклонный рост числа бенефициаров бюджета социального страхования по отношению к числу плательщиков взносов приводит к усилению давления на этот бюджет</w:t>
      </w:r>
      <w:r w:rsidR="003E1F5D" w:rsidRPr="00CB5B19">
        <w:rPr>
          <w:rFonts w:asciiTheme="majorHAnsi" w:hAnsiTheme="majorHAnsi" w:cstheme="majorHAnsi"/>
          <w:b/>
          <w:sz w:val="24"/>
          <w:szCs w:val="24"/>
          <w:lang w:val="ru-MD"/>
        </w:rPr>
        <w:t>.</w:t>
      </w:r>
    </w:p>
    <w:p w14:paraId="1A0DBFC1" w14:textId="65859CD4" w:rsidR="00FF3AE0" w:rsidRPr="00CB5B19" w:rsidRDefault="00511126" w:rsidP="00B73F86">
      <w:pPr>
        <w:spacing w:line="276" w:lineRule="auto"/>
        <w:jc w:val="both"/>
        <w:rPr>
          <w:rFonts w:asciiTheme="majorHAnsi" w:hAnsiTheme="majorHAnsi" w:cstheme="majorHAnsi"/>
          <w:sz w:val="24"/>
          <w:szCs w:val="24"/>
          <w:lang w:val="ru-MD"/>
        </w:rPr>
      </w:pPr>
      <w:r w:rsidRPr="00CB5B19">
        <w:rPr>
          <w:rFonts w:asciiTheme="majorHAnsi" w:hAnsiTheme="majorHAnsi" w:cstheme="majorHAnsi"/>
          <w:sz w:val="24"/>
          <w:szCs w:val="24"/>
          <w:lang w:val="ru-MD"/>
        </w:rPr>
        <w:t xml:space="preserve">Число </w:t>
      </w:r>
      <w:r w:rsidR="00795A7C" w:rsidRPr="00CB5B19">
        <w:rPr>
          <w:rFonts w:asciiTheme="majorHAnsi" w:hAnsiTheme="majorHAnsi" w:cstheme="majorHAnsi"/>
          <w:sz w:val="24"/>
          <w:szCs w:val="24"/>
          <w:lang w:val="ru-MD"/>
        </w:rPr>
        <w:t>плательщиков взносов</w:t>
      </w:r>
      <w:r w:rsidRPr="00CB5B19">
        <w:rPr>
          <w:rFonts w:asciiTheme="majorHAnsi" w:hAnsiTheme="majorHAnsi" w:cstheme="majorHAnsi"/>
          <w:sz w:val="24"/>
          <w:szCs w:val="24"/>
          <w:lang w:val="ru-MD"/>
        </w:rPr>
        <w:t xml:space="preserve"> в единой системе расчета взносов в 2022 году составило 734 467 человек</w:t>
      </w:r>
      <w:r w:rsidR="00795A7C" w:rsidRPr="00CB5B19">
        <w:rPr>
          <w:rStyle w:val="a5"/>
          <w:rFonts w:asciiTheme="majorHAnsi" w:hAnsiTheme="majorHAnsi" w:cstheme="majorHAnsi"/>
          <w:sz w:val="24"/>
          <w:szCs w:val="24"/>
          <w:lang w:val="ru-MD"/>
        </w:rPr>
        <w:footnoteReference w:id="27"/>
      </w:r>
      <w:r w:rsidRPr="00CB5B19">
        <w:rPr>
          <w:rFonts w:asciiTheme="majorHAnsi" w:hAnsiTheme="majorHAnsi" w:cstheme="majorHAnsi"/>
          <w:sz w:val="24"/>
          <w:szCs w:val="24"/>
          <w:lang w:val="ru-MD"/>
        </w:rPr>
        <w:t xml:space="preserve">, в том числе 181 845 работников бюджетного сектора, за исключением высших учебных заведений и медико-санитарных учреждений, и 552 622 работника частного сектора, высших учебных заведений и медико-санитарных учреждений. В то же время, общее </w:t>
      </w:r>
      <w:r w:rsidR="00795A7C" w:rsidRPr="00CB5B19">
        <w:rPr>
          <w:rFonts w:asciiTheme="majorHAnsi" w:hAnsiTheme="majorHAnsi" w:cstheme="majorHAnsi"/>
          <w:sz w:val="24"/>
          <w:szCs w:val="24"/>
          <w:lang w:val="ru-MD"/>
        </w:rPr>
        <w:t>числ</w:t>
      </w:r>
      <w:r w:rsidRPr="00CB5B19">
        <w:rPr>
          <w:rFonts w:asciiTheme="majorHAnsi" w:hAnsiTheme="majorHAnsi" w:cstheme="majorHAnsi"/>
          <w:sz w:val="24"/>
          <w:szCs w:val="24"/>
          <w:lang w:val="ru-MD"/>
        </w:rPr>
        <w:t xml:space="preserve">о </w:t>
      </w:r>
      <w:r w:rsidR="00795A7C" w:rsidRPr="00CB5B19">
        <w:rPr>
          <w:rFonts w:asciiTheme="majorHAnsi" w:hAnsiTheme="majorHAnsi" w:cstheme="majorHAnsi"/>
          <w:sz w:val="24"/>
          <w:szCs w:val="24"/>
          <w:lang w:val="ru-MD"/>
        </w:rPr>
        <w:t>плательщиков взносов</w:t>
      </w:r>
      <w:r w:rsidRPr="00CB5B19">
        <w:rPr>
          <w:rFonts w:asciiTheme="majorHAnsi" w:hAnsiTheme="majorHAnsi" w:cstheme="majorHAnsi"/>
          <w:sz w:val="24"/>
          <w:szCs w:val="24"/>
          <w:lang w:val="ru-MD"/>
        </w:rPr>
        <w:t>, в том числе тех, кто пользуется льготной политикой, составило 804 420 человек (</w:t>
      </w:r>
      <w:r w:rsidR="00795A7C" w:rsidRPr="00CB5B19">
        <w:rPr>
          <w:rFonts w:asciiTheme="majorHAnsi" w:hAnsiTheme="majorHAnsi" w:cstheme="majorHAnsi"/>
          <w:sz w:val="24"/>
          <w:szCs w:val="24"/>
          <w:lang w:val="ru-MD"/>
        </w:rPr>
        <w:t>П</w:t>
      </w:r>
      <w:r w:rsidRPr="00CB5B19">
        <w:rPr>
          <w:rFonts w:asciiTheme="majorHAnsi" w:hAnsiTheme="majorHAnsi" w:cstheme="majorHAnsi"/>
          <w:sz w:val="24"/>
          <w:szCs w:val="24"/>
          <w:lang w:val="ru-MD"/>
        </w:rPr>
        <w:t xml:space="preserve">риложение №3 к настоящему </w:t>
      </w:r>
      <w:r w:rsidR="0097451F">
        <w:rPr>
          <w:rFonts w:asciiTheme="majorHAnsi" w:hAnsiTheme="majorHAnsi" w:cstheme="majorHAnsi"/>
          <w:sz w:val="24"/>
          <w:szCs w:val="24"/>
          <w:lang w:val="ru-MD"/>
        </w:rPr>
        <w:t>Отчету аудита</w:t>
      </w:r>
      <w:r w:rsidRPr="00CB5B19">
        <w:rPr>
          <w:rFonts w:asciiTheme="majorHAnsi" w:hAnsiTheme="majorHAnsi" w:cstheme="majorHAnsi"/>
          <w:sz w:val="24"/>
          <w:szCs w:val="24"/>
          <w:lang w:val="ru-MD"/>
        </w:rPr>
        <w:t>). Таким образом, в экономике страны около 25% работников бюджетного сектора и 75% в реальном секторе</w:t>
      </w:r>
      <w:r w:rsidR="00A73FD1" w:rsidRPr="00CB5B19">
        <w:rPr>
          <w:rFonts w:asciiTheme="majorHAnsi" w:hAnsiTheme="majorHAnsi" w:cstheme="majorHAnsi"/>
          <w:sz w:val="24"/>
          <w:szCs w:val="24"/>
          <w:lang w:val="ru-MD"/>
        </w:rPr>
        <w:t>.</w:t>
      </w:r>
    </w:p>
    <w:p w14:paraId="1957273E" w14:textId="37B1F77F" w:rsidR="00A73FD1" w:rsidRPr="00CB5B19" w:rsidRDefault="00795A7C" w:rsidP="00A73FD1">
      <w:pPr>
        <w:spacing w:line="276" w:lineRule="auto"/>
        <w:jc w:val="both"/>
        <w:rPr>
          <w:rFonts w:asciiTheme="majorHAnsi" w:hAnsiTheme="majorHAnsi" w:cstheme="majorHAnsi"/>
          <w:sz w:val="24"/>
          <w:szCs w:val="24"/>
          <w:lang w:val="ru-MD"/>
        </w:rPr>
      </w:pPr>
      <w:r w:rsidRPr="00CB5B19">
        <w:rPr>
          <w:rFonts w:asciiTheme="majorHAnsi" w:hAnsiTheme="majorHAnsi" w:cstheme="majorHAnsi"/>
          <w:sz w:val="24"/>
          <w:szCs w:val="24"/>
          <w:lang w:val="ru-MD"/>
        </w:rPr>
        <w:t>Одновременно,</w:t>
      </w:r>
      <w:r w:rsidR="00511126" w:rsidRPr="00CB5B19">
        <w:rPr>
          <w:rFonts w:asciiTheme="majorHAnsi" w:hAnsiTheme="majorHAnsi" w:cstheme="majorHAnsi"/>
          <w:sz w:val="24"/>
          <w:szCs w:val="24"/>
          <w:lang w:val="ru-MD"/>
        </w:rPr>
        <w:t xml:space="preserve"> количество получателей социальных пособий в конце 2022 года составило 2 310 026 человек, получивших </w:t>
      </w:r>
      <w:r w:rsidRPr="00CB5B19">
        <w:rPr>
          <w:rFonts w:asciiTheme="majorHAnsi" w:hAnsiTheme="majorHAnsi" w:cstheme="majorHAnsi"/>
          <w:sz w:val="24"/>
          <w:szCs w:val="24"/>
          <w:lang w:val="ru-MD"/>
        </w:rPr>
        <w:t>минимум</w:t>
      </w:r>
      <w:r w:rsidR="00511126" w:rsidRPr="00CB5B19">
        <w:rPr>
          <w:rFonts w:asciiTheme="majorHAnsi" w:hAnsiTheme="majorHAnsi" w:cstheme="majorHAnsi"/>
          <w:sz w:val="24"/>
          <w:szCs w:val="24"/>
          <w:lang w:val="ru-MD"/>
        </w:rPr>
        <w:t xml:space="preserve"> одно пособие в течение года. Что касается пенсионеров, </w:t>
      </w:r>
      <w:r w:rsidRPr="00CB5B19">
        <w:rPr>
          <w:rFonts w:asciiTheme="majorHAnsi" w:hAnsiTheme="majorHAnsi" w:cstheme="majorHAnsi"/>
          <w:sz w:val="24"/>
          <w:szCs w:val="24"/>
          <w:lang w:val="ru-MD"/>
        </w:rPr>
        <w:t>отмечается</w:t>
      </w:r>
      <w:r w:rsidR="00511126" w:rsidRPr="00CB5B19">
        <w:rPr>
          <w:rFonts w:asciiTheme="majorHAnsi" w:hAnsiTheme="majorHAnsi" w:cstheme="majorHAnsi"/>
          <w:sz w:val="24"/>
          <w:szCs w:val="24"/>
          <w:lang w:val="ru-MD"/>
        </w:rPr>
        <w:t xml:space="preserve">, что их </w:t>
      </w:r>
      <w:r w:rsidRPr="00CB5B19">
        <w:rPr>
          <w:rFonts w:asciiTheme="majorHAnsi" w:hAnsiTheme="majorHAnsi" w:cstheme="majorHAnsi"/>
          <w:sz w:val="24"/>
          <w:szCs w:val="24"/>
          <w:lang w:val="ru-MD"/>
        </w:rPr>
        <w:t>число составило</w:t>
      </w:r>
      <w:r w:rsidR="00511126" w:rsidRPr="00CB5B19">
        <w:rPr>
          <w:rFonts w:asciiTheme="majorHAnsi" w:hAnsiTheme="majorHAnsi" w:cstheme="majorHAnsi"/>
          <w:sz w:val="24"/>
          <w:szCs w:val="24"/>
          <w:lang w:val="ru-MD"/>
        </w:rPr>
        <w:t xml:space="preserve"> 675 674 человека, из которых 526 017 являются </w:t>
      </w:r>
      <w:r w:rsidRPr="00CB5B19">
        <w:rPr>
          <w:rFonts w:asciiTheme="majorHAnsi" w:hAnsiTheme="majorHAnsi" w:cstheme="majorHAnsi"/>
          <w:sz w:val="24"/>
          <w:szCs w:val="24"/>
          <w:lang w:val="ru-MD"/>
        </w:rPr>
        <w:t>получателя</w:t>
      </w:r>
      <w:r w:rsidR="00511126" w:rsidRPr="00CB5B19">
        <w:rPr>
          <w:rFonts w:asciiTheme="majorHAnsi" w:hAnsiTheme="majorHAnsi" w:cstheme="majorHAnsi"/>
          <w:sz w:val="24"/>
          <w:szCs w:val="24"/>
          <w:lang w:val="ru-MD"/>
        </w:rPr>
        <w:t>ми п</w:t>
      </w:r>
      <w:r w:rsidRPr="00CB5B19">
        <w:rPr>
          <w:rFonts w:asciiTheme="majorHAnsi" w:hAnsiTheme="majorHAnsi" w:cstheme="majorHAnsi"/>
          <w:sz w:val="24"/>
          <w:szCs w:val="24"/>
          <w:lang w:val="ru-MD"/>
        </w:rPr>
        <w:t>енсии по старости (Приложение №</w:t>
      </w:r>
      <w:r w:rsidR="00511126" w:rsidRPr="00CB5B19">
        <w:rPr>
          <w:rFonts w:asciiTheme="majorHAnsi" w:hAnsiTheme="majorHAnsi" w:cstheme="majorHAnsi"/>
          <w:sz w:val="24"/>
          <w:szCs w:val="24"/>
          <w:lang w:val="ru-MD"/>
        </w:rPr>
        <w:t xml:space="preserve">2 </w:t>
      </w:r>
      <w:r w:rsidRPr="00CB5B19">
        <w:rPr>
          <w:rFonts w:asciiTheme="majorHAnsi" w:hAnsiTheme="majorHAnsi" w:cstheme="majorHAnsi"/>
          <w:sz w:val="24"/>
          <w:szCs w:val="24"/>
          <w:lang w:val="ru-MD"/>
        </w:rPr>
        <w:t>к</w:t>
      </w:r>
      <w:r w:rsidR="00511126" w:rsidRPr="00CB5B19">
        <w:rPr>
          <w:rFonts w:asciiTheme="majorHAnsi" w:hAnsiTheme="majorHAnsi" w:cstheme="majorHAnsi"/>
          <w:sz w:val="24"/>
          <w:szCs w:val="24"/>
          <w:lang w:val="ru-MD"/>
        </w:rPr>
        <w:t xml:space="preserve"> настоящем</w:t>
      </w:r>
      <w:r w:rsidRPr="00CB5B19">
        <w:rPr>
          <w:rFonts w:asciiTheme="majorHAnsi" w:hAnsiTheme="majorHAnsi" w:cstheme="majorHAnsi"/>
          <w:sz w:val="24"/>
          <w:szCs w:val="24"/>
          <w:lang w:val="ru-MD"/>
        </w:rPr>
        <w:t>у</w:t>
      </w:r>
      <w:r w:rsidR="00511126" w:rsidRPr="00CB5B19">
        <w:rPr>
          <w:rFonts w:asciiTheme="majorHAnsi" w:hAnsiTheme="majorHAnsi" w:cstheme="majorHAnsi"/>
          <w:sz w:val="24"/>
          <w:szCs w:val="24"/>
          <w:lang w:val="ru-MD"/>
        </w:rPr>
        <w:t xml:space="preserve"> аудиторском отчете)</w:t>
      </w:r>
      <w:r w:rsidR="00B73F86" w:rsidRPr="00CB5B19">
        <w:rPr>
          <w:rFonts w:asciiTheme="majorHAnsi" w:hAnsiTheme="majorHAnsi" w:cstheme="majorHAnsi"/>
          <w:sz w:val="24"/>
          <w:szCs w:val="24"/>
          <w:lang w:val="ru-MD"/>
        </w:rPr>
        <w:t>.</w:t>
      </w:r>
      <w:r w:rsidR="00A73FD1" w:rsidRPr="00CB5B19">
        <w:rPr>
          <w:rFonts w:asciiTheme="majorHAnsi" w:hAnsiTheme="majorHAnsi" w:cstheme="majorHAnsi"/>
          <w:sz w:val="24"/>
          <w:szCs w:val="24"/>
          <w:lang w:val="ru-MD"/>
        </w:rPr>
        <w:t xml:space="preserve"> </w:t>
      </w:r>
    </w:p>
    <w:p w14:paraId="4D1C50E9" w14:textId="5E1CBE07" w:rsidR="00790AFF" w:rsidRPr="004B26ED" w:rsidRDefault="00336C93" w:rsidP="00A73FD1">
      <w:pPr>
        <w:spacing w:line="276" w:lineRule="auto"/>
        <w:jc w:val="both"/>
        <w:rPr>
          <w:rFonts w:asciiTheme="majorHAnsi" w:hAnsiTheme="majorHAnsi" w:cstheme="majorHAnsi"/>
          <w:sz w:val="24"/>
          <w:szCs w:val="24"/>
          <w:lang w:val="ru-MD"/>
        </w:rPr>
      </w:pPr>
      <w:r w:rsidRPr="004B26ED">
        <w:rPr>
          <w:rFonts w:asciiTheme="majorHAnsi" w:hAnsiTheme="majorHAnsi" w:cstheme="majorHAnsi"/>
          <w:sz w:val="24"/>
          <w:szCs w:val="24"/>
          <w:lang w:val="ru-MD"/>
        </w:rPr>
        <w:t xml:space="preserve">Демографический аспект оказывает огромное давление на пенсионную систему Республики Молдова, исходя из того, что система социального страхования основана на принципе </w:t>
      </w:r>
      <w:r w:rsidR="00CB5B19" w:rsidRPr="004B26ED">
        <w:rPr>
          <w:rFonts w:asciiTheme="majorHAnsi" w:hAnsiTheme="majorHAnsi" w:cstheme="majorHAnsi"/>
          <w:sz w:val="24"/>
          <w:szCs w:val="24"/>
          <w:lang w:val="ru-MD"/>
        </w:rPr>
        <w:t>социальной солидарности поколений и людей, представляющих одно поколение</w:t>
      </w:r>
      <w:r w:rsidRPr="004B26ED">
        <w:rPr>
          <w:rFonts w:asciiTheme="majorHAnsi" w:hAnsiTheme="majorHAnsi" w:cstheme="majorHAnsi"/>
          <w:sz w:val="24"/>
          <w:szCs w:val="24"/>
          <w:lang w:val="ru-MD"/>
        </w:rPr>
        <w:t>. Уровень старения в 2015 году составил 18,1%, в 2020 году – 21,7%, а в 2022 году – 22,8%</w:t>
      </w:r>
      <w:r w:rsidR="004B26ED" w:rsidRPr="004B26ED">
        <w:rPr>
          <w:rStyle w:val="a5"/>
          <w:rFonts w:asciiTheme="majorHAnsi" w:hAnsiTheme="majorHAnsi" w:cstheme="majorHAnsi"/>
          <w:sz w:val="24"/>
          <w:szCs w:val="24"/>
          <w:lang w:val="ru-MD"/>
        </w:rPr>
        <w:footnoteReference w:id="28"/>
      </w:r>
      <w:r w:rsidRPr="004B26ED">
        <w:rPr>
          <w:rFonts w:asciiTheme="majorHAnsi" w:hAnsiTheme="majorHAnsi" w:cstheme="majorHAnsi"/>
          <w:sz w:val="24"/>
          <w:szCs w:val="24"/>
          <w:lang w:val="ru-MD"/>
        </w:rPr>
        <w:t xml:space="preserve">. Активное старение населения Республики Молдова происходит по нескольким причинам: с одной стороны, продолжительность жизни людей увеличивается, и это также приводит к увеличению числа пожилых людей; с другой стороны, рождаемость снижается. Таким образом, </w:t>
      </w:r>
      <w:r w:rsidR="004B26ED" w:rsidRPr="004B26ED">
        <w:rPr>
          <w:rFonts w:asciiTheme="majorHAnsi" w:hAnsiTheme="majorHAnsi" w:cstheme="majorHAnsi"/>
          <w:sz w:val="24"/>
          <w:szCs w:val="24"/>
          <w:lang w:val="ru-MD"/>
        </w:rPr>
        <w:t>отмечается</w:t>
      </w:r>
      <w:r w:rsidRPr="004B26ED">
        <w:rPr>
          <w:rFonts w:asciiTheme="majorHAnsi" w:hAnsiTheme="majorHAnsi" w:cstheme="majorHAnsi"/>
          <w:sz w:val="24"/>
          <w:szCs w:val="24"/>
          <w:lang w:val="ru-MD"/>
        </w:rPr>
        <w:t xml:space="preserve">, что в настоящее время </w:t>
      </w:r>
      <w:r w:rsidR="004B26ED" w:rsidRPr="004B26ED">
        <w:rPr>
          <w:rFonts w:asciiTheme="majorHAnsi" w:hAnsiTheme="majorHAnsi" w:cstheme="majorHAnsi"/>
          <w:sz w:val="24"/>
          <w:szCs w:val="24"/>
          <w:lang w:val="ru-MD"/>
        </w:rPr>
        <w:t xml:space="preserve">один </w:t>
      </w:r>
      <w:r w:rsidRPr="004B26ED">
        <w:rPr>
          <w:rFonts w:asciiTheme="majorHAnsi" w:hAnsiTheme="majorHAnsi" w:cstheme="majorHAnsi"/>
          <w:sz w:val="24"/>
          <w:szCs w:val="24"/>
          <w:lang w:val="ru-MD"/>
        </w:rPr>
        <w:t xml:space="preserve">плательщик </w:t>
      </w:r>
      <w:r w:rsidR="004B26ED" w:rsidRPr="004B26ED">
        <w:rPr>
          <w:rFonts w:asciiTheme="majorHAnsi" w:hAnsiTheme="majorHAnsi" w:cstheme="majorHAnsi"/>
          <w:sz w:val="24"/>
          <w:szCs w:val="24"/>
          <w:lang w:val="ru-MD"/>
        </w:rPr>
        <w:t xml:space="preserve">взносов из </w:t>
      </w:r>
      <w:r w:rsidRPr="004B26ED">
        <w:rPr>
          <w:rFonts w:asciiTheme="majorHAnsi" w:hAnsiTheme="majorHAnsi" w:cstheme="majorHAnsi"/>
          <w:sz w:val="24"/>
          <w:szCs w:val="24"/>
          <w:lang w:val="ru-MD"/>
        </w:rPr>
        <w:t xml:space="preserve">реального сектора поддерживает </w:t>
      </w:r>
      <w:r w:rsidR="004B26ED" w:rsidRPr="004B26ED">
        <w:rPr>
          <w:rFonts w:asciiTheme="majorHAnsi" w:hAnsiTheme="majorHAnsi" w:cstheme="majorHAnsi"/>
          <w:sz w:val="24"/>
          <w:szCs w:val="24"/>
          <w:lang w:val="ru-MD"/>
        </w:rPr>
        <w:t xml:space="preserve">одного получателя </w:t>
      </w:r>
      <w:r w:rsidRPr="004B26ED">
        <w:rPr>
          <w:rFonts w:asciiTheme="majorHAnsi" w:hAnsiTheme="majorHAnsi" w:cstheme="majorHAnsi"/>
          <w:sz w:val="24"/>
          <w:szCs w:val="24"/>
          <w:lang w:val="ru-MD"/>
        </w:rPr>
        <w:t>пенси</w:t>
      </w:r>
      <w:r w:rsidR="004B26ED" w:rsidRPr="004B26ED">
        <w:rPr>
          <w:rFonts w:asciiTheme="majorHAnsi" w:hAnsiTheme="majorHAnsi" w:cstheme="majorHAnsi"/>
          <w:sz w:val="24"/>
          <w:szCs w:val="24"/>
          <w:lang w:val="ru-MD"/>
        </w:rPr>
        <w:t>и</w:t>
      </w:r>
      <w:r w:rsidRPr="004B26ED">
        <w:rPr>
          <w:rFonts w:asciiTheme="majorHAnsi" w:hAnsiTheme="majorHAnsi" w:cstheme="majorHAnsi"/>
          <w:sz w:val="24"/>
          <w:szCs w:val="24"/>
          <w:lang w:val="ru-MD"/>
        </w:rPr>
        <w:t xml:space="preserve"> по старости с соотношением 1:1,05. Но, помимо пенсионеров по старости, есть и другие группы пенсионеров (Приложение №2 к настоящему </w:t>
      </w:r>
      <w:r w:rsidR="0097451F">
        <w:rPr>
          <w:rFonts w:asciiTheme="majorHAnsi" w:hAnsiTheme="majorHAnsi" w:cstheme="majorHAnsi"/>
          <w:sz w:val="24"/>
          <w:szCs w:val="24"/>
          <w:lang w:val="ru-MD"/>
        </w:rPr>
        <w:t>Отчету аудита</w:t>
      </w:r>
      <w:r w:rsidRPr="004B26ED">
        <w:rPr>
          <w:rFonts w:asciiTheme="majorHAnsi" w:hAnsiTheme="majorHAnsi" w:cstheme="majorHAnsi"/>
          <w:sz w:val="24"/>
          <w:szCs w:val="24"/>
          <w:lang w:val="ru-MD"/>
        </w:rPr>
        <w:t>). При этом</w:t>
      </w:r>
      <w:r w:rsidR="004B26ED" w:rsidRPr="004B26ED">
        <w:rPr>
          <w:rFonts w:asciiTheme="majorHAnsi" w:hAnsiTheme="majorHAnsi" w:cstheme="majorHAnsi"/>
          <w:sz w:val="24"/>
          <w:szCs w:val="24"/>
          <w:lang w:val="ru-MD"/>
        </w:rPr>
        <w:t>,</w:t>
      </w:r>
      <w:r w:rsidRPr="004B26ED">
        <w:rPr>
          <w:rFonts w:asciiTheme="majorHAnsi" w:hAnsiTheme="majorHAnsi" w:cstheme="majorHAnsi"/>
          <w:sz w:val="24"/>
          <w:szCs w:val="24"/>
          <w:lang w:val="ru-MD"/>
        </w:rPr>
        <w:t xml:space="preserve"> из 526,0 тыс. пенсионеров по старости</w:t>
      </w:r>
      <w:r w:rsidR="004B26ED" w:rsidRPr="004B26ED">
        <w:rPr>
          <w:rFonts w:asciiTheme="majorHAnsi" w:hAnsiTheme="majorHAnsi" w:cstheme="majorHAnsi"/>
          <w:sz w:val="24"/>
          <w:szCs w:val="24"/>
          <w:lang w:val="ru-MD"/>
        </w:rPr>
        <w:t>,</w:t>
      </w:r>
      <w:r w:rsidRPr="004B26ED">
        <w:rPr>
          <w:rFonts w:asciiTheme="majorHAnsi" w:hAnsiTheme="majorHAnsi" w:cstheme="majorHAnsi"/>
          <w:sz w:val="24"/>
          <w:szCs w:val="24"/>
          <w:lang w:val="ru-MD"/>
        </w:rPr>
        <w:t xml:space="preserve"> 123,7 тыс. человек</w:t>
      </w:r>
      <w:r w:rsidR="004B26ED" w:rsidRPr="004B26ED">
        <w:rPr>
          <w:rFonts w:asciiTheme="majorHAnsi" w:hAnsiTheme="majorHAnsi" w:cstheme="majorHAnsi"/>
          <w:sz w:val="24"/>
          <w:szCs w:val="24"/>
          <w:lang w:val="ru-MD"/>
        </w:rPr>
        <w:t xml:space="preserve"> продолжают работать</w:t>
      </w:r>
      <w:r w:rsidRPr="004B26ED">
        <w:rPr>
          <w:rFonts w:asciiTheme="majorHAnsi" w:hAnsiTheme="majorHAnsi" w:cstheme="majorHAnsi"/>
          <w:sz w:val="24"/>
          <w:szCs w:val="24"/>
          <w:lang w:val="ru-MD"/>
        </w:rPr>
        <w:t xml:space="preserve">, что свидетельствует о том, что они являются </w:t>
      </w:r>
      <w:r w:rsidR="004B26ED" w:rsidRPr="004B26ED">
        <w:rPr>
          <w:rFonts w:asciiTheme="majorHAnsi" w:hAnsiTheme="majorHAnsi" w:cstheme="majorHAnsi"/>
          <w:sz w:val="24"/>
          <w:szCs w:val="24"/>
          <w:lang w:val="ru-MD"/>
        </w:rPr>
        <w:t xml:space="preserve">и </w:t>
      </w:r>
      <w:r w:rsidRPr="004B26ED">
        <w:rPr>
          <w:rFonts w:asciiTheme="majorHAnsi" w:hAnsiTheme="majorHAnsi" w:cstheme="majorHAnsi"/>
          <w:sz w:val="24"/>
          <w:szCs w:val="24"/>
          <w:lang w:val="ru-MD"/>
        </w:rPr>
        <w:t xml:space="preserve">плательщиками, </w:t>
      </w:r>
      <w:r w:rsidR="004B26ED" w:rsidRPr="004B26ED">
        <w:rPr>
          <w:rFonts w:asciiTheme="majorHAnsi" w:hAnsiTheme="majorHAnsi" w:cstheme="majorHAnsi"/>
          <w:sz w:val="24"/>
          <w:szCs w:val="24"/>
          <w:lang w:val="ru-MD"/>
        </w:rPr>
        <w:t>и</w:t>
      </w:r>
      <w:r w:rsidRPr="004B26ED">
        <w:rPr>
          <w:rFonts w:asciiTheme="majorHAnsi" w:hAnsiTheme="majorHAnsi" w:cstheme="majorHAnsi"/>
          <w:sz w:val="24"/>
          <w:szCs w:val="24"/>
          <w:lang w:val="ru-MD"/>
        </w:rPr>
        <w:t xml:space="preserve"> бенефициар</w:t>
      </w:r>
      <w:r w:rsidR="004B26ED" w:rsidRPr="004B26ED">
        <w:rPr>
          <w:rFonts w:asciiTheme="majorHAnsi" w:hAnsiTheme="majorHAnsi" w:cstheme="majorHAnsi"/>
          <w:sz w:val="24"/>
          <w:szCs w:val="24"/>
          <w:lang w:val="ru-MD"/>
        </w:rPr>
        <w:t>ами, и</w:t>
      </w:r>
      <w:r w:rsidRPr="004B26ED">
        <w:rPr>
          <w:rFonts w:asciiTheme="majorHAnsi" w:hAnsiTheme="majorHAnsi" w:cstheme="majorHAnsi"/>
          <w:sz w:val="24"/>
          <w:szCs w:val="24"/>
          <w:lang w:val="ru-MD"/>
        </w:rPr>
        <w:t xml:space="preserve"> практически сами обеспечивают себе </w:t>
      </w:r>
      <w:r w:rsidR="004B26ED" w:rsidRPr="004B26ED">
        <w:rPr>
          <w:rFonts w:asciiTheme="majorHAnsi" w:hAnsiTheme="majorHAnsi" w:cstheme="majorHAnsi"/>
          <w:sz w:val="24"/>
          <w:szCs w:val="24"/>
          <w:lang w:val="ru-MD"/>
        </w:rPr>
        <w:t>пенсию</w:t>
      </w:r>
      <w:r w:rsidRPr="004B26ED">
        <w:rPr>
          <w:rFonts w:asciiTheme="majorHAnsi" w:hAnsiTheme="majorHAnsi" w:cstheme="majorHAnsi"/>
          <w:sz w:val="24"/>
          <w:szCs w:val="24"/>
          <w:lang w:val="ru-MD"/>
        </w:rPr>
        <w:t xml:space="preserve">. Таким образом, давление на </w:t>
      </w:r>
      <w:r w:rsidR="004B26ED" w:rsidRPr="004B26ED">
        <w:rPr>
          <w:rFonts w:asciiTheme="majorHAnsi" w:hAnsiTheme="majorHAnsi" w:cstheme="majorHAnsi"/>
          <w:sz w:val="24"/>
          <w:szCs w:val="24"/>
          <w:lang w:val="ru-MD"/>
        </w:rPr>
        <w:t>работ</w:t>
      </w:r>
      <w:r w:rsidRPr="004B26ED">
        <w:rPr>
          <w:rFonts w:asciiTheme="majorHAnsi" w:hAnsiTheme="majorHAnsi" w:cstheme="majorHAnsi"/>
          <w:sz w:val="24"/>
          <w:szCs w:val="24"/>
          <w:lang w:val="ru-MD"/>
        </w:rPr>
        <w:t xml:space="preserve">ников реального сектора экономики еще больше. </w:t>
      </w:r>
      <w:r w:rsidR="004B26ED" w:rsidRPr="004B26ED">
        <w:rPr>
          <w:rFonts w:asciiTheme="majorHAnsi" w:hAnsiTheme="majorHAnsi" w:cstheme="majorHAnsi"/>
          <w:sz w:val="24"/>
          <w:szCs w:val="24"/>
          <w:lang w:val="ru-MD"/>
        </w:rPr>
        <w:t>Соответственно</w:t>
      </w:r>
      <w:r w:rsidRPr="004B26ED">
        <w:rPr>
          <w:rFonts w:asciiTheme="majorHAnsi" w:hAnsiTheme="majorHAnsi" w:cstheme="majorHAnsi"/>
          <w:sz w:val="24"/>
          <w:szCs w:val="24"/>
          <w:lang w:val="ru-MD"/>
        </w:rPr>
        <w:t xml:space="preserve">, ежегодно увеличивается дефицит и давление на бюджет государственного социального страхования, </w:t>
      </w:r>
      <w:r w:rsidR="004B26ED" w:rsidRPr="004B26ED">
        <w:rPr>
          <w:rFonts w:asciiTheme="majorHAnsi" w:hAnsiTheme="majorHAnsi" w:cstheme="majorHAnsi"/>
          <w:sz w:val="24"/>
          <w:szCs w:val="24"/>
          <w:lang w:val="ru-MD"/>
        </w:rPr>
        <w:t>а</w:t>
      </w:r>
      <w:r w:rsidRPr="004B26ED">
        <w:rPr>
          <w:rFonts w:asciiTheme="majorHAnsi" w:hAnsiTheme="majorHAnsi" w:cstheme="majorHAnsi"/>
          <w:sz w:val="24"/>
          <w:szCs w:val="24"/>
          <w:lang w:val="ru-MD"/>
        </w:rPr>
        <w:t xml:space="preserve"> система поддерживается на </w:t>
      </w:r>
      <w:r w:rsidR="004B26ED" w:rsidRPr="004B26ED">
        <w:rPr>
          <w:rFonts w:asciiTheme="majorHAnsi" w:hAnsiTheme="majorHAnsi" w:cstheme="majorHAnsi"/>
          <w:sz w:val="24"/>
          <w:szCs w:val="24"/>
          <w:lang w:val="ru-MD"/>
        </w:rPr>
        <w:t>базе</w:t>
      </w:r>
      <w:r w:rsidRPr="004B26ED">
        <w:rPr>
          <w:rFonts w:asciiTheme="majorHAnsi" w:hAnsiTheme="majorHAnsi" w:cstheme="majorHAnsi"/>
          <w:sz w:val="24"/>
          <w:szCs w:val="24"/>
          <w:lang w:val="ru-MD"/>
        </w:rPr>
        <w:t xml:space="preserve"> </w:t>
      </w:r>
      <w:r w:rsidR="004B26ED" w:rsidRPr="004B26ED">
        <w:rPr>
          <w:rFonts w:asciiTheme="majorHAnsi" w:hAnsiTheme="majorHAnsi" w:cstheme="majorHAnsi"/>
          <w:sz w:val="24"/>
          <w:szCs w:val="24"/>
          <w:lang w:val="ru-MD"/>
        </w:rPr>
        <w:t>трансферт</w:t>
      </w:r>
      <w:r w:rsidRPr="004B26ED">
        <w:rPr>
          <w:rFonts w:asciiTheme="majorHAnsi" w:hAnsiTheme="majorHAnsi" w:cstheme="majorHAnsi"/>
          <w:sz w:val="24"/>
          <w:szCs w:val="24"/>
          <w:lang w:val="ru-MD"/>
        </w:rPr>
        <w:t xml:space="preserve">ов из государственного бюджета (см. </w:t>
      </w:r>
      <w:r w:rsidR="004B26ED" w:rsidRPr="004B26ED">
        <w:rPr>
          <w:rFonts w:asciiTheme="majorHAnsi" w:hAnsiTheme="majorHAnsi" w:cstheme="majorHAnsi"/>
          <w:sz w:val="24"/>
          <w:szCs w:val="24"/>
          <w:lang w:val="ru-MD"/>
        </w:rPr>
        <w:t>констатацию</w:t>
      </w:r>
      <w:r w:rsidRPr="004B26ED">
        <w:rPr>
          <w:rFonts w:asciiTheme="majorHAnsi" w:hAnsiTheme="majorHAnsi" w:cstheme="majorHAnsi"/>
          <w:sz w:val="24"/>
          <w:szCs w:val="24"/>
          <w:lang w:val="ru-MD"/>
        </w:rPr>
        <w:t xml:space="preserve"> 5.4)</w:t>
      </w:r>
      <w:r w:rsidR="0013307C" w:rsidRPr="004B26ED">
        <w:rPr>
          <w:rFonts w:asciiTheme="majorHAnsi" w:hAnsiTheme="majorHAnsi" w:cstheme="majorHAnsi"/>
          <w:sz w:val="24"/>
          <w:szCs w:val="24"/>
          <w:lang w:val="ru-MD"/>
        </w:rPr>
        <w:t>.</w:t>
      </w:r>
    </w:p>
    <w:p w14:paraId="3A830BB3" w14:textId="10CE0C5A" w:rsidR="00902A0E" w:rsidRPr="000B7F8F" w:rsidRDefault="000B7F8F" w:rsidP="00902A0E">
      <w:pPr>
        <w:spacing w:after="0" w:line="276" w:lineRule="auto"/>
        <w:jc w:val="both"/>
        <w:rPr>
          <w:rFonts w:asciiTheme="majorHAnsi" w:hAnsiTheme="majorHAnsi" w:cstheme="majorHAnsi"/>
          <w:sz w:val="24"/>
          <w:szCs w:val="24"/>
          <w:lang w:val="ru-MD"/>
        </w:rPr>
      </w:pPr>
      <w:r w:rsidRPr="000B7F8F">
        <w:rPr>
          <w:rFonts w:asciiTheme="majorHAnsi" w:hAnsiTheme="majorHAnsi" w:cstheme="majorHAnsi"/>
          <w:sz w:val="24"/>
          <w:szCs w:val="24"/>
          <w:lang w:val="ru-MD"/>
        </w:rPr>
        <w:t>В итоге</w:t>
      </w:r>
      <w:r w:rsidR="00336C93" w:rsidRPr="000B7F8F">
        <w:rPr>
          <w:rFonts w:asciiTheme="majorHAnsi" w:hAnsiTheme="majorHAnsi" w:cstheme="majorHAnsi"/>
          <w:sz w:val="24"/>
          <w:szCs w:val="24"/>
          <w:lang w:val="ru-MD"/>
        </w:rPr>
        <w:t xml:space="preserve">, аудит отмечает, что, согласно оценочным данным аудита, население </w:t>
      </w:r>
      <w:r w:rsidR="004B26ED" w:rsidRPr="000B7F8F">
        <w:rPr>
          <w:rFonts w:asciiTheme="majorHAnsi" w:hAnsiTheme="majorHAnsi" w:cstheme="majorHAnsi"/>
          <w:sz w:val="24"/>
          <w:szCs w:val="24"/>
          <w:lang w:val="ru-MD"/>
        </w:rPr>
        <w:t>без</w:t>
      </w:r>
      <w:r w:rsidR="00336C93" w:rsidRPr="000B7F8F">
        <w:rPr>
          <w:rFonts w:asciiTheme="majorHAnsi" w:hAnsiTheme="majorHAnsi" w:cstheme="majorHAnsi"/>
          <w:sz w:val="24"/>
          <w:szCs w:val="24"/>
          <w:lang w:val="ru-MD"/>
        </w:rPr>
        <w:t xml:space="preserve"> рабочей силы составляет около 498 821 тысячи человек. Таким образом, несмотря на то, что существует потенциал для увеличения числа плательщиков </w:t>
      </w:r>
      <w:r w:rsidRPr="000B7F8F">
        <w:rPr>
          <w:rFonts w:asciiTheme="majorHAnsi" w:hAnsiTheme="majorHAnsi" w:cstheme="majorHAnsi"/>
          <w:sz w:val="24"/>
          <w:szCs w:val="24"/>
          <w:lang w:val="ru-MD"/>
        </w:rPr>
        <w:t>взносов в БГСС</w:t>
      </w:r>
      <w:r w:rsidR="00336C93" w:rsidRPr="000B7F8F">
        <w:rPr>
          <w:rFonts w:asciiTheme="majorHAnsi" w:hAnsiTheme="majorHAnsi" w:cstheme="majorHAnsi"/>
          <w:sz w:val="24"/>
          <w:szCs w:val="24"/>
          <w:lang w:val="ru-MD"/>
        </w:rPr>
        <w:t>, резерв сохраняется из-за наличия черной работы, заработной платы в конвертах, непривлекательной заработной платы и т. д. В этих условиях система социального страхования рискует со временем перестать быть устойчивой</w:t>
      </w:r>
      <w:r w:rsidR="000C1462" w:rsidRPr="000B7F8F">
        <w:rPr>
          <w:rFonts w:asciiTheme="majorHAnsi" w:hAnsiTheme="majorHAnsi" w:cstheme="majorHAnsi"/>
          <w:sz w:val="24"/>
          <w:szCs w:val="24"/>
          <w:lang w:val="ru-MD"/>
        </w:rPr>
        <w:t>.</w:t>
      </w:r>
    </w:p>
    <w:p w14:paraId="36E06FB6" w14:textId="3CCDA982" w:rsidR="0013307C" w:rsidRPr="000B7F8F" w:rsidRDefault="00336C93" w:rsidP="00902A0E">
      <w:pPr>
        <w:spacing w:after="0" w:line="276" w:lineRule="auto"/>
        <w:jc w:val="right"/>
        <w:rPr>
          <w:rFonts w:asciiTheme="majorHAnsi" w:hAnsiTheme="majorHAnsi" w:cstheme="majorHAnsi"/>
          <w:b/>
          <w:sz w:val="24"/>
          <w:szCs w:val="24"/>
          <w:lang w:val="ru-MD"/>
        </w:rPr>
      </w:pPr>
      <w:r w:rsidRPr="000B7F8F">
        <w:rPr>
          <w:rFonts w:asciiTheme="majorHAnsi" w:hAnsiTheme="majorHAnsi" w:cstheme="majorHAnsi"/>
          <w:b/>
          <w:sz w:val="24"/>
          <w:szCs w:val="24"/>
          <w:lang w:val="ru-MD"/>
        </w:rPr>
        <w:t>Таблица №</w:t>
      </w:r>
      <w:r w:rsidR="008D1DF2" w:rsidRPr="000B7F8F">
        <w:rPr>
          <w:rFonts w:asciiTheme="majorHAnsi" w:hAnsiTheme="majorHAnsi" w:cstheme="majorHAnsi"/>
          <w:b/>
          <w:sz w:val="24"/>
          <w:szCs w:val="24"/>
          <w:lang w:val="ru-MD"/>
        </w:rPr>
        <w:t>7</w:t>
      </w:r>
    </w:p>
    <w:p w14:paraId="0F649003" w14:textId="1C477D58" w:rsidR="000C416F" w:rsidRPr="000B7F8F" w:rsidRDefault="00336C93" w:rsidP="00902A0E">
      <w:pPr>
        <w:spacing w:after="0" w:line="276" w:lineRule="auto"/>
        <w:jc w:val="center"/>
        <w:rPr>
          <w:rFonts w:asciiTheme="majorHAnsi" w:hAnsiTheme="majorHAnsi" w:cstheme="majorHAnsi"/>
          <w:b/>
          <w:sz w:val="24"/>
          <w:szCs w:val="24"/>
          <w:lang w:val="ru-MD"/>
        </w:rPr>
      </w:pPr>
      <w:r w:rsidRPr="000B7F8F">
        <w:rPr>
          <w:rFonts w:asciiTheme="majorHAnsi" w:hAnsiTheme="majorHAnsi" w:cstheme="majorHAnsi"/>
          <w:b/>
          <w:sz w:val="24"/>
          <w:szCs w:val="24"/>
          <w:lang w:val="ru-MD"/>
        </w:rPr>
        <w:t xml:space="preserve">Оценки численности </w:t>
      </w:r>
      <w:r w:rsidR="00346A3E" w:rsidRPr="000B7F8F">
        <w:rPr>
          <w:rFonts w:asciiTheme="majorHAnsi" w:hAnsiTheme="majorHAnsi" w:cstheme="majorHAnsi"/>
          <w:b/>
          <w:sz w:val="24"/>
          <w:szCs w:val="24"/>
          <w:lang w:val="ru-MD"/>
        </w:rPr>
        <w:t>не</w:t>
      </w:r>
      <w:r w:rsidRPr="000B7F8F">
        <w:rPr>
          <w:rFonts w:asciiTheme="majorHAnsi" w:hAnsiTheme="majorHAnsi" w:cstheme="majorHAnsi"/>
          <w:b/>
          <w:sz w:val="24"/>
          <w:szCs w:val="24"/>
          <w:lang w:val="ru-MD"/>
        </w:rPr>
        <w:t>работ</w:t>
      </w:r>
      <w:r w:rsidR="00346A3E" w:rsidRPr="000B7F8F">
        <w:rPr>
          <w:rFonts w:asciiTheme="majorHAnsi" w:hAnsiTheme="majorHAnsi" w:cstheme="majorHAnsi"/>
          <w:b/>
          <w:sz w:val="24"/>
          <w:szCs w:val="24"/>
          <w:lang w:val="ru-MD"/>
        </w:rPr>
        <w:t>ающе</w:t>
      </w:r>
      <w:r w:rsidRPr="000B7F8F">
        <w:rPr>
          <w:rFonts w:asciiTheme="majorHAnsi" w:hAnsiTheme="majorHAnsi" w:cstheme="majorHAnsi"/>
          <w:b/>
          <w:sz w:val="24"/>
          <w:szCs w:val="24"/>
          <w:lang w:val="ru-MD"/>
        </w:rPr>
        <w:t>го населения</w:t>
      </w:r>
      <w:r w:rsidR="00346A3E" w:rsidRPr="000B7F8F">
        <w:rPr>
          <w:rFonts w:asciiTheme="majorHAnsi" w:hAnsiTheme="majorHAnsi" w:cstheme="majorHAnsi"/>
          <w:b/>
          <w:sz w:val="24"/>
          <w:szCs w:val="24"/>
          <w:lang w:val="ru-MD"/>
        </w:rPr>
        <w:t xml:space="preserve"> </w:t>
      </w:r>
    </w:p>
    <w:tbl>
      <w:tblPr>
        <w:tblStyle w:val="af1"/>
        <w:tblW w:w="0" w:type="auto"/>
        <w:tblLook w:val="04A0" w:firstRow="1" w:lastRow="0" w:firstColumn="1" w:lastColumn="0" w:noHBand="0" w:noVBand="1"/>
      </w:tblPr>
      <w:tblGrid>
        <w:gridCol w:w="7024"/>
        <w:gridCol w:w="2545"/>
      </w:tblGrid>
      <w:tr w:rsidR="00346A3E" w:rsidRPr="000B7F8F" w14:paraId="0BB8D3C1" w14:textId="77777777" w:rsidTr="00D30FC7">
        <w:trPr>
          <w:trHeight w:val="20"/>
        </w:trPr>
        <w:tc>
          <w:tcPr>
            <w:tcW w:w="7024" w:type="dxa"/>
          </w:tcPr>
          <w:p w14:paraId="7D5F852C" w14:textId="5DD800E1" w:rsidR="00346A3E" w:rsidRPr="000B7F8F" w:rsidRDefault="00346A3E" w:rsidP="00346A3E">
            <w:pPr>
              <w:jc w:val="both"/>
              <w:rPr>
                <w:rFonts w:asciiTheme="majorHAnsi" w:hAnsiTheme="majorHAnsi" w:cstheme="majorHAnsi"/>
                <w:b/>
                <w:szCs w:val="24"/>
                <w:lang w:val="ru-MD"/>
              </w:rPr>
            </w:pPr>
            <w:r w:rsidRPr="000B7F8F">
              <w:rPr>
                <w:rFonts w:asciiTheme="majorHAnsi" w:hAnsiTheme="majorHAnsi" w:cstheme="majorHAnsi"/>
                <w:b/>
                <w:lang w:val="ru-MD"/>
              </w:rPr>
              <w:t>Общая численность населения</w:t>
            </w:r>
          </w:p>
        </w:tc>
        <w:tc>
          <w:tcPr>
            <w:tcW w:w="2545" w:type="dxa"/>
          </w:tcPr>
          <w:p w14:paraId="5484F506" w14:textId="77777777" w:rsidR="00346A3E" w:rsidRPr="000B7F8F" w:rsidRDefault="00346A3E" w:rsidP="00346A3E">
            <w:pPr>
              <w:jc w:val="right"/>
              <w:rPr>
                <w:rFonts w:asciiTheme="majorHAnsi" w:hAnsiTheme="majorHAnsi" w:cstheme="majorHAnsi"/>
                <w:b/>
                <w:szCs w:val="24"/>
                <w:lang w:val="ru-MD"/>
              </w:rPr>
            </w:pPr>
            <w:r w:rsidRPr="000B7F8F">
              <w:rPr>
                <w:rFonts w:asciiTheme="majorHAnsi" w:hAnsiTheme="majorHAnsi" w:cstheme="majorHAnsi"/>
                <w:b/>
                <w:szCs w:val="24"/>
                <w:lang w:val="ru-MD"/>
              </w:rPr>
              <w:t>2 603 813</w:t>
            </w:r>
          </w:p>
        </w:tc>
      </w:tr>
      <w:tr w:rsidR="00346A3E" w:rsidRPr="000B7F8F" w14:paraId="733A3B63" w14:textId="77777777" w:rsidTr="00D30FC7">
        <w:trPr>
          <w:trHeight w:val="20"/>
        </w:trPr>
        <w:tc>
          <w:tcPr>
            <w:tcW w:w="7024" w:type="dxa"/>
          </w:tcPr>
          <w:p w14:paraId="4CA04E28" w14:textId="35E0A782" w:rsidR="00346A3E" w:rsidRPr="000B7F8F" w:rsidRDefault="00346A3E" w:rsidP="00346A3E">
            <w:pPr>
              <w:jc w:val="both"/>
              <w:rPr>
                <w:rFonts w:asciiTheme="majorHAnsi" w:hAnsiTheme="majorHAnsi" w:cstheme="majorHAnsi"/>
                <w:b/>
                <w:szCs w:val="24"/>
                <w:lang w:val="ru-MD"/>
              </w:rPr>
            </w:pPr>
            <w:r w:rsidRPr="000B7F8F">
              <w:rPr>
                <w:rFonts w:asciiTheme="majorHAnsi" w:hAnsiTheme="majorHAnsi" w:cstheme="majorHAnsi"/>
                <w:b/>
                <w:lang w:val="ru-MD"/>
              </w:rPr>
              <w:t>Занятое население, в том числе:</w:t>
            </w:r>
          </w:p>
        </w:tc>
        <w:tc>
          <w:tcPr>
            <w:tcW w:w="2545" w:type="dxa"/>
          </w:tcPr>
          <w:p w14:paraId="3CE33377" w14:textId="77777777" w:rsidR="00346A3E" w:rsidRPr="000B7F8F" w:rsidRDefault="00346A3E" w:rsidP="00346A3E">
            <w:pPr>
              <w:jc w:val="right"/>
              <w:rPr>
                <w:rFonts w:asciiTheme="majorHAnsi" w:hAnsiTheme="majorHAnsi" w:cstheme="majorHAnsi"/>
                <w:b/>
                <w:szCs w:val="24"/>
                <w:lang w:val="ru-MD"/>
              </w:rPr>
            </w:pPr>
            <w:r w:rsidRPr="000B7F8F">
              <w:rPr>
                <w:rFonts w:asciiTheme="majorHAnsi" w:hAnsiTheme="majorHAnsi" w:cstheme="majorHAnsi"/>
                <w:b/>
                <w:szCs w:val="24"/>
                <w:lang w:val="ru-MD"/>
              </w:rPr>
              <w:t>804 928</w:t>
            </w:r>
          </w:p>
        </w:tc>
      </w:tr>
      <w:tr w:rsidR="000C1462" w:rsidRPr="000B7F8F" w14:paraId="63917838" w14:textId="77777777" w:rsidTr="00D30FC7">
        <w:trPr>
          <w:trHeight w:val="20"/>
        </w:trPr>
        <w:tc>
          <w:tcPr>
            <w:tcW w:w="7024" w:type="dxa"/>
          </w:tcPr>
          <w:p w14:paraId="1C053908" w14:textId="656BB241" w:rsidR="000C1462" w:rsidRPr="000B7F8F" w:rsidRDefault="00346A3E" w:rsidP="00346A3E">
            <w:pPr>
              <w:pStyle w:val="aa"/>
              <w:numPr>
                <w:ilvl w:val="0"/>
                <w:numId w:val="36"/>
              </w:numPr>
              <w:jc w:val="both"/>
              <w:rPr>
                <w:rFonts w:asciiTheme="majorHAnsi" w:hAnsiTheme="majorHAnsi" w:cstheme="majorHAnsi"/>
                <w:szCs w:val="24"/>
                <w:lang w:val="ru-MD"/>
              </w:rPr>
            </w:pPr>
            <w:r w:rsidRPr="000B7F8F">
              <w:rPr>
                <w:rFonts w:asciiTheme="majorHAnsi" w:hAnsiTheme="majorHAnsi" w:cstheme="majorHAnsi"/>
                <w:szCs w:val="24"/>
                <w:lang w:val="ru-MD"/>
              </w:rPr>
              <w:t>Получатели пособий</w:t>
            </w:r>
          </w:p>
        </w:tc>
        <w:tc>
          <w:tcPr>
            <w:tcW w:w="2545" w:type="dxa"/>
          </w:tcPr>
          <w:p w14:paraId="0F69A952" w14:textId="77777777" w:rsidR="000C1462" w:rsidRPr="000B7F8F" w:rsidRDefault="000C1462" w:rsidP="00860800">
            <w:pPr>
              <w:jc w:val="right"/>
              <w:rPr>
                <w:rFonts w:asciiTheme="majorHAnsi" w:hAnsiTheme="majorHAnsi" w:cstheme="majorHAnsi"/>
                <w:szCs w:val="24"/>
                <w:lang w:val="ru-MD"/>
              </w:rPr>
            </w:pPr>
            <w:r w:rsidRPr="000B7F8F">
              <w:rPr>
                <w:rFonts w:asciiTheme="majorHAnsi" w:hAnsiTheme="majorHAnsi" w:cstheme="majorHAnsi"/>
                <w:szCs w:val="24"/>
                <w:lang w:val="ru-MD"/>
              </w:rPr>
              <w:t>180149</w:t>
            </w:r>
          </w:p>
        </w:tc>
      </w:tr>
      <w:tr w:rsidR="000C1462" w:rsidRPr="000B7F8F" w14:paraId="512D1257" w14:textId="77777777" w:rsidTr="00D30FC7">
        <w:trPr>
          <w:trHeight w:val="20"/>
        </w:trPr>
        <w:tc>
          <w:tcPr>
            <w:tcW w:w="7024" w:type="dxa"/>
          </w:tcPr>
          <w:p w14:paraId="5EBDD67B" w14:textId="727F5C05" w:rsidR="000C1462" w:rsidRPr="000B7F8F" w:rsidRDefault="00346A3E" w:rsidP="00346A3E">
            <w:pPr>
              <w:jc w:val="both"/>
              <w:rPr>
                <w:rFonts w:asciiTheme="majorHAnsi" w:hAnsiTheme="majorHAnsi" w:cstheme="majorHAnsi"/>
                <w:b/>
                <w:szCs w:val="24"/>
                <w:lang w:val="ru-MD"/>
              </w:rPr>
            </w:pPr>
            <w:r w:rsidRPr="000B7F8F">
              <w:rPr>
                <w:rFonts w:asciiTheme="majorHAnsi" w:hAnsiTheme="majorHAnsi" w:cstheme="majorHAnsi"/>
                <w:b/>
                <w:szCs w:val="24"/>
                <w:lang w:val="ru-MD"/>
              </w:rPr>
              <w:t>Население без рабочей силы, в том числе</w:t>
            </w:r>
            <w:r w:rsidR="000C1462" w:rsidRPr="000B7F8F">
              <w:rPr>
                <w:rFonts w:asciiTheme="majorHAnsi" w:hAnsiTheme="majorHAnsi" w:cstheme="majorHAnsi"/>
                <w:b/>
                <w:szCs w:val="24"/>
                <w:lang w:val="ru-MD"/>
              </w:rPr>
              <w:t>:</w:t>
            </w:r>
          </w:p>
        </w:tc>
        <w:tc>
          <w:tcPr>
            <w:tcW w:w="2545" w:type="dxa"/>
          </w:tcPr>
          <w:p w14:paraId="33DA1A3B" w14:textId="77777777" w:rsidR="000C1462" w:rsidRPr="000B7F8F" w:rsidRDefault="000C1462" w:rsidP="00860800">
            <w:pPr>
              <w:jc w:val="right"/>
              <w:rPr>
                <w:rFonts w:asciiTheme="majorHAnsi" w:hAnsiTheme="majorHAnsi" w:cstheme="majorHAnsi"/>
                <w:b/>
                <w:szCs w:val="24"/>
                <w:lang w:val="ru-MD"/>
              </w:rPr>
            </w:pPr>
            <w:r w:rsidRPr="000B7F8F">
              <w:rPr>
                <w:rFonts w:asciiTheme="majorHAnsi" w:hAnsiTheme="majorHAnsi" w:cstheme="majorHAnsi"/>
                <w:b/>
                <w:szCs w:val="24"/>
                <w:lang w:val="ru-MD"/>
              </w:rPr>
              <w:t>1 300 064</w:t>
            </w:r>
          </w:p>
        </w:tc>
      </w:tr>
      <w:tr w:rsidR="000C1462" w:rsidRPr="000B7F8F" w14:paraId="20F0CE25" w14:textId="77777777" w:rsidTr="00D30FC7">
        <w:trPr>
          <w:trHeight w:val="20"/>
        </w:trPr>
        <w:tc>
          <w:tcPr>
            <w:tcW w:w="7024" w:type="dxa"/>
          </w:tcPr>
          <w:p w14:paraId="49256354" w14:textId="1F8DB3C8" w:rsidR="000C1462" w:rsidRPr="000B7F8F" w:rsidRDefault="00346A3E" w:rsidP="00346A3E">
            <w:pPr>
              <w:pStyle w:val="aa"/>
              <w:numPr>
                <w:ilvl w:val="0"/>
                <w:numId w:val="36"/>
              </w:numPr>
              <w:jc w:val="both"/>
              <w:rPr>
                <w:rFonts w:asciiTheme="majorHAnsi" w:hAnsiTheme="majorHAnsi" w:cstheme="majorHAnsi"/>
                <w:szCs w:val="24"/>
                <w:lang w:val="ru-MD"/>
              </w:rPr>
            </w:pPr>
            <w:r w:rsidRPr="000B7F8F">
              <w:rPr>
                <w:rFonts w:asciiTheme="majorHAnsi" w:hAnsiTheme="majorHAnsi" w:cstheme="majorHAnsi"/>
                <w:szCs w:val="24"/>
                <w:lang w:val="ru-MD"/>
              </w:rPr>
              <w:t>Дети до 7 лет</w:t>
            </w:r>
          </w:p>
        </w:tc>
        <w:tc>
          <w:tcPr>
            <w:tcW w:w="2545" w:type="dxa"/>
          </w:tcPr>
          <w:p w14:paraId="3A60718C" w14:textId="77777777" w:rsidR="000C1462" w:rsidRPr="000B7F8F" w:rsidRDefault="000C1462" w:rsidP="00860800">
            <w:pPr>
              <w:jc w:val="right"/>
              <w:rPr>
                <w:rFonts w:asciiTheme="majorHAnsi" w:hAnsiTheme="majorHAnsi" w:cstheme="majorHAnsi"/>
                <w:szCs w:val="24"/>
                <w:lang w:val="ru-MD"/>
              </w:rPr>
            </w:pPr>
            <w:r w:rsidRPr="000B7F8F">
              <w:rPr>
                <w:rFonts w:asciiTheme="majorHAnsi" w:hAnsiTheme="majorHAnsi" w:cstheme="majorHAnsi"/>
                <w:szCs w:val="24"/>
                <w:lang w:val="ru-MD"/>
              </w:rPr>
              <w:t>217 852</w:t>
            </w:r>
          </w:p>
        </w:tc>
      </w:tr>
      <w:tr w:rsidR="000C1462" w:rsidRPr="000B7F8F" w14:paraId="38F0B72D" w14:textId="77777777" w:rsidTr="00D30FC7">
        <w:trPr>
          <w:trHeight w:val="20"/>
        </w:trPr>
        <w:tc>
          <w:tcPr>
            <w:tcW w:w="7024" w:type="dxa"/>
          </w:tcPr>
          <w:p w14:paraId="51212374" w14:textId="3C2899F5" w:rsidR="000C1462" w:rsidRPr="000B7F8F" w:rsidRDefault="00346A3E" w:rsidP="00346A3E">
            <w:pPr>
              <w:pStyle w:val="aa"/>
              <w:numPr>
                <w:ilvl w:val="0"/>
                <w:numId w:val="36"/>
              </w:numPr>
              <w:jc w:val="both"/>
              <w:rPr>
                <w:rFonts w:asciiTheme="majorHAnsi" w:hAnsiTheme="majorHAnsi" w:cstheme="majorHAnsi"/>
                <w:szCs w:val="24"/>
                <w:lang w:val="ru-MD"/>
              </w:rPr>
            </w:pPr>
            <w:r w:rsidRPr="000B7F8F">
              <w:rPr>
                <w:rFonts w:asciiTheme="majorHAnsi" w:hAnsiTheme="majorHAnsi" w:cstheme="majorHAnsi"/>
                <w:szCs w:val="24"/>
                <w:lang w:val="ru-MD"/>
              </w:rPr>
              <w:t>Учащиеся, студенты</w:t>
            </w:r>
          </w:p>
        </w:tc>
        <w:tc>
          <w:tcPr>
            <w:tcW w:w="2545" w:type="dxa"/>
          </w:tcPr>
          <w:p w14:paraId="7F59F3F3" w14:textId="77777777" w:rsidR="000C1462" w:rsidRPr="000B7F8F" w:rsidRDefault="000C1462" w:rsidP="00860800">
            <w:pPr>
              <w:jc w:val="right"/>
              <w:rPr>
                <w:rFonts w:asciiTheme="majorHAnsi" w:hAnsiTheme="majorHAnsi" w:cstheme="majorHAnsi"/>
                <w:szCs w:val="24"/>
                <w:lang w:val="ru-MD"/>
              </w:rPr>
            </w:pPr>
            <w:r w:rsidRPr="000B7F8F">
              <w:rPr>
                <w:rFonts w:asciiTheme="majorHAnsi" w:hAnsiTheme="majorHAnsi" w:cstheme="majorHAnsi"/>
                <w:szCs w:val="24"/>
                <w:lang w:val="ru-MD"/>
              </w:rPr>
              <w:t>442 400</w:t>
            </w:r>
          </w:p>
        </w:tc>
      </w:tr>
      <w:tr w:rsidR="000C1462" w:rsidRPr="000B7F8F" w14:paraId="72D8044D" w14:textId="77777777" w:rsidTr="00D30FC7">
        <w:trPr>
          <w:trHeight w:val="20"/>
        </w:trPr>
        <w:tc>
          <w:tcPr>
            <w:tcW w:w="7024" w:type="dxa"/>
          </w:tcPr>
          <w:p w14:paraId="05B0039B" w14:textId="6150FE29" w:rsidR="000C1462" w:rsidRPr="000B7F8F" w:rsidRDefault="00346A3E" w:rsidP="000B7F8F">
            <w:pPr>
              <w:pStyle w:val="aa"/>
              <w:numPr>
                <w:ilvl w:val="0"/>
                <w:numId w:val="36"/>
              </w:numPr>
              <w:jc w:val="both"/>
              <w:rPr>
                <w:rFonts w:asciiTheme="majorHAnsi" w:hAnsiTheme="majorHAnsi" w:cstheme="majorHAnsi"/>
                <w:szCs w:val="24"/>
                <w:lang w:val="ru-MD"/>
              </w:rPr>
            </w:pPr>
            <w:r w:rsidRPr="000B7F8F">
              <w:rPr>
                <w:rFonts w:asciiTheme="majorHAnsi" w:hAnsiTheme="majorHAnsi" w:cstheme="majorHAnsi"/>
                <w:szCs w:val="24"/>
                <w:lang w:val="ru-MD"/>
              </w:rPr>
              <w:t xml:space="preserve">Пенсионеры </w:t>
            </w:r>
            <w:r w:rsidR="000C1462" w:rsidRPr="000B7F8F">
              <w:rPr>
                <w:rFonts w:asciiTheme="majorHAnsi" w:hAnsiTheme="majorHAnsi" w:cstheme="majorHAnsi"/>
                <w:szCs w:val="24"/>
                <w:lang w:val="ru-MD"/>
              </w:rPr>
              <w:t>(</w:t>
            </w:r>
            <w:r w:rsidRPr="000B7F8F">
              <w:rPr>
                <w:rFonts w:asciiTheme="majorHAnsi" w:hAnsiTheme="majorHAnsi" w:cstheme="majorHAnsi"/>
                <w:szCs w:val="24"/>
                <w:lang w:val="ru-MD"/>
              </w:rPr>
              <w:t>по возрасту</w:t>
            </w:r>
            <w:r w:rsidR="000C1462" w:rsidRPr="000B7F8F">
              <w:rPr>
                <w:rFonts w:asciiTheme="majorHAnsi" w:hAnsiTheme="majorHAnsi" w:cstheme="majorHAnsi"/>
                <w:szCs w:val="24"/>
                <w:lang w:val="ru-MD"/>
              </w:rPr>
              <w:t xml:space="preserve">, </w:t>
            </w:r>
            <w:r w:rsidRPr="000B7F8F">
              <w:rPr>
                <w:rFonts w:asciiTheme="majorHAnsi" w:hAnsiTheme="majorHAnsi" w:cstheme="majorHAnsi"/>
                <w:szCs w:val="24"/>
                <w:lang w:val="ru-MD"/>
              </w:rPr>
              <w:t>инвалидн</w:t>
            </w:r>
            <w:r w:rsidR="000B7F8F">
              <w:rPr>
                <w:rFonts w:asciiTheme="majorHAnsi" w:hAnsiTheme="majorHAnsi" w:cstheme="majorHAnsi"/>
                <w:szCs w:val="24"/>
                <w:lang w:val="ru-MD"/>
              </w:rPr>
              <w:t>о</w:t>
            </w:r>
            <w:r w:rsidRPr="000B7F8F">
              <w:rPr>
                <w:rFonts w:asciiTheme="majorHAnsi" w:hAnsiTheme="majorHAnsi" w:cstheme="majorHAnsi"/>
                <w:szCs w:val="24"/>
                <w:lang w:val="ru-MD"/>
              </w:rPr>
              <w:t>сти и др.</w:t>
            </w:r>
            <w:r w:rsidR="000C1462" w:rsidRPr="000B7F8F">
              <w:rPr>
                <w:rFonts w:asciiTheme="majorHAnsi" w:hAnsiTheme="majorHAnsi" w:cstheme="majorHAnsi"/>
                <w:szCs w:val="24"/>
                <w:lang w:val="ru-MD"/>
              </w:rPr>
              <w:t>)</w:t>
            </w:r>
          </w:p>
        </w:tc>
        <w:tc>
          <w:tcPr>
            <w:tcW w:w="2545" w:type="dxa"/>
          </w:tcPr>
          <w:p w14:paraId="4C870502" w14:textId="77777777" w:rsidR="000C1462" w:rsidRPr="000B7F8F" w:rsidRDefault="000C1462" w:rsidP="00860800">
            <w:pPr>
              <w:jc w:val="right"/>
              <w:rPr>
                <w:rFonts w:asciiTheme="majorHAnsi" w:hAnsiTheme="majorHAnsi" w:cstheme="majorHAnsi"/>
                <w:szCs w:val="24"/>
                <w:lang w:val="ru-MD"/>
              </w:rPr>
            </w:pPr>
            <w:r w:rsidRPr="000B7F8F">
              <w:rPr>
                <w:rFonts w:asciiTheme="majorHAnsi" w:hAnsiTheme="majorHAnsi" w:cstheme="majorHAnsi"/>
                <w:szCs w:val="24"/>
                <w:lang w:val="ru-MD"/>
              </w:rPr>
              <w:t>505 419</w:t>
            </w:r>
          </w:p>
        </w:tc>
      </w:tr>
      <w:tr w:rsidR="000C1462" w:rsidRPr="000B7F8F" w14:paraId="56FE9BE7" w14:textId="77777777" w:rsidTr="00D30FC7">
        <w:trPr>
          <w:trHeight w:val="20"/>
        </w:trPr>
        <w:tc>
          <w:tcPr>
            <w:tcW w:w="7024" w:type="dxa"/>
          </w:tcPr>
          <w:p w14:paraId="6429F15C" w14:textId="7F368E2D" w:rsidR="000C1462" w:rsidRPr="000B7F8F" w:rsidRDefault="00346A3E" w:rsidP="00346A3E">
            <w:pPr>
              <w:pStyle w:val="aa"/>
              <w:numPr>
                <w:ilvl w:val="0"/>
                <w:numId w:val="36"/>
              </w:numPr>
              <w:jc w:val="both"/>
              <w:rPr>
                <w:rFonts w:asciiTheme="majorHAnsi" w:hAnsiTheme="majorHAnsi" w:cstheme="majorHAnsi"/>
                <w:szCs w:val="24"/>
                <w:lang w:val="ru-MD"/>
              </w:rPr>
            </w:pPr>
            <w:r w:rsidRPr="000B7F8F">
              <w:rPr>
                <w:rFonts w:asciiTheme="majorHAnsi" w:hAnsiTheme="majorHAnsi" w:cstheme="majorHAnsi"/>
                <w:szCs w:val="24"/>
                <w:lang w:val="ru-MD"/>
              </w:rPr>
              <w:t>Получатели социальных пособий, которые не работают</w:t>
            </w:r>
          </w:p>
        </w:tc>
        <w:tc>
          <w:tcPr>
            <w:tcW w:w="2545" w:type="dxa"/>
          </w:tcPr>
          <w:p w14:paraId="381D4C23" w14:textId="77777777" w:rsidR="000C1462" w:rsidRPr="000B7F8F" w:rsidRDefault="000C1462" w:rsidP="00860800">
            <w:pPr>
              <w:jc w:val="right"/>
              <w:rPr>
                <w:rFonts w:asciiTheme="majorHAnsi" w:hAnsiTheme="majorHAnsi" w:cstheme="majorHAnsi"/>
                <w:szCs w:val="24"/>
                <w:lang w:val="ru-MD"/>
              </w:rPr>
            </w:pPr>
            <w:r w:rsidRPr="000B7F8F">
              <w:rPr>
                <w:rFonts w:asciiTheme="majorHAnsi" w:hAnsiTheme="majorHAnsi" w:cstheme="majorHAnsi"/>
                <w:szCs w:val="24"/>
                <w:lang w:val="ru-MD"/>
              </w:rPr>
              <w:t>63 488</w:t>
            </w:r>
          </w:p>
        </w:tc>
      </w:tr>
      <w:tr w:rsidR="000C1462" w:rsidRPr="000B7F8F" w14:paraId="422C9FAA" w14:textId="77777777" w:rsidTr="00D30FC7">
        <w:trPr>
          <w:trHeight w:val="20"/>
        </w:trPr>
        <w:tc>
          <w:tcPr>
            <w:tcW w:w="7024" w:type="dxa"/>
          </w:tcPr>
          <w:p w14:paraId="00AFC7CF" w14:textId="4740714A" w:rsidR="000C1462" w:rsidRPr="000B7F8F" w:rsidRDefault="00346A3E" w:rsidP="00346A3E">
            <w:pPr>
              <w:pStyle w:val="aa"/>
              <w:numPr>
                <w:ilvl w:val="0"/>
                <w:numId w:val="36"/>
              </w:numPr>
              <w:jc w:val="both"/>
              <w:rPr>
                <w:rFonts w:asciiTheme="majorHAnsi" w:hAnsiTheme="majorHAnsi" w:cstheme="majorHAnsi"/>
                <w:szCs w:val="24"/>
                <w:lang w:val="ru-MD"/>
              </w:rPr>
            </w:pPr>
            <w:r w:rsidRPr="000B7F8F">
              <w:rPr>
                <w:rFonts w:asciiTheme="majorHAnsi" w:hAnsiTheme="majorHAnsi" w:cstheme="majorHAnsi"/>
                <w:szCs w:val="24"/>
                <w:lang w:val="ru-MD"/>
              </w:rPr>
              <w:t>Получатели пособий по уходу за инвалидами</w:t>
            </w:r>
          </w:p>
        </w:tc>
        <w:tc>
          <w:tcPr>
            <w:tcW w:w="2545" w:type="dxa"/>
          </w:tcPr>
          <w:p w14:paraId="72911056" w14:textId="77777777" w:rsidR="000C1462" w:rsidRPr="000B7F8F" w:rsidRDefault="000C1462" w:rsidP="00860800">
            <w:pPr>
              <w:jc w:val="right"/>
              <w:rPr>
                <w:rFonts w:asciiTheme="majorHAnsi" w:hAnsiTheme="majorHAnsi" w:cstheme="majorHAnsi"/>
                <w:szCs w:val="24"/>
                <w:lang w:val="ru-MD"/>
              </w:rPr>
            </w:pPr>
            <w:r w:rsidRPr="000B7F8F">
              <w:rPr>
                <w:rFonts w:asciiTheme="majorHAnsi" w:hAnsiTheme="majorHAnsi" w:cstheme="majorHAnsi"/>
                <w:szCs w:val="24"/>
                <w:lang w:val="ru-MD"/>
              </w:rPr>
              <w:t>12 500</w:t>
            </w:r>
          </w:p>
        </w:tc>
      </w:tr>
      <w:tr w:rsidR="000C1462" w:rsidRPr="000B7F8F" w14:paraId="2A23345A" w14:textId="77777777" w:rsidTr="00D30FC7">
        <w:trPr>
          <w:trHeight w:val="20"/>
        </w:trPr>
        <w:tc>
          <w:tcPr>
            <w:tcW w:w="7024" w:type="dxa"/>
          </w:tcPr>
          <w:p w14:paraId="44F61BD8" w14:textId="545249FC" w:rsidR="000C1462" w:rsidRPr="000B7F8F" w:rsidRDefault="00346A3E" w:rsidP="00346A3E">
            <w:pPr>
              <w:pStyle w:val="aa"/>
              <w:numPr>
                <w:ilvl w:val="0"/>
                <w:numId w:val="36"/>
              </w:numPr>
              <w:jc w:val="both"/>
              <w:rPr>
                <w:rFonts w:asciiTheme="majorHAnsi" w:hAnsiTheme="majorHAnsi" w:cstheme="majorHAnsi"/>
                <w:szCs w:val="24"/>
                <w:lang w:val="ru-MD"/>
              </w:rPr>
            </w:pPr>
            <w:r w:rsidRPr="000B7F8F">
              <w:rPr>
                <w:rFonts w:asciiTheme="majorHAnsi" w:hAnsiTheme="majorHAnsi" w:cstheme="majorHAnsi"/>
                <w:szCs w:val="24"/>
                <w:lang w:val="ru-MD"/>
              </w:rPr>
              <w:t>Получатели пособий для семей с детьми</w:t>
            </w:r>
          </w:p>
        </w:tc>
        <w:tc>
          <w:tcPr>
            <w:tcW w:w="2545" w:type="dxa"/>
          </w:tcPr>
          <w:p w14:paraId="3096F434" w14:textId="77777777" w:rsidR="000C1462" w:rsidRPr="000B7F8F" w:rsidRDefault="000C1462" w:rsidP="00860800">
            <w:pPr>
              <w:jc w:val="right"/>
              <w:rPr>
                <w:rFonts w:asciiTheme="majorHAnsi" w:hAnsiTheme="majorHAnsi" w:cstheme="majorHAnsi"/>
                <w:szCs w:val="24"/>
                <w:lang w:val="ru-MD"/>
              </w:rPr>
            </w:pPr>
            <w:r w:rsidRPr="000B7F8F">
              <w:rPr>
                <w:rFonts w:asciiTheme="majorHAnsi" w:hAnsiTheme="majorHAnsi" w:cstheme="majorHAnsi"/>
                <w:szCs w:val="24"/>
                <w:lang w:val="ru-MD"/>
              </w:rPr>
              <w:t>58 405</w:t>
            </w:r>
          </w:p>
        </w:tc>
      </w:tr>
      <w:tr w:rsidR="000C1462" w:rsidRPr="000B7F8F" w14:paraId="6EBB8819" w14:textId="77777777" w:rsidTr="00D30FC7">
        <w:trPr>
          <w:trHeight w:val="20"/>
        </w:trPr>
        <w:tc>
          <w:tcPr>
            <w:tcW w:w="7024" w:type="dxa"/>
          </w:tcPr>
          <w:p w14:paraId="239C22C9" w14:textId="36B54A1F" w:rsidR="000C1462" w:rsidRPr="000B7F8F" w:rsidRDefault="00346A3E" w:rsidP="000B7F8F">
            <w:pPr>
              <w:jc w:val="both"/>
              <w:rPr>
                <w:rFonts w:asciiTheme="majorHAnsi" w:hAnsiTheme="majorHAnsi" w:cstheme="majorHAnsi"/>
                <w:b/>
                <w:szCs w:val="24"/>
                <w:lang w:val="ru-MD"/>
              </w:rPr>
            </w:pPr>
            <w:r w:rsidRPr="000B7F8F">
              <w:rPr>
                <w:rFonts w:asciiTheme="majorHAnsi" w:hAnsiTheme="majorHAnsi" w:cstheme="majorHAnsi"/>
                <w:b/>
                <w:szCs w:val="24"/>
                <w:lang w:val="ru-MD"/>
              </w:rPr>
              <w:t>Неработающие трудоспособные лица</w:t>
            </w:r>
          </w:p>
        </w:tc>
        <w:tc>
          <w:tcPr>
            <w:tcW w:w="2545" w:type="dxa"/>
          </w:tcPr>
          <w:p w14:paraId="37EF3470" w14:textId="77777777" w:rsidR="000C1462" w:rsidRPr="000B7F8F" w:rsidRDefault="000C1462" w:rsidP="00860800">
            <w:pPr>
              <w:jc w:val="right"/>
              <w:rPr>
                <w:rFonts w:asciiTheme="majorHAnsi" w:hAnsiTheme="majorHAnsi" w:cstheme="majorHAnsi"/>
                <w:b/>
                <w:szCs w:val="24"/>
                <w:lang w:val="ru-MD"/>
              </w:rPr>
            </w:pPr>
            <w:r w:rsidRPr="000B7F8F">
              <w:rPr>
                <w:rFonts w:asciiTheme="majorHAnsi" w:hAnsiTheme="majorHAnsi" w:cstheme="majorHAnsi"/>
                <w:b/>
                <w:szCs w:val="24"/>
                <w:lang w:val="ru-MD"/>
              </w:rPr>
              <w:t>498 821</w:t>
            </w:r>
          </w:p>
        </w:tc>
      </w:tr>
    </w:tbl>
    <w:p w14:paraId="5C2F3468" w14:textId="36516596" w:rsidR="007C5883" w:rsidRPr="00653E85" w:rsidRDefault="00281F6D" w:rsidP="00FF3AE0">
      <w:pPr>
        <w:rPr>
          <w:rFonts w:asciiTheme="majorHAnsi" w:hAnsiTheme="majorHAnsi" w:cstheme="majorHAnsi"/>
          <w:i/>
          <w:szCs w:val="24"/>
          <w:lang w:val="ro-MD"/>
        </w:rPr>
      </w:pPr>
      <w:r w:rsidRPr="000B7F8F">
        <w:rPr>
          <w:rFonts w:asciiTheme="majorHAnsi" w:hAnsiTheme="majorHAnsi" w:cstheme="majorHAnsi"/>
          <w:i/>
          <w:szCs w:val="24"/>
          <w:lang w:val="ru-MD"/>
        </w:rPr>
        <w:t>Источник</w:t>
      </w:r>
      <w:r w:rsidR="000C416F" w:rsidRPr="000B7F8F">
        <w:rPr>
          <w:rFonts w:asciiTheme="majorHAnsi" w:hAnsiTheme="majorHAnsi" w:cstheme="majorHAnsi"/>
          <w:i/>
          <w:szCs w:val="24"/>
          <w:lang w:val="ru-MD"/>
        </w:rPr>
        <w:t xml:space="preserve">: </w:t>
      </w:r>
      <w:r w:rsidRPr="000B7F8F">
        <w:rPr>
          <w:rFonts w:asciiTheme="majorHAnsi" w:hAnsiTheme="majorHAnsi" w:cstheme="majorHAnsi"/>
          <w:i/>
          <w:szCs w:val="24"/>
          <w:lang w:val="ru-MD"/>
        </w:rPr>
        <w:t>Отчеты НКСС</w:t>
      </w:r>
      <w:r w:rsidR="000C416F" w:rsidRPr="000B7F8F">
        <w:rPr>
          <w:rFonts w:asciiTheme="majorHAnsi" w:hAnsiTheme="majorHAnsi" w:cstheme="majorHAnsi"/>
          <w:i/>
          <w:szCs w:val="24"/>
          <w:lang w:val="ru-MD"/>
        </w:rPr>
        <w:t xml:space="preserve">, </w:t>
      </w:r>
      <w:r w:rsidR="000C416F" w:rsidRPr="000B7F8F">
        <w:rPr>
          <w:rFonts w:asciiTheme="majorHAnsi" w:hAnsiTheme="majorHAnsi" w:cstheme="majorHAnsi"/>
          <w:i/>
          <w:color w:val="1F3864" w:themeColor="accent5" w:themeShade="80"/>
          <w:szCs w:val="24"/>
          <w:u w:val="single"/>
          <w:lang w:val="ru-MD"/>
        </w:rPr>
        <w:t>www.statistica.md</w:t>
      </w:r>
    </w:p>
    <w:p w14:paraId="6EB6A006" w14:textId="2E858AD1" w:rsidR="00976EF4" w:rsidRPr="00633450" w:rsidRDefault="000371DF" w:rsidP="000371DF">
      <w:pPr>
        <w:pStyle w:val="aa"/>
        <w:numPr>
          <w:ilvl w:val="1"/>
          <w:numId w:val="2"/>
        </w:numPr>
        <w:shd w:val="clear" w:color="auto" w:fill="FFFFFF" w:themeFill="background1"/>
        <w:spacing w:line="276" w:lineRule="auto"/>
        <w:ind w:left="0" w:firstLine="0"/>
        <w:jc w:val="both"/>
        <w:outlineLvl w:val="1"/>
        <w:rPr>
          <w:rFonts w:asciiTheme="majorHAnsi" w:hAnsiTheme="majorHAnsi" w:cstheme="majorHAnsi"/>
          <w:sz w:val="24"/>
          <w:szCs w:val="24"/>
          <w:lang w:val="ru-MD"/>
        </w:rPr>
      </w:pPr>
      <w:r w:rsidRPr="00633450">
        <w:rPr>
          <w:rFonts w:asciiTheme="majorHAnsi" w:eastAsia="SimSun" w:hAnsiTheme="majorHAnsi" w:cstheme="majorHAnsi"/>
          <w:b/>
          <w:sz w:val="24"/>
          <w:szCs w:val="28"/>
          <w:lang w:val="ru-MD"/>
        </w:rPr>
        <w:t xml:space="preserve">Выплата дивидендов по налогооблагаемой ставке всего 6% по сравнению с другими налогами, уплачиваемыми при выплате заработной платы, является законным методом, который способствует риску возникновения и </w:t>
      </w:r>
      <w:r w:rsidR="00633450" w:rsidRPr="00633450">
        <w:rPr>
          <w:rFonts w:asciiTheme="majorHAnsi" w:eastAsia="SimSun" w:hAnsiTheme="majorHAnsi" w:cstheme="majorHAnsi"/>
          <w:b/>
          <w:sz w:val="24"/>
          <w:szCs w:val="28"/>
          <w:lang w:val="ru-MD"/>
        </w:rPr>
        <w:t>сохране</w:t>
      </w:r>
      <w:r w:rsidRPr="00633450">
        <w:rPr>
          <w:rFonts w:asciiTheme="majorHAnsi" w:eastAsia="SimSun" w:hAnsiTheme="majorHAnsi" w:cstheme="majorHAnsi"/>
          <w:b/>
          <w:sz w:val="24"/>
          <w:szCs w:val="28"/>
          <w:lang w:val="ru-MD"/>
        </w:rPr>
        <w:t>ния заработной платы в конверте</w:t>
      </w:r>
      <w:r w:rsidR="002F4D18" w:rsidRPr="00633450">
        <w:rPr>
          <w:rFonts w:asciiTheme="majorHAnsi" w:eastAsia="SimSun" w:hAnsiTheme="majorHAnsi" w:cstheme="majorHAnsi"/>
          <w:b/>
          <w:sz w:val="24"/>
          <w:szCs w:val="28"/>
          <w:lang w:val="ru-MD"/>
        </w:rPr>
        <w:t>.</w:t>
      </w:r>
    </w:p>
    <w:p w14:paraId="6D3017E1" w14:textId="6EE1587E" w:rsidR="00C67851" w:rsidRPr="00633450" w:rsidRDefault="000371DF" w:rsidP="00976EF4">
      <w:pPr>
        <w:shd w:val="clear" w:color="auto" w:fill="FFFFFF" w:themeFill="background1"/>
        <w:spacing w:line="276" w:lineRule="auto"/>
        <w:jc w:val="both"/>
        <w:rPr>
          <w:rFonts w:asciiTheme="majorHAnsi" w:hAnsiTheme="majorHAnsi" w:cstheme="majorHAnsi"/>
          <w:sz w:val="24"/>
          <w:szCs w:val="24"/>
          <w:lang w:val="ru-MD"/>
        </w:rPr>
      </w:pPr>
      <w:r w:rsidRPr="00633450">
        <w:rPr>
          <w:rFonts w:asciiTheme="majorHAnsi" w:hAnsiTheme="majorHAnsi" w:cstheme="majorHAnsi"/>
          <w:sz w:val="24"/>
          <w:szCs w:val="24"/>
          <w:lang w:val="ru-MD"/>
        </w:rPr>
        <w:t xml:space="preserve">Использование </w:t>
      </w:r>
      <w:r w:rsidR="00633450" w:rsidRPr="00633450">
        <w:rPr>
          <w:rFonts w:asciiTheme="majorHAnsi" w:hAnsiTheme="majorHAnsi" w:cstheme="majorHAnsi"/>
          <w:sz w:val="24"/>
          <w:szCs w:val="24"/>
          <w:lang w:val="ru-MD"/>
        </w:rPr>
        <w:t>„</w:t>
      </w:r>
      <w:r w:rsidRPr="00633450">
        <w:rPr>
          <w:rFonts w:asciiTheme="majorHAnsi" w:hAnsiTheme="majorHAnsi" w:cstheme="majorHAnsi"/>
          <w:sz w:val="24"/>
          <w:szCs w:val="24"/>
          <w:lang w:val="ru-MD"/>
        </w:rPr>
        <w:t>черной работы</w:t>
      </w:r>
      <w:r w:rsidR="00633450" w:rsidRPr="00633450">
        <w:rPr>
          <w:rFonts w:asciiTheme="majorHAnsi" w:hAnsiTheme="majorHAnsi" w:cstheme="majorHAnsi"/>
          <w:sz w:val="24"/>
          <w:szCs w:val="24"/>
          <w:lang w:val="ru-MD"/>
        </w:rPr>
        <w:t>”</w:t>
      </w:r>
      <w:r w:rsidRPr="00633450">
        <w:rPr>
          <w:rFonts w:asciiTheme="majorHAnsi" w:hAnsiTheme="majorHAnsi" w:cstheme="majorHAnsi"/>
          <w:sz w:val="24"/>
          <w:szCs w:val="24"/>
          <w:lang w:val="ru-MD"/>
        </w:rPr>
        <w:t xml:space="preserve"> - это явление, которое </w:t>
      </w:r>
      <w:r w:rsidR="00633450" w:rsidRPr="00633450">
        <w:rPr>
          <w:rFonts w:asciiTheme="majorHAnsi" w:hAnsiTheme="majorHAnsi" w:cstheme="majorHAnsi"/>
          <w:sz w:val="24"/>
          <w:szCs w:val="24"/>
          <w:lang w:val="ru-MD"/>
        </w:rPr>
        <w:t>генериру</w:t>
      </w:r>
      <w:r w:rsidRPr="00633450">
        <w:rPr>
          <w:rFonts w:asciiTheme="majorHAnsi" w:hAnsiTheme="majorHAnsi" w:cstheme="majorHAnsi"/>
          <w:sz w:val="24"/>
          <w:szCs w:val="24"/>
          <w:lang w:val="ru-MD"/>
        </w:rPr>
        <w:t xml:space="preserve">ет негативное влияние на государственный бюджет, бюджет социального </w:t>
      </w:r>
      <w:r w:rsidR="00633450" w:rsidRPr="00633450">
        <w:rPr>
          <w:rFonts w:asciiTheme="majorHAnsi" w:hAnsiTheme="majorHAnsi" w:cstheme="majorHAnsi"/>
          <w:sz w:val="24"/>
          <w:szCs w:val="24"/>
          <w:lang w:val="ru-MD"/>
        </w:rPr>
        <w:t>страхова</w:t>
      </w:r>
      <w:r w:rsidRPr="00633450">
        <w:rPr>
          <w:rFonts w:asciiTheme="majorHAnsi" w:hAnsiTheme="majorHAnsi" w:cstheme="majorHAnsi"/>
          <w:sz w:val="24"/>
          <w:szCs w:val="24"/>
          <w:lang w:val="ru-MD"/>
        </w:rPr>
        <w:t xml:space="preserve">ния, фонды обязательного медицинского страхования, а также непосредственно на сотрудников и работодателей. Принимая </w:t>
      </w:r>
      <w:r w:rsidR="00633450" w:rsidRPr="00633450">
        <w:rPr>
          <w:rFonts w:asciiTheme="majorHAnsi" w:hAnsiTheme="majorHAnsi" w:cstheme="majorHAnsi"/>
          <w:sz w:val="24"/>
          <w:szCs w:val="24"/>
          <w:lang w:val="ru-MD"/>
        </w:rPr>
        <w:t>„</w:t>
      </w:r>
      <w:r w:rsidRPr="00633450">
        <w:rPr>
          <w:rFonts w:asciiTheme="majorHAnsi" w:hAnsiTheme="majorHAnsi" w:cstheme="majorHAnsi"/>
          <w:sz w:val="24"/>
          <w:szCs w:val="24"/>
          <w:lang w:val="ru-MD"/>
        </w:rPr>
        <w:t>зарплату в конверте</w:t>
      </w:r>
      <w:r w:rsidR="00633450" w:rsidRPr="00633450">
        <w:rPr>
          <w:rFonts w:asciiTheme="majorHAnsi" w:hAnsiTheme="majorHAnsi" w:cstheme="majorHAnsi"/>
          <w:sz w:val="24"/>
          <w:szCs w:val="24"/>
          <w:lang w:val="ru-MD"/>
        </w:rPr>
        <w:t>”</w:t>
      </w:r>
      <w:r w:rsidRPr="00633450">
        <w:rPr>
          <w:rFonts w:asciiTheme="majorHAnsi" w:hAnsiTheme="majorHAnsi" w:cstheme="majorHAnsi"/>
          <w:sz w:val="24"/>
          <w:szCs w:val="24"/>
          <w:lang w:val="ru-MD"/>
        </w:rPr>
        <w:t xml:space="preserve">, </w:t>
      </w:r>
      <w:r w:rsidR="00633450" w:rsidRPr="00633450">
        <w:rPr>
          <w:rFonts w:asciiTheme="majorHAnsi" w:hAnsiTheme="majorHAnsi" w:cstheme="majorHAnsi"/>
          <w:sz w:val="24"/>
          <w:szCs w:val="24"/>
          <w:lang w:val="ru-MD"/>
        </w:rPr>
        <w:t>работ</w:t>
      </w:r>
      <w:r w:rsidRPr="00633450">
        <w:rPr>
          <w:rFonts w:asciiTheme="majorHAnsi" w:hAnsiTheme="majorHAnsi" w:cstheme="majorHAnsi"/>
          <w:sz w:val="24"/>
          <w:szCs w:val="24"/>
          <w:lang w:val="ru-MD"/>
        </w:rPr>
        <w:t>ники рискуют лишиться достойной пенсии, мотивирующего социального пакета, качественного медицинского страхования, социальной защиты сво</w:t>
      </w:r>
      <w:r w:rsidR="00633450" w:rsidRPr="00633450">
        <w:rPr>
          <w:rFonts w:asciiTheme="majorHAnsi" w:hAnsiTheme="majorHAnsi" w:cstheme="majorHAnsi"/>
          <w:sz w:val="24"/>
          <w:szCs w:val="24"/>
          <w:lang w:val="ru-MD"/>
        </w:rPr>
        <w:t>их</w:t>
      </w:r>
      <w:r w:rsidRPr="00633450">
        <w:rPr>
          <w:rFonts w:asciiTheme="majorHAnsi" w:hAnsiTheme="majorHAnsi" w:cstheme="majorHAnsi"/>
          <w:sz w:val="24"/>
          <w:szCs w:val="24"/>
          <w:lang w:val="ru-MD"/>
        </w:rPr>
        <w:t xml:space="preserve"> сем</w:t>
      </w:r>
      <w:r w:rsidR="00633450" w:rsidRPr="00633450">
        <w:rPr>
          <w:rFonts w:asciiTheme="majorHAnsi" w:hAnsiTheme="majorHAnsi" w:cstheme="majorHAnsi"/>
          <w:sz w:val="24"/>
          <w:szCs w:val="24"/>
          <w:lang w:val="ru-MD"/>
        </w:rPr>
        <w:t>ей</w:t>
      </w:r>
      <w:r w:rsidRPr="00633450">
        <w:rPr>
          <w:rFonts w:asciiTheme="majorHAnsi" w:hAnsiTheme="majorHAnsi" w:cstheme="majorHAnsi"/>
          <w:sz w:val="24"/>
          <w:szCs w:val="24"/>
          <w:lang w:val="ru-MD"/>
        </w:rPr>
        <w:t>, оплачиваемых отпусков, достойных пособий. Выплата дивидендов по налогооблагаемой ставке всего 6% по сравнению с другими налогами, уплачиваемыми при выплате заработной платы, является законным методом, который способствует риску возникновения и поддержания „заработной платы в конвертах”. Так, за 2020-2022 г</w:t>
      </w:r>
      <w:r w:rsidR="00633450" w:rsidRPr="00633450">
        <w:rPr>
          <w:rFonts w:asciiTheme="majorHAnsi" w:hAnsiTheme="majorHAnsi" w:cstheme="majorHAnsi"/>
          <w:sz w:val="24"/>
          <w:szCs w:val="24"/>
          <w:lang w:val="ru-MD"/>
        </w:rPr>
        <w:t>оды</w:t>
      </w:r>
      <w:r w:rsidRPr="00633450">
        <w:rPr>
          <w:rFonts w:asciiTheme="majorHAnsi" w:hAnsiTheme="majorHAnsi" w:cstheme="majorHAnsi"/>
          <w:sz w:val="24"/>
          <w:szCs w:val="24"/>
          <w:lang w:val="ru-MD"/>
        </w:rPr>
        <w:t xml:space="preserve"> дивиденды получили 29 544 человека, сумма дивидендов, выплаченных экономическими операторами (ООО) учредителям, составила 26 555,0 млн. леев, а </w:t>
      </w:r>
      <w:r w:rsidR="00633450" w:rsidRPr="00633450">
        <w:rPr>
          <w:rFonts w:asciiTheme="majorHAnsi" w:hAnsiTheme="majorHAnsi" w:cstheme="majorHAnsi"/>
          <w:sz w:val="24"/>
          <w:szCs w:val="24"/>
          <w:lang w:val="ru-MD"/>
        </w:rPr>
        <w:t xml:space="preserve">подоходный </w:t>
      </w:r>
      <w:r w:rsidRPr="00633450">
        <w:rPr>
          <w:rFonts w:asciiTheme="majorHAnsi" w:hAnsiTheme="majorHAnsi" w:cstheme="majorHAnsi"/>
          <w:sz w:val="24"/>
          <w:szCs w:val="24"/>
          <w:lang w:val="ru-MD"/>
        </w:rPr>
        <w:t>налог, удерживаемый из дивидендов, составил 1 616,0 млн. ле</w:t>
      </w:r>
      <w:r w:rsidR="00633450" w:rsidRPr="00633450">
        <w:rPr>
          <w:rFonts w:asciiTheme="majorHAnsi" w:hAnsiTheme="majorHAnsi" w:cstheme="majorHAnsi"/>
          <w:sz w:val="24"/>
          <w:szCs w:val="24"/>
          <w:lang w:val="ru-MD"/>
        </w:rPr>
        <w:t>ев</w:t>
      </w:r>
      <w:r w:rsidR="00C67851" w:rsidRPr="00633450">
        <w:rPr>
          <w:rFonts w:asciiTheme="majorHAnsi" w:hAnsiTheme="majorHAnsi" w:cstheme="majorHAnsi"/>
          <w:sz w:val="24"/>
          <w:szCs w:val="24"/>
          <w:lang w:val="ru-MD"/>
        </w:rPr>
        <w:t xml:space="preserve">. </w:t>
      </w:r>
    </w:p>
    <w:p w14:paraId="57B687D8" w14:textId="46947A89" w:rsidR="00C67851" w:rsidRPr="00653E85" w:rsidRDefault="00336C93" w:rsidP="00C67851">
      <w:pPr>
        <w:shd w:val="clear" w:color="auto" w:fill="FFFFFF" w:themeFill="background1"/>
        <w:tabs>
          <w:tab w:val="left" w:pos="284"/>
          <w:tab w:val="left" w:pos="425"/>
        </w:tabs>
        <w:spacing w:after="0" w:line="276" w:lineRule="auto"/>
        <w:ind w:left="142"/>
        <w:jc w:val="right"/>
        <w:rPr>
          <w:rFonts w:asciiTheme="majorHAnsi" w:eastAsia="Calibri" w:hAnsiTheme="majorHAnsi" w:cstheme="majorHAnsi"/>
          <w:b/>
          <w:sz w:val="24"/>
          <w:szCs w:val="24"/>
          <w:lang w:val="ro-MD"/>
        </w:rPr>
      </w:pPr>
      <w:r>
        <w:rPr>
          <w:rFonts w:asciiTheme="majorHAnsi" w:eastAsia="Calibri" w:hAnsiTheme="majorHAnsi" w:cstheme="majorHAnsi"/>
          <w:b/>
          <w:sz w:val="24"/>
          <w:szCs w:val="24"/>
          <w:lang w:val="ro-MD"/>
        </w:rPr>
        <w:t>Таблица №</w:t>
      </w:r>
      <w:r w:rsidR="008D1DF2" w:rsidRPr="00653E85">
        <w:rPr>
          <w:rFonts w:asciiTheme="majorHAnsi" w:eastAsia="Calibri" w:hAnsiTheme="majorHAnsi" w:cstheme="majorHAnsi"/>
          <w:b/>
          <w:sz w:val="24"/>
          <w:szCs w:val="24"/>
          <w:lang w:val="ro-MD"/>
        </w:rPr>
        <w:t>8</w:t>
      </w:r>
    </w:p>
    <w:p w14:paraId="4DF9A5EB" w14:textId="7CF941AA" w:rsidR="00C67851" w:rsidRPr="000371DF" w:rsidRDefault="000371DF" w:rsidP="00653E85">
      <w:pPr>
        <w:shd w:val="clear" w:color="auto" w:fill="FFFFFF" w:themeFill="background1"/>
        <w:tabs>
          <w:tab w:val="left" w:pos="284"/>
          <w:tab w:val="left" w:pos="425"/>
        </w:tabs>
        <w:spacing w:after="0" w:line="276" w:lineRule="auto"/>
        <w:jc w:val="center"/>
        <w:rPr>
          <w:rFonts w:asciiTheme="majorHAnsi" w:eastAsia="Calibri" w:hAnsiTheme="majorHAnsi" w:cstheme="majorHAnsi"/>
          <w:b/>
          <w:szCs w:val="24"/>
          <w:lang w:val="ru-MD"/>
        </w:rPr>
      </w:pPr>
      <w:r w:rsidRPr="000371DF">
        <w:rPr>
          <w:rFonts w:asciiTheme="majorHAnsi" w:eastAsia="Calibri" w:hAnsiTheme="majorHAnsi" w:cstheme="majorHAnsi"/>
          <w:b/>
          <w:szCs w:val="24"/>
          <w:lang w:val="ru-MD"/>
        </w:rPr>
        <w:t xml:space="preserve">Анализ числа получателей дивидендов и соответствующего удержанного налога, за 2020-2022 годы </w:t>
      </w:r>
    </w:p>
    <w:tbl>
      <w:tblPr>
        <w:tblW w:w="4931" w:type="pct"/>
        <w:tblLook w:val="04A0" w:firstRow="1" w:lastRow="0" w:firstColumn="1" w:lastColumn="0" w:noHBand="0" w:noVBand="1"/>
      </w:tblPr>
      <w:tblGrid>
        <w:gridCol w:w="5002"/>
        <w:gridCol w:w="884"/>
        <w:gridCol w:w="885"/>
        <w:gridCol w:w="975"/>
        <w:gridCol w:w="1070"/>
        <w:gridCol w:w="1070"/>
      </w:tblGrid>
      <w:tr w:rsidR="00C67851" w:rsidRPr="000371DF" w14:paraId="5985331C" w14:textId="77777777" w:rsidTr="00C140E8">
        <w:trPr>
          <w:trHeight w:val="440"/>
        </w:trPr>
        <w:tc>
          <w:tcPr>
            <w:tcW w:w="2540" w:type="pct"/>
            <w:tcBorders>
              <w:top w:val="single" w:sz="4" w:space="0" w:color="auto"/>
              <w:left w:val="single" w:sz="4" w:space="0" w:color="auto"/>
              <w:bottom w:val="single" w:sz="4" w:space="0" w:color="auto"/>
              <w:right w:val="single" w:sz="4" w:space="0" w:color="auto"/>
            </w:tcBorders>
            <w:shd w:val="clear" w:color="auto" w:fill="auto"/>
            <w:hideMark/>
          </w:tcPr>
          <w:p w14:paraId="7D5EF971" w14:textId="77777777" w:rsidR="00C67851" w:rsidRPr="000371DF" w:rsidRDefault="00C67851" w:rsidP="00C67851">
            <w:pPr>
              <w:spacing w:after="0" w:line="240" w:lineRule="auto"/>
              <w:jc w:val="center"/>
              <w:rPr>
                <w:rFonts w:asciiTheme="majorHAnsi" w:eastAsia="Times New Roman" w:hAnsiTheme="majorHAnsi" w:cstheme="majorHAnsi"/>
                <w:b/>
                <w:bCs/>
                <w:color w:val="000000"/>
                <w:sz w:val="20"/>
                <w:szCs w:val="16"/>
                <w:lang w:val="ru-MD"/>
              </w:rPr>
            </w:pPr>
          </w:p>
          <w:p w14:paraId="3F94526C" w14:textId="02616771" w:rsidR="00C67851" w:rsidRPr="000371DF" w:rsidRDefault="000371DF" w:rsidP="00C67851">
            <w:pPr>
              <w:spacing w:after="0" w:line="240" w:lineRule="auto"/>
              <w:jc w:val="center"/>
              <w:rPr>
                <w:rFonts w:asciiTheme="majorHAnsi" w:eastAsia="Times New Roman" w:hAnsiTheme="majorHAnsi" w:cstheme="majorHAnsi"/>
                <w:b/>
                <w:bCs/>
                <w:color w:val="000000"/>
                <w:sz w:val="20"/>
                <w:szCs w:val="16"/>
                <w:lang w:val="ru-MD"/>
              </w:rPr>
            </w:pPr>
            <w:r w:rsidRPr="000371DF">
              <w:rPr>
                <w:rFonts w:asciiTheme="majorHAnsi" w:eastAsia="Times New Roman" w:hAnsiTheme="majorHAnsi" w:cstheme="majorHAnsi"/>
                <w:b/>
                <w:bCs/>
                <w:color w:val="000000"/>
                <w:sz w:val="20"/>
                <w:szCs w:val="16"/>
                <w:lang w:val="ru-MD"/>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5818DBE6" w14:textId="77777777" w:rsidR="00C67851" w:rsidRPr="000371DF" w:rsidRDefault="00C67851" w:rsidP="00C67851">
            <w:pPr>
              <w:spacing w:after="0" w:line="240" w:lineRule="auto"/>
              <w:jc w:val="center"/>
              <w:rPr>
                <w:rFonts w:asciiTheme="majorHAnsi" w:eastAsia="Times New Roman" w:hAnsiTheme="majorHAnsi" w:cstheme="majorHAnsi"/>
                <w:b/>
                <w:bCs/>
                <w:color w:val="000000"/>
                <w:sz w:val="20"/>
                <w:szCs w:val="16"/>
                <w:lang w:val="ru-MD"/>
              </w:rPr>
            </w:pPr>
            <w:r w:rsidRPr="000371DF">
              <w:rPr>
                <w:rFonts w:asciiTheme="majorHAnsi" w:eastAsia="Times New Roman" w:hAnsiTheme="majorHAnsi" w:cstheme="majorHAnsi"/>
                <w:b/>
                <w:bCs/>
                <w:color w:val="000000"/>
                <w:sz w:val="20"/>
                <w:szCs w:val="16"/>
                <w:lang w:val="ru-MD"/>
              </w:rPr>
              <w:t>2020</w:t>
            </w:r>
          </w:p>
          <w:p w14:paraId="5B66AECD" w14:textId="6B5A3A00" w:rsidR="000371DF" w:rsidRPr="000371DF" w:rsidRDefault="000371DF" w:rsidP="00C67851">
            <w:pPr>
              <w:spacing w:after="0" w:line="240" w:lineRule="auto"/>
              <w:jc w:val="center"/>
              <w:rPr>
                <w:rFonts w:asciiTheme="majorHAnsi" w:eastAsia="Times New Roman" w:hAnsiTheme="majorHAnsi" w:cstheme="majorHAnsi"/>
                <w:b/>
                <w:bCs/>
                <w:color w:val="000000"/>
                <w:sz w:val="20"/>
                <w:szCs w:val="16"/>
                <w:lang w:val="ru-MD"/>
              </w:rPr>
            </w:pPr>
            <w:r w:rsidRPr="000371DF">
              <w:rPr>
                <w:rFonts w:asciiTheme="majorHAnsi" w:eastAsia="Times New Roman" w:hAnsiTheme="majorHAnsi" w:cstheme="majorHAnsi"/>
                <w:b/>
                <w:bCs/>
                <w:color w:val="000000"/>
                <w:sz w:val="20"/>
                <w:szCs w:val="16"/>
                <w:lang w:val="ru-MD"/>
              </w:rPr>
              <w:t>год</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5784A310" w14:textId="77777777" w:rsidR="00C67851" w:rsidRPr="000371DF" w:rsidRDefault="00C67851" w:rsidP="00C67851">
            <w:pPr>
              <w:spacing w:after="0" w:line="240" w:lineRule="auto"/>
              <w:jc w:val="center"/>
              <w:rPr>
                <w:rFonts w:asciiTheme="majorHAnsi" w:eastAsia="Times New Roman" w:hAnsiTheme="majorHAnsi" w:cstheme="majorHAnsi"/>
                <w:b/>
                <w:bCs/>
                <w:color w:val="000000"/>
                <w:sz w:val="20"/>
                <w:szCs w:val="16"/>
                <w:lang w:val="ru-MD"/>
              </w:rPr>
            </w:pPr>
            <w:r w:rsidRPr="000371DF">
              <w:rPr>
                <w:rFonts w:asciiTheme="majorHAnsi" w:eastAsia="Times New Roman" w:hAnsiTheme="majorHAnsi" w:cstheme="majorHAnsi"/>
                <w:b/>
                <w:bCs/>
                <w:color w:val="000000"/>
                <w:sz w:val="20"/>
                <w:szCs w:val="16"/>
                <w:lang w:val="ru-MD"/>
              </w:rPr>
              <w:t>2021</w:t>
            </w:r>
          </w:p>
          <w:p w14:paraId="57346525" w14:textId="37C75E22" w:rsidR="000371DF" w:rsidRPr="000371DF" w:rsidRDefault="000371DF" w:rsidP="00C67851">
            <w:pPr>
              <w:spacing w:after="0" w:line="240" w:lineRule="auto"/>
              <w:jc w:val="center"/>
              <w:rPr>
                <w:rFonts w:asciiTheme="majorHAnsi" w:eastAsia="Times New Roman" w:hAnsiTheme="majorHAnsi" w:cstheme="majorHAnsi"/>
                <w:b/>
                <w:bCs/>
                <w:color w:val="000000"/>
                <w:sz w:val="20"/>
                <w:szCs w:val="16"/>
                <w:lang w:val="ru-MD"/>
              </w:rPr>
            </w:pPr>
            <w:r w:rsidRPr="000371DF">
              <w:rPr>
                <w:rFonts w:asciiTheme="majorHAnsi" w:eastAsia="Times New Roman" w:hAnsiTheme="majorHAnsi" w:cstheme="majorHAnsi"/>
                <w:b/>
                <w:bCs/>
                <w:color w:val="000000"/>
                <w:sz w:val="20"/>
                <w:szCs w:val="16"/>
                <w:lang w:val="ru-MD"/>
              </w:rPr>
              <w:t>год</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14:paraId="6B4CA11F" w14:textId="77777777" w:rsidR="00C67851" w:rsidRPr="000371DF" w:rsidRDefault="00C67851" w:rsidP="00C67851">
            <w:pPr>
              <w:spacing w:after="0" w:line="240" w:lineRule="auto"/>
              <w:jc w:val="center"/>
              <w:rPr>
                <w:rFonts w:asciiTheme="majorHAnsi" w:eastAsia="Times New Roman" w:hAnsiTheme="majorHAnsi" w:cstheme="majorHAnsi"/>
                <w:b/>
                <w:bCs/>
                <w:color w:val="000000"/>
                <w:sz w:val="20"/>
                <w:szCs w:val="16"/>
                <w:lang w:val="ru-MD"/>
              </w:rPr>
            </w:pPr>
            <w:r w:rsidRPr="000371DF">
              <w:rPr>
                <w:rFonts w:asciiTheme="majorHAnsi" w:eastAsia="Times New Roman" w:hAnsiTheme="majorHAnsi" w:cstheme="majorHAnsi"/>
                <w:b/>
                <w:bCs/>
                <w:color w:val="000000"/>
                <w:sz w:val="20"/>
                <w:szCs w:val="16"/>
                <w:lang w:val="ru-MD"/>
              </w:rPr>
              <w:t>2022</w:t>
            </w:r>
          </w:p>
          <w:p w14:paraId="2FA640BD" w14:textId="5399503B" w:rsidR="000371DF" w:rsidRPr="000371DF" w:rsidRDefault="000371DF" w:rsidP="00C67851">
            <w:pPr>
              <w:spacing w:after="0" w:line="240" w:lineRule="auto"/>
              <w:jc w:val="center"/>
              <w:rPr>
                <w:rFonts w:asciiTheme="majorHAnsi" w:eastAsia="Times New Roman" w:hAnsiTheme="majorHAnsi" w:cstheme="majorHAnsi"/>
                <w:b/>
                <w:bCs/>
                <w:color w:val="000000"/>
                <w:sz w:val="20"/>
                <w:szCs w:val="16"/>
                <w:lang w:val="ru-MD"/>
              </w:rPr>
            </w:pPr>
            <w:r w:rsidRPr="000371DF">
              <w:rPr>
                <w:rFonts w:asciiTheme="majorHAnsi" w:eastAsia="Times New Roman" w:hAnsiTheme="majorHAnsi" w:cstheme="majorHAnsi"/>
                <w:b/>
                <w:bCs/>
                <w:color w:val="000000"/>
                <w:sz w:val="20"/>
                <w:szCs w:val="16"/>
                <w:lang w:val="ru-MD"/>
              </w:rPr>
              <w:t>год</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180E7232" w14:textId="66017314" w:rsidR="00C67851" w:rsidRPr="000371DF" w:rsidRDefault="000371DF" w:rsidP="00C67851">
            <w:pPr>
              <w:spacing w:after="0" w:line="240" w:lineRule="auto"/>
              <w:jc w:val="center"/>
              <w:rPr>
                <w:rFonts w:asciiTheme="majorHAnsi" w:eastAsia="Times New Roman" w:hAnsiTheme="majorHAnsi" w:cstheme="majorHAnsi"/>
                <w:b/>
                <w:bCs/>
                <w:color w:val="000000"/>
                <w:sz w:val="20"/>
                <w:szCs w:val="16"/>
                <w:lang w:val="ru-MD"/>
              </w:rPr>
            </w:pPr>
            <w:r w:rsidRPr="000371DF">
              <w:rPr>
                <w:rFonts w:asciiTheme="majorHAnsi" w:eastAsia="Times New Roman" w:hAnsiTheme="majorHAnsi" w:cstheme="majorHAnsi"/>
                <w:b/>
                <w:bCs/>
                <w:color w:val="000000"/>
                <w:sz w:val="20"/>
                <w:szCs w:val="16"/>
                <w:lang w:val="ru-MD"/>
              </w:rPr>
              <w:t>Динамика</w:t>
            </w:r>
            <w:r w:rsidR="00C67851" w:rsidRPr="000371DF">
              <w:rPr>
                <w:rFonts w:asciiTheme="majorHAnsi" w:eastAsia="Times New Roman" w:hAnsiTheme="majorHAnsi" w:cstheme="majorHAnsi"/>
                <w:b/>
                <w:bCs/>
                <w:color w:val="000000"/>
                <w:sz w:val="20"/>
                <w:szCs w:val="16"/>
                <w:lang w:val="ru-MD"/>
              </w:rPr>
              <w:t xml:space="preserve"> </w:t>
            </w:r>
          </w:p>
          <w:p w14:paraId="7D3FB257" w14:textId="3EE9D291" w:rsidR="00C67851" w:rsidRPr="000371DF" w:rsidRDefault="00C67851" w:rsidP="00C67851">
            <w:pPr>
              <w:spacing w:after="0" w:line="240" w:lineRule="auto"/>
              <w:jc w:val="center"/>
              <w:rPr>
                <w:rFonts w:asciiTheme="majorHAnsi" w:eastAsia="Times New Roman" w:hAnsiTheme="majorHAnsi" w:cstheme="majorHAnsi"/>
                <w:b/>
                <w:bCs/>
                <w:color w:val="000000"/>
                <w:sz w:val="20"/>
                <w:szCs w:val="16"/>
                <w:lang w:val="ru-MD"/>
              </w:rPr>
            </w:pPr>
            <w:r w:rsidRPr="000371DF">
              <w:rPr>
                <w:rFonts w:asciiTheme="majorHAnsi" w:eastAsia="Times New Roman" w:hAnsiTheme="majorHAnsi" w:cstheme="majorHAnsi"/>
                <w:b/>
                <w:bCs/>
                <w:color w:val="000000"/>
                <w:sz w:val="20"/>
                <w:szCs w:val="16"/>
                <w:lang w:val="ru-MD"/>
              </w:rPr>
              <w:t>2021-2020</w:t>
            </w:r>
            <w:r w:rsidR="000371DF" w:rsidRPr="000371DF">
              <w:rPr>
                <w:rFonts w:asciiTheme="majorHAnsi" w:eastAsia="Times New Roman" w:hAnsiTheme="majorHAnsi" w:cstheme="majorHAnsi"/>
                <w:b/>
                <w:bCs/>
                <w:color w:val="000000"/>
                <w:sz w:val="20"/>
                <w:szCs w:val="16"/>
                <w:lang w:val="ru-MD"/>
              </w:rPr>
              <w:t xml:space="preserve"> гг.</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0FA9AD11" w14:textId="7CBD3635" w:rsidR="00C67851" w:rsidRPr="000371DF" w:rsidRDefault="000371DF" w:rsidP="00C67851">
            <w:pPr>
              <w:spacing w:after="0" w:line="240" w:lineRule="auto"/>
              <w:jc w:val="center"/>
              <w:rPr>
                <w:rFonts w:asciiTheme="majorHAnsi" w:eastAsia="Times New Roman" w:hAnsiTheme="majorHAnsi" w:cstheme="majorHAnsi"/>
                <w:b/>
                <w:bCs/>
                <w:color w:val="000000"/>
                <w:sz w:val="20"/>
                <w:szCs w:val="16"/>
                <w:lang w:val="ru-MD"/>
              </w:rPr>
            </w:pPr>
            <w:r w:rsidRPr="000371DF">
              <w:rPr>
                <w:rFonts w:asciiTheme="majorHAnsi" w:eastAsia="Times New Roman" w:hAnsiTheme="majorHAnsi" w:cstheme="majorHAnsi"/>
                <w:b/>
                <w:bCs/>
                <w:color w:val="000000"/>
                <w:sz w:val="20"/>
                <w:szCs w:val="16"/>
                <w:lang w:val="ru-MD"/>
              </w:rPr>
              <w:t>Динамика</w:t>
            </w:r>
            <w:r w:rsidR="00C67851" w:rsidRPr="000371DF">
              <w:rPr>
                <w:rFonts w:asciiTheme="majorHAnsi" w:eastAsia="Times New Roman" w:hAnsiTheme="majorHAnsi" w:cstheme="majorHAnsi"/>
                <w:b/>
                <w:bCs/>
                <w:color w:val="000000"/>
                <w:sz w:val="20"/>
                <w:szCs w:val="16"/>
                <w:lang w:val="ru-MD"/>
              </w:rPr>
              <w:t xml:space="preserve"> </w:t>
            </w:r>
          </w:p>
          <w:p w14:paraId="7B612995" w14:textId="02AF6D0B" w:rsidR="00C67851" w:rsidRPr="000371DF" w:rsidRDefault="00C67851" w:rsidP="00C67851">
            <w:pPr>
              <w:spacing w:after="0" w:line="240" w:lineRule="auto"/>
              <w:jc w:val="center"/>
              <w:rPr>
                <w:rFonts w:asciiTheme="majorHAnsi" w:eastAsia="Times New Roman" w:hAnsiTheme="majorHAnsi" w:cstheme="majorHAnsi"/>
                <w:b/>
                <w:bCs/>
                <w:color w:val="000000"/>
                <w:sz w:val="20"/>
                <w:szCs w:val="16"/>
                <w:lang w:val="ru-MD"/>
              </w:rPr>
            </w:pPr>
            <w:r w:rsidRPr="000371DF">
              <w:rPr>
                <w:rFonts w:asciiTheme="majorHAnsi" w:eastAsia="Times New Roman" w:hAnsiTheme="majorHAnsi" w:cstheme="majorHAnsi"/>
                <w:b/>
                <w:bCs/>
                <w:color w:val="000000"/>
                <w:sz w:val="20"/>
                <w:szCs w:val="16"/>
                <w:lang w:val="ru-MD"/>
              </w:rPr>
              <w:t>2022-2021</w:t>
            </w:r>
            <w:r w:rsidR="000371DF" w:rsidRPr="000371DF">
              <w:rPr>
                <w:rFonts w:asciiTheme="majorHAnsi" w:eastAsia="Times New Roman" w:hAnsiTheme="majorHAnsi" w:cstheme="majorHAnsi"/>
                <w:b/>
                <w:bCs/>
                <w:color w:val="000000"/>
                <w:sz w:val="20"/>
                <w:szCs w:val="16"/>
                <w:lang w:val="ru-MD"/>
              </w:rPr>
              <w:t xml:space="preserve"> гг.</w:t>
            </w:r>
          </w:p>
        </w:tc>
      </w:tr>
      <w:tr w:rsidR="00C67851" w:rsidRPr="000371DF" w14:paraId="3FFCEBA2" w14:textId="77777777" w:rsidTr="00C140E8">
        <w:trPr>
          <w:trHeight w:val="170"/>
        </w:trPr>
        <w:tc>
          <w:tcPr>
            <w:tcW w:w="2540" w:type="pct"/>
            <w:tcBorders>
              <w:top w:val="nil"/>
              <w:left w:val="single" w:sz="4" w:space="0" w:color="auto"/>
              <w:bottom w:val="single" w:sz="4" w:space="0" w:color="auto"/>
              <w:right w:val="single" w:sz="4" w:space="0" w:color="auto"/>
            </w:tcBorders>
            <w:shd w:val="clear" w:color="auto" w:fill="auto"/>
            <w:hideMark/>
          </w:tcPr>
          <w:p w14:paraId="6606AE48" w14:textId="6FA342F8" w:rsidR="00C67851" w:rsidRPr="000371DF" w:rsidRDefault="000371DF" w:rsidP="000371DF">
            <w:pPr>
              <w:spacing w:after="0" w:line="240" w:lineRule="auto"/>
              <w:rPr>
                <w:rFonts w:asciiTheme="majorHAnsi" w:eastAsia="Times New Roman" w:hAnsiTheme="majorHAnsi" w:cstheme="majorHAnsi"/>
                <w:bCs/>
                <w:color w:val="000000"/>
                <w:sz w:val="20"/>
                <w:szCs w:val="16"/>
                <w:lang w:val="ru-MD"/>
              </w:rPr>
            </w:pPr>
            <w:r w:rsidRPr="000371DF">
              <w:rPr>
                <w:rFonts w:asciiTheme="majorHAnsi" w:eastAsia="Times New Roman" w:hAnsiTheme="majorHAnsi" w:cstheme="majorHAnsi"/>
                <w:bCs/>
                <w:color w:val="000000"/>
                <w:sz w:val="20"/>
                <w:szCs w:val="16"/>
                <w:lang w:val="ru-MD"/>
              </w:rPr>
              <w:t>Кол-во лиц</w:t>
            </w:r>
            <w:r w:rsidR="00C67851" w:rsidRPr="000371DF">
              <w:rPr>
                <w:rFonts w:asciiTheme="majorHAnsi" w:eastAsia="Times New Roman" w:hAnsiTheme="majorHAnsi" w:cstheme="majorHAnsi"/>
                <w:bCs/>
                <w:color w:val="000000"/>
                <w:sz w:val="20"/>
                <w:szCs w:val="16"/>
                <w:lang w:val="ru-MD"/>
              </w:rPr>
              <w:t>/</w:t>
            </w:r>
            <w:r w:rsidRPr="000371DF">
              <w:rPr>
                <w:rFonts w:asciiTheme="majorHAnsi" w:eastAsia="Times New Roman" w:hAnsiTheme="majorHAnsi" w:cstheme="majorHAnsi"/>
                <w:bCs/>
                <w:color w:val="000000"/>
                <w:sz w:val="20"/>
                <w:szCs w:val="16"/>
                <w:lang w:val="ru-MD"/>
              </w:rPr>
              <w:t>бенефициаров</w:t>
            </w:r>
          </w:p>
        </w:tc>
        <w:tc>
          <w:tcPr>
            <w:tcW w:w="457" w:type="pct"/>
            <w:tcBorders>
              <w:top w:val="nil"/>
              <w:left w:val="nil"/>
              <w:bottom w:val="single" w:sz="4" w:space="0" w:color="auto"/>
              <w:right w:val="single" w:sz="4" w:space="0" w:color="auto"/>
            </w:tcBorders>
            <w:shd w:val="clear" w:color="auto" w:fill="auto"/>
            <w:noWrap/>
            <w:vAlign w:val="center"/>
            <w:hideMark/>
          </w:tcPr>
          <w:p w14:paraId="2958FCB0" w14:textId="77777777" w:rsidR="00C67851" w:rsidRPr="000371DF" w:rsidRDefault="00C67851" w:rsidP="00CA1DD1">
            <w:pPr>
              <w:spacing w:after="0" w:line="240" w:lineRule="auto"/>
              <w:jc w:val="right"/>
              <w:rPr>
                <w:rFonts w:asciiTheme="majorHAnsi" w:eastAsia="Times New Roman" w:hAnsiTheme="majorHAnsi" w:cstheme="majorHAnsi"/>
                <w:sz w:val="20"/>
                <w:szCs w:val="16"/>
                <w:lang w:val="ru-MD"/>
              </w:rPr>
            </w:pPr>
            <w:r w:rsidRPr="000371DF">
              <w:rPr>
                <w:rFonts w:asciiTheme="majorHAnsi" w:eastAsia="Times New Roman" w:hAnsiTheme="majorHAnsi" w:cstheme="majorHAnsi"/>
                <w:sz w:val="20"/>
                <w:szCs w:val="16"/>
                <w:lang w:val="ru-MD"/>
              </w:rPr>
              <w:t>10124</w:t>
            </w:r>
          </w:p>
        </w:tc>
        <w:tc>
          <w:tcPr>
            <w:tcW w:w="457" w:type="pct"/>
            <w:tcBorders>
              <w:top w:val="nil"/>
              <w:left w:val="nil"/>
              <w:bottom w:val="single" w:sz="4" w:space="0" w:color="auto"/>
              <w:right w:val="single" w:sz="4" w:space="0" w:color="auto"/>
            </w:tcBorders>
            <w:shd w:val="clear" w:color="auto" w:fill="auto"/>
            <w:noWrap/>
            <w:vAlign w:val="center"/>
            <w:hideMark/>
          </w:tcPr>
          <w:p w14:paraId="55E2C16E" w14:textId="77777777" w:rsidR="00C67851" w:rsidRPr="000371DF" w:rsidRDefault="00C67851" w:rsidP="00CA1DD1">
            <w:pPr>
              <w:spacing w:after="0" w:line="240" w:lineRule="auto"/>
              <w:jc w:val="right"/>
              <w:rPr>
                <w:rFonts w:asciiTheme="majorHAnsi" w:eastAsia="Times New Roman" w:hAnsiTheme="majorHAnsi" w:cstheme="majorHAnsi"/>
                <w:sz w:val="20"/>
                <w:szCs w:val="16"/>
                <w:lang w:val="ru-MD"/>
              </w:rPr>
            </w:pPr>
            <w:r w:rsidRPr="000371DF">
              <w:rPr>
                <w:rFonts w:asciiTheme="majorHAnsi" w:eastAsia="Times New Roman" w:hAnsiTheme="majorHAnsi" w:cstheme="majorHAnsi"/>
                <w:sz w:val="20"/>
                <w:szCs w:val="16"/>
                <w:lang w:val="ru-MD"/>
              </w:rPr>
              <w:t>10559</w:t>
            </w:r>
          </w:p>
        </w:tc>
        <w:tc>
          <w:tcPr>
            <w:tcW w:w="493" w:type="pct"/>
            <w:tcBorders>
              <w:top w:val="nil"/>
              <w:left w:val="nil"/>
              <w:bottom w:val="single" w:sz="4" w:space="0" w:color="auto"/>
              <w:right w:val="single" w:sz="4" w:space="0" w:color="auto"/>
            </w:tcBorders>
            <w:shd w:val="clear" w:color="auto" w:fill="auto"/>
            <w:noWrap/>
            <w:vAlign w:val="center"/>
            <w:hideMark/>
          </w:tcPr>
          <w:p w14:paraId="77237C76" w14:textId="77777777" w:rsidR="00C67851" w:rsidRPr="000371DF" w:rsidRDefault="00C67851" w:rsidP="00CA1DD1">
            <w:pPr>
              <w:spacing w:after="0" w:line="240" w:lineRule="auto"/>
              <w:jc w:val="right"/>
              <w:rPr>
                <w:rFonts w:asciiTheme="majorHAnsi" w:eastAsia="Times New Roman" w:hAnsiTheme="majorHAnsi" w:cstheme="majorHAnsi"/>
                <w:sz w:val="20"/>
                <w:szCs w:val="16"/>
                <w:lang w:val="ru-MD"/>
              </w:rPr>
            </w:pPr>
            <w:r w:rsidRPr="000371DF">
              <w:rPr>
                <w:rFonts w:asciiTheme="majorHAnsi" w:eastAsia="Times New Roman" w:hAnsiTheme="majorHAnsi" w:cstheme="majorHAnsi"/>
                <w:sz w:val="20"/>
                <w:szCs w:val="16"/>
                <w:lang w:val="ru-MD"/>
              </w:rPr>
              <w:t>8861</w:t>
            </w:r>
          </w:p>
        </w:tc>
        <w:tc>
          <w:tcPr>
            <w:tcW w:w="504" w:type="pct"/>
            <w:tcBorders>
              <w:top w:val="nil"/>
              <w:left w:val="nil"/>
              <w:bottom w:val="single" w:sz="4" w:space="0" w:color="auto"/>
              <w:right w:val="single" w:sz="4" w:space="0" w:color="auto"/>
            </w:tcBorders>
            <w:shd w:val="clear" w:color="auto" w:fill="auto"/>
            <w:vAlign w:val="center"/>
            <w:hideMark/>
          </w:tcPr>
          <w:p w14:paraId="276AC377" w14:textId="77777777" w:rsidR="00C67851" w:rsidRPr="000371DF" w:rsidRDefault="00C67851" w:rsidP="00CA1DD1">
            <w:pPr>
              <w:spacing w:after="0" w:line="240" w:lineRule="auto"/>
              <w:jc w:val="right"/>
              <w:rPr>
                <w:rFonts w:asciiTheme="majorHAnsi" w:eastAsia="Times New Roman" w:hAnsiTheme="majorHAnsi" w:cstheme="majorHAnsi"/>
                <w:sz w:val="20"/>
                <w:szCs w:val="16"/>
                <w:lang w:val="ru-MD"/>
              </w:rPr>
            </w:pPr>
            <w:r w:rsidRPr="000371DF">
              <w:rPr>
                <w:rFonts w:asciiTheme="majorHAnsi" w:eastAsia="Times New Roman" w:hAnsiTheme="majorHAnsi" w:cstheme="majorHAnsi"/>
                <w:sz w:val="20"/>
                <w:szCs w:val="16"/>
                <w:lang w:val="ru-MD"/>
              </w:rPr>
              <w:t>435</w:t>
            </w:r>
          </w:p>
        </w:tc>
        <w:tc>
          <w:tcPr>
            <w:tcW w:w="549" w:type="pct"/>
            <w:tcBorders>
              <w:top w:val="nil"/>
              <w:left w:val="nil"/>
              <w:bottom w:val="single" w:sz="4" w:space="0" w:color="auto"/>
              <w:right w:val="single" w:sz="4" w:space="0" w:color="auto"/>
            </w:tcBorders>
            <w:shd w:val="clear" w:color="auto" w:fill="auto"/>
            <w:vAlign w:val="center"/>
            <w:hideMark/>
          </w:tcPr>
          <w:p w14:paraId="45D964CD" w14:textId="77777777" w:rsidR="00C67851" w:rsidRPr="000371DF" w:rsidRDefault="00C67851" w:rsidP="00CA1DD1">
            <w:pPr>
              <w:spacing w:after="0" w:line="240" w:lineRule="auto"/>
              <w:jc w:val="right"/>
              <w:rPr>
                <w:rFonts w:asciiTheme="majorHAnsi" w:eastAsia="Times New Roman" w:hAnsiTheme="majorHAnsi" w:cstheme="majorHAnsi"/>
                <w:sz w:val="20"/>
                <w:szCs w:val="16"/>
                <w:lang w:val="ru-MD"/>
              </w:rPr>
            </w:pPr>
            <w:r w:rsidRPr="000371DF">
              <w:rPr>
                <w:rFonts w:asciiTheme="majorHAnsi" w:eastAsia="Times New Roman" w:hAnsiTheme="majorHAnsi" w:cstheme="majorHAnsi"/>
                <w:sz w:val="20"/>
                <w:szCs w:val="16"/>
                <w:lang w:val="ru-MD"/>
              </w:rPr>
              <w:t>-1698</w:t>
            </w:r>
          </w:p>
        </w:tc>
      </w:tr>
      <w:tr w:rsidR="00C67851" w:rsidRPr="000371DF" w14:paraId="6E1AB782" w14:textId="77777777" w:rsidTr="00C140E8">
        <w:trPr>
          <w:trHeight w:val="71"/>
        </w:trPr>
        <w:tc>
          <w:tcPr>
            <w:tcW w:w="2540" w:type="pct"/>
            <w:tcBorders>
              <w:top w:val="nil"/>
              <w:left w:val="single" w:sz="4" w:space="0" w:color="auto"/>
              <w:bottom w:val="single" w:sz="4" w:space="0" w:color="auto"/>
              <w:right w:val="single" w:sz="4" w:space="0" w:color="auto"/>
            </w:tcBorders>
            <w:shd w:val="clear" w:color="auto" w:fill="auto"/>
            <w:hideMark/>
          </w:tcPr>
          <w:p w14:paraId="64E8738D" w14:textId="0527625C" w:rsidR="00C67851" w:rsidRPr="000371DF" w:rsidRDefault="000371DF" w:rsidP="000371DF">
            <w:pPr>
              <w:spacing w:after="0" w:line="240" w:lineRule="auto"/>
              <w:rPr>
                <w:rFonts w:asciiTheme="majorHAnsi" w:eastAsia="Times New Roman" w:hAnsiTheme="majorHAnsi" w:cstheme="majorHAnsi"/>
                <w:bCs/>
                <w:color w:val="000000"/>
                <w:sz w:val="20"/>
                <w:szCs w:val="16"/>
                <w:lang w:val="ru-MD"/>
              </w:rPr>
            </w:pPr>
            <w:r w:rsidRPr="000371DF">
              <w:rPr>
                <w:rFonts w:asciiTheme="majorHAnsi" w:eastAsia="Times New Roman" w:hAnsiTheme="majorHAnsi" w:cstheme="majorHAnsi"/>
                <w:bCs/>
                <w:color w:val="000000"/>
                <w:sz w:val="20"/>
                <w:szCs w:val="16"/>
                <w:lang w:val="ru-MD"/>
              </w:rPr>
              <w:t>Сумма дивидендного дохода</w:t>
            </w:r>
            <w:r w:rsidR="00C67851" w:rsidRPr="000371DF">
              <w:rPr>
                <w:rFonts w:asciiTheme="majorHAnsi" w:eastAsia="Times New Roman" w:hAnsiTheme="majorHAnsi" w:cstheme="majorHAnsi"/>
                <w:bCs/>
                <w:color w:val="000000"/>
                <w:sz w:val="20"/>
                <w:szCs w:val="16"/>
                <w:lang w:val="ru-MD"/>
              </w:rPr>
              <w:t xml:space="preserve">, </w:t>
            </w:r>
            <w:r w:rsidRPr="000371DF">
              <w:rPr>
                <w:rFonts w:asciiTheme="majorHAnsi" w:eastAsia="Times New Roman" w:hAnsiTheme="majorHAnsi" w:cstheme="majorHAnsi"/>
                <w:bCs/>
                <w:color w:val="000000"/>
                <w:sz w:val="20"/>
                <w:szCs w:val="16"/>
                <w:lang w:val="ru-MD"/>
              </w:rPr>
              <w:t>млн. леев</w:t>
            </w:r>
          </w:p>
        </w:tc>
        <w:tc>
          <w:tcPr>
            <w:tcW w:w="457" w:type="pct"/>
            <w:tcBorders>
              <w:top w:val="nil"/>
              <w:left w:val="nil"/>
              <w:bottom w:val="single" w:sz="4" w:space="0" w:color="auto"/>
              <w:right w:val="single" w:sz="4" w:space="0" w:color="auto"/>
            </w:tcBorders>
            <w:shd w:val="clear" w:color="auto" w:fill="auto"/>
            <w:noWrap/>
            <w:vAlign w:val="center"/>
            <w:hideMark/>
          </w:tcPr>
          <w:p w14:paraId="44A5CFEC" w14:textId="77777777" w:rsidR="00C67851" w:rsidRPr="000371DF" w:rsidRDefault="00C67851" w:rsidP="00CA1DD1">
            <w:pPr>
              <w:spacing w:after="0" w:line="240" w:lineRule="auto"/>
              <w:jc w:val="right"/>
              <w:rPr>
                <w:rFonts w:asciiTheme="majorHAnsi" w:eastAsia="Times New Roman" w:hAnsiTheme="majorHAnsi" w:cstheme="majorHAnsi"/>
                <w:sz w:val="20"/>
                <w:szCs w:val="16"/>
                <w:lang w:val="ru-MD"/>
              </w:rPr>
            </w:pPr>
            <w:r w:rsidRPr="000371DF">
              <w:rPr>
                <w:rFonts w:asciiTheme="majorHAnsi" w:eastAsia="Times New Roman" w:hAnsiTheme="majorHAnsi" w:cstheme="majorHAnsi"/>
                <w:sz w:val="20"/>
                <w:szCs w:val="16"/>
                <w:lang w:val="ru-MD"/>
              </w:rPr>
              <w:t>7470.23</w:t>
            </w:r>
          </w:p>
        </w:tc>
        <w:tc>
          <w:tcPr>
            <w:tcW w:w="457" w:type="pct"/>
            <w:tcBorders>
              <w:top w:val="nil"/>
              <w:left w:val="nil"/>
              <w:bottom w:val="single" w:sz="4" w:space="0" w:color="auto"/>
              <w:right w:val="single" w:sz="4" w:space="0" w:color="auto"/>
            </w:tcBorders>
            <w:shd w:val="clear" w:color="auto" w:fill="auto"/>
            <w:noWrap/>
            <w:vAlign w:val="center"/>
            <w:hideMark/>
          </w:tcPr>
          <w:p w14:paraId="28267990" w14:textId="77777777" w:rsidR="00C67851" w:rsidRPr="000371DF" w:rsidRDefault="00C67851" w:rsidP="00CA1DD1">
            <w:pPr>
              <w:spacing w:after="0" w:line="240" w:lineRule="auto"/>
              <w:jc w:val="right"/>
              <w:rPr>
                <w:rFonts w:asciiTheme="majorHAnsi" w:eastAsia="Times New Roman" w:hAnsiTheme="majorHAnsi" w:cstheme="majorHAnsi"/>
                <w:sz w:val="20"/>
                <w:szCs w:val="16"/>
                <w:lang w:val="ru-MD"/>
              </w:rPr>
            </w:pPr>
            <w:r w:rsidRPr="000371DF">
              <w:rPr>
                <w:rFonts w:asciiTheme="majorHAnsi" w:eastAsia="Times New Roman" w:hAnsiTheme="majorHAnsi" w:cstheme="majorHAnsi"/>
                <w:sz w:val="20"/>
                <w:szCs w:val="16"/>
                <w:lang w:val="ru-MD"/>
              </w:rPr>
              <w:t>8962.12</w:t>
            </w:r>
          </w:p>
        </w:tc>
        <w:tc>
          <w:tcPr>
            <w:tcW w:w="493" w:type="pct"/>
            <w:tcBorders>
              <w:top w:val="nil"/>
              <w:left w:val="nil"/>
              <w:bottom w:val="single" w:sz="4" w:space="0" w:color="auto"/>
              <w:right w:val="single" w:sz="4" w:space="0" w:color="auto"/>
            </w:tcBorders>
            <w:shd w:val="clear" w:color="auto" w:fill="auto"/>
            <w:noWrap/>
            <w:vAlign w:val="center"/>
            <w:hideMark/>
          </w:tcPr>
          <w:p w14:paraId="67124135" w14:textId="77777777" w:rsidR="00C67851" w:rsidRPr="000371DF" w:rsidRDefault="00C67851" w:rsidP="00CA1DD1">
            <w:pPr>
              <w:spacing w:after="0" w:line="240" w:lineRule="auto"/>
              <w:jc w:val="right"/>
              <w:rPr>
                <w:rFonts w:asciiTheme="majorHAnsi" w:eastAsia="Times New Roman" w:hAnsiTheme="majorHAnsi" w:cstheme="majorHAnsi"/>
                <w:sz w:val="20"/>
                <w:szCs w:val="16"/>
                <w:lang w:val="ru-MD"/>
              </w:rPr>
            </w:pPr>
            <w:r w:rsidRPr="000371DF">
              <w:rPr>
                <w:rFonts w:asciiTheme="majorHAnsi" w:eastAsia="Times New Roman" w:hAnsiTheme="majorHAnsi" w:cstheme="majorHAnsi"/>
                <w:sz w:val="20"/>
                <w:szCs w:val="16"/>
                <w:lang w:val="ru-MD"/>
              </w:rPr>
              <w:t>10122.71</w:t>
            </w:r>
          </w:p>
        </w:tc>
        <w:tc>
          <w:tcPr>
            <w:tcW w:w="504" w:type="pct"/>
            <w:tcBorders>
              <w:top w:val="nil"/>
              <w:left w:val="nil"/>
              <w:bottom w:val="single" w:sz="4" w:space="0" w:color="auto"/>
              <w:right w:val="single" w:sz="4" w:space="0" w:color="auto"/>
            </w:tcBorders>
            <w:shd w:val="clear" w:color="auto" w:fill="auto"/>
            <w:noWrap/>
            <w:vAlign w:val="center"/>
            <w:hideMark/>
          </w:tcPr>
          <w:p w14:paraId="425C7B6D" w14:textId="77777777" w:rsidR="00C67851" w:rsidRPr="000371DF" w:rsidRDefault="00C67851" w:rsidP="00CA1DD1">
            <w:pPr>
              <w:spacing w:after="0" w:line="240" w:lineRule="auto"/>
              <w:jc w:val="right"/>
              <w:rPr>
                <w:rFonts w:asciiTheme="majorHAnsi" w:eastAsia="Times New Roman" w:hAnsiTheme="majorHAnsi" w:cstheme="majorHAnsi"/>
                <w:sz w:val="20"/>
                <w:szCs w:val="16"/>
                <w:lang w:val="ru-MD"/>
              </w:rPr>
            </w:pPr>
            <w:r w:rsidRPr="000371DF">
              <w:rPr>
                <w:rFonts w:asciiTheme="majorHAnsi" w:eastAsia="Times New Roman" w:hAnsiTheme="majorHAnsi" w:cstheme="majorHAnsi"/>
                <w:sz w:val="20"/>
                <w:szCs w:val="16"/>
                <w:lang w:val="ru-MD"/>
              </w:rPr>
              <w:t>1491.89</w:t>
            </w:r>
          </w:p>
        </w:tc>
        <w:tc>
          <w:tcPr>
            <w:tcW w:w="549" w:type="pct"/>
            <w:tcBorders>
              <w:top w:val="nil"/>
              <w:left w:val="nil"/>
              <w:bottom w:val="single" w:sz="4" w:space="0" w:color="auto"/>
              <w:right w:val="single" w:sz="4" w:space="0" w:color="auto"/>
            </w:tcBorders>
            <w:shd w:val="clear" w:color="auto" w:fill="auto"/>
            <w:noWrap/>
            <w:vAlign w:val="center"/>
            <w:hideMark/>
          </w:tcPr>
          <w:p w14:paraId="70F7D106" w14:textId="77777777" w:rsidR="00C67851" w:rsidRPr="000371DF" w:rsidRDefault="00C67851" w:rsidP="00CA1DD1">
            <w:pPr>
              <w:spacing w:after="0" w:line="240" w:lineRule="auto"/>
              <w:jc w:val="right"/>
              <w:rPr>
                <w:rFonts w:asciiTheme="majorHAnsi" w:eastAsia="Times New Roman" w:hAnsiTheme="majorHAnsi" w:cstheme="majorHAnsi"/>
                <w:sz w:val="20"/>
                <w:szCs w:val="16"/>
                <w:lang w:val="ru-MD"/>
              </w:rPr>
            </w:pPr>
            <w:r w:rsidRPr="000371DF">
              <w:rPr>
                <w:rFonts w:asciiTheme="majorHAnsi" w:eastAsia="Times New Roman" w:hAnsiTheme="majorHAnsi" w:cstheme="majorHAnsi"/>
                <w:sz w:val="20"/>
                <w:szCs w:val="16"/>
                <w:lang w:val="ru-MD"/>
              </w:rPr>
              <w:t>1160.59</w:t>
            </w:r>
          </w:p>
        </w:tc>
      </w:tr>
      <w:tr w:rsidR="00C67851" w:rsidRPr="000371DF" w14:paraId="43B0DE42" w14:textId="77777777" w:rsidTr="00C140E8">
        <w:trPr>
          <w:trHeight w:val="53"/>
        </w:trPr>
        <w:tc>
          <w:tcPr>
            <w:tcW w:w="2540" w:type="pct"/>
            <w:tcBorders>
              <w:top w:val="nil"/>
              <w:left w:val="single" w:sz="4" w:space="0" w:color="auto"/>
              <w:bottom w:val="single" w:sz="4" w:space="0" w:color="auto"/>
              <w:right w:val="single" w:sz="4" w:space="0" w:color="auto"/>
            </w:tcBorders>
            <w:shd w:val="clear" w:color="auto" w:fill="auto"/>
            <w:hideMark/>
          </w:tcPr>
          <w:p w14:paraId="11FED876" w14:textId="035C77C3" w:rsidR="00C67851" w:rsidRPr="000371DF" w:rsidRDefault="000371DF" w:rsidP="000371DF">
            <w:pPr>
              <w:spacing w:after="0" w:line="240" w:lineRule="auto"/>
              <w:rPr>
                <w:rFonts w:asciiTheme="majorHAnsi" w:eastAsia="Times New Roman" w:hAnsiTheme="majorHAnsi" w:cstheme="majorHAnsi"/>
                <w:bCs/>
                <w:color w:val="000000"/>
                <w:sz w:val="20"/>
                <w:szCs w:val="16"/>
                <w:lang w:val="ru-MD"/>
              </w:rPr>
            </w:pPr>
            <w:r w:rsidRPr="000371DF">
              <w:rPr>
                <w:rFonts w:asciiTheme="majorHAnsi" w:eastAsia="Times New Roman" w:hAnsiTheme="majorHAnsi" w:cstheme="majorHAnsi"/>
                <w:bCs/>
                <w:color w:val="000000"/>
                <w:sz w:val="20"/>
                <w:szCs w:val="16"/>
                <w:lang w:val="ru-MD"/>
              </w:rPr>
              <w:t>Сумма удержанного подоходного налога</w:t>
            </w:r>
            <w:r w:rsidR="00C67851" w:rsidRPr="000371DF">
              <w:rPr>
                <w:rFonts w:asciiTheme="majorHAnsi" w:eastAsia="Times New Roman" w:hAnsiTheme="majorHAnsi" w:cstheme="majorHAnsi"/>
                <w:bCs/>
                <w:color w:val="000000"/>
                <w:sz w:val="20"/>
                <w:szCs w:val="16"/>
                <w:lang w:val="ru-MD"/>
              </w:rPr>
              <w:t xml:space="preserve">, </w:t>
            </w:r>
            <w:r w:rsidRPr="000371DF">
              <w:rPr>
                <w:rFonts w:asciiTheme="majorHAnsi" w:eastAsia="Times New Roman" w:hAnsiTheme="majorHAnsi" w:cstheme="majorHAnsi"/>
                <w:bCs/>
                <w:color w:val="000000"/>
                <w:sz w:val="20"/>
                <w:szCs w:val="16"/>
                <w:lang w:val="ru-MD"/>
              </w:rPr>
              <w:t>млн. леев</w:t>
            </w:r>
          </w:p>
        </w:tc>
        <w:tc>
          <w:tcPr>
            <w:tcW w:w="457" w:type="pct"/>
            <w:tcBorders>
              <w:top w:val="nil"/>
              <w:left w:val="nil"/>
              <w:bottom w:val="single" w:sz="4" w:space="0" w:color="auto"/>
              <w:right w:val="single" w:sz="4" w:space="0" w:color="auto"/>
            </w:tcBorders>
            <w:shd w:val="clear" w:color="auto" w:fill="auto"/>
            <w:noWrap/>
            <w:vAlign w:val="center"/>
            <w:hideMark/>
          </w:tcPr>
          <w:p w14:paraId="78C2DF6F" w14:textId="77777777" w:rsidR="00C67851" w:rsidRPr="000371DF" w:rsidRDefault="00C67851" w:rsidP="00CA1DD1">
            <w:pPr>
              <w:spacing w:after="0" w:line="240" w:lineRule="auto"/>
              <w:jc w:val="right"/>
              <w:rPr>
                <w:rFonts w:asciiTheme="majorHAnsi" w:eastAsia="Times New Roman" w:hAnsiTheme="majorHAnsi" w:cstheme="majorHAnsi"/>
                <w:sz w:val="20"/>
                <w:szCs w:val="16"/>
                <w:lang w:val="ru-MD"/>
              </w:rPr>
            </w:pPr>
            <w:r w:rsidRPr="000371DF">
              <w:rPr>
                <w:rFonts w:asciiTheme="majorHAnsi" w:eastAsia="Times New Roman" w:hAnsiTheme="majorHAnsi" w:cstheme="majorHAnsi"/>
                <w:sz w:val="20"/>
                <w:szCs w:val="16"/>
                <w:lang w:val="ru-MD"/>
              </w:rPr>
              <w:t>457.88</w:t>
            </w:r>
          </w:p>
        </w:tc>
        <w:tc>
          <w:tcPr>
            <w:tcW w:w="457" w:type="pct"/>
            <w:tcBorders>
              <w:top w:val="nil"/>
              <w:left w:val="nil"/>
              <w:bottom w:val="single" w:sz="4" w:space="0" w:color="auto"/>
              <w:right w:val="single" w:sz="4" w:space="0" w:color="auto"/>
            </w:tcBorders>
            <w:shd w:val="clear" w:color="auto" w:fill="auto"/>
            <w:noWrap/>
            <w:vAlign w:val="center"/>
            <w:hideMark/>
          </w:tcPr>
          <w:p w14:paraId="6702AAD8" w14:textId="77777777" w:rsidR="00C67851" w:rsidRPr="000371DF" w:rsidRDefault="00C67851" w:rsidP="00CA1DD1">
            <w:pPr>
              <w:spacing w:after="0" w:line="240" w:lineRule="auto"/>
              <w:jc w:val="right"/>
              <w:rPr>
                <w:rFonts w:asciiTheme="majorHAnsi" w:eastAsia="Times New Roman" w:hAnsiTheme="majorHAnsi" w:cstheme="majorHAnsi"/>
                <w:sz w:val="20"/>
                <w:szCs w:val="16"/>
                <w:lang w:val="ru-MD"/>
              </w:rPr>
            </w:pPr>
            <w:r w:rsidRPr="000371DF">
              <w:rPr>
                <w:rFonts w:asciiTheme="majorHAnsi" w:eastAsia="Times New Roman" w:hAnsiTheme="majorHAnsi" w:cstheme="majorHAnsi"/>
                <w:sz w:val="20"/>
                <w:szCs w:val="16"/>
                <w:lang w:val="ru-MD"/>
              </w:rPr>
              <w:t>543.62</w:t>
            </w:r>
          </w:p>
        </w:tc>
        <w:tc>
          <w:tcPr>
            <w:tcW w:w="493" w:type="pct"/>
            <w:tcBorders>
              <w:top w:val="nil"/>
              <w:left w:val="nil"/>
              <w:bottom w:val="single" w:sz="4" w:space="0" w:color="auto"/>
              <w:right w:val="single" w:sz="4" w:space="0" w:color="auto"/>
            </w:tcBorders>
            <w:shd w:val="clear" w:color="auto" w:fill="auto"/>
            <w:noWrap/>
            <w:vAlign w:val="center"/>
            <w:hideMark/>
          </w:tcPr>
          <w:p w14:paraId="6C6114AE" w14:textId="77777777" w:rsidR="00C67851" w:rsidRPr="000371DF" w:rsidRDefault="00C67851" w:rsidP="00CA1DD1">
            <w:pPr>
              <w:spacing w:after="0" w:line="240" w:lineRule="auto"/>
              <w:jc w:val="right"/>
              <w:rPr>
                <w:rFonts w:asciiTheme="majorHAnsi" w:eastAsia="Times New Roman" w:hAnsiTheme="majorHAnsi" w:cstheme="majorHAnsi"/>
                <w:sz w:val="20"/>
                <w:szCs w:val="16"/>
                <w:lang w:val="ru-MD"/>
              </w:rPr>
            </w:pPr>
            <w:r w:rsidRPr="000371DF">
              <w:rPr>
                <w:rFonts w:asciiTheme="majorHAnsi" w:eastAsia="Times New Roman" w:hAnsiTheme="majorHAnsi" w:cstheme="majorHAnsi"/>
                <w:sz w:val="20"/>
                <w:szCs w:val="16"/>
                <w:lang w:val="ru-MD"/>
              </w:rPr>
              <w:t>614.50</w:t>
            </w:r>
          </w:p>
        </w:tc>
        <w:tc>
          <w:tcPr>
            <w:tcW w:w="504" w:type="pct"/>
            <w:tcBorders>
              <w:top w:val="nil"/>
              <w:left w:val="nil"/>
              <w:bottom w:val="single" w:sz="4" w:space="0" w:color="auto"/>
              <w:right w:val="single" w:sz="4" w:space="0" w:color="auto"/>
            </w:tcBorders>
            <w:shd w:val="clear" w:color="auto" w:fill="auto"/>
            <w:noWrap/>
            <w:vAlign w:val="center"/>
            <w:hideMark/>
          </w:tcPr>
          <w:p w14:paraId="63634CD9" w14:textId="77777777" w:rsidR="00C67851" w:rsidRPr="000371DF" w:rsidRDefault="00C67851" w:rsidP="00CA1DD1">
            <w:pPr>
              <w:spacing w:after="0" w:line="240" w:lineRule="auto"/>
              <w:jc w:val="right"/>
              <w:rPr>
                <w:rFonts w:asciiTheme="majorHAnsi" w:eastAsia="Times New Roman" w:hAnsiTheme="majorHAnsi" w:cstheme="majorHAnsi"/>
                <w:sz w:val="20"/>
                <w:szCs w:val="16"/>
                <w:lang w:val="ru-MD"/>
              </w:rPr>
            </w:pPr>
            <w:r w:rsidRPr="000371DF">
              <w:rPr>
                <w:rFonts w:asciiTheme="majorHAnsi" w:eastAsia="Times New Roman" w:hAnsiTheme="majorHAnsi" w:cstheme="majorHAnsi"/>
                <w:sz w:val="20"/>
                <w:szCs w:val="16"/>
                <w:lang w:val="ru-MD"/>
              </w:rPr>
              <w:t>85.74</w:t>
            </w:r>
          </w:p>
        </w:tc>
        <w:tc>
          <w:tcPr>
            <w:tcW w:w="549" w:type="pct"/>
            <w:tcBorders>
              <w:top w:val="nil"/>
              <w:left w:val="nil"/>
              <w:bottom w:val="single" w:sz="4" w:space="0" w:color="auto"/>
              <w:right w:val="single" w:sz="4" w:space="0" w:color="auto"/>
            </w:tcBorders>
            <w:shd w:val="clear" w:color="auto" w:fill="auto"/>
            <w:noWrap/>
            <w:vAlign w:val="center"/>
            <w:hideMark/>
          </w:tcPr>
          <w:p w14:paraId="73880190" w14:textId="77777777" w:rsidR="00C67851" w:rsidRPr="000371DF" w:rsidRDefault="00C67851" w:rsidP="00CA1DD1">
            <w:pPr>
              <w:spacing w:after="0" w:line="240" w:lineRule="auto"/>
              <w:jc w:val="right"/>
              <w:rPr>
                <w:rFonts w:asciiTheme="majorHAnsi" w:eastAsia="Times New Roman" w:hAnsiTheme="majorHAnsi" w:cstheme="majorHAnsi"/>
                <w:sz w:val="20"/>
                <w:szCs w:val="16"/>
                <w:lang w:val="ru-MD"/>
              </w:rPr>
            </w:pPr>
            <w:r w:rsidRPr="000371DF">
              <w:rPr>
                <w:rFonts w:asciiTheme="majorHAnsi" w:eastAsia="Times New Roman" w:hAnsiTheme="majorHAnsi" w:cstheme="majorHAnsi"/>
                <w:sz w:val="20"/>
                <w:szCs w:val="16"/>
                <w:lang w:val="ru-MD"/>
              </w:rPr>
              <w:t>70.88</w:t>
            </w:r>
          </w:p>
        </w:tc>
      </w:tr>
    </w:tbl>
    <w:p w14:paraId="455FB190" w14:textId="03D3964D" w:rsidR="00C67851" w:rsidRPr="000371DF" w:rsidRDefault="00281F6D" w:rsidP="00C67851">
      <w:pPr>
        <w:tabs>
          <w:tab w:val="left" w:pos="284"/>
          <w:tab w:val="left" w:pos="425"/>
        </w:tabs>
        <w:spacing w:after="0" w:line="276" w:lineRule="auto"/>
        <w:ind w:left="142"/>
        <w:rPr>
          <w:rFonts w:asciiTheme="majorHAnsi" w:eastAsia="Calibri" w:hAnsiTheme="majorHAnsi" w:cstheme="majorHAnsi"/>
          <w:i/>
          <w:sz w:val="20"/>
          <w:szCs w:val="20"/>
          <w:lang w:val="ru-MD"/>
        </w:rPr>
      </w:pPr>
      <w:r w:rsidRPr="000371DF">
        <w:rPr>
          <w:rFonts w:asciiTheme="majorHAnsi" w:eastAsia="Calibri" w:hAnsiTheme="majorHAnsi" w:cstheme="majorHAnsi"/>
          <w:i/>
          <w:sz w:val="20"/>
          <w:szCs w:val="20"/>
          <w:lang w:val="ru-MD"/>
        </w:rPr>
        <w:t>Источник</w:t>
      </w:r>
      <w:r w:rsidR="00C67851" w:rsidRPr="000371DF">
        <w:rPr>
          <w:rFonts w:asciiTheme="majorHAnsi" w:eastAsia="Calibri" w:hAnsiTheme="majorHAnsi" w:cstheme="majorHAnsi"/>
          <w:i/>
          <w:sz w:val="20"/>
          <w:szCs w:val="20"/>
          <w:lang w:val="ru-MD"/>
        </w:rPr>
        <w:t xml:space="preserve">: </w:t>
      </w:r>
      <w:r w:rsidR="000371DF" w:rsidRPr="000371DF">
        <w:rPr>
          <w:rFonts w:asciiTheme="majorHAnsi" w:eastAsia="Calibri" w:hAnsiTheme="majorHAnsi" w:cstheme="majorHAnsi"/>
          <w:i/>
          <w:sz w:val="20"/>
          <w:szCs w:val="20"/>
          <w:lang w:val="ru-MD"/>
        </w:rPr>
        <w:t>Подготовлено аудитом на основе данных, представленных ГНС за период 2020-2022 гг.</w:t>
      </w:r>
    </w:p>
    <w:p w14:paraId="032BB1FA" w14:textId="77777777" w:rsidR="00C67851" w:rsidRPr="00B7675F" w:rsidRDefault="00C67851" w:rsidP="005A44A2">
      <w:pPr>
        <w:tabs>
          <w:tab w:val="left" w:pos="0"/>
          <w:tab w:val="left" w:pos="425"/>
        </w:tabs>
        <w:spacing w:after="0" w:line="276" w:lineRule="auto"/>
        <w:ind w:left="142" w:firstLine="425"/>
        <w:jc w:val="both"/>
        <w:rPr>
          <w:rFonts w:asciiTheme="majorHAnsi" w:eastAsia="Calibri" w:hAnsiTheme="majorHAnsi" w:cstheme="majorHAnsi"/>
          <w:sz w:val="24"/>
          <w:szCs w:val="24"/>
          <w:lang w:val="ro-MD"/>
        </w:rPr>
      </w:pPr>
    </w:p>
    <w:p w14:paraId="08D65C3D" w14:textId="6C6D3973" w:rsidR="00C67851" w:rsidRPr="00633450" w:rsidRDefault="000371DF" w:rsidP="005A44A2">
      <w:pPr>
        <w:shd w:val="clear" w:color="auto" w:fill="FFFFFF" w:themeFill="background1"/>
        <w:spacing w:line="276" w:lineRule="auto"/>
        <w:jc w:val="both"/>
        <w:rPr>
          <w:rFonts w:asciiTheme="majorHAnsi" w:hAnsiTheme="majorHAnsi" w:cstheme="majorHAnsi"/>
          <w:sz w:val="24"/>
          <w:szCs w:val="24"/>
          <w:lang w:val="ru-MD"/>
        </w:rPr>
      </w:pPr>
      <w:r w:rsidRPr="00633450">
        <w:rPr>
          <w:rFonts w:asciiTheme="majorHAnsi" w:hAnsiTheme="majorHAnsi" w:cstheme="majorHAnsi"/>
          <w:sz w:val="24"/>
          <w:szCs w:val="24"/>
          <w:lang w:val="ru-MD"/>
        </w:rPr>
        <w:t>За период 2020-2022 гг. в случае 526 бенефициаров, получивших дивиденды в размере 547,6 млн. ле</w:t>
      </w:r>
      <w:r w:rsidR="00633450" w:rsidRPr="00633450">
        <w:rPr>
          <w:rFonts w:asciiTheme="majorHAnsi" w:hAnsiTheme="majorHAnsi" w:cstheme="majorHAnsi"/>
          <w:sz w:val="24"/>
          <w:szCs w:val="24"/>
          <w:lang w:val="ru-MD"/>
        </w:rPr>
        <w:t>ев</w:t>
      </w:r>
      <w:r w:rsidRPr="00633450">
        <w:rPr>
          <w:rFonts w:asciiTheme="majorHAnsi" w:hAnsiTheme="majorHAnsi" w:cstheme="majorHAnsi"/>
          <w:sz w:val="24"/>
          <w:szCs w:val="24"/>
          <w:lang w:val="ru-MD"/>
        </w:rPr>
        <w:t xml:space="preserve">, аудит </w:t>
      </w:r>
      <w:r w:rsidR="00633450" w:rsidRPr="00633450">
        <w:rPr>
          <w:rFonts w:asciiTheme="majorHAnsi" w:hAnsiTheme="majorHAnsi" w:cstheme="majorHAnsi"/>
          <w:sz w:val="24"/>
          <w:szCs w:val="24"/>
          <w:lang w:val="ru-MD"/>
        </w:rPr>
        <w:t>выяви</w:t>
      </w:r>
      <w:r w:rsidRPr="00633450">
        <w:rPr>
          <w:rFonts w:asciiTheme="majorHAnsi" w:hAnsiTheme="majorHAnsi" w:cstheme="majorHAnsi"/>
          <w:sz w:val="24"/>
          <w:szCs w:val="24"/>
          <w:lang w:val="ru-MD"/>
        </w:rPr>
        <w:t xml:space="preserve">л, что налог был удержан </w:t>
      </w:r>
      <w:r w:rsidR="00633450" w:rsidRPr="00633450">
        <w:rPr>
          <w:rFonts w:asciiTheme="majorHAnsi" w:hAnsiTheme="majorHAnsi" w:cstheme="majorHAnsi"/>
          <w:sz w:val="24"/>
          <w:szCs w:val="24"/>
          <w:lang w:val="ru-MD"/>
        </w:rPr>
        <w:t>на</w:t>
      </w:r>
      <w:r w:rsidRPr="00633450">
        <w:rPr>
          <w:rFonts w:asciiTheme="majorHAnsi" w:hAnsiTheme="majorHAnsi" w:cstheme="majorHAnsi"/>
          <w:sz w:val="24"/>
          <w:szCs w:val="24"/>
          <w:lang w:val="ru-MD"/>
        </w:rPr>
        <w:t xml:space="preserve"> 18,6 млн. </w:t>
      </w:r>
      <w:r w:rsidR="00633450" w:rsidRPr="00633450">
        <w:rPr>
          <w:rFonts w:asciiTheme="majorHAnsi" w:hAnsiTheme="majorHAnsi" w:cstheme="majorHAnsi"/>
          <w:sz w:val="24"/>
          <w:szCs w:val="24"/>
          <w:lang w:val="ru-MD"/>
        </w:rPr>
        <w:t>леев</w:t>
      </w:r>
      <w:r w:rsidRPr="00633450">
        <w:rPr>
          <w:rFonts w:asciiTheme="majorHAnsi" w:hAnsiTheme="majorHAnsi" w:cstheme="majorHAnsi"/>
          <w:sz w:val="24"/>
          <w:szCs w:val="24"/>
          <w:lang w:val="ru-MD"/>
        </w:rPr>
        <w:t xml:space="preserve">, или 56,5%, </w:t>
      </w:r>
      <w:r w:rsidR="00633450" w:rsidRPr="00633450">
        <w:rPr>
          <w:rFonts w:asciiTheme="majorHAnsi" w:hAnsiTheme="majorHAnsi" w:cstheme="majorHAnsi"/>
          <w:sz w:val="24"/>
          <w:szCs w:val="24"/>
          <w:lang w:val="ru-MD"/>
        </w:rPr>
        <w:t xml:space="preserve">меньше, </w:t>
      </w:r>
      <w:r w:rsidRPr="00633450">
        <w:rPr>
          <w:rFonts w:asciiTheme="majorHAnsi" w:hAnsiTheme="majorHAnsi" w:cstheme="majorHAnsi"/>
          <w:sz w:val="24"/>
          <w:szCs w:val="24"/>
          <w:lang w:val="ru-MD"/>
        </w:rPr>
        <w:t>что является упущенным доходом для государственного бюджета, см. таблицу ниже</w:t>
      </w:r>
      <w:r w:rsidR="0054291A" w:rsidRPr="00633450">
        <w:rPr>
          <w:rFonts w:asciiTheme="majorHAnsi" w:hAnsiTheme="majorHAnsi" w:cstheme="majorHAnsi"/>
          <w:sz w:val="24"/>
          <w:szCs w:val="24"/>
          <w:lang w:val="ru-MD"/>
        </w:rPr>
        <w:t>.</w:t>
      </w:r>
      <w:r w:rsidR="009379B3" w:rsidRPr="00633450">
        <w:rPr>
          <w:rFonts w:asciiTheme="majorHAnsi" w:hAnsiTheme="majorHAnsi" w:cstheme="majorHAnsi"/>
          <w:sz w:val="24"/>
          <w:szCs w:val="24"/>
          <w:lang w:val="ru-MD"/>
        </w:rPr>
        <w:t xml:space="preserve"> </w:t>
      </w:r>
    </w:p>
    <w:p w14:paraId="229D4031" w14:textId="1F41C5AA" w:rsidR="00C67851" w:rsidRPr="00123715" w:rsidRDefault="00336C93" w:rsidP="00C67851">
      <w:pPr>
        <w:shd w:val="clear" w:color="auto" w:fill="FFFFFF" w:themeFill="background1"/>
        <w:tabs>
          <w:tab w:val="left" w:pos="284"/>
          <w:tab w:val="left" w:pos="425"/>
        </w:tabs>
        <w:spacing w:after="0" w:line="276" w:lineRule="auto"/>
        <w:ind w:left="1338"/>
        <w:jc w:val="right"/>
        <w:rPr>
          <w:rFonts w:asciiTheme="majorHAnsi" w:eastAsia="Calibri" w:hAnsiTheme="majorHAnsi" w:cstheme="majorHAnsi"/>
          <w:b/>
          <w:sz w:val="24"/>
          <w:szCs w:val="24"/>
          <w:lang w:val="ru-MD"/>
        </w:rPr>
      </w:pPr>
      <w:r w:rsidRPr="00123715">
        <w:rPr>
          <w:rFonts w:asciiTheme="majorHAnsi" w:eastAsia="Calibri" w:hAnsiTheme="majorHAnsi" w:cstheme="majorHAnsi"/>
          <w:b/>
          <w:sz w:val="24"/>
          <w:szCs w:val="24"/>
          <w:lang w:val="ru-MD"/>
        </w:rPr>
        <w:t>Таблица №</w:t>
      </w:r>
      <w:r w:rsidR="008D1DF2" w:rsidRPr="00123715">
        <w:rPr>
          <w:rFonts w:asciiTheme="majorHAnsi" w:eastAsia="Calibri" w:hAnsiTheme="majorHAnsi" w:cstheme="majorHAnsi"/>
          <w:b/>
          <w:sz w:val="24"/>
          <w:szCs w:val="24"/>
          <w:lang w:val="ru-MD"/>
        </w:rPr>
        <w:t>9</w:t>
      </w:r>
    </w:p>
    <w:p w14:paraId="05B45BD7" w14:textId="644AEF98" w:rsidR="00C67851" w:rsidRPr="00123715" w:rsidRDefault="000371DF" w:rsidP="008352F4">
      <w:pPr>
        <w:tabs>
          <w:tab w:val="left" w:pos="284"/>
          <w:tab w:val="left" w:pos="425"/>
        </w:tabs>
        <w:spacing w:after="0" w:line="276" w:lineRule="auto"/>
        <w:jc w:val="center"/>
        <w:rPr>
          <w:rFonts w:asciiTheme="majorHAnsi" w:eastAsia="Calibri" w:hAnsiTheme="majorHAnsi" w:cstheme="majorHAnsi"/>
          <w:b/>
          <w:sz w:val="24"/>
          <w:szCs w:val="24"/>
          <w:lang w:val="ru-MD"/>
        </w:rPr>
      </w:pPr>
      <w:r w:rsidRPr="00123715">
        <w:rPr>
          <w:rFonts w:asciiTheme="majorHAnsi" w:eastAsia="Calibri" w:hAnsiTheme="majorHAnsi" w:cstheme="majorHAnsi"/>
          <w:b/>
          <w:sz w:val="24"/>
          <w:szCs w:val="24"/>
          <w:lang w:val="ru-MD"/>
        </w:rPr>
        <w:t xml:space="preserve">Анализ </w:t>
      </w:r>
      <w:r w:rsidR="00123715" w:rsidRPr="00123715">
        <w:rPr>
          <w:rFonts w:asciiTheme="majorHAnsi" w:eastAsia="Calibri" w:hAnsiTheme="majorHAnsi" w:cstheme="majorHAnsi"/>
          <w:b/>
          <w:sz w:val="24"/>
          <w:szCs w:val="24"/>
          <w:lang w:val="ru-MD"/>
        </w:rPr>
        <w:t>расхожде</w:t>
      </w:r>
      <w:r w:rsidRPr="00123715">
        <w:rPr>
          <w:rFonts w:asciiTheme="majorHAnsi" w:eastAsia="Calibri" w:hAnsiTheme="majorHAnsi" w:cstheme="majorHAnsi"/>
          <w:b/>
          <w:sz w:val="24"/>
          <w:szCs w:val="24"/>
          <w:lang w:val="ru-MD"/>
        </w:rPr>
        <w:t xml:space="preserve">ний между </w:t>
      </w:r>
      <w:r w:rsidR="00123715" w:rsidRPr="00123715">
        <w:rPr>
          <w:rFonts w:asciiTheme="majorHAnsi" w:eastAsia="Calibri" w:hAnsiTheme="majorHAnsi" w:cstheme="majorHAnsi"/>
          <w:b/>
          <w:sz w:val="24"/>
          <w:szCs w:val="24"/>
          <w:lang w:val="ru-MD"/>
        </w:rPr>
        <w:t>начисле</w:t>
      </w:r>
      <w:r w:rsidRPr="00123715">
        <w:rPr>
          <w:rFonts w:asciiTheme="majorHAnsi" w:eastAsia="Calibri" w:hAnsiTheme="majorHAnsi" w:cstheme="majorHAnsi"/>
          <w:b/>
          <w:sz w:val="24"/>
          <w:szCs w:val="24"/>
          <w:lang w:val="ru-MD"/>
        </w:rPr>
        <w:t xml:space="preserve">нным и удержанным подоходным налогом, </w:t>
      </w:r>
      <w:r w:rsidR="00123715" w:rsidRPr="00123715">
        <w:rPr>
          <w:rFonts w:asciiTheme="majorHAnsi" w:eastAsia="Calibri" w:hAnsiTheme="majorHAnsi" w:cstheme="majorHAnsi"/>
          <w:b/>
          <w:sz w:val="24"/>
          <w:szCs w:val="24"/>
          <w:lang w:val="ru-MD"/>
        </w:rPr>
        <w:t>млн. леев</w:t>
      </w:r>
    </w:p>
    <w:tbl>
      <w:tblPr>
        <w:tblW w:w="5000" w:type="pct"/>
        <w:tblLook w:val="04A0" w:firstRow="1" w:lastRow="0" w:firstColumn="1" w:lastColumn="0" w:noHBand="0" w:noVBand="1"/>
      </w:tblPr>
      <w:tblGrid>
        <w:gridCol w:w="2467"/>
        <w:gridCol w:w="1557"/>
        <w:gridCol w:w="1558"/>
        <w:gridCol w:w="1466"/>
        <w:gridCol w:w="1466"/>
        <w:gridCol w:w="1510"/>
      </w:tblGrid>
      <w:tr w:rsidR="00C67851" w:rsidRPr="002C203D" w14:paraId="6F0F43B7" w14:textId="77777777" w:rsidTr="00625691">
        <w:trPr>
          <w:trHeight w:val="251"/>
        </w:trPr>
        <w:tc>
          <w:tcPr>
            <w:tcW w:w="1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3F7E2" w14:textId="7CE682FB" w:rsidR="00C67851" w:rsidRPr="00123715" w:rsidRDefault="000371DF" w:rsidP="00625691">
            <w:pPr>
              <w:spacing w:after="0" w:line="240" w:lineRule="auto"/>
              <w:jc w:val="center"/>
              <w:rPr>
                <w:rFonts w:asciiTheme="majorHAnsi" w:eastAsia="Times New Roman" w:hAnsiTheme="majorHAnsi" w:cstheme="majorHAnsi"/>
                <w:b/>
                <w:bCs/>
                <w:color w:val="000000"/>
                <w:sz w:val="20"/>
                <w:szCs w:val="16"/>
                <w:lang w:val="ru-MD"/>
              </w:rPr>
            </w:pPr>
            <w:r w:rsidRPr="00123715">
              <w:rPr>
                <w:rFonts w:asciiTheme="majorHAnsi" w:eastAsia="Times New Roman" w:hAnsiTheme="majorHAnsi" w:cstheme="majorHAnsi"/>
                <w:b/>
                <w:bCs/>
                <w:color w:val="000000"/>
                <w:sz w:val="20"/>
                <w:szCs w:val="16"/>
                <w:lang w:val="ru-MD"/>
              </w:rPr>
              <w:t>Показатели</w:t>
            </w:r>
          </w:p>
        </w:tc>
        <w:tc>
          <w:tcPr>
            <w:tcW w:w="777" w:type="pct"/>
            <w:tcBorders>
              <w:top w:val="single" w:sz="4" w:space="0" w:color="auto"/>
              <w:left w:val="nil"/>
              <w:bottom w:val="single" w:sz="4" w:space="0" w:color="auto"/>
              <w:right w:val="single" w:sz="4" w:space="0" w:color="auto"/>
            </w:tcBorders>
            <w:shd w:val="clear" w:color="auto" w:fill="auto"/>
            <w:vAlign w:val="center"/>
            <w:hideMark/>
          </w:tcPr>
          <w:p w14:paraId="2BB97C75" w14:textId="2B4EE5C0" w:rsidR="00C67851" w:rsidRPr="00123715" w:rsidRDefault="00123715" w:rsidP="00625691">
            <w:pPr>
              <w:spacing w:after="0" w:line="240" w:lineRule="auto"/>
              <w:jc w:val="center"/>
              <w:rPr>
                <w:rFonts w:asciiTheme="majorHAnsi" w:eastAsia="Times New Roman" w:hAnsiTheme="majorHAnsi" w:cstheme="majorHAnsi"/>
                <w:b/>
                <w:bCs/>
                <w:color w:val="000000"/>
                <w:sz w:val="20"/>
                <w:szCs w:val="16"/>
                <w:lang w:val="ru-MD"/>
              </w:rPr>
            </w:pPr>
            <w:r w:rsidRPr="00123715">
              <w:rPr>
                <w:rFonts w:asciiTheme="majorHAnsi" w:eastAsia="Times New Roman" w:hAnsiTheme="majorHAnsi" w:cstheme="majorHAnsi"/>
                <w:b/>
                <w:bCs/>
                <w:color w:val="000000"/>
                <w:sz w:val="20"/>
                <w:szCs w:val="16"/>
                <w:lang w:val="ru-MD"/>
              </w:rPr>
              <w:t>Кол-во лиц</w:t>
            </w:r>
            <w:r w:rsidR="00C67851" w:rsidRPr="00123715">
              <w:rPr>
                <w:rFonts w:asciiTheme="majorHAnsi" w:eastAsia="Times New Roman" w:hAnsiTheme="majorHAnsi" w:cstheme="majorHAnsi"/>
                <w:b/>
                <w:bCs/>
                <w:color w:val="000000"/>
                <w:sz w:val="20"/>
                <w:szCs w:val="16"/>
                <w:lang w:val="ru-MD"/>
              </w:rPr>
              <w:t>/</w:t>
            </w:r>
          </w:p>
          <w:p w14:paraId="05E868F4" w14:textId="7749F14C" w:rsidR="00C67851" w:rsidRPr="00123715" w:rsidRDefault="00123715" w:rsidP="00625691">
            <w:pPr>
              <w:spacing w:after="0" w:line="240" w:lineRule="auto"/>
              <w:jc w:val="center"/>
              <w:rPr>
                <w:rFonts w:asciiTheme="majorHAnsi" w:eastAsia="Times New Roman" w:hAnsiTheme="majorHAnsi" w:cstheme="majorHAnsi"/>
                <w:b/>
                <w:bCs/>
                <w:color w:val="000000"/>
                <w:sz w:val="20"/>
                <w:szCs w:val="16"/>
                <w:lang w:val="ru-MD"/>
              </w:rPr>
            </w:pPr>
            <w:r w:rsidRPr="00123715">
              <w:rPr>
                <w:rFonts w:asciiTheme="majorHAnsi" w:eastAsia="Times New Roman" w:hAnsiTheme="majorHAnsi" w:cstheme="majorHAnsi"/>
                <w:b/>
                <w:bCs/>
                <w:color w:val="000000"/>
                <w:sz w:val="20"/>
                <w:szCs w:val="16"/>
                <w:lang w:val="ru-MD"/>
              </w:rPr>
              <w:t>бенефициаров</w:t>
            </w:r>
          </w:p>
        </w:tc>
        <w:tc>
          <w:tcPr>
            <w:tcW w:w="777" w:type="pct"/>
            <w:tcBorders>
              <w:top w:val="single" w:sz="4" w:space="0" w:color="auto"/>
              <w:left w:val="nil"/>
              <w:bottom w:val="single" w:sz="4" w:space="0" w:color="auto"/>
              <w:right w:val="single" w:sz="4" w:space="0" w:color="auto"/>
            </w:tcBorders>
            <w:shd w:val="clear" w:color="auto" w:fill="auto"/>
            <w:vAlign w:val="center"/>
            <w:hideMark/>
          </w:tcPr>
          <w:p w14:paraId="400F00F4" w14:textId="2787FB05" w:rsidR="00C67851" w:rsidRPr="00123715" w:rsidRDefault="00123715" w:rsidP="00625691">
            <w:pPr>
              <w:spacing w:after="0" w:line="240" w:lineRule="auto"/>
              <w:jc w:val="center"/>
              <w:rPr>
                <w:rFonts w:asciiTheme="majorHAnsi" w:eastAsia="Times New Roman" w:hAnsiTheme="majorHAnsi" w:cstheme="majorHAnsi"/>
                <w:b/>
                <w:bCs/>
                <w:color w:val="000000"/>
                <w:sz w:val="20"/>
                <w:szCs w:val="16"/>
                <w:lang w:val="ru-MD"/>
              </w:rPr>
            </w:pPr>
            <w:r w:rsidRPr="00123715">
              <w:rPr>
                <w:rFonts w:asciiTheme="majorHAnsi" w:eastAsia="Times New Roman" w:hAnsiTheme="majorHAnsi" w:cstheme="majorHAnsi"/>
                <w:b/>
                <w:bCs/>
                <w:color w:val="000000"/>
                <w:sz w:val="20"/>
                <w:szCs w:val="16"/>
                <w:lang w:val="ru-MD"/>
              </w:rPr>
              <w:t>Сумма дивидендного дохода</w:t>
            </w:r>
          </w:p>
        </w:tc>
        <w:tc>
          <w:tcPr>
            <w:tcW w:w="731" w:type="pct"/>
            <w:tcBorders>
              <w:top w:val="single" w:sz="4" w:space="0" w:color="auto"/>
              <w:left w:val="nil"/>
              <w:bottom w:val="single" w:sz="4" w:space="0" w:color="auto"/>
              <w:right w:val="single" w:sz="4" w:space="0" w:color="auto"/>
            </w:tcBorders>
            <w:shd w:val="clear" w:color="auto" w:fill="auto"/>
            <w:vAlign w:val="center"/>
            <w:hideMark/>
          </w:tcPr>
          <w:p w14:paraId="1AA45FD8" w14:textId="572CA242" w:rsidR="00C67851" w:rsidRPr="00123715" w:rsidRDefault="00123715" w:rsidP="00625691">
            <w:pPr>
              <w:spacing w:after="0" w:line="240" w:lineRule="auto"/>
              <w:jc w:val="center"/>
              <w:rPr>
                <w:rFonts w:asciiTheme="majorHAnsi" w:eastAsia="Times New Roman" w:hAnsiTheme="majorHAnsi" w:cstheme="majorHAnsi"/>
                <w:b/>
                <w:bCs/>
                <w:color w:val="000000"/>
                <w:sz w:val="20"/>
                <w:szCs w:val="16"/>
                <w:lang w:val="ru-MD"/>
              </w:rPr>
            </w:pPr>
            <w:r w:rsidRPr="00123715">
              <w:rPr>
                <w:rFonts w:asciiTheme="majorHAnsi" w:eastAsia="Times New Roman" w:hAnsiTheme="majorHAnsi" w:cstheme="majorHAnsi"/>
                <w:b/>
                <w:bCs/>
                <w:color w:val="000000"/>
                <w:sz w:val="20"/>
                <w:szCs w:val="16"/>
                <w:lang w:val="ru-MD"/>
              </w:rPr>
              <w:t>Сумма удержанного подоходного налога</w:t>
            </w:r>
          </w:p>
        </w:tc>
        <w:tc>
          <w:tcPr>
            <w:tcW w:w="731" w:type="pct"/>
            <w:tcBorders>
              <w:top w:val="single" w:sz="4" w:space="0" w:color="auto"/>
              <w:left w:val="nil"/>
              <w:bottom w:val="single" w:sz="4" w:space="0" w:color="auto"/>
              <w:right w:val="single" w:sz="4" w:space="0" w:color="auto"/>
            </w:tcBorders>
            <w:shd w:val="clear" w:color="auto" w:fill="auto"/>
            <w:vAlign w:val="center"/>
            <w:hideMark/>
          </w:tcPr>
          <w:p w14:paraId="2EFD94B9" w14:textId="21EED328" w:rsidR="00C67851" w:rsidRPr="00123715" w:rsidRDefault="00123715" w:rsidP="00625691">
            <w:pPr>
              <w:spacing w:after="0" w:line="240" w:lineRule="auto"/>
              <w:jc w:val="center"/>
              <w:rPr>
                <w:rFonts w:asciiTheme="majorHAnsi" w:eastAsia="Times New Roman" w:hAnsiTheme="majorHAnsi" w:cstheme="majorHAnsi"/>
                <w:b/>
                <w:bCs/>
                <w:color w:val="000000"/>
                <w:sz w:val="20"/>
                <w:szCs w:val="16"/>
                <w:lang w:val="ru-MD"/>
              </w:rPr>
            </w:pPr>
            <w:r w:rsidRPr="00123715">
              <w:rPr>
                <w:rFonts w:asciiTheme="majorHAnsi" w:eastAsia="Times New Roman" w:hAnsiTheme="majorHAnsi" w:cstheme="majorHAnsi"/>
                <w:b/>
                <w:bCs/>
                <w:color w:val="000000"/>
                <w:sz w:val="20"/>
                <w:szCs w:val="16"/>
                <w:lang w:val="ru-MD"/>
              </w:rPr>
              <w:t>Подоходный налог (6%), рассчитанный аудитом</w:t>
            </w:r>
          </w:p>
        </w:tc>
        <w:tc>
          <w:tcPr>
            <w:tcW w:w="753" w:type="pct"/>
            <w:tcBorders>
              <w:top w:val="single" w:sz="4" w:space="0" w:color="auto"/>
              <w:left w:val="nil"/>
              <w:bottom w:val="single" w:sz="4" w:space="0" w:color="auto"/>
              <w:right w:val="single" w:sz="4" w:space="0" w:color="auto"/>
            </w:tcBorders>
            <w:shd w:val="clear" w:color="auto" w:fill="auto"/>
            <w:vAlign w:val="center"/>
            <w:hideMark/>
          </w:tcPr>
          <w:p w14:paraId="513F39F9" w14:textId="27764893" w:rsidR="00C67851" w:rsidRPr="00123715" w:rsidRDefault="00123715" w:rsidP="003D5986">
            <w:pPr>
              <w:spacing w:after="0" w:line="240" w:lineRule="auto"/>
              <w:jc w:val="center"/>
              <w:rPr>
                <w:rFonts w:asciiTheme="majorHAnsi" w:eastAsia="Times New Roman" w:hAnsiTheme="majorHAnsi" w:cstheme="majorHAnsi"/>
                <w:b/>
                <w:bCs/>
                <w:color w:val="000000"/>
                <w:sz w:val="20"/>
                <w:szCs w:val="16"/>
                <w:lang w:val="ru-MD"/>
              </w:rPr>
            </w:pPr>
            <w:r w:rsidRPr="00123715">
              <w:rPr>
                <w:rFonts w:asciiTheme="majorHAnsi" w:eastAsia="Times New Roman" w:hAnsiTheme="majorHAnsi" w:cstheme="majorHAnsi"/>
                <w:b/>
                <w:bCs/>
                <w:color w:val="000000"/>
                <w:sz w:val="20"/>
                <w:szCs w:val="16"/>
                <w:lang w:val="ru-MD"/>
              </w:rPr>
              <w:t>Расхождения</w:t>
            </w:r>
          </w:p>
          <w:p w14:paraId="019FEB37" w14:textId="21144BF6" w:rsidR="00C67851" w:rsidRPr="00123715" w:rsidRDefault="00C67851" w:rsidP="00123715">
            <w:pPr>
              <w:spacing w:after="0" w:line="240" w:lineRule="auto"/>
              <w:jc w:val="center"/>
              <w:rPr>
                <w:rFonts w:asciiTheme="majorHAnsi" w:eastAsia="Times New Roman" w:hAnsiTheme="majorHAnsi" w:cstheme="majorHAnsi"/>
                <w:b/>
                <w:bCs/>
                <w:color w:val="000000"/>
                <w:sz w:val="20"/>
                <w:szCs w:val="16"/>
                <w:lang w:val="ru-MD"/>
              </w:rPr>
            </w:pPr>
            <w:r w:rsidRPr="00123715">
              <w:rPr>
                <w:rFonts w:asciiTheme="majorHAnsi" w:eastAsia="Times New Roman" w:hAnsiTheme="majorHAnsi" w:cstheme="majorHAnsi"/>
                <w:b/>
                <w:bCs/>
                <w:color w:val="000000"/>
                <w:sz w:val="20"/>
                <w:szCs w:val="16"/>
                <w:lang w:val="ru-MD"/>
              </w:rPr>
              <w:t>(</w:t>
            </w:r>
            <w:r w:rsidR="00123715" w:rsidRPr="00123715">
              <w:rPr>
                <w:rFonts w:asciiTheme="majorHAnsi" w:eastAsia="Times New Roman" w:hAnsiTheme="majorHAnsi" w:cstheme="majorHAnsi"/>
                <w:b/>
                <w:bCs/>
                <w:color w:val="000000"/>
                <w:sz w:val="20"/>
                <w:szCs w:val="16"/>
                <w:lang w:val="ru-MD"/>
              </w:rPr>
              <w:t>нал</w:t>
            </w:r>
            <w:r w:rsidRPr="00123715">
              <w:rPr>
                <w:rFonts w:asciiTheme="majorHAnsi" w:eastAsia="Times New Roman" w:hAnsiTheme="majorHAnsi" w:cstheme="majorHAnsi"/>
                <w:b/>
                <w:bCs/>
                <w:color w:val="000000"/>
                <w:sz w:val="20"/>
                <w:szCs w:val="16"/>
                <w:lang w:val="ru-MD"/>
              </w:rPr>
              <w:t xml:space="preserve">. </w:t>
            </w:r>
            <w:r w:rsidR="00123715" w:rsidRPr="00123715">
              <w:rPr>
                <w:rFonts w:asciiTheme="majorHAnsi" w:eastAsia="Times New Roman" w:hAnsiTheme="majorHAnsi" w:cstheme="majorHAnsi"/>
                <w:b/>
                <w:bCs/>
                <w:color w:val="000000"/>
                <w:sz w:val="20"/>
                <w:szCs w:val="16"/>
                <w:lang w:val="ru-MD"/>
              </w:rPr>
              <w:t>рассч</w:t>
            </w:r>
            <w:r w:rsidR="002F4D18" w:rsidRPr="00123715">
              <w:rPr>
                <w:rFonts w:asciiTheme="majorHAnsi" w:eastAsia="Times New Roman" w:hAnsiTheme="majorHAnsi" w:cstheme="majorHAnsi"/>
                <w:b/>
                <w:bCs/>
                <w:color w:val="000000"/>
                <w:sz w:val="20"/>
                <w:szCs w:val="16"/>
                <w:lang w:val="ru-MD"/>
              </w:rPr>
              <w:t>.</w:t>
            </w:r>
            <w:r w:rsidRPr="00123715">
              <w:rPr>
                <w:rFonts w:asciiTheme="majorHAnsi" w:eastAsia="Times New Roman" w:hAnsiTheme="majorHAnsi" w:cstheme="majorHAnsi"/>
                <w:b/>
                <w:bCs/>
                <w:color w:val="000000"/>
                <w:sz w:val="20"/>
                <w:szCs w:val="16"/>
                <w:lang w:val="ru-MD"/>
              </w:rPr>
              <w:t xml:space="preserve"> </w:t>
            </w:r>
            <w:r w:rsidR="00123715" w:rsidRPr="00123715">
              <w:rPr>
                <w:rFonts w:asciiTheme="majorHAnsi" w:eastAsia="Times New Roman" w:hAnsiTheme="majorHAnsi" w:cstheme="majorHAnsi"/>
                <w:b/>
                <w:bCs/>
                <w:color w:val="000000"/>
                <w:sz w:val="20"/>
                <w:szCs w:val="16"/>
                <w:lang w:val="ru-MD"/>
              </w:rPr>
              <w:t>аудитом</w:t>
            </w:r>
            <w:r w:rsidR="002F4D18" w:rsidRPr="00123715">
              <w:rPr>
                <w:rFonts w:asciiTheme="majorHAnsi" w:eastAsia="Times New Roman" w:hAnsiTheme="majorHAnsi" w:cstheme="majorHAnsi"/>
                <w:b/>
                <w:bCs/>
                <w:color w:val="000000"/>
                <w:sz w:val="20"/>
                <w:szCs w:val="16"/>
                <w:lang w:val="ru-MD"/>
              </w:rPr>
              <w:t xml:space="preserve"> </w:t>
            </w:r>
            <w:r w:rsidR="00123715" w:rsidRPr="00123715">
              <w:rPr>
                <w:rFonts w:asciiTheme="majorHAnsi" w:eastAsia="Times New Roman" w:hAnsiTheme="majorHAnsi" w:cstheme="majorHAnsi"/>
                <w:b/>
                <w:bCs/>
                <w:color w:val="000000"/>
                <w:sz w:val="20"/>
                <w:szCs w:val="16"/>
                <w:lang w:val="ru-MD"/>
              </w:rPr>
              <w:t>–</w:t>
            </w:r>
            <w:r w:rsidR="002F4D18" w:rsidRPr="00123715">
              <w:rPr>
                <w:rFonts w:asciiTheme="majorHAnsi" w:eastAsia="Times New Roman" w:hAnsiTheme="majorHAnsi" w:cstheme="majorHAnsi"/>
                <w:b/>
                <w:bCs/>
                <w:color w:val="000000"/>
                <w:sz w:val="20"/>
                <w:szCs w:val="16"/>
                <w:lang w:val="ru-MD"/>
              </w:rPr>
              <w:t xml:space="preserve"> </w:t>
            </w:r>
            <w:r w:rsidR="00123715" w:rsidRPr="00123715">
              <w:rPr>
                <w:rFonts w:asciiTheme="majorHAnsi" w:eastAsia="Times New Roman" w:hAnsiTheme="majorHAnsi" w:cstheme="majorHAnsi"/>
                <w:b/>
                <w:bCs/>
                <w:color w:val="000000"/>
                <w:sz w:val="20"/>
                <w:szCs w:val="16"/>
                <w:lang w:val="ru-MD"/>
              </w:rPr>
              <w:t>сумма удерж. налога</w:t>
            </w:r>
            <w:r w:rsidRPr="00123715">
              <w:rPr>
                <w:rFonts w:asciiTheme="majorHAnsi" w:eastAsia="Times New Roman" w:hAnsiTheme="majorHAnsi" w:cstheme="majorHAnsi"/>
                <w:b/>
                <w:bCs/>
                <w:color w:val="000000"/>
                <w:sz w:val="20"/>
                <w:szCs w:val="16"/>
                <w:lang w:val="ru-MD"/>
              </w:rPr>
              <w:t>)</w:t>
            </w:r>
          </w:p>
        </w:tc>
      </w:tr>
      <w:tr w:rsidR="00C67851" w:rsidRPr="00123715" w14:paraId="5CA14CAB" w14:textId="77777777" w:rsidTr="00C67851">
        <w:trPr>
          <w:trHeight w:val="188"/>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14:paraId="37A5C02A" w14:textId="19BB5E4E" w:rsidR="00C67851" w:rsidRPr="00123715" w:rsidRDefault="00C67851" w:rsidP="00C67851">
            <w:pPr>
              <w:spacing w:after="0" w:line="240" w:lineRule="auto"/>
              <w:jc w:val="center"/>
              <w:rPr>
                <w:rFonts w:asciiTheme="majorHAnsi" w:eastAsia="Times New Roman" w:hAnsiTheme="majorHAnsi" w:cstheme="majorHAnsi"/>
                <w:b/>
                <w:sz w:val="20"/>
                <w:szCs w:val="16"/>
                <w:lang w:val="ru-MD"/>
              </w:rPr>
            </w:pPr>
            <w:r w:rsidRPr="00123715">
              <w:rPr>
                <w:rFonts w:asciiTheme="majorHAnsi" w:eastAsia="Times New Roman" w:hAnsiTheme="majorHAnsi" w:cstheme="majorHAnsi"/>
                <w:b/>
                <w:sz w:val="20"/>
                <w:szCs w:val="16"/>
                <w:lang w:val="ru-MD"/>
              </w:rPr>
              <w:t>2020</w:t>
            </w:r>
            <w:r w:rsidR="00123715" w:rsidRPr="00123715">
              <w:rPr>
                <w:rFonts w:asciiTheme="majorHAnsi" w:eastAsia="Times New Roman" w:hAnsiTheme="majorHAnsi" w:cstheme="majorHAnsi"/>
                <w:b/>
                <w:sz w:val="20"/>
                <w:szCs w:val="16"/>
                <w:lang w:val="ru-MD"/>
              </w:rPr>
              <w:t xml:space="preserve"> год</w:t>
            </w:r>
          </w:p>
        </w:tc>
        <w:tc>
          <w:tcPr>
            <w:tcW w:w="777" w:type="pct"/>
            <w:tcBorders>
              <w:top w:val="nil"/>
              <w:left w:val="nil"/>
              <w:bottom w:val="single" w:sz="4" w:space="0" w:color="auto"/>
              <w:right w:val="single" w:sz="4" w:space="0" w:color="auto"/>
            </w:tcBorders>
            <w:shd w:val="clear" w:color="auto" w:fill="auto"/>
            <w:noWrap/>
            <w:vAlign w:val="center"/>
            <w:hideMark/>
          </w:tcPr>
          <w:p w14:paraId="6CC9D3DC" w14:textId="77777777" w:rsidR="00C67851" w:rsidRPr="00123715" w:rsidRDefault="00C67851" w:rsidP="00C67851">
            <w:pPr>
              <w:spacing w:after="0" w:line="240" w:lineRule="auto"/>
              <w:jc w:val="right"/>
              <w:rPr>
                <w:rFonts w:asciiTheme="majorHAnsi" w:eastAsia="Times New Roman" w:hAnsiTheme="majorHAnsi" w:cstheme="majorHAnsi"/>
                <w:sz w:val="20"/>
                <w:szCs w:val="16"/>
                <w:lang w:val="ru-MD"/>
              </w:rPr>
            </w:pPr>
            <w:r w:rsidRPr="00123715">
              <w:rPr>
                <w:rFonts w:asciiTheme="majorHAnsi" w:eastAsia="Times New Roman" w:hAnsiTheme="majorHAnsi" w:cstheme="majorHAnsi"/>
                <w:sz w:val="20"/>
                <w:szCs w:val="16"/>
                <w:lang w:val="ru-MD"/>
              </w:rPr>
              <w:t>242.00</w:t>
            </w:r>
          </w:p>
        </w:tc>
        <w:tc>
          <w:tcPr>
            <w:tcW w:w="777" w:type="pct"/>
            <w:tcBorders>
              <w:top w:val="nil"/>
              <w:left w:val="nil"/>
              <w:bottom w:val="single" w:sz="4" w:space="0" w:color="auto"/>
              <w:right w:val="single" w:sz="4" w:space="0" w:color="auto"/>
            </w:tcBorders>
            <w:shd w:val="clear" w:color="auto" w:fill="auto"/>
            <w:noWrap/>
            <w:vAlign w:val="center"/>
            <w:hideMark/>
          </w:tcPr>
          <w:p w14:paraId="15D19F80" w14:textId="77777777" w:rsidR="00C67851" w:rsidRPr="00123715" w:rsidRDefault="00C67851" w:rsidP="00C67851">
            <w:pPr>
              <w:spacing w:after="0" w:line="240" w:lineRule="auto"/>
              <w:jc w:val="right"/>
              <w:rPr>
                <w:rFonts w:asciiTheme="majorHAnsi" w:eastAsia="Times New Roman" w:hAnsiTheme="majorHAnsi" w:cstheme="majorHAnsi"/>
                <w:sz w:val="20"/>
                <w:szCs w:val="16"/>
                <w:lang w:val="ru-MD"/>
              </w:rPr>
            </w:pPr>
            <w:r w:rsidRPr="00123715">
              <w:rPr>
                <w:rFonts w:asciiTheme="majorHAnsi" w:eastAsia="Times New Roman" w:hAnsiTheme="majorHAnsi" w:cstheme="majorHAnsi"/>
                <w:sz w:val="20"/>
                <w:szCs w:val="16"/>
                <w:lang w:val="ru-MD"/>
              </w:rPr>
              <w:t>179.59</w:t>
            </w:r>
          </w:p>
        </w:tc>
        <w:tc>
          <w:tcPr>
            <w:tcW w:w="731" w:type="pct"/>
            <w:tcBorders>
              <w:top w:val="nil"/>
              <w:left w:val="nil"/>
              <w:bottom w:val="single" w:sz="4" w:space="0" w:color="auto"/>
              <w:right w:val="single" w:sz="4" w:space="0" w:color="auto"/>
            </w:tcBorders>
            <w:shd w:val="clear" w:color="auto" w:fill="auto"/>
            <w:noWrap/>
            <w:vAlign w:val="center"/>
            <w:hideMark/>
          </w:tcPr>
          <w:p w14:paraId="25E0BFA7" w14:textId="77777777" w:rsidR="00C67851" w:rsidRPr="00123715" w:rsidRDefault="00C67851" w:rsidP="00C67851">
            <w:pPr>
              <w:spacing w:after="0" w:line="240" w:lineRule="auto"/>
              <w:jc w:val="right"/>
              <w:rPr>
                <w:rFonts w:asciiTheme="majorHAnsi" w:eastAsia="Times New Roman" w:hAnsiTheme="majorHAnsi" w:cstheme="majorHAnsi"/>
                <w:sz w:val="20"/>
                <w:szCs w:val="16"/>
                <w:lang w:val="ru-MD"/>
              </w:rPr>
            </w:pPr>
            <w:r w:rsidRPr="00123715">
              <w:rPr>
                <w:rFonts w:asciiTheme="majorHAnsi" w:eastAsia="Times New Roman" w:hAnsiTheme="majorHAnsi" w:cstheme="majorHAnsi"/>
                <w:sz w:val="20"/>
                <w:szCs w:val="16"/>
                <w:lang w:val="ru-MD"/>
              </w:rPr>
              <w:t>3.42</w:t>
            </w:r>
          </w:p>
        </w:tc>
        <w:tc>
          <w:tcPr>
            <w:tcW w:w="731" w:type="pct"/>
            <w:tcBorders>
              <w:top w:val="nil"/>
              <w:left w:val="nil"/>
              <w:bottom w:val="single" w:sz="4" w:space="0" w:color="auto"/>
              <w:right w:val="single" w:sz="4" w:space="0" w:color="auto"/>
            </w:tcBorders>
            <w:shd w:val="clear" w:color="auto" w:fill="auto"/>
            <w:noWrap/>
            <w:vAlign w:val="center"/>
            <w:hideMark/>
          </w:tcPr>
          <w:p w14:paraId="3A252E74" w14:textId="77777777" w:rsidR="00C67851" w:rsidRPr="00123715" w:rsidRDefault="00C67851" w:rsidP="00C67851">
            <w:pPr>
              <w:spacing w:after="0" w:line="240" w:lineRule="auto"/>
              <w:jc w:val="right"/>
              <w:rPr>
                <w:rFonts w:asciiTheme="majorHAnsi" w:eastAsia="Times New Roman" w:hAnsiTheme="majorHAnsi" w:cstheme="majorHAnsi"/>
                <w:sz w:val="20"/>
                <w:szCs w:val="16"/>
                <w:lang w:val="ru-MD"/>
              </w:rPr>
            </w:pPr>
            <w:r w:rsidRPr="00123715">
              <w:rPr>
                <w:rFonts w:asciiTheme="majorHAnsi" w:eastAsia="Times New Roman" w:hAnsiTheme="majorHAnsi" w:cstheme="majorHAnsi"/>
                <w:sz w:val="20"/>
                <w:szCs w:val="16"/>
                <w:lang w:val="ru-MD"/>
              </w:rPr>
              <w:t>10.78</w:t>
            </w:r>
          </w:p>
        </w:tc>
        <w:tc>
          <w:tcPr>
            <w:tcW w:w="753" w:type="pct"/>
            <w:tcBorders>
              <w:top w:val="nil"/>
              <w:left w:val="nil"/>
              <w:bottom w:val="single" w:sz="4" w:space="0" w:color="auto"/>
              <w:right w:val="single" w:sz="4" w:space="0" w:color="auto"/>
            </w:tcBorders>
            <w:shd w:val="clear" w:color="auto" w:fill="auto"/>
            <w:noWrap/>
            <w:vAlign w:val="center"/>
            <w:hideMark/>
          </w:tcPr>
          <w:p w14:paraId="3F73E83D" w14:textId="77777777" w:rsidR="00C67851" w:rsidRPr="00123715" w:rsidRDefault="00C67851" w:rsidP="00C67851">
            <w:pPr>
              <w:spacing w:after="0" w:line="240" w:lineRule="auto"/>
              <w:jc w:val="right"/>
              <w:rPr>
                <w:rFonts w:asciiTheme="majorHAnsi" w:eastAsia="Times New Roman" w:hAnsiTheme="majorHAnsi" w:cstheme="majorHAnsi"/>
                <w:sz w:val="20"/>
                <w:szCs w:val="16"/>
                <w:lang w:val="ru-MD"/>
              </w:rPr>
            </w:pPr>
            <w:r w:rsidRPr="00123715">
              <w:rPr>
                <w:rFonts w:asciiTheme="majorHAnsi" w:eastAsia="Times New Roman" w:hAnsiTheme="majorHAnsi" w:cstheme="majorHAnsi"/>
                <w:sz w:val="20"/>
                <w:szCs w:val="16"/>
                <w:lang w:val="ru-MD"/>
              </w:rPr>
              <w:t>7.35</w:t>
            </w:r>
          </w:p>
        </w:tc>
      </w:tr>
      <w:tr w:rsidR="00C67851" w:rsidRPr="00123715" w14:paraId="50380990" w14:textId="77777777" w:rsidTr="00C67851">
        <w:trPr>
          <w:trHeight w:val="71"/>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14:paraId="3307142A" w14:textId="26D913F4" w:rsidR="00C67851" w:rsidRPr="00123715" w:rsidRDefault="00C67851" w:rsidP="00C67851">
            <w:pPr>
              <w:spacing w:after="0" w:line="240" w:lineRule="auto"/>
              <w:jc w:val="center"/>
              <w:rPr>
                <w:rFonts w:asciiTheme="majorHAnsi" w:eastAsia="Times New Roman" w:hAnsiTheme="majorHAnsi" w:cstheme="majorHAnsi"/>
                <w:b/>
                <w:sz w:val="20"/>
                <w:szCs w:val="16"/>
                <w:lang w:val="ru-MD"/>
              </w:rPr>
            </w:pPr>
            <w:r w:rsidRPr="00123715">
              <w:rPr>
                <w:rFonts w:asciiTheme="majorHAnsi" w:eastAsia="Times New Roman" w:hAnsiTheme="majorHAnsi" w:cstheme="majorHAnsi"/>
                <w:b/>
                <w:sz w:val="20"/>
                <w:szCs w:val="16"/>
                <w:lang w:val="ru-MD"/>
              </w:rPr>
              <w:t>2021</w:t>
            </w:r>
            <w:r w:rsidR="00123715" w:rsidRPr="00123715">
              <w:rPr>
                <w:rFonts w:asciiTheme="majorHAnsi" w:eastAsia="Times New Roman" w:hAnsiTheme="majorHAnsi" w:cstheme="majorHAnsi"/>
                <w:b/>
                <w:sz w:val="20"/>
                <w:szCs w:val="16"/>
                <w:lang w:val="ru-MD"/>
              </w:rPr>
              <w:t xml:space="preserve"> год</w:t>
            </w:r>
          </w:p>
        </w:tc>
        <w:tc>
          <w:tcPr>
            <w:tcW w:w="777" w:type="pct"/>
            <w:tcBorders>
              <w:top w:val="nil"/>
              <w:left w:val="nil"/>
              <w:bottom w:val="single" w:sz="4" w:space="0" w:color="auto"/>
              <w:right w:val="single" w:sz="4" w:space="0" w:color="auto"/>
            </w:tcBorders>
            <w:shd w:val="clear" w:color="auto" w:fill="auto"/>
            <w:noWrap/>
            <w:vAlign w:val="center"/>
            <w:hideMark/>
          </w:tcPr>
          <w:p w14:paraId="319D5325" w14:textId="77777777" w:rsidR="00C67851" w:rsidRPr="00123715" w:rsidRDefault="00C67851" w:rsidP="00C67851">
            <w:pPr>
              <w:spacing w:after="0" w:line="240" w:lineRule="auto"/>
              <w:jc w:val="right"/>
              <w:rPr>
                <w:rFonts w:asciiTheme="majorHAnsi" w:eastAsia="Times New Roman" w:hAnsiTheme="majorHAnsi" w:cstheme="majorHAnsi"/>
                <w:sz w:val="20"/>
                <w:szCs w:val="16"/>
                <w:lang w:val="ru-MD"/>
              </w:rPr>
            </w:pPr>
            <w:r w:rsidRPr="00123715">
              <w:rPr>
                <w:rFonts w:asciiTheme="majorHAnsi" w:eastAsia="Times New Roman" w:hAnsiTheme="majorHAnsi" w:cstheme="majorHAnsi"/>
                <w:sz w:val="20"/>
                <w:szCs w:val="16"/>
                <w:lang w:val="ru-MD"/>
              </w:rPr>
              <w:t>167.00</w:t>
            </w:r>
          </w:p>
        </w:tc>
        <w:tc>
          <w:tcPr>
            <w:tcW w:w="777" w:type="pct"/>
            <w:tcBorders>
              <w:top w:val="nil"/>
              <w:left w:val="nil"/>
              <w:bottom w:val="single" w:sz="4" w:space="0" w:color="auto"/>
              <w:right w:val="single" w:sz="4" w:space="0" w:color="auto"/>
            </w:tcBorders>
            <w:shd w:val="clear" w:color="auto" w:fill="auto"/>
            <w:noWrap/>
            <w:vAlign w:val="center"/>
            <w:hideMark/>
          </w:tcPr>
          <w:p w14:paraId="7B8B7BA5" w14:textId="77777777" w:rsidR="00C67851" w:rsidRPr="00123715" w:rsidRDefault="00C67851" w:rsidP="00C67851">
            <w:pPr>
              <w:spacing w:after="0" w:line="240" w:lineRule="auto"/>
              <w:jc w:val="right"/>
              <w:rPr>
                <w:rFonts w:asciiTheme="majorHAnsi" w:eastAsia="Times New Roman" w:hAnsiTheme="majorHAnsi" w:cstheme="majorHAnsi"/>
                <w:sz w:val="20"/>
                <w:szCs w:val="16"/>
                <w:lang w:val="ru-MD"/>
              </w:rPr>
            </w:pPr>
            <w:r w:rsidRPr="00123715">
              <w:rPr>
                <w:rFonts w:asciiTheme="majorHAnsi" w:eastAsia="Times New Roman" w:hAnsiTheme="majorHAnsi" w:cstheme="majorHAnsi"/>
                <w:sz w:val="20"/>
                <w:szCs w:val="16"/>
                <w:lang w:val="ru-MD"/>
              </w:rPr>
              <w:t>172.59</w:t>
            </w:r>
          </w:p>
        </w:tc>
        <w:tc>
          <w:tcPr>
            <w:tcW w:w="731" w:type="pct"/>
            <w:tcBorders>
              <w:top w:val="nil"/>
              <w:left w:val="nil"/>
              <w:bottom w:val="single" w:sz="4" w:space="0" w:color="auto"/>
              <w:right w:val="single" w:sz="4" w:space="0" w:color="auto"/>
            </w:tcBorders>
            <w:shd w:val="clear" w:color="auto" w:fill="auto"/>
            <w:noWrap/>
            <w:vAlign w:val="center"/>
            <w:hideMark/>
          </w:tcPr>
          <w:p w14:paraId="3113548A" w14:textId="77777777" w:rsidR="00C67851" w:rsidRPr="00123715" w:rsidRDefault="00C67851" w:rsidP="00C67851">
            <w:pPr>
              <w:spacing w:after="0" w:line="240" w:lineRule="auto"/>
              <w:jc w:val="right"/>
              <w:rPr>
                <w:rFonts w:asciiTheme="majorHAnsi" w:eastAsia="Times New Roman" w:hAnsiTheme="majorHAnsi" w:cstheme="majorHAnsi"/>
                <w:sz w:val="20"/>
                <w:szCs w:val="16"/>
                <w:lang w:val="ru-MD"/>
              </w:rPr>
            </w:pPr>
            <w:r w:rsidRPr="00123715">
              <w:rPr>
                <w:rFonts w:asciiTheme="majorHAnsi" w:eastAsia="Times New Roman" w:hAnsiTheme="majorHAnsi" w:cstheme="majorHAnsi"/>
                <w:sz w:val="20"/>
                <w:szCs w:val="16"/>
                <w:lang w:val="ru-MD"/>
              </w:rPr>
              <w:t>3.55</w:t>
            </w:r>
          </w:p>
        </w:tc>
        <w:tc>
          <w:tcPr>
            <w:tcW w:w="731" w:type="pct"/>
            <w:tcBorders>
              <w:top w:val="nil"/>
              <w:left w:val="nil"/>
              <w:bottom w:val="single" w:sz="4" w:space="0" w:color="auto"/>
              <w:right w:val="single" w:sz="4" w:space="0" w:color="auto"/>
            </w:tcBorders>
            <w:shd w:val="clear" w:color="auto" w:fill="auto"/>
            <w:noWrap/>
            <w:vAlign w:val="center"/>
            <w:hideMark/>
          </w:tcPr>
          <w:p w14:paraId="4D9F05AD" w14:textId="77777777" w:rsidR="00C67851" w:rsidRPr="00123715" w:rsidRDefault="00C67851" w:rsidP="00C67851">
            <w:pPr>
              <w:spacing w:after="0" w:line="240" w:lineRule="auto"/>
              <w:jc w:val="right"/>
              <w:rPr>
                <w:rFonts w:asciiTheme="majorHAnsi" w:eastAsia="Times New Roman" w:hAnsiTheme="majorHAnsi" w:cstheme="majorHAnsi"/>
                <w:sz w:val="20"/>
                <w:szCs w:val="16"/>
                <w:lang w:val="ru-MD"/>
              </w:rPr>
            </w:pPr>
            <w:r w:rsidRPr="00123715">
              <w:rPr>
                <w:rFonts w:asciiTheme="majorHAnsi" w:eastAsia="Times New Roman" w:hAnsiTheme="majorHAnsi" w:cstheme="majorHAnsi"/>
                <w:sz w:val="20"/>
                <w:szCs w:val="16"/>
                <w:lang w:val="ru-MD"/>
              </w:rPr>
              <w:t>10.34</w:t>
            </w:r>
          </w:p>
        </w:tc>
        <w:tc>
          <w:tcPr>
            <w:tcW w:w="753" w:type="pct"/>
            <w:tcBorders>
              <w:top w:val="nil"/>
              <w:left w:val="nil"/>
              <w:bottom w:val="single" w:sz="4" w:space="0" w:color="auto"/>
              <w:right w:val="single" w:sz="4" w:space="0" w:color="auto"/>
            </w:tcBorders>
            <w:shd w:val="clear" w:color="auto" w:fill="auto"/>
            <w:noWrap/>
            <w:vAlign w:val="center"/>
            <w:hideMark/>
          </w:tcPr>
          <w:p w14:paraId="68A9ABFD" w14:textId="77777777" w:rsidR="00C67851" w:rsidRPr="00123715" w:rsidRDefault="00C67851" w:rsidP="00C67851">
            <w:pPr>
              <w:spacing w:after="0" w:line="240" w:lineRule="auto"/>
              <w:jc w:val="right"/>
              <w:rPr>
                <w:rFonts w:asciiTheme="majorHAnsi" w:eastAsia="Times New Roman" w:hAnsiTheme="majorHAnsi" w:cstheme="majorHAnsi"/>
                <w:sz w:val="20"/>
                <w:szCs w:val="16"/>
                <w:lang w:val="ru-MD"/>
              </w:rPr>
            </w:pPr>
            <w:r w:rsidRPr="00123715">
              <w:rPr>
                <w:rFonts w:asciiTheme="majorHAnsi" w:eastAsia="Times New Roman" w:hAnsiTheme="majorHAnsi" w:cstheme="majorHAnsi"/>
                <w:sz w:val="20"/>
                <w:szCs w:val="16"/>
                <w:lang w:val="ru-MD"/>
              </w:rPr>
              <w:t>6.79</w:t>
            </w:r>
          </w:p>
        </w:tc>
      </w:tr>
      <w:tr w:rsidR="00C67851" w:rsidRPr="00123715" w14:paraId="2F36ED53" w14:textId="77777777" w:rsidTr="00C67851">
        <w:trPr>
          <w:trHeight w:val="47"/>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14:paraId="10D3AE6F" w14:textId="68D54C85" w:rsidR="00C67851" w:rsidRPr="00123715" w:rsidRDefault="00C67851" w:rsidP="00C67851">
            <w:pPr>
              <w:spacing w:after="0" w:line="240" w:lineRule="auto"/>
              <w:jc w:val="center"/>
              <w:rPr>
                <w:rFonts w:asciiTheme="majorHAnsi" w:eastAsia="Times New Roman" w:hAnsiTheme="majorHAnsi" w:cstheme="majorHAnsi"/>
                <w:b/>
                <w:sz w:val="20"/>
                <w:szCs w:val="16"/>
                <w:lang w:val="ru-MD"/>
              </w:rPr>
            </w:pPr>
            <w:r w:rsidRPr="00123715">
              <w:rPr>
                <w:rFonts w:asciiTheme="majorHAnsi" w:eastAsia="Times New Roman" w:hAnsiTheme="majorHAnsi" w:cstheme="majorHAnsi"/>
                <w:b/>
                <w:sz w:val="20"/>
                <w:szCs w:val="16"/>
                <w:lang w:val="ru-MD"/>
              </w:rPr>
              <w:t>2022</w:t>
            </w:r>
            <w:r w:rsidR="00123715" w:rsidRPr="00123715">
              <w:rPr>
                <w:rFonts w:asciiTheme="majorHAnsi" w:eastAsia="Times New Roman" w:hAnsiTheme="majorHAnsi" w:cstheme="majorHAnsi"/>
                <w:b/>
                <w:sz w:val="20"/>
                <w:szCs w:val="16"/>
                <w:lang w:val="ru-MD"/>
              </w:rPr>
              <w:t xml:space="preserve"> год</w:t>
            </w:r>
          </w:p>
        </w:tc>
        <w:tc>
          <w:tcPr>
            <w:tcW w:w="777" w:type="pct"/>
            <w:tcBorders>
              <w:top w:val="nil"/>
              <w:left w:val="nil"/>
              <w:bottom w:val="single" w:sz="4" w:space="0" w:color="auto"/>
              <w:right w:val="single" w:sz="4" w:space="0" w:color="auto"/>
            </w:tcBorders>
            <w:shd w:val="clear" w:color="auto" w:fill="auto"/>
            <w:noWrap/>
            <w:vAlign w:val="center"/>
            <w:hideMark/>
          </w:tcPr>
          <w:p w14:paraId="23D798FD" w14:textId="77777777" w:rsidR="00C67851" w:rsidRPr="00123715" w:rsidRDefault="00C67851" w:rsidP="00C67851">
            <w:pPr>
              <w:spacing w:after="0" w:line="240" w:lineRule="auto"/>
              <w:jc w:val="right"/>
              <w:rPr>
                <w:rFonts w:asciiTheme="majorHAnsi" w:eastAsia="Times New Roman" w:hAnsiTheme="majorHAnsi" w:cstheme="majorHAnsi"/>
                <w:sz w:val="20"/>
                <w:szCs w:val="16"/>
                <w:lang w:val="ru-MD"/>
              </w:rPr>
            </w:pPr>
            <w:r w:rsidRPr="00123715">
              <w:rPr>
                <w:rFonts w:asciiTheme="majorHAnsi" w:eastAsia="Times New Roman" w:hAnsiTheme="majorHAnsi" w:cstheme="majorHAnsi"/>
                <w:sz w:val="20"/>
                <w:szCs w:val="16"/>
                <w:lang w:val="ru-MD"/>
              </w:rPr>
              <w:t>117.00</w:t>
            </w:r>
          </w:p>
        </w:tc>
        <w:tc>
          <w:tcPr>
            <w:tcW w:w="777" w:type="pct"/>
            <w:tcBorders>
              <w:top w:val="nil"/>
              <w:left w:val="nil"/>
              <w:bottom w:val="single" w:sz="4" w:space="0" w:color="auto"/>
              <w:right w:val="single" w:sz="4" w:space="0" w:color="auto"/>
            </w:tcBorders>
            <w:shd w:val="clear" w:color="auto" w:fill="auto"/>
            <w:noWrap/>
            <w:vAlign w:val="center"/>
            <w:hideMark/>
          </w:tcPr>
          <w:p w14:paraId="2114F263" w14:textId="77777777" w:rsidR="00C67851" w:rsidRPr="00123715" w:rsidRDefault="00C67851" w:rsidP="00C67851">
            <w:pPr>
              <w:spacing w:after="0" w:line="240" w:lineRule="auto"/>
              <w:jc w:val="right"/>
              <w:rPr>
                <w:rFonts w:asciiTheme="majorHAnsi" w:eastAsia="Times New Roman" w:hAnsiTheme="majorHAnsi" w:cstheme="majorHAnsi"/>
                <w:sz w:val="20"/>
                <w:szCs w:val="16"/>
                <w:lang w:val="ru-MD"/>
              </w:rPr>
            </w:pPr>
            <w:r w:rsidRPr="00123715">
              <w:rPr>
                <w:rFonts w:asciiTheme="majorHAnsi" w:eastAsia="Times New Roman" w:hAnsiTheme="majorHAnsi" w:cstheme="majorHAnsi"/>
                <w:sz w:val="20"/>
                <w:szCs w:val="16"/>
                <w:lang w:val="ru-MD"/>
              </w:rPr>
              <w:t>195.40</w:t>
            </w:r>
          </w:p>
        </w:tc>
        <w:tc>
          <w:tcPr>
            <w:tcW w:w="731" w:type="pct"/>
            <w:tcBorders>
              <w:top w:val="nil"/>
              <w:left w:val="nil"/>
              <w:bottom w:val="single" w:sz="4" w:space="0" w:color="auto"/>
              <w:right w:val="single" w:sz="4" w:space="0" w:color="auto"/>
            </w:tcBorders>
            <w:shd w:val="clear" w:color="auto" w:fill="auto"/>
            <w:noWrap/>
            <w:vAlign w:val="center"/>
            <w:hideMark/>
          </w:tcPr>
          <w:p w14:paraId="3BA37697" w14:textId="77777777" w:rsidR="00C67851" w:rsidRPr="00123715" w:rsidRDefault="00C67851" w:rsidP="00C67851">
            <w:pPr>
              <w:spacing w:after="0" w:line="240" w:lineRule="auto"/>
              <w:jc w:val="right"/>
              <w:rPr>
                <w:rFonts w:asciiTheme="majorHAnsi" w:eastAsia="Times New Roman" w:hAnsiTheme="majorHAnsi" w:cstheme="majorHAnsi"/>
                <w:sz w:val="20"/>
                <w:szCs w:val="16"/>
                <w:lang w:val="ru-MD"/>
              </w:rPr>
            </w:pPr>
            <w:r w:rsidRPr="00123715">
              <w:rPr>
                <w:rFonts w:asciiTheme="majorHAnsi" w:eastAsia="Times New Roman" w:hAnsiTheme="majorHAnsi" w:cstheme="majorHAnsi"/>
                <w:sz w:val="20"/>
                <w:szCs w:val="16"/>
                <w:lang w:val="ru-MD"/>
              </w:rPr>
              <w:t>7.31</w:t>
            </w:r>
          </w:p>
        </w:tc>
        <w:tc>
          <w:tcPr>
            <w:tcW w:w="731" w:type="pct"/>
            <w:tcBorders>
              <w:top w:val="nil"/>
              <w:left w:val="nil"/>
              <w:bottom w:val="single" w:sz="4" w:space="0" w:color="auto"/>
              <w:right w:val="single" w:sz="4" w:space="0" w:color="auto"/>
            </w:tcBorders>
            <w:shd w:val="clear" w:color="auto" w:fill="auto"/>
            <w:noWrap/>
            <w:vAlign w:val="center"/>
            <w:hideMark/>
          </w:tcPr>
          <w:p w14:paraId="0909424B" w14:textId="77777777" w:rsidR="00C67851" w:rsidRPr="00123715" w:rsidRDefault="00C67851" w:rsidP="00C67851">
            <w:pPr>
              <w:spacing w:after="0" w:line="240" w:lineRule="auto"/>
              <w:jc w:val="right"/>
              <w:rPr>
                <w:rFonts w:asciiTheme="majorHAnsi" w:eastAsia="Times New Roman" w:hAnsiTheme="majorHAnsi" w:cstheme="majorHAnsi"/>
                <w:sz w:val="20"/>
                <w:szCs w:val="16"/>
                <w:lang w:val="ru-MD"/>
              </w:rPr>
            </w:pPr>
            <w:r w:rsidRPr="00123715">
              <w:rPr>
                <w:rFonts w:asciiTheme="majorHAnsi" w:eastAsia="Times New Roman" w:hAnsiTheme="majorHAnsi" w:cstheme="majorHAnsi"/>
                <w:sz w:val="20"/>
                <w:szCs w:val="16"/>
                <w:lang w:val="ru-MD"/>
              </w:rPr>
              <w:t>11.72</w:t>
            </w:r>
          </w:p>
        </w:tc>
        <w:tc>
          <w:tcPr>
            <w:tcW w:w="753" w:type="pct"/>
            <w:tcBorders>
              <w:top w:val="nil"/>
              <w:left w:val="nil"/>
              <w:bottom w:val="single" w:sz="4" w:space="0" w:color="auto"/>
              <w:right w:val="single" w:sz="4" w:space="0" w:color="auto"/>
            </w:tcBorders>
            <w:shd w:val="clear" w:color="auto" w:fill="auto"/>
            <w:noWrap/>
            <w:vAlign w:val="center"/>
            <w:hideMark/>
          </w:tcPr>
          <w:p w14:paraId="4340FD01" w14:textId="77777777" w:rsidR="00C67851" w:rsidRPr="00123715" w:rsidRDefault="00C67851" w:rsidP="00C67851">
            <w:pPr>
              <w:spacing w:after="0" w:line="240" w:lineRule="auto"/>
              <w:jc w:val="right"/>
              <w:rPr>
                <w:rFonts w:asciiTheme="majorHAnsi" w:eastAsia="Times New Roman" w:hAnsiTheme="majorHAnsi" w:cstheme="majorHAnsi"/>
                <w:sz w:val="20"/>
                <w:szCs w:val="16"/>
                <w:lang w:val="ru-MD"/>
              </w:rPr>
            </w:pPr>
            <w:r w:rsidRPr="00123715">
              <w:rPr>
                <w:rFonts w:asciiTheme="majorHAnsi" w:eastAsia="Times New Roman" w:hAnsiTheme="majorHAnsi" w:cstheme="majorHAnsi"/>
                <w:sz w:val="20"/>
                <w:szCs w:val="16"/>
                <w:lang w:val="ru-MD"/>
              </w:rPr>
              <w:t>4.42</w:t>
            </w:r>
          </w:p>
        </w:tc>
      </w:tr>
      <w:tr w:rsidR="00C67851" w:rsidRPr="00123715" w14:paraId="39C68171" w14:textId="77777777" w:rsidTr="003D5986">
        <w:trPr>
          <w:trHeight w:val="251"/>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14:paraId="693B5A73" w14:textId="577B91EB" w:rsidR="00C67851" w:rsidRPr="00123715" w:rsidRDefault="00123715" w:rsidP="00625691">
            <w:pPr>
              <w:spacing w:after="0" w:line="240" w:lineRule="auto"/>
              <w:jc w:val="center"/>
              <w:rPr>
                <w:rFonts w:asciiTheme="majorHAnsi" w:eastAsia="Times New Roman" w:hAnsiTheme="majorHAnsi" w:cstheme="majorHAnsi"/>
                <w:b/>
                <w:sz w:val="20"/>
                <w:szCs w:val="16"/>
                <w:lang w:val="ru-MD"/>
              </w:rPr>
            </w:pPr>
            <w:r w:rsidRPr="00123715">
              <w:rPr>
                <w:rFonts w:asciiTheme="majorHAnsi" w:eastAsia="Times New Roman" w:hAnsiTheme="majorHAnsi" w:cstheme="majorHAnsi"/>
                <w:b/>
                <w:sz w:val="20"/>
                <w:szCs w:val="16"/>
                <w:lang w:val="ru-MD"/>
              </w:rPr>
              <w:t>Всего</w:t>
            </w:r>
          </w:p>
        </w:tc>
        <w:tc>
          <w:tcPr>
            <w:tcW w:w="777" w:type="pct"/>
            <w:tcBorders>
              <w:top w:val="nil"/>
              <w:left w:val="nil"/>
              <w:bottom w:val="single" w:sz="4" w:space="0" w:color="auto"/>
              <w:right w:val="single" w:sz="4" w:space="0" w:color="auto"/>
            </w:tcBorders>
            <w:shd w:val="clear" w:color="auto" w:fill="auto"/>
            <w:noWrap/>
            <w:vAlign w:val="center"/>
            <w:hideMark/>
          </w:tcPr>
          <w:p w14:paraId="2509CAB1" w14:textId="77777777" w:rsidR="00C67851" w:rsidRPr="00123715" w:rsidRDefault="00C67851" w:rsidP="00C67851">
            <w:pPr>
              <w:spacing w:after="0" w:line="240" w:lineRule="auto"/>
              <w:jc w:val="right"/>
              <w:rPr>
                <w:rFonts w:asciiTheme="majorHAnsi" w:eastAsia="Times New Roman" w:hAnsiTheme="majorHAnsi" w:cstheme="majorHAnsi"/>
                <w:sz w:val="20"/>
                <w:szCs w:val="16"/>
                <w:lang w:val="ru-MD"/>
              </w:rPr>
            </w:pPr>
            <w:r w:rsidRPr="00123715">
              <w:rPr>
                <w:rFonts w:asciiTheme="majorHAnsi" w:eastAsia="Times New Roman" w:hAnsiTheme="majorHAnsi" w:cstheme="majorHAnsi"/>
                <w:sz w:val="20"/>
                <w:szCs w:val="16"/>
                <w:lang w:val="ru-MD"/>
              </w:rPr>
              <w:t>526.00</w:t>
            </w:r>
          </w:p>
        </w:tc>
        <w:tc>
          <w:tcPr>
            <w:tcW w:w="777" w:type="pct"/>
            <w:tcBorders>
              <w:top w:val="nil"/>
              <w:left w:val="nil"/>
              <w:bottom w:val="single" w:sz="4" w:space="0" w:color="auto"/>
              <w:right w:val="single" w:sz="4" w:space="0" w:color="auto"/>
            </w:tcBorders>
            <w:shd w:val="clear" w:color="auto" w:fill="auto"/>
            <w:noWrap/>
            <w:vAlign w:val="center"/>
            <w:hideMark/>
          </w:tcPr>
          <w:p w14:paraId="03B1A4C6" w14:textId="77777777" w:rsidR="00C67851" w:rsidRPr="00123715" w:rsidRDefault="00C67851" w:rsidP="00C67851">
            <w:pPr>
              <w:spacing w:after="0" w:line="240" w:lineRule="auto"/>
              <w:jc w:val="right"/>
              <w:rPr>
                <w:rFonts w:asciiTheme="majorHAnsi" w:eastAsia="Times New Roman" w:hAnsiTheme="majorHAnsi" w:cstheme="majorHAnsi"/>
                <w:sz w:val="20"/>
                <w:szCs w:val="16"/>
                <w:lang w:val="ru-MD"/>
              </w:rPr>
            </w:pPr>
            <w:r w:rsidRPr="00123715">
              <w:rPr>
                <w:rFonts w:asciiTheme="majorHAnsi" w:eastAsia="Times New Roman" w:hAnsiTheme="majorHAnsi" w:cstheme="majorHAnsi"/>
                <w:sz w:val="20"/>
                <w:szCs w:val="16"/>
                <w:lang w:val="ru-MD"/>
              </w:rPr>
              <w:t>547.57</w:t>
            </w:r>
          </w:p>
        </w:tc>
        <w:tc>
          <w:tcPr>
            <w:tcW w:w="731" w:type="pct"/>
            <w:tcBorders>
              <w:top w:val="nil"/>
              <w:left w:val="nil"/>
              <w:bottom w:val="single" w:sz="4" w:space="0" w:color="auto"/>
              <w:right w:val="single" w:sz="4" w:space="0" w:color="auto"/>
            </w:tcBorders>
            <w:shd w:val="clear" w:color="auto" w:fill="auto"/>
            <w:noWrap/>
            <w:vAlign w:val="center"/>
            <w:hideMark/>
          </w:tcPr>
          <w:p w14:paraId="510AE372" w14:textId="77777777" w:rsidR="00C67851" w:rsidRPr="00123715" w:rsidRDefault="00C67851" w:rsidP="00C67851">
            <w:pPr>
              <w:spacing w:after="0" w:line="240" w:lineRule="auto"/>
              <w:jc w:val="right"/>
              <w:rPr>
                <w:rFonts w:asciiTheme="majorHAnsi" w:eastAsia="Times New Roman" w:hAnsiTheme="majorHAnsi" w:cstheme="majorHAnsi"/>
                <w:sz w:val="20"/>
                <w:szCs w:val="16"/>
                <w:lang w:val="ru-MD"/>
              </w:rPr>
            </w:pPr>
            <w:r w:rsidRPr="00123715">
              <w:rPr>
                <w:rFonts w:asciiTheme="majorHAnsi" w:eastAsia="Times New Roman" w:hAnsiTheme="majorHAnsi" w:cstheme="majorHAnsi"/>
                <w:sz w:val="20"/>
                <w:szCs w:val="16"/>
                <w:lang w:val="ru-MD"/>
              </w:rPr>
              <w:t>14.28</w:t>
            </w:r>
          </w:p>
        </w:tc>
        <w:tc>
          <w:tcPr>
            <w:tcW w:w="731" w:type="pct"/>
            <w:tcBorders>
              <w:top w:val="nil"/>
              <w:left w:val="nil"/>
              <w:bottom w:val="single" w:sz="4" w:space="0" w:color="auto"/>
              <w:right w:val="single" w:sz="4" w:space="0" w:color="auto"/>
            </w:tcBorders>
            <w:shd w:val="clear" w:color="auto" w:fill="auto"/>
            <w:noWrap/>
            <w:vAlign w:val="center"/>
            <w:hideMark/>
          </w:tcPr>
          <w:p w14:paraId="29C46A00" w14:textId="77777777" w:rsidR="00C67851" w:rsidRPr="00123715" w:rsidRDefault="00C67851" w:rsidP="00C67851">
            <w:pPr>
              <w:spacing w:after="0" w:line="240" w:lineRule="auto"/>
              <w:jc w:val="right"/>
              <w:rPr>
                <w:rFonts w:asciiTheme="majorHAnsi" w:eastAsia="Times New Roman" w:hAnsiTheme="majorHAnsi" w:cstheme="majorHAnsi"/>
                <w:sz w:val="20"/>
                <w:szCs w:val="16"/>
                <w:lang w:val="ru-MD"/>
              </w:rPr>
            </w:pPr>
            <w:r w:rsidRPr="00123715">
              <w:rPr>
                <w:rFonts w:asciiTheme="majorHAnsi" w:eastAsia="Times New Roman" w:hAnsiTheme="majorHAnsi" w:cstheme="majorHAnsi"/>
                <w:sz w:val="20"/>
                <w:szCs w:val="16"/>
                <w:lang w:val="ru-MD"/>
              </w:rPr>
              <w:t>32.83</w:t>
            </w:r>
          </w:p>
        </w:tc>
        <w:tc>
          <w:tcPr>
            <w:tcW w:w="753" w:type="pct"/>
            <w:tcBorders>
              <w:top w:val="nil"/>
              <w:left w:val="nil"/>
              <w:bottom w:val="single" w:sz="4" w:space="0" w:color="auto"/>
              <w:right w:val="single" w:sz="4" w:space="0" w:color="auto"/>
            </w:tcBorders>
            <w:shd w:val="clear" w:color="auto" w:fill="auto"/>
            <w:noWrap/>
            <w:vAlign w:val="center"/>
            <w:hideMark/>
          </w:tcPr>
          <w:p w14:paraId="6F2356D1" w14:textId="77777777" w:rsidR="00C67851" w:rsidRPr="00123715" w:rsidRDefault="00C67851" w:rsidP="00C67851">
            <w:pPr>
              <w:spacing w:after="0" w:line="240" w:lineRule="auto"/>
              <w:jc w:val="right"/>
              <w:rPr>
                <w:rFonts w:asciiTheme="majorHAnsi" w:eastAsia="Times New Roman" w:hAnsiTheme="majorHAnsi" w:cstheme="majorHAnsi"/>
                <w:sz w:val="20"/>
                <w:szCs w:val="16"/>
                <w:lang w:val="ru-MD"/>
              </w:rPr>
            </w:pPr>
            <w:r w:rsidRPr="00123715">
              <w:rPr>
                <w:rFonts w:asciiTheme="majorHAnsi" w:eastAsia="Times New Roman" w:hAnsiTheme="majorHAnsi" w:cstheme="majorHAnsi"/>
                <w:sz w:val="20"/>
                <w:szCs w:val="16"/>
                <w:lang w:val="ru-MD"/>
              </w:rPr>
              <w:t>18.55</w:t>
            </w:r>
          </w:p>
        </w:tc>
      </w:tr>
    </w:tbl>
    <w:p w14:paraId="76ABA6FB" w14:textId="0C487EE1" w:rsidR="003D5986" w:rsidRPr="00123715" w:rsidRDefault="00281F6D" w:rsidP="003D5986">
      <w:pPr>
        <w:tabs>
          <w:tab w:val="left" w:pos="284"/>
          <w:tab w:val="left" w:pos="425"/>
        </w:tabs>
        <w:spacing w:after="0" w:line="276" w:lineRule="auto"/>
        <w:ind w:left="142"/>
        <w:rPr>
          <w:rFonts w:asciiTheme="majorHAnsi" w:eastAsia="Calibri" w:hAnsiTheme="majorHAnsi" w:cstheme="majorHAnsi"/>
          <w:sz w:val="20"/>
          <w:szCs w:val="20"/>
          <w:lang w:val="ru-MD"/>
        </w:rPr>
      </w:pPr>
      <w:r w:rsidRPr="00123715">
        <w:rPr>
          <w:rFonts w:asciiTheme="majorHAnsi" w:eastAsia="Calibri" w:hAnsiTheme="majorHAnsi" w:cstheme="majorHAnsi"/>
          <w:sz w:val="20"/>
          <w:szCs w:val="20"/>
          <w:lang w:val="ru-MD"/>
        </w:rPr>
        <w:t>Источник</w:t>
      </w:r>
      <w:r w:rsidR="003D5986" w:rsidRPr="00123715">
        <w:rPr>
          <w:rFonts w:asciiTheme="majorHAnsi" w:eastAsia="Calibri" w:hAnsiTheme="majorHAnsi" w:cstheme="majorHAnsi"/>
          <w:sz w:val="20"/>
          <w:szCs w:val="20"/>
          <w:lang w:val="ru-MD"/>
        </w:rPr>
        <w:t xml:space="preserve">: </w:t>
      </w:r>
      <w:r w:rsidR="00123715" w:rsidRPr="00123715">
        <w:rPr>
          <w:rFonts w:asciiTheme="majorHAnsi" w:eastAsia="Calibri" w:hAnsiTheme="majorHAnsi" w:cstheme="majorHAnsi"/>
          <w:i/>
          <w:sz w:val="20"/>
          <w:szCs w:val="20"/>
          <w:lang w:val="ru-MD"/>
        </w:rPr>
        <w:t>Подготовлено аудитом на основе данных, представленных ГНС за период 2020-2022 гг.</w:t>
      </w:r>
    </w:p>
    <w:p w14:paraId="4E84DA1A" w14:textId="77777777" w:rsidR="00A165E0" w:rsidRPr="00653E85" w:rsidRDefault="00A165E0" w:rsidP="00A165E0">
      <w:pPr>
        <w:tabs>
          <w:tab w:val="left" w:pos="284"/>
          <w:tab w:val="left" w:pos="425"/>
        </w:tabs>
        <w:spacing w:after="0" w:line="276" w:lineRule="auto"/>
        <w:jc w:val="both"/>
        <w:rPr>
          <w:rFonts w:asciiTheme="majorHAnsi" w:hAnsiTheme="majorHAnsi" w:cstheme="majorHAnsi"/>
          <w:sz w:val="24"/>
          <w:szCs w:val="24"/>
          <w:lang w:val="ro-MD"/>
        </w:rPr>
      </w:pPr>
    </w:p>
    <w:p w14:paraId="5661D5CA" w14:textId="5BCE9089" w:rsidR="00475963" w:rsidRPr="00503594" w:rsidRDefault="00123715" w:rsidP="00475963">
      <w:pPr>
        <w:tabs>
          <w:tab w:val="left" w:pos="284"/>
          <w:tab w:val="left" w:pos="425"/>
        </w:tabs>
        <w:spacing w:after="0" w:line="276" w:lineRule="auto"/>
        <w:jc w:val="both"/>
        <w:rPr>
          <w:rFonts w:asciiTheme="majorHAnsi" w:hAnsiTheme="majorHAnsi" w:cstheme="majorHAnsi"/>
          <w:sz w:val="24"/>
          <w:szCs w:val="24"/>
          <w:lang w:val="ru-MD"/>
        </w:rPr>
      </w:pPr>
      <w:r w:rsidRPr="00503594">
        <w:rPr>
          <w:rFonts w:asciiTheme="majorHAnsi" w:hAnsiTheme="majorHAnsi" w:cstheme="majorHAnsi"/>
          <w:sz w:val="24"/>
          <w:szCs w:val="24"/>
          <w:lang w:val="ru-MD"/>
        </w:rPr>
        <w:t>По запросу аудита</w:t>
      </w:r>
      <w:r w:rsidR="00633450" w:rsidRPr="00503594">
        <w:rPr>
          <w:rFonts w:asciiTheme="majorHAnsi" w:hAnsiTheme="majorHAnsi" w:cstheme="majorHAnsi"/>
          <w:sz w:val="24"/>
          <w:szCs w:val="24"/>
          <w:lang w:val="ru-MD"/>
        </w:rPr>
        <w:t>, ГНС</w:t>
      </w:r>
      <w:r w:rsidRPr="00503594">
        <w:rPr>
          <w:rFonts w:asciiTheme="majorHAnsi" w:hAnsiTheme="majorHAnsi" w:cstheme="majorHAnsi"/>
          <w:sz w:val="24"/>
          <w:szCs w:val="24"/>
          <w:lang w:val="ru-MD"/>
        </w:rPr>
        <w:t xml:space="preserve"> сообщила, что неуплата дивидендов мотивируется: - не</w:t>
      </w:r>
      <w:r w:rsidR="00633450" w:rsidRPr="00503594">
        <w:rPr>
          <w:rFonts w:asciiTheme="majorHAnsi" w:hAnsiTheme="majorHAnsi" w:cstheme="majorHAnsi"/>
          <w:sz w:val="24"/>
          <w:szCs w:val="24"/>
          <w:lang w:val="ru-MD"/>
        </w:rPr>
        <w:t>удержа</w:t>
      </w:r>
      <w:r w:rsidRPr="00503594">
        <w:rPr>
          <w:rFonts w:asciiTheme="majorHAnsi" w:hAnsiTheme="majorHAnsi" w:cstheme="majorHAnsi"/>
          <w:sz w:val="24"/>
          <w:szCs w:val="24"/>
          <w:lang w:val="ru-MD"/>
        </w:rPr>
        <w:t>ние</w:t>
      </w:r>
      <w:r w:rsidR="00633450" w:rsidRPr="00503594">
        <w:rPr>
          <w:rFonts w:asciiTheme="majorHAnsi" w:hAnsiTheme="majorHAnsi" w:cstheme="majorHAnsi"/>
          <w:sz w:val="24"/>
          <w:szCs w:val="24"/>
          <w:lang w:val="ru-MD"/>
        </w:rPr>
        <w:t>м</w:t>
      </w:r>
      <w:r w:rsidRPr="00503594">
        <w:rPr>
          <w:rFonts w:asciiTheme="majorHAnsi" w:hAnsiTheme="majorHAnsi" w:cstheme="majorHAnsi"/>
          <w:sz w:val="24"/>
          <w:szCs w:val="24"/>
          <w:lang w:val="ru-MD"/>
        </w:rPr>
        <w:t xml:space="preserve"> (полн</w:t>
      </w:r>
      <w:r w:rsidR="00D3743D" w:rsidRPr="00503594">
        <w:rPr>
          <w:rFonts w:asciiTheme="majorHAnsi" w:hAnsiTheme="majorHAnsi" w:cstheme="majorHAnsi"/>
          <w:sz w:val="24"/>
          <w:szCs w:val="24"/>
          <w:lang w:val="ru-MD"/>
        </w:rPr>
        <w:t>ым</w:t>
      </w:r>
      <w:r w:rsidRPr="00503594">
        <w:rPr>
          <w:rFonts w:asciiTheme="majorHAnsi" w:hAnsiTheme="majorHAnsi" w:cstheme="majorHAnsi"/>
          <w:sz w:val="24"/>
          <w:szCs w:val="24"/>
          <w:lang w:val="ru-MD"/>
        </w:rPr>
        <w:t xml:space="preserve"> удержание</w:t>
      </w:r>
      <w:r w:rsidR="00D3743D" w:rsidRPr="00503594">
        <w:rPr>
          <w:rFonts w:asciiTheme="majorHAnsi" w:hAnsiTheme="majorHAnsi" w:cstheme="majorHAnsi"/>
          <w:sz w:val="24"/>
          <w:szCs w:val="24"/>
          <w:lang w:val="ru-MD"/>
        </w:rPr>
        <w:t>м</w:t>
      </w:r>
      <w:r w:rsidRPr="00503594">
        <w:rPr>
          <w:rFonts w:asciiTheme="majorHAnsi" w:hAnsiTheme="majorHAnsi" w:cstheme="majorHAnsi"/>
          <w:sz w:val="24"/>
          <w:szCs w:val="24"/>
          <w:lang w:val="ru-MD"/>
        </w:rPr>
        <w:t>) подоходного налога с дивидендов налогоплательщиками, направл</w:t>
      </w:r>
      <w:r w:rsidR="00633450" w:rsidRPr="00503594">
        <w:rPr>
          <w:rFonts w:asciiTheme="majorHAnsi" w:hAnsiTheme="majorHAnsi" w:cstheme="majorHAnsi"/>
          <w:sz w:val="24"/>
          <w:szCs w:val="24"/>
          <w:lang w:val="ru-MD"/>
        </w:rPr>
        <w:t>явши</w:t>
      </w:r>
      <w:r w:rsidRPr="00503594">
        <w:rPr>
          <w:rFonts w:asciiTheme="majorHAnsi" w:hAnsiTheme="majorHAnsi" w:cstheme="majorHAnsi"/>
          <w:sz w:val="24"/>
          <w:szCs w:val="24"/>
          <w:lang w:val="ru-MD"/>
        </w:rPr>
        <w:t xml:space="preserve">ми </w:t>
      </w:r>
      <w:r w:rsidR="00D3743D" w:rsidRPr="00503594">
        <w:rPr>
          <w:rFonts w:asciiTheme="majorHAnsi" w:hAnsiTheme="majorHAnsi" w:cstheme="majorHAnsi"/>
          <w:sz w:val="24"/>
          <w:szCs w:val="24"/>
          <w:lang w:val="ru-MD"/>
        </w:rPr>
        <w:t>дивиденды к</w:t>
      </w:r>
      <w:r w:rsidRPr="00503594">
        <w:rPr>
          <w:rFonts w:asciiTheme="majorHAnsi" w:hAnsiTheme="majorHAnsi" w:cstheme="majorHAnsi"/>
          <w:sz w:val="24"/>
          <w:szCs w:val="24"/>
          <w:lang w:val="ru-MD"/>
        </w:rPr>
        <w:t xml:space="preserve"> выплат</w:t>
      </w:r>
      <w:r w:rsidR="00D3743D" w:rsidRPr="00503594">
        <w:rPr>
          <w:rFonts w:asciiTheme="majorHAnsi" w:hAnsiTheme="majorHAnsi" w:cstheme="majorHAnsi"/>
          <w:sz w:val="24"/>
          <w:szCs w:val="24"/>
          <w:lang w:val="ru-MD"/>
        </w:rPr>
        <w:t>е</w:t>
      </w:r>
      <w:r w:rsidRPr="00503594">
        <w:rPr>
          <w:rFonts w:asciiTheme="majorHAnsi" w:hAnsiTheme="majorHAnsi" w:cstheme="majorHAnsi"/>
          <w:sz w:val="24"/>
          <w:szCs w:val="24"/>
          <w:lang w:val="ru-MD"/>
        </w:rPr>
        <w:t xml:space="preserve"> (13,5 млн.</w:t>
      </w:r>
      <w:r w:rsidR="00D3743D" w:rsidRPr="00503594">
        <w:rPr>
          <w:rFonts w:asciiTheme="majorHAnsi" w:hAnsiTheme="majorHAnsi" w:cstheme="majorHAnsi"/>
          <w:sz w:val="24"/>
          <w:szCs w:val="24"/>
          <w:lang w:val="ru-MD"/>
        </w:rPr>
        <w:t xml:space="preserve"> </w:t>
      </w:r>
      <w:r w:rsidRPr="00503594">
        <w:rPr>
          <w:rFonts w:asciiTheme="majorHAnsi" w:hAnsiTheme="majorHAnsi" w:cstheme="majorHAnsi"/>
          <w:sz w:val="24"/>
          <w:szCs w:val="24"/>
          <w:lang w:val="ru-MD"/>
        </w:rPr>
        <w:t>ле</w:t>
      </w:r>
      <w:r w:rsidR="00D3743D" w:rsidRPr="00503594">
        <w:rPr>
          <w:rFonts w:asciiTheme="majorHAnsi" w:hAnsiTheme="majorHAnsi" w:cstheme="majorHAnsi"/>
          <w:sz w:val="24"/>
          <w:szCs w:val="24"/>
          <w:lang w:val="ru-MD"/>
        </w:rPr>
        <w:t>ев</w:t>
      </w:r>
      <w:r w:rsidRPr="00503594">
        <w:rPr>
          <w:rFonts w:asciiTheme="majorHAnsi" w:hAnsiTheme="majorHAnsi" w:cstheme="majorHAnsi"/>
          <w:sz w:val="24"/>
          <w:szCs w:val="24"/>
          <w:lang w:val="ru-MD"/>
        </w:rPr>
        <w:t>); - не</w:t>
      </w:r>
      <w:r w:rsidR="00D3743D" w:rsidRPr="00503594">
        <w:rPr>
          <w:rFonts w:asciiTheme="majorHAnsi" w:hAnsiTheme="majorHAnsi" w:cstheme="majorHAnsi"/>
          <w:sz w:val="24"/>
          <w:szCs w:val="24"/>
          <w:lang w:val="ru-MD"/>
        </w:rPr>
        <w:t>обеспече</w:t>
      </w:r>
      <w:r w:rsidRPr="00503594">
        <w:rPr>
          <w:rFonts w:asciiTheme="majorHAnsi" w:hAnsiTheme="majorHAnsi" w:cstheme="majorHAnsi"/>
          <w:sz w:val="24"/>
          <w:szCs w:val="24"/>
          <w:lang w:val="ru-MD"/>
        </w:rPr>
        <w:t>ние</w:t>
      </w:r>
      <w:r w:rsidR="00D3743D" w:rsidRPr="00503594">
        <w:rPr>
          <w:rFonts w:asciiTheme="majorHAnsi" w:hAnsiTheme="majorHAnsi" w:cstheme="majorHAnsi"/>
          <w:sz w:val="24"/>
          <w:szCs w:val="24"/>
          <w:lang w:val="ru-MD"/>
        </w:rPr>
        <w:t>м</w:t>
      </w:r>
      <w:r w:rsidRPr="00503594">
        <w:rPr>
          <w:rFonts w:asciiTheme="majorHAnsi" w:hAnsiTheme="majorHAnsi" w:cstheme="majorHAnsi"/>
          <w:sz w:val="24"/>
          <w:szCs w:val="24"/>
          <w:lang w:val="ru-MD"/>
        </w:rPr>
        <w:t xml:space="preserve"> их отражения (полно</w:t>
      </w:r>
      <w:r w:rsidR="00D3743D" w:rsidRPr="00503594">
        <w:rPr>
          <w:rFonts w:asciiTheme="majorHAnsi" w:hAnsiTheme="majorHAnsi" w:cstheme="majorHAnsi"/>
          <w:sz w:val="24"/>
          <w:szCs w:val="24"/>
          <w:lang w:val="ru-MD"/>
        </w:rPr>
        <w:t>го</w:t>
      </w:r>
      <w:r w:rsidRPr="00503594">
        <w:rPr>
          <w:rFonts w:asciiTheme="majorHAnsi" w:hAnsiTheme="majorHAnsi" w:cstheme="majorHAnsi"/>
          <w:sz w:val="24"/>
          <w:szCs w:val="24"/>
          <w:lang w:val="ru-MD"/>
        </w:rPr>
        <w:t xml:space="preserve"> отражени</w:t>
      </w:r>
      <w:r w:rsidR="00D3743D" w:rsidRPr="00503594">
        <w:rPr>
          <w:rFonts w:asciiTheme="majorHAnsi" w:hAnsiTheme="majorHAnsi" w:cstheme="majorHAnsi"/>
          <w:sz w:val="24"/>
          <w:szCs w:val="24"/>
          <w:lang w:val="ru-MD"/>
        </w:rPr>
        <w:t>я</w:t>
      </w:r>
      <w:r w:rsidRPr="00503594">
        <w:rPr>
          <w:rFonts w:asciiTheme="majorHAnsi" w:hAnsiTheme="majorHAnsi" w:cstheme="majorHAnsi"/>
          <w:sz w:val="24"/>
          <w:szCs w:val="24"/>
          <w:lang w:val="ru-MD"/>
        </w:rPr>
        <w:t>)</w:t>
      </w:r>
      <w:r w:rsidR="00D3743D" w:rsidRPr="00503594">
        <w:rPr>
          <w:rFonts w:asciiTheme="majorHAnsi" w:hAnsiTheme="majorHAnsi" w:cstheme="majorHAnsi"/>
          <w:sz w:val="24"/>
          <w:szCs w:val="24"/>
          <w:lang w:val="ru-MD"/>
        </w:rPr>
        <w:t xml:space="preserve"> </w:t>
      </w:r>
      <w:r w:rsidRPr="00503594">
        <w:rPr>
          <w:rFonts w:asciiTheme="majorHAnsi" w:hAnsiTheme="majorHAnsi" w:cstheme="majorHAnsi"/>
          <w:sz w:val="24"/>
          <w:szCs w:val="24"/>
          <w:lang w:val="ru-MD"/>
        </w:rPr>
        <w:t xml:space="preserve">в информационной </w:t>
      </w:r>
      <w:r w:rsidR="00D3743D" w:rsidRPr="00503594">
        <w:rPr>
          <w:rFonts w:asciiTheme="majorHAnsi" w:hAnsiTheme="majorHAnsi" w:cstheme="majorHAnsi"/>
          <w:sz w:val="24"/>
          <w:szCs w:val="24"/>
          <w:lang w:val="ru-MD"/>
        </w:rPr>
        <w:t>справ</w:t>
      </w:r>
      <w:r w:rsidRPr="00503594">
        <w:rPr>
          <w:rFonts w:asciiTheme="majorHAnsi" w:hAnsiTheme="majorHAnsi" w:cstheme="majorHAnsi"/>
          <w:sz w:val="24"/>
          <w:szCs w:val="24"/>
          <w:lang w:val="ru-MD"/>
        </w:rPr>
        <w:t>ке IALS21 (5,4 млн. ле</w:t>
      </w:r>
      <w:r w:rsidR="00D3743D" w:rsidRPr="00503594">
        <w:rPr>
          <w:rFonts w:asciiTheme="majorHAnsi" w:hAnsiTheme="majorHAnsi" w:cstheme="majorHAnsi"/>
          <w:sz w:val="24"/>
          <w:szCs w:val="24"/>
          <w:lang w:val="ru-MD"/>
        </w:rPr>
        <w:t>ев</w:t>
      </w:r>
      <w:r w:rsidRPr="00503594">
        <w:rPr>
          <w:rFonts w:asciiTheme="majorHAnsi" w:hAnsiTheme="majorHAnsi" w:cstheme="majorHAnsi"/>
          <w:sz w:val="24"/>
          <w:szCs w:val="24"/>
          <w:lang w:val="ru-MD"/>
        </w:rPr>
        <w:t xml:space="preserve">). В этом аспекте, </w:t>
      </w:r>
      <w:r w:rsidR="00D3743D" w:rsidRPr="00503594">
        <w:rPr>
          <w:rFonts w:asciiTheme="majorHAnsi" w:hAnsiTheme="majorHAnsi" w:cstheme="majorHAnsi"/>
          <w:sz w:val="24"/>
          <w:szCs w:val="24"/>
          <w:lang w:val="ru-MD"/>
        </w:rPr>
        <w:t>ГНС</w:t>
      </w:r>
      <w:r w:rsidRPr="00503594">
        <w:rPr>
          <w:rFonts w:asciiTheme="majorHAnsi" w:hAnsiTheme="majorHAnsi" w:cstheme="majorHAnsi"/>
          <w:sz w:val="24"/>
          <w:szCs w:val="24"/>
          <w:lang w:val="ru-MD"/>
        </w:rPr>
        <w:t xml:space="preserve">, </w:t>
      </w:r>
      <w:r w:rsidR="00D3743D" w:rsidRPr="00503594">
        <w:rPr>
          <w:rFonts w:asciiTheme="majorHAnsi" w:hAnsiTheme="majorHAnsi" w:cstheme="majorHAnsi"/>
          <w:sz w:val="24"/>
          <w:szCs w:val="24"/>
          <w:lang w:val="ru-MD"/>
        </w:rPr>
        <w:t>Приказом №</w:t>
      </w:r>
      <w:r w:rsidRPr="00503594">
        <w:rPr>
          <w:rFonts w:asciiTheme="majorHAnsi" w:hAnsiTheme="majorHAnsi" w:cstheme="majorHAnsi"/>
          <w:sz w:val="24"/>
          <w:szCs w:val="24"/>
          <w:lang w:val="ru-MD"/>
        </w:rPr>
        <w:t>131 от 25.04.2023 установ</w:t>
      </w:r>
      <w:r w:rsidR="00D3743D" w:rsidRPr="00503594">
        <w:rPr>
          <w:rFonts w:asciiTheme="majorHAnsi" w:hAnsiTheme="majorHAnsi" w:cstheme="majorHAnsi"/>
          <w:sz w:val="24"/>
          <w:szCs w:val="24"/>
          <w:lang w:val="ru-MD"/>
        </w:rPr>
        <w:t>ила</w:t>
      </w:r>
      <w:r w:rsidRPr="00503594">
        <w:rPr>
          <w:rFonts w:asciiTheme="majorHAnsi" w:hAnsiTheme="majorHAnsi" w:cstheme="majorHAnsi"/>
          <w:sz w:val="24"/>
          <w:szCs w:val="24"/>
          <w:lang w:val="ru-MD"/>
        </w:rPr>
        <w:t xml:space="preserve"> конкретные действия и сроки, направленные на укрепление административных мер </w:t>
      </w:r>
      <w:r w:rsidR="00D3743D" w:rsidRPr="00503594">
        <w:rPr>
          <w:rFonts w:asciiTheme="majorHAnsi" w:hAnsiTheme="majorHAnsi" w:cstheme="majorHAnsi"/>
          <w:sz w:val="24"/>
          <w:szCs w:val="24"/>
          <w:lang w:val="ru-MD"/>
        </w:rPr>
        <w:t>по</w:t>
      </w:r>
      <w:r w:rsidRPr="00503594">
        <w:rPr>
          <w:rFonts w:asciiTheme="majorHAnsi" w:hAnsiTheme="majorHAnsi" w:cstheme="majorHAnsi"/>
          <w:sz w:val="24"/>
          <w:szCs w:val="24"/>
          <w:lang w:val="ru-MD"/>
        </w:rPr>
        <w:t xml:space="preserve"> </w:t>
      </w:r>
      <w:r w:rsidR="00D3743D" w:rsidRPr="00503594">
        <w:rPr>
          <w:rFonts w:asciiTheme="majorHAnsi" w:hAnsiTheme="majorHAnsi" w:cstheme="majorHAnsi"/>
          <w:sz w:val="24"/>
          <w:szCs w:val="24"/>
          <w:lang w:val="ru-MD"/>
        </w:rPr>
        <w:t>части</w:t>
      </w:r>
      <w:r w:rsidRPr="00503594">
        <w:rPr>
          <w:rFonts w:asciiTheme="majorHAnsi" w:hAnsiTheme="majorHAnsi" w:cstheme="majorHAnsi"/>
          <w:sz w:val="24"/>
          <w:szCs w:val="24"/>
          <w:lang w:val="ru-MD"/>
        </w:rPr>
        <w:t xml:space="preserve"> подоходн</w:t>
      </w:r>
      <w:r w:rsidR="00D3743D" w:rsidRPr="00503594">
        <w:rPr>
          <w:rFonts w:asciiTheme="majorHAnsi" w:hAnsiTheme="majorHAnsi" w:cstheme="majorHAnsi"/>
          <w:sz w:val="24"/>
          <w:szCs w:val="24"/>
          <w:lang w:val="ru-MD"/>
        </w:rPr>
        <w:t>ого</w:t>
      </w:r>
      <w:r w:rsidRPr="00503594">
        <w:rPr>
          <w:rFonts w:asciiTheme="majorHAnsi" w:hAnsiTheme="majorHAnsi" w:cstheme="majorHAnsi"/>
          <w:sz w:val="24"/>
          <w:szCs w:val="24"/>
          <w:lang w:val="ru-MD"/>
        </w:rPr>
        <w:t xml:space="preserve"> налог</w:t>
      </w:r>
      <w:r w:rsidR="00D3743D" w:rsidRPr="00503594">
        <w:rPr>
          <w:rFonts w:asciiTheme="majorHAnsi" w:hAnsiTheme="majorHAnsi" w:cstheme="majorHAnsi"/>
          <w:sz w:val="24"/>
          <w:szCs w:val="24"/>
          <w:lang w:val="ru-MD"/>
        </w:rPr>
        <w:t>а</w:t>
      </w:r>
      <w:r w:rsidRPr="00503594">
        <w:rPr>
          <w:rFonts w:asciiTheme="majorHAnsi" w:hAnsiTheme="majorHAnsi" w:cstheme="majorHAnsi"/>
          <w:sz w:val="24"/>
          <w:szCs w:val="24"/>
          <w:lang w:val="ru-MD"/>
        </w:rPr>
        <w:t>, осуществл</w:t>
      </w:r>
      <w:r w:rsidR="00D3743D" w:rsidRPr="00503594">
        <w:rPr>
          <w:rFonts w:asciiTheme="majorHAnsi" w:hAnsiTheme="majorHAnsi" w:cstheme="majorHAnsi"/>
          <w:sz w:val="24"/>
          <w:szCs w:val="24"/>
          <w:lang w:val="ru-MD"/>
        </w:rPr>
        <w:t>яются</w:t>
      </w:r>
      <w:r w:rsidRPr="00503594">
        <w:rPr>
          <w:rFonts w:asciiTheme="majorHAnsi" w:hAnsiTheme="majorHAnsi" w:cstheme="majorHAnsi"/>
          <w:sz w:val="24"/>
          <w:szCs w:val="24"/>
          <w:lang w:val="ru-MD"/>
        </w:rPr>
        <w:t xml:space="preserve"> и административн</w:t>
      </w:r>
      <w:r w:rsidR="00D3743D" w:rsidRPr="00503594">
        <w:rPr>
          <w:rFonts w:asciiTheme="majorHAnsi" w:hAnsiTheme="majorHAnsi" w:cstheme="majorHAnsi"/>
          <w:sz w:val="24"/>
          <w:szCs w:val="24"/>
          <w:lang w:val="ru-MD"/>
        </w:rPr>
        <w:t>ые</w:t>
      </w:r>
      <w:r w:rsidRPr="00503594">
        <w:rPr>
          <w:rFonts w:asciiTheme="majorHAnsi" w:hAnsiTheme="majorHAnsi" w:cstheme="majorHAnsi"/>
          <w:sz w:val="24"/>
          <w:szCs w:val="24"/>
          <w:lang w:val="ru-MD"/>
        </w:rPr>
        <w:t xml:space="preserve"> де</w:t>
      </w:r>
      <w:r w:rsidR="00D3743D" w:rsidRPr="00503594">
        <w:rPr>
          <w:rFonts w:asciiTheme="majorHAnsi" w:hAnsiTheme="majorHAnsi" w:cstheme="majorHAnsi"/>
          <w:sz w:val="24"/>
          <w:szCs w:val="24"/>
          <w:lang w:val="ru-MD"/>
        </w:rPr>
        <w:t>йствия</w:t>
      </w:r>
      <w:r w:rsidRPr="00503594">
        <w:rPr>
          <w:rFonts w:asciiTheme="majorHAnsi" w:hAnsiTheme="majorHAnsi" w:cstheme="majorHAnsi"/>
          <w:sz w:val="24"/>
          <w:szCs w:val="24"/>
          <w:lang w:val="ru-MD"/>
        </w:rPr>
        <w:t xml:space="preserve"> по отношению к указанным налогоплательщикам с целью установления причин/</w:t>
      </w:r>
      <w:r w:rsidRPr="00503594">
        <w:rPr>
          <w:rFonts w:asciiTheme="majorHAnsi" w:hAnsiTheme="majorHAnsi" w:cstheme="majorHAnsi"/>
          <w:sz w:val="24"/>
          <w:szCs w:val="24"/>
          <w:highlight w:val="yellow"/>
          <w:lang w:val="ru-MD"/>
        </w:rPr>
        <w:t xml:space="preserve">расхождений </w:t>
      </w:r>
      <w:r w:rsidR="00D3743D" w:rsidRPr="00503594">
        <w:rPr>
          <w:rFonts w:asciiTheme="majorHAnsi" w:hAnsiTheme="majorHAnsi" w:cstheme="majorHAnsi"/>
          <w:sz w:val="24"/>
          <w:szCs w:val="24"/>
          <w:highlight w:val="yellow"/>
          <w:lang w:val="ru-MD"/>
        </w:rPr>
        <w:t>представления</w:t>
      </w:r>
      <w:r w:rsidRPr="00503594">
        <w:rPr>
          <w:rFonts w:asciiTheme="majorHAnsi" w:hAnsiTheme="majorHAnsi" w:cstheme="majorHAnsi"/>
          <w:sz w:val="24"/>
          <w:szCs w:val="24"/>
          <w:lang w:val="ru-MD"/>
        </w:rPr>
        <w:t xml:space="preserve"> исправленн</w:t>
      </w:r>
      <w:r w:rsidR="00D3743D" w:rsidRPr="00503594">
        <w:rPr>
          <w:rFonts w:asciiTheme="majorHAnsi" w:hAnsiTheme="majorHAnsi" w:cstheme="majorHAnsi"/>
          <w:sz w:val="24"/>
          <w:szCs w:val="24"/>
          <w:lang w:val="ru-MD"/>
        </w:rPr>
        <w:t>ых</w:t>
      </w:r>
      <w:r w:rsidRPr="00503594">
        <w:rPr>
          <w:rFonts w:asciiTheme="majorHAnsi" w:hAnsiTheme="majorHAnsi" w:cstheme="majorHAnsi"/>
          <w:sz w:val="24"/>
          <w:szCs w:val="24"/>
          <w:lang w:val="ru-MD"/>
        </w:rPr>
        <w:t xml:space="preserve"> отчетов.</w:t>
      </w:r>
      <w:r w:rsidR="00475963" w:rsidRPr="00503594">
        <w:rPr>
          <w:rFonts w:asciiTheme="majorHAnsi" w:eastAsia="Calibri" w:hAnsiTheme="majorHAnsi" w:cstheme="majorHAnsi"/>
          <w:sz w:val="24"/>
          <w:szCs w:val="24"/>
          <w:lang w:val="ru-MD"/>
        </w:rPr>
        <w:t xml:space="preserve"> </w:t>
      </w:r>
    </w:p>
    <w:p w14:paraId="2A1D3191" w14:textId="1DD46C6C" w:rsidR="000C7D59" w:rsidRPr="00503594" w:rsidRDefault="00123715" w:rsidP="000C7D59">
      <w:pPr>
        <w:tabs>
          <w:tab w:val="left" w:pos="7809"/>
        </w:tabs>
        <w:spacing w:after="100" w:afterAutospacing="1" w:line="276" w:lineRule="auto"/>
        <w:jc w:val="both"/>
        <w:rPr>
          <w:rFonts w:asciiTheme="majorHAnsi" w:eastAsia="Calibri" w:hAnsiTheme="majorHAnsi" w:cstheme="majorHAnsi"/>
          <w:sz w:val="24"/>
          <w:szCs w:val="24"/>
          <w:lang w:val="ru-MD"/>
        </w:rPr>
      </w:pPr>
      <w:r w:rsidRPr="00503594">
        <w:rPr>
          <w:rFonts w:asciiTheme="majorHAnsi" w:eastAsia="Calibri" w:hAnsiTheme="majorHAnsi" w:cstheme="majorHAnsi"/>
          <w:sz w:val="24"/>
          <w:szCs w:val="24"/>
          <w:lang w:val="ru-MD"/>
        </w:rPr>
        <w:t>Хотя дивиденды</w:t>
      </w:r>
      <w:r w:rsidR="00D3743D" w:rsidRPr="00503594">
        <w:rPr>
          <w:rFonts w:asciiTheme="majorHAnsi" w:eastAsia="Calibri" w:hAnsiTheme="majorHAnsi" w:cstheme="majorHAnsi"/>
          <w:sz w:val="24"/>
          <w:szCs w:val="24"/>
          <w:lang w:val="ru-MD"/>
        </w:rPr>
        <w:t xml:space="preserve"> – это </w:t>
      </w:r>
      <w:r w:rsidRPr="00503594">
        <w:rPr>
          <w:rFonts w:asciiTheme="majorHAnsi" w:eastAsia="Calibri" w:hAnsiTheme="majorHAnsi" w:cstheme="majorHAnsi"/>
          <w:sz w:val="24"/>
          <w:szCs w:val="24"/>
          <w:lang w:val="ru-MD"/>
        </w:rPr>
        <w:t xml:space="preserve">доход от распределения чистой прибыли между учредителями (акционерами) в соответствии с коэффициентом участия, внесенным в капитал </w:t>
      </w:r>
      <w:r w:rsidR="00D3743D" w:rsidRPr="00503594">
        <w:rPr>
          <w:rFonts w:asciiTheme="majorHAnsi" w:eastAsia="Calibri" w:hAnsiTheme="majorHAnsi" w:cstheme="majorHAnsi"/>
          <w:sz w:val="24"/>
          <w:szCs w:val="24"/>
          <w:lang w:val="ru-MD"/>
        </w:rPr>
        <w:t>общества</w:t>
      </w:r>
      <w:r w:rsidRPr="00503594">
        <w:rPr>
          <w:rFonts w:asciiTheme="majorHAnsi" w:eastAsia="Calibri" w:hAnsiTheme="majorHAnsi" w:cstheme="majorHAnsi"/>
          <w:sz w:val="24"/>
          <w:szCs w:val="24"/>
          <w:lang w:val="ru-MD"/>
        </w:rPr>
        <w:t xml:space="preserve">, однако дивиденды могут использоваться для выплаты заработной платы в конвертах, стимулирования сотрудников (надбавки к заработной плате, другие вознаграждения), используя путь оптимизации налогов и уклонения от </w:t>
      </w:r>
      <w:r w:rsidR="00D3743D" w:rsidRPr="00503594">
        <w:rPr>
          <w:rFonts w:asciiTheme="majorHAnsi" w:eastAsia="Calibri" w:hAnsiTheme="majorHAnsi" w:cstheme="majorHAnsi"/>
          <w:sz w:val="24"/>
          <w:szCs w:val="24"/>
          <w:lang w:val="ru-MD"/>
        </w:rPr>
        <w:t xml:space="preserve">уплаты </w:t>
      </w:r>
      <w:r w:rsidRPr="00503594">
        <w:rPr>
          <w:rFonts w:asciiTheme="majorHAnsi" w:eastAsia="Calibri" w:hAnsiTheme="majorHAnsi" w:cstheme="majorHAnsi"/>
          <w:sz w:val="24"/>
          <w:szCs w:val="24"/>
          <w:lang w:val="ru-MD"/>
        </w:rPr>
        <w:t xml:space="preserve">взносов на медицинское и социальное страхование. В </w:t>
      </w:r>
      <w:r w:rsidR="00D3743D" w:rsidRPr="00503594">
        <w:rPr>
          <w:rFonts w:asciiTheme="majorHAnsi" w:eastAsia="Calibri" w:hAnsiTheme="majorHAnsi" w:cstheme="majorHAnsi"/>
          <w:sz w:val="24"/>
          <w:szCs w:val="24"/>
          <w:lang w:val="ru-MD"/>
        </w:rPr>
        <w:t>IV</w:t>
      </w:r>
      <w:r w:rsidRPr="00503594">
        <w:rPr>
          <w:rFonts w:asciiTheme="majorHAnsi" w:eastAsia="Calibri" w:hAnsiTheme="majorHAnsi" w:cstheme="majorHAnsi"/>
          <w:sz w:val="24"/>
          <w:szCs w:val="24"/>
          <w:lang w:val="ru-MD"/>
        </w:rPr>
        <w:t xml:space="preserve"> квартале 2022 года, </w:t>
      </w:r>
      <w:r w:rsidR="00D3743D" w:rsidRPr="00503594">
        <w:rPr>
          <w:rFonts w:asciiTheme="majorHAnsi" w:eastAsia="Calibri" w:hAnsiTheme="majorHAnsi" w:cstheme="majorHAnsi"/>
          <w:sz w:val="24"/>
          <w:szCs w:val="24"/>
          <w:lang w:val="ru-MD"/>
        </w:rPr>
        <w:t>согласно</w:t>
      </w:r>
      <w:r w:rsidRPr="00503594">
        <w:rPr>
          <w:rFonts w:asciiTheme="majorHAnsi" w:eastAsia="Calibri" w:hAnsiTheme="majorHAnsi" w:cstheme="majorHAnsi"/>
          <w:sz w:val="24"/>
          <w:szCs w:val="24"/>
          <w:lang w:val="ru-MD"/>
        </w:rPr>
        <w:t xml:space="preserve"> статистическим данным, неформальн</w:t>
      </w:r>
      <w:r w:rsidR="00D3743D" w:rsidRPr="00503594">
        <w:rPr>
          <w:rFonts w:asciiTheme="majorHAnsi" w:eastAsia="Calibri" w:hAnsiTheme="majorHAnsi" w:cstheme="majorHAnsi"/>
          <w:sz w:val="24"/>
          <w:szCs w:val="24"/>
          <w:lang w:val="ru-MD"/>
        </w:rPr>
        <w:t>ый</w:t>
      </w:r>
      <w:r w:rsidRPr="00503594">
        <w:rPr>
          <w:rFonts w:asciiTheme="majorHAnsi" w:eastAsia="Calibri" w:hAnsiTheme="majorHAnsi" w:cstheme="majorHAnsi"/>
          <w:sz w:val="24"/>
          <w:szCs w:val="24"/>
          <w:lang w:val="ru-MD"/>
        </w:rPr>
        <w:t xml:space="preserve"> </w:t>
      </w:r>
      <w:r w:rsidR="00D3743D" w:rsidRPr="00503594">
        <w:rPr>
          <w:rFonts w:asciiTheme="majorHAnsi" w:eastAsia="Calibri" w:hAnsiTheme="majorHAnsi" w:cstheme="majorHAnsi"/>
          <w:sz w:val="24"/>
          <w:szCs w:val="24"/>
          <w:lang w:val="ru-MD"/>
        </w:rPr>
        <w:t>труд</w:t>
      </w:r>
      <w:r w:rsidRPr="00503594">
        <w:rPr>
          <w:rFonts w:asciiTheme="majorHAnsi" w:eastAsia="Calibri" w:hAnsiTheme="majorHAnsi" w:cstheme="majorHAnsi"/>
          <w:sz w:val="24"/>
          <w:szCs w:val="24"/>
          <w:lang w:val="ru-MD"/>
        </w:rPr>
        <w:t xml:space="preserve"> </w:t>
      </w:r>
      <w:r w:rsidR="00D3743D" w:rsidRPr="00503594">
        <w:rPr>
          <w:rFonts w:asciiTheme="majorHAnsi" w:eastAsia="Calibri" w:hAnsiTheme="majorHAnsi" w:cstheme="majorHAnsi"/>
          <w:sz w:val="24"/>
          <w:szCs w:val="24"/>
          <w:lang w:val="ru-MD"/>
        </w:rPr>
        <w:t>осуществл</w:t>
      </w:r>
      <w:r w:rsidRPr="00503594">
        <w:rPr>
          <w:rFonts w:asciiTheme="majorHAnsi" w:eastAsia="Calibri" w:hAnsiTheme="majorHAnsi" w:cstheme="majorHAnsi"/>
          <w:sz w:val="24"/>
          <w:szCs w:val="24"/>
          <w:lang w:val="ru-MD"/>
        </w:rPr>
        <w:t xml:space="preserve">яли около 192,4 тыс. человек, в то время как Государственная инспекция труда выявила только 82 человека, работающих </w:t>
      </w:r>
      <w:r w:rsidR="00503594">
        <w:rPr>
          <w:rFonts w:asciiTheme="majorHAnsi" w:eastAsia="Calibri" w:hAnsiTheme="majorHAnsi" w:cstheme="majorHAnsi"/>
          <w:sz w:val="24"/>
          <w:szCs w:val="24"/>
          <w:lang w:val="ru-MD"/>
        </w:rPr>
        <w:t>в отсутстви</w:t>
      </w:r>
      <w:r w:rsidR="00A72BEF">
        <w:rPr>
          <w:rFonts w:asciiTheme="majorHAnsi" w:eastAsia="Calibri" w:hAnsiTheme="majorHAnsi" w:cstheme="majorHAnsi"/>
          <w:sz w:val="24"/>
          <w:szCs w:val="24"/>
          <w:lang w:val="ru-MD"/>
        </w:rPr>
        <w:t>е</w:t>
      </w:r>
      <w:r w:rsidRPr="00503594">
        <w:rPr>
          <w:rFonts w:asciiTheme="majorHAnsi" w:eastAsia="Calibri" w:hAnsiTheme="majorHAnsi" w:cstheme="majorHAnsi"/>
          <w:sz w:val="24"/>
          <w:szCs w:val="24"/>
          <w:lang w:val="ru-MD"/>
        </w:rPr>
        <w:t xml:space="preserve"> законных форм </w:t>
      </w:r>
      <w:r w:rsidR="00503594" w:rsidRPr="00503594">
        <w:rPr>
          <w:rFonts w:asciiTheme="majorHAnsi" w:eastAsia="Calibri" w:hAnsiTheme="majorHAnsi" w:cstheme="majorHAnsi"/>
          <w:sz w:val="24"/>
          <w:szCs w:val="24"/>
          <w:lang w:val="ru-MD"/>
        </w:rPr>
        <w:t>по трудоустройству</w:t>
      </w:r>
      <w:r w:rsidR="000C7D59" w:rsidRPr="00503594">
        <w:rPr>
          <w:rStyle w:val="a5"/>
          <w:rFonts w:asciiTheme="majorHAnsi" w:eastAsia="Calibri" w:hAnsiTheme="majorHAnsi" w:cstheme="majorHAnsi"/>
          <w:sz w:val="24"/>
          <w:szCs w:val="24"/>
          <w:lang w:val="ru-MD"/>
        </w:rPr>
        <w:footnoteReference w:id="29"/>
      </w:r>
      <w:r w:rsidR="000C7D59" w:rsidRPr="00503594">
        <w:rPr>
          <w:rFonts w:asciiTheme="majorHAnsi" w:eastAsia="Calibri" w:hAnsiTheme="majorHAnsi" w:cstheme="majorHAnsi"/>
          <w:sz w:val="24"/>
          <w:szCs w:val="24"/>
          <w:lang w:val="ru-MD"/>
        </w:rPr>
        <w:t>.</w:t>
      </w:r>
    </w:p>
    <w:p w14:paraId="12F7A04C" w14:textId="5255DB09" w:rsidR="000C7D59" w:rsidRPr="00497B2D" w:rsidRDefault="00123715" w:rsidP="000C7D59">
      <w:pPr>
        <w:tabs>
          <w:tab w:val="left" w:pos="7809"/>
        </w:tabs>
        <w:spacing w:after="100" w:afterAutospacing="1" w:line="276" w:lineRule="auto"/>
        <w:jc w:val="both"/>
        <w:rPr>
          <w:rFonts w:asciiTheme="majorHAnsi" w:eastAsia="Calibri" w:hAnsiTheme="majorHAnsi" w:cstheme="majorHAnsi"/>
          <w:sz w:val="24"/>
          <w:szCs w:val="24"/>
          <w:lang w:val="ru-MD"/>
        </w:rPr>
      </w:pPr>
      <w:r w:rsidRPr="00497B2D">
        <w:rPr>
          <w:rFonts w:asciiTheme="majorHAnsi" w:eastAsia="Calibri" w:hAnsiTheme="majorHAnsi" w:cstheme="majorHAnsi"/>
          <w:sz w:val="24"/>
          <w:szCs w:val="24"/>
          <w:lang w:val="ru-MD"/>
        </w:rPr>
        <w:t xml:space="preserve">Аудиторские оценки за период 2020-2022 гг. </w:t>
      </w:r>
      <w:r w:rsidR="00A72BEF" w:rsidRPr="00497B2D">
        <w:rPr>
          <w:rFonts w:asciiTheme="majorHAnsi" w:eastAsia="Calibri" w:hAnsiTheme="majorHAnsi" w:cstheme="majorHAnsi"/>
          <w:sz w:val="24"/>
          <w:szCs w:val="24"/>
          <w:lang w:val="ru-MD"/>
        </w:rPr>
        <w:t>относительно</w:t>
      </w:r>
      <w:r w:rsidRPr="00497B2D">
        <w:rPr>
          <w:rFonts w:asciiTheme="majorHAnsi" w:eastAsia="Calibri" w:hAnsiTheme="majorHAnsi" w:cstheme="majorHAnsi"/>
          <w:sz w:val="24"/>
          <w:szCs w:val="24"/>
          <w:lang w:val="ru-MD"/>
        </w:rPr>
        <w:t xml:space="preserve"> </w:t>
      </w:r>
      <w:r w:rsidR="00A72BEF" w:rsidRPr="00497B2D">
        <w:rPr>
          <w:rFonts w:asciiTheme="majorHAnsi" w:eastAsia="Calibri" w:hAnsiTheme="majorHAnsi" w:cstheme="majorHAnsi"/>
          <w:sz w:val="24"/>
          <w:szCs w:val="24"/>
          <w:lang w:val="ru-MD"/>
        </w:rPr>
        <w:t>начисления</w:t>
      </w:r>
      <w:r w:rsidRPr="00497B2D">
        <w:rPr>
          <w:rFonts w:asciiTheme="majorHAnsi" w:eastAsia="Calibri" w:hAnsiTheme="majorHAnsi" w:cstheme="majorHAnsi"/>
          <w:sz w:val="24"/>
          <w:szCs w:val="24"/>
          <w:lang w:val="ru-MD"/>
        </w:rPr>
        <w:t xml:space="preserve"> взносов </w:t>
      </w:r>
      <w:r w:rsidR="00A72BEF" w:rsidRPr="00497B2D">
        <w:rPr>
          <w:rFonts w:asciiTheme="majorHAnsi" w:eastAsia="Calibri" w:hAnsiTheme="majorHAnsi" w:cstheme="majorHAnsi"/>
          <w:sz w:val="24"/>
          <w:szCs w:val="24"/>
          <w:lang w:val="ru-MD"/>
        </w:rPr>
        <w:t>в БГСС</w:t>
      </w:r>
      <w:r w:rsidRPr="00497B2D">
        <w:rPr>
          <w:rFonts w:asciiTheme="majorHAnsi" w:eastAsia="Calibri" w:hAnsiTheme="majorHAnsi" w:cstheme="majorHAnsi"/>
          <w:sz w:val="24"/>
          <w:szCs w:val="24"/>
          <w:lang w:val="ru-MD"/>
        </w:rPr>
        <w:t xml:space="preserve"> на сумму выплаченных дивидендов (26 555,06 млн. ле</w:t>
      </w:r>
      <w:r w:rsidR="00A72BEF" w:rsidRPr="00497B2D">
        <w:rPr>
          <w:rFonts w:asciiTheme="majorHAnsi" w:eastAsia="Calibri" w:hAnsiTheme="majorHAnsi" w:cstheme="majorHAnsi"/>
          <w:sz w:val="24"/>
          <w:szCs w:val="24"/>
          <w:lang w:val="ru-MD"/>
        </w:rPr>
        <w:t>ев</w:t>
      </w:r>
      <w:r w:rsidRPr="00497B2D">
        <w:rPr>
          <w:rFonts w:asciiTheme="majorHAnsi" w:eastAsia="Calibri" w:hAnsiTheme="majorHAnsi" w:cstheme="majorHAnsi"/>
          <w:sz w:val="24"/>
          <w:szCs w:val="24"/>
          <w:lang w:val="ru-MD"/>
        </w:rPr>
        <w:t>), указывает на в</w:t>
      </w:r>
      <w:r w:rsidR="00A72BEF" w:rsidRPr="00497B2D">
        <w:rPr>
          <w:rFonts w:asciiTheme="majorHAnsi" w:eastAsia="Calibri" w:hAnsiTheme="majorHAnsi" w:cstheme="majorHAnsi"/>
          <w:sz w:val="24"/>
          <w:szCs w:val="24"/>
          <w:lang w:val="ru-MD"/>
        </w:rPr>
        <w:t>ероят</w:t>
      </w:r>
      <w:r w:rsidRPr="00497B2D">
        <w:rPr>
          <w:rFonts w:asciiTheme="majorHAnsi" w:eastAsia="Calibri" w:hAnsiTheme="majorHAnsi" w:cstheme="majorHAnsi"/>
          <w:sz w:val="24"/>
          <w:szCs w:val="24"/>
          <w:lang w:val="ru-MD"/>
        </w:rPr>
        <w:t xml:space="preserve">ное увеличение доходов </w:t>
      </w:r>
      <w:r w:rsidR="00A72BEF" w:rsidRPr="00497B2D">
        <w:rPr>
          <w:rFonts w:asciiTheme="majorHAnsi" w:eastAsia="Calibri" w:hAnsiTheme="majorHAnsi" w:cstheme="majorHAnsi"/>
          <w:sz w:val="24"/>
          <w:szCs w:val="24"/>
          <w:lang w:val="ru-MD"/>
        </w:rPr>
        <w:t>БГСС</w:t>
      </w:r>
      <w:r w:rsidRPr="00497B2D">
        <w:rPr>
          <w:rFonts w:asciiTheme="majorHAnsi" w:eastAsia="Calibri" w:hAnsiTheme="majorHAnsi" w:cstheme="majorHAnsi"/>
          <w:sz w:val="24"/>
          <w:szCs w:val="24"/>
          <w:lang w:val="ru-MD"/>
        </w:rPr>
        <w:t xml:space="preserve"> </w:t>
      </w:r>
      <w:r w:rsidR="00A72BEF" w:rsidRPr="00497B2D">
        <w:rPr>
          <w:rFonts w:asciiTheme="majorHAnsi" w:eastAsia="Calibri" w:hAnsiTheme="majorHAnsi" w:cstheme="majorHAnsi"/>
          <w:sz w:val="24"/>
          <w:szCs w:val="24"/>
          <w:lang w:val="ru-MD"/>
        </w:rPr>
        <w:t xml:space="preserve">на сумму </w:t>
      </w:r>
      <w:r w:rsidRPr="00497B2D">
        <w:rPr>
          <w:rFonts w:asciiTheme="majorHAnsi" w:eastAsia="Calibri" w:hAnsiTheme="majorHAnsi" w:cstheme="majorHAnsi"/>
          <w:sz w:val="24"/>
          <w:szCs w:val="24"/>
          <w:lang w:val="ru-MD"/>
        </w:rPr>
        <w:t>до 5 139,7 млн. ле</w:t>
      </w:r>
      <w:r w:rsidR="00A72BEF" w:rsidRPr="00497B2D">
        <w:rPr>
          <w:rFonts w:asciiTheme="majorHAnsi" w:eastAsia="Calibri" w:hAnsiTheme="majorHAnsi" w:cstheme="majorHAnsi"/>
          <w:sz w:val="24"/>
          <w:szCs w:val="24"/>
          <w:lang w:val="ru-MD"/>
        </w:rPr>
        <w:t>ев</w:t>
      </w:r>
      <w:r w:rsidRPr="00497B2D">
        <w:rPr>
          <w:rFonts w:asciiTheme="majorHAnsi" w:eastAsia="Calibri" w:hAnsiTheme="majorHAnsi" w:cstheme="majorHAnsi"/>
          <w:sz w:val="24"/>
          <w:szCs w:val="24"/>
          <w:lang w:val="ru-MD"/>
        </w:rPr>
        <w:t xml:space="preserve">. Это не только источник возможного дохода </w:t>
      </w:r>
      <w:r w:rsidR="00A72BEF" w:rsidRPr="00497B2D">
        <w:rPr>
          <w:rFonts w:asciiTheme="majorHAnsi" w:eastAsia="Calibri" w:hAnsiTheme="majorHAnsi" w:cstheme="majorHAnsi"/>
          <w:sz w:val="24"/>
          <w:szCs w:val="24"/>
          <w:lang w:val="ru-MD"/>
        </w:rPr>
        <w:t>БГСС</w:t>
      </w:r>
      <w:r w:rsidRPr="00497B2D">
        <w:rPr>
          <w:rFonts w:asciiTheme="majorHAnsi" w:eastAsia="Calibri" w:hAnsiTheme="majorHAnsi" w:cstheme="majorHAnsi"/>
          <w:sz w:val="24"/>
          <w:szCs w:val="24"/>
          <w:lang w:val="ru-MD"/>
        </w:rPr>
        <w:t xml:space="preserve">, </w:t>
      </w:r>
      <w:r w:rsidR="008538DA" w:rsidRPr="00497B2D">
        <w:rPr>
          <w:rFonts w:asciiTheme="majorHAnsi" w:eastAsia="Calibri" w:hAnsiTheme="majorHAnsi" w:cstheme="majorHAnsi"/>
          <w:sz w:val="24"/>
          <w:szCs w:val="24"/>
          <w:lang w:val="ru-MD"/>
        </w:rPr>
        <w:t>но</w:t>
      </w:r>
      <w:r w:rsidRPr="00497B2D">
        <w:rPr>
          <w:rFonts w:asciiTheme="majorHAnsi" w:eastAsia="Calibri" w:hAnsiTheme="majorHAnsi" w:cstheme="majorHAnsi"/>
          <w:sz w:val="24"/>
          <w:szCs w:val="24"/>
          <w:lang w:val="ru-MD"/>
        </w:rPr>
        <w:t xml:space="preserve"> и значительное увеличение дохода для обеспечения социальных рисков, таких как нетрудоспособность, материнство, безработица, техническая безработица, инвалидность, выход на пенсию и </w:t>
      </w:r>
      <w:r w:rsidRPr="00497B2D">
        <w:rPr>
          <w:rFonts w:asciiTheme="majorHAnsi" w:eastAsia="Calibri" w:hAnsiTheme="majorHAnsi" w:cstheme="majorHAnsi"/>
          <w:sz w:val="24"/>
          <w:szCs w:val="24"/>
          <w:highlight w:val="yellow"/>
          <w:lang w:val="ru-MD"/>
        </w:rPr>
        <w:t>т. д.)</w:t>
      </w:r>
      <w:r w:rsidRPr="00497B2D">
        <w:rPr>
          <w:rFonts w:asciiTheme="majorHAnsi" w:eastAsia="Calibri" w:hAnsiTheme="majorHAnsi" w:cstheme="majorHAnsi"/>
          <w:sz w:val="24"/>
          <w:szCs w:val="24"/>
          <w:lang w:val="ru-MD"/>
        </w:rPr>
        <w:t xml:space="preserve">, </w:t>
      </w:r>
      <w:r w:rsidR="008538DA" w:rsidRPr="00497B2D">
        <w:rPr>
          <w:rFonts w:asciiTheme="majorHAnsi" w:eastAsia="Calibri" w:hAnsiTheme="majorHAnsi" w:cstheme="majorHAnsi"/>
          <w:sz w:val="24"/>
          <w:szCs w:val="24"/>
          <w:lang w:val="ru-MD"/>
        </w:rPr>
        <w:t>а</w:t>
      </w:r>
      <w:r w:rsidRPr="00497B2D">
        <w:rPr>
          <w:rFonts w:asciiTheme="majorHAnsi" w:eastAsia="Calibri" w:hAnsiTheme="majorHAnsi" w:cstheme="majorHAnsi"/>
          <w:sz w:val="24"/>
          <w:szCs w:val="24"/>
          <w:lang w:val="ru-MD"/>
        </w:rPr>
        <w:t xml:space="preserve"> граждане могут получать социальные пособия</w:t>
      </w:r>
      <w:r w:rsidR="008538DA" w:rsidRPr="00497B2D">
        <w:rPr>
          <w:rFonts w:asciiTheme="majorHAnsi" w:eastAsia="Calibri" w:hAnsiTheme="majorHAnsi" w:cstheme="majorHAnsi"/>
          <w:sz w:val="24"/>
          <w:szCs w:val="24"/>
          <w:lang w:val="ru-MD"/>
        </w:rPr>
        <w:t xml:space="preserve"> </w:t>
      </w:r>
      <w:r w:rsidRPr="00497B2D">
        <w:rPr>
          <w:rFonts w:asciiTheme="majorHAnsi" w:eastAsia="Calibri" w:hAnsiTheme="majorHAnsi" w:cstheme="majorHAnsi"/>
          <w:sz w:val="24"/>
          <w:szCs w:val="24"/>
          <w:lang w:val="ru-MD"/>
        </w:rPr>
        <w:t xml:space="preserve">соотносительно </w:t>
      </w:r>
      <w:r w:rsidR="008538DA" w:rsidRPr="00497B2D">
        <w:rPr>
          <w:rFonts w:asciiTheme="majorHAnsi" w:eastAsia="Calibri" w:hAnsiTheme="majorHAnsi" w:cstheme="majorHAnsi"/>
          <w:sz w:val="24"/>
          <w:szCs w:val="24"/>
          <w:lang w:val="ru-MD"/>
        </w:rPr>
        <w:t>выполненным</w:t>
      </w:r>
      <w:r w:rsidRPr="00497B2D">
        <w:rPr>
          <w:rFonts w:asciiTheme="majorHAnsi" w:eastAsia="Calibri" w:hAnsiTheme="majorHAnsi" w:cstheme="majorHAnsi"/>
          <w:sz w:val="24"/>
          <w:szCs w:val="24"/>
          <w:lang w:val="ru-MD"/>
        </w:rPr>
        <w:t xml:space="preserve"> обязательствам</w:t>
      </w:r>
      <w:r w:rsidR="008538DA" w:rsidRPr="00497B2D">
        <w:rPr>
          <w:rFonts w:asciiTheme="majorHAnsi" w:eastAsia="Calibri" w:hAnsiTheme="majorHAnsi" w:cstheme="majorHAnsi"/>
          <w:sz w:val="24"/>
          <w:szCs w:val="24"/>
          <w:lang w:val="ru-MD"/>
        </w:rPr>
        <w:t xml:space="preserve"> перед БГСС</w:t>
      </w:r>
      <w:r w:rsidRPr="00497B2D">
        <w:rPr>
          <w:rFonts w:asciiTheme="majorHAnsi" w:eastAsia="Calibri" w:hAnsiTheme="majorHAnsi" w:cstheme="majorHAnsi"/>
          <w:sz w:val="24"/>
          <w:szCs w:val="24"/>
          <w:lang w:val="ru-MD"/>
        </w:rPr>
        <w:t xml:space="preserve">. </w:t>
      </w:r>
    </w:p>
    <w:p w14:paraId="1A877E24" w14:textId="402E4869" w:rsidR="000C781C" w:rsidRPr="00497B2D" w:rsidRDefault="00E66E5E" w:rsidP="000C781C">
      <w:pPr>
        <w:shd w:val="clear" w:color="auto" w:fill="FFFFFF" w:themeFill="background1"/>
        <w:tabs>
          <w:tab w:val="left" w:pos="284"/>
          <w:tab w:val="left" w:pos="425"/>
        </w:tabs>
        <w:spacing w:after="0" w:line="276" w:lineRule="auto"/>
        <w:ind w:left="1338"/>
        <w:jc w:val="right"/>
        <w:rPr>
          <w:rFonts w:asciiTheme="majorHAnsi" w:eastAsia="Calibri" w:hAnsiTheme="majorHAnsi" w:cstheme="majorHAnsi"/>
          <w:b/>
          <w:sz w:val="24"/>
          <w:szCs w:val="24"/>
          <w:lang w:val="ru-MD"/>
        </w:rPr>
      </w:pPr>
      <w:r w:rsidRPr="00497B2D">
        <w:rPr>
          <w:rFonts w:asciiTheme="majorHAnsi" w:eastAsia="Calibri" w:hAnsiTheme="majorHAnsi" w:cstheme="majorHAnsi"/>
          <w:b/>
          <w:sz w:val="24"/>
          <w:szCs w:val="24"/>
          <w:lang w:val="ru-MD"/>
        </w:rPr>
        <w:t>Таблица №</w:t>
      </w:r>
      <w:r w:rsidR="008D1DF2" w:rsidRPr="00497B2D">
        <w:rPr>
          <w:rFonts w:asciiTheme="majorHAnsi" w:eastAsia="Calibri" w:hAnsiTheme="majorHAnsi" w:cstheme="majorHAnsi"/>
          <w:b/>
          <w:sz w:val="24"/>
          <w:szCs w:val="24"/>
          <w:lang w:val="ru-MD"/>
        </w:rPr>
        <w:t>10</w:t>
      </w:r>
    </w:p>
    <w:p w14:paraId="0BEFFDBB" w14:textId="409E83D4" w:rsidR="00C67851" w:rsidRPr="00497B2D" w:rsidRDefault="00DC532B" w:rsidP="008352F4">
      <w:pPr>
        <w:tabs>
          <w:tab w:val="left" w:pos="284"/>
          <w:tab w:val="left" w:pos="425"/>
        </w:tabs>
        <w:spacing w:after="0" w:line="276" w:lineRule="auto"/>
        <w:jc w:val="center"/>
        <w:rPr>
          <w:rFonts w:asciiTheme="majorHAnsi" w:eastAsia="Calibri" w:hAnsiTheme="majorHAnsi" w:cstheme="majorHAnsi"/>
          <w:b/>
          <w:sz w:val="24"/>
          <w:szCs w:val="24"/>
          <w:lang w:val="ru-MD"/>
        </w:rPr>
      </w:pPr>
      <w:r w:rsidRPr="00497B2D">
        <w:rPr>
          <w:rFonts w:asciiTheme="majorHAnsi" w:eastAsia="Calibri" w:hAnsiTheme="majorHAnsi" w:cstheme="majorHAnsi"/>
          <w:b/>
          <w:sz w:val="24"/>
          <w:szCs w:val="24"/>
          <w:lang w:val="ru-MD"/>
        </w:rPr>
        <w:t>Аудиторские оценки потенциального дохода от взносов социального страхования, млн. ллеев</w:t>
      </w:r>
    </w:p>
    <w:tbl>
      <w:tblPr>
        <w:tblStyle w:val="af1"/>
        <w:tblW w:w="0" w:type="auto"/>
        <w:tblLook w:val="04A0" w:firstRow="1" w:lastRow="0" w:firstColumn="1" w:lastColumn="0" w:noHBand="0" w:noVBand="1"/>
      </w:tblPr>
      <w:tblGrid>
        <w:gridCol w:w="2506"/>
        <w:gridCol w:w="2506"/>
        <w:gridCol w:w="2506"/>
        <w:gridCol w:w="2506"/>
      </w:tblGrid>
      <w:tr w:rsidR="000C7D59" w:rsidRPr="00497B2D" w14:paraId="0364EF1C" w14:textId="77777777" w:rsidTr="005372C1">
        <w:tc>
          <w:tcPr>
            <w:tcW w:w="2506" w:type="dxa"/>
            <w:vAlign w:val="center"/>
          </w:tcPr>
          <w:p w14:paraId="55062A0E" w14:textId="77777777" w:rsidR="000C7D59" w:rsidRPr="00497B2D" w:rsidRDefault="000C7D59" w:rsidP="005372C1">
            <w:pPr>
              <w:jc w:val="center"/>
              <w:rPr>
                <w:rFonts w:asciiTheme="majorHAnsi" w:eastAsia="Times New Roman" w:hAnsiTheme="majorHAnsi" w:cstheme="majorHAnsi"/>
                <w:b/>
                <w:bCs/>
                <w:color w:val="000000"/>
                <w:sz w:val="20"/>
                <w:szCs w:val="16"/>
                <w:lang w:val="ru-MD"/>
              </w:rPr>
            </w:pPr>
          </w:p>
          <w:p w14:paraId="1BEB1C1E" w14:textId="0D547E6C" w:rsidR="000C7D59" w:rsidRPr="00497B2D" w:rsidRDefault="000371DF" w:rsidP="005372C1">
            <w:pPr>
              <w:jc w:val="center"/>
              <w:rPr>
                <w:rFonts w:asciiTheme="majorHAnsi" w:eastAsia="Calibri" w:hAnsiTheme="majorHAnsi" w:cstheme="majorHAnsi"/>
                <w:sz w:val="20"/>
                <w:szCs w:val="24"/>
                <w:lang w:val="ru-MD"/>
              </w:rPr>
            </w:pPr>
            <w:r w:rsidRPr="00497B2D">
              <w:rPr>
                <w:rFonts w:asciiTheme="majorHAnsi" w:eastAsia="Times New Roman" w:hAnsiTheme="majorHAnsi" w:cstheme="majorHAnsi"/>
                <w:b/>
                <w:bCs/>
                <w:color w:val="000000"/>
                <w:sz w:val="20"/>
                <w:szCs w:val="16"/>
                <w:lang w:val="ru-MD"/>
              </w:rPr>
              <w:t>Показатели</w:t>
            </w:r>
          </w:p>
        </w:tc>
        <w:tc>
          <w:tcPr>
            <w:tcW w:w="2506" w:type="dxa"/>
            <w:vAlign w:val="center"/>
          </w:tcPr>
          <w:p w14:paraId="4BBF6124" w14:textId="77777777" w:rsidR="000C7D59" w:rsidRPr="00497B2D" w:rsidRDefault="000C7D59" w:rsidP="005372C1">
            <w:pPr>
              <w:jc w:val="center"/>
              <w:rPr>
                <w:rFonts w:asciiTheme="majorHAnsi" w:eastAsia="Times New Roman" w:hAnsiTheme="majorHAnsi" w:cstheme="majorHAnsi"/>
                <w:b/>
                <w:bCs/>
                <w:color w:val="000000"/>
                <w:sz w:val="20"/>
                <w:szCs w:val="16"/>
                <w:lang w:val="ru-MD"/>
              </w:rPr>
            </w:pPr>
          </w:p>
          <w:p w14:paraId="25A27A53" w14:textId="19130532" w:rsidR="000C7D59" w:rsidRPr="00497B2D" w:rsidRDefault="00DC532B" w:rsidP="00DC532B">
            <w:pPr>
              <w:jc w:val="center"/>
              <w:rPr>
                <w:rFonts w:asciiTheme="majorHAnsi" w:eastAsia="Times New Roman" w:hAnsiTheme="majorHAnsi" w:cstheme="majorHAnsi"/>
                <w:b/>
                <w:bCs/>
                <w:color w:val="000000"/>
                <w:sz w:val="20"/>
                <w:szCs w:val="16"/>
                <w:lang w:val="ru-MD"/>
              </w:rPr>
            </w:pPr>
            <w:r w:rsidRPr="00497B2D">
              <w:rPr>
                <w:rFonts w:asciiTheme="majorHAnsi" w:eastAsia="Times New Roman" w:hAnsiTheme="majorHAnsi" w:cstheme="majorHAnsi"/>
                <w:b/>
                <w:bCs/>
                <w:color w:val="000000"/>
                <w:sz w:val="20"/>
                <w:szCs w:val="16"/>
                <w:lang w:val="ru-MD"/>
              </w:rPr>
              <w:t>Сумма дивидендного дохода</w:t>
            </w:r>
            <w:r w:rsidR="000C7D59" w:rsidRPr="00497B2D">
              <w:rPr>
                <w:rFonts w:asciiTheme="majorHAnsi" w:eastAsia="Times New Roman" w:hAnsiTheme="majorHAnsi" w:cstheme="majorHAnsi"/>
                <w:b/>
                <w:bCs/>
                <w:color w:val="000000"/>
                <w:sz w:val="20"/>
                <w:szCs w:val="16"/>
                <w:lang w:val="ru-MD"/>
              </w:rPr>
              <w:t>,</w:t>
            </w:r>
            <w:r w:rsidR="00612786" w:rsidRPr="00497B2D">
              <w:rPr>
                <w:rFonts w:asciiTheme="majorHAnsi" w:eastAsia="Times New Roman" w:hAnsiTheme="majorHAnsi" w:cstheme="majorHAnsi"/>
                <w:b/>
                <w:bCs/>
                <w:color w:val="000000"/>
                <w:sz w:val="20"/>
                <w:szCs w:val="16"/>
                <w:lang w:val="ru-MD"/>
              </w:rPr>
              <w:t xml:space="preserve"> </w:t>
            </w:r>
            <w:r w:rsidRPr="00497B2D">
              <w:rPr>
                <w:rFonts w:asciiTheme="majorHAnsi" w:eastAsia="Times New Roman" w:hAnsiTheme="majorHAnsi" w:cstheme="majorHAnsi"/>
                <w:b/>
                <w:bCs/>
                <w:color w:val="000000"/>
                <w:sz w:val="20"/>
                <w:szCs w:val="16"/>
                <w:lang w:val="ru-MD"/>
              </w:rPr>
              <w:t>млн. леев</w:t>
            </w:r>
          </w:p>
        </w:tc>
        <w:tc>
          <w:tcPr>
            <w:tcW w:w="2506" w:type="dxa"/>
            <w:vAlign w:val="center"/>
          </w:tcPr>
          <w:p w14:paraId="6CE25408" w14:textId="5B98FEDB" w:rsidR="00DC532B" w:rsidRPr="00497B2D" w:rsidRDefault="00DC532B" w:rsidP="00DC532B">
            <w:pPr>
              <w:jc w:val="center"/>
              <w:rPr>
                <w:rFonts w:asciiTheme="majorHAnsi" w:eastAsia="Times New Roman" w:hAnsiTheme="majorHAnsi" w:cstheme="majorHAnsi"/>
                <w:b/>
                <w:bCs/>
                <w:color w:val="000000"/>
                <w:sz w:val="20"/>
                <w:szCs w:val="16"/>
                <w:lang w:val="ru-MD"/>
              </w:rPr>
            </w:pPr>
            <w:r w:rsidRPr="00497B2D">
              <w:rPr>
                <w:rFonts w:asciiTheme="majorHAnsi" w:eastAsia="Times New Roman" w:hAnsiTheme="majorHAnsi" w:cstheme="majorHAnsi"/>
                <w:b/>
                <w:bCs/>
                <w:color w:val="000000"/>
                <w:sz w:val="20"/>
                <w:szCs w:val="16"/>
                <w:lang w:val="ru-MD"/>
              </w:rPr>
              <w:t>6% удержано</w:t>
            </w:r>
          </w:p>
          <w:p w14:paraId="653B8A4E" w14:textId="41BE96E4" w:rsidR="000C7D59" w:rsidRPr="00497B2D" w:rsidRDefault="00DC532B" w:rsidP="00DC532B">
            <w:pPr>
              <w:jc w:val="center"/>
              <w:rPr>
                <w:rFonts w:asciiTheme="majorHAnsi" w:eastAsia="Calibri" w:hAnsiTheme="majorHAnsi" w:cstheme="majorHAnsi"/>
                <w:sz w:val="20"/>
                <w:szCs w:val="24"/>
                <w:lang w:val="ru-MD"/>
              </w:rPr>
            </w:pPr>
            <w:r w:rsidRPr="00497B2D">
              <w:rPr>
                <w:rFonts w:asciiTheme="majorHAnsi" w:eastAsia="Times New Roman" w:hAnsiTheme="majorHAnsi" w:cstheme="majorHAnsi"/>
                <w:b/>
                <w:bCs/>
                <w:color w:val="000000"/>
                <w:sz w:val="20"/>
                <w:szCs w:val="16"/>
                <w:lang w:val="ru-MD"/>
              </w:rPr>
              <w:t>подоходного налога</w:t>
            </w:r>
          </w:p>
        </w:tc>
        <w:tc>
          <w:tcPr>
            <w:tcW w:w="2506" w:type="dxa"/>
            <w:vAlign w:val="center"/>
          </w:tcPr>
          <w:p w14:paraId="7FA2FA95" w14:textId="77777777" w:rsidR="000C7D59" w:rsidRPr="00497B2D" w:rsidRDefault="000C7D59" w:rsidP="005372C1">
            <w:pPr>
              <w:jc w:val="center"/>
              <w:rPr>
                <w:rFonts w:asciiTheme="majorHAnsi" w:eastAsia="Times New Roman" w:hAnsiTheme="majorHAnsi" w:cstheme="majorHAnsi"/>
                <w:b/>
                <w:bCs/>
                <w:color w:val="000000"/>
                <w:sz w:val="20"/>
                <w:szCs w:val="16"/>
                <w:lang w:val="ru-MD"/>
              </w:rPr>
            </w:pPr>
            <w:r w:rsidRPr="00497B2D">
              <w:rPr>
                <w:rFonts w:asciiTheme="majorHAnsi" w:eastAsia="Times New Roman" w:hAnsiTheme="majorHAnsi" w:cstheme="majorHAnsi"/>
                <w:b/>
                <w:bCs/>
                <w:color w:val="000000"/>
                <w:sz w:val="20"/>
                <w:szCs w:val="16"/>
                <w:lang w:val="ru-MD"/>
              </w:rPr>
              <w:t>24%</w:t>
            </w:r>
          </w:p>
          <w:p w14:paraId="3835CF78" w14:textId="56D59336" w:rsidR="000C7D59" w:rsidRPr="00497B2D" w:rsidRDefault="00DC532B" w:rsidP="00DC532B">
            <w:pPr>
              <w:jc w:val="center"/>
              <w:rPr>
                <w:rFonts w:asciiTheme="majorHAnsi" w:eastAsia="Calibri" w:hAnsiTheme="majorHAnsi" w:cstheme="majorHAnsi"/>
                <w:sz w:val="20"/>
                <w:szCs w:val="24"/>
                <w:lang w:val="ru-MD"/>
              </w:rPr>
            </w:pPr>
            <w:r w:rsidRPr="00497B2D">
              <w:rPr>
                <w:rFonts w:asciiTheme="majorHAnsi" w:eastAsia="Times New Roman" w:hAnsiTheme="majorHAnsi" w:cstheme="majorHAnsi"/>
                <w:b/>
                <w:bCs/>
                <w:color w:val="000000"/>
                <w:sz w:val="20"/>
                <w:szCs w:val="16"/>
                <w:lang w:val="ru-MD"/>
              </w:rPr>
              <w:t>взносов социального страхования</w:t>
            </w:r>
          </w:p>
        </w:tc>
      </w:tr>
      <w:tr w:rsidR="009101E4" w:rsidRPr="00497B2D" w14:paraId="0789B122" w14:textId="77777777" w:rsidTr="00E939D7">
        <w:tc>
          <w:tcPr>
            <w:tcW w:w="2506" w:type="dxa"/>
            <w:vAlign w:val="center"/>
          </w:tcPr>
          <w:p w14:paraId="5235C7B5" w14:textId="590E3D2B" w:rsidR="009101E4" w:rsidRPr="00497B2D" w:rsidRDefault="009101E4" w:rsidP="009101E4">
            <w:pPr>
              <w:jc w:val="center"/>
              <w:rPr>
                <w:rFonts w:asciiTheme="majorHAnsi" w:eastAsia="Calibri" w:hAnsiTheme="majorHAnsi" w:cstheme="majorHAnsi"/>
                <w:sz w:val="20"/>
                <w:szCs w:val="24"/>
                <w:lang w:val="ru-MD"/>
              </w:rPr>
            </w:pPr>
            <w:r w:rsidRPr="00497B2D">
              <w:rPr>
                <w:rFonts w:asciiTheme="majorHAnsi" w:eastAsia="Times New Roman" w:hAnsiTheme="majorHAnsi" w:cstheme="majorHAnsi"/>
                <w:sz w:val="20"/>
                <w:szCs w:val="16"/>
                <w:lang w:val="ru-MD"/>
              </w:rPr>
              <w:t>2020</w:t>
            </w:r>
          </w:p>
        </w:tc>
        <w:tc>
          <w:tcPr>
            <w:tcW w:w="2506" w:type="dxa"/>
            <w:vAlign w:val="center"/>
          </w:tcPr>
          <w:p w14:paraId="743B4FFB" w14:textId="5A28E28F" w:rsidR="009101E4" w:rsidRPr="00497B2D" w:rsidRDefault="009101E4" w:rsidP="009101E4">
            <w:pPr>
              <w:jc w:val="right"/>
              <w:rPr>
                <w:rFonts w:asciiTheme="majorHAnsi" w:eastAsia="Calibri" w:hAnsiTheme="majorHAnsi" w:cstheme="majorHAnsi"/>
                <w:sz w:val="20"/>
                <w:szCs w:val="24"/>
                <w:lang w:val="ru-MD"/>
              </w:rPr>
            </w:pPr>
            <w:r w:rsidRPr="00497B2D">
              <w:rPr>
                <w:rFonts w:asciiTheme="majorHAnsi" w:eastAsia="Times New Roman" w:hAnsiTheme="majorHAnsi" w:cstheme="majorHAnsi"/>
                <w:sz w:val="20"/>
                <w:szCs w:val="16"/>
                <w:lang w:val="ru-MD"/>
              </w:rPr>
              <w:t xml:space="preserve">7 </w:t>
            </w:r>
            <w:r w:rsidR="00F3310A" w:rsidRPr="00497B2D">
              <w:rPr>
                <w:rFonts w:asciiTheme="majorHAnsi" w:eastAsia="Times New Roman" w:hAnsiTheme="majorHAnsi" w:cstheme="majorHAnsi"/>
                <w:sz w:val="20"/>
                <w:szCs w:val="16"/>
                <w:lang w:val="ru-MD"/>
              </w:rPr>
              <w:t>470.2</w:t>
            </w:r>
          </w:p>
        </w:tc>
        <w:tc>
          <w:tcPr>
            <w:tcW w:w="2506" w:type="dxa"/>
            <w:vAlign w:val="center"/>
          </w:tcPr>
          <w:p w14:paraId="2278393C" w14:textId="39893B10" w:rsidR="009101E4" w:rsidRPr="00497B2D" w:rsidRDefault="00F3310A" w:rsidP="009101E4">
            <w:pPr>
              <w:jc w:val="right"/>
              <w:rPr>
                <w:rFonts w:asciiTheme="majorHAnsi" w:eastAsia="Calibri" w:hAnsiTheme="majorHAnsi" w:cstheme="majorHAnsi"/>
                <w:sz w:val="20"/>
                <w:szCs w:val="24"/>
                <w:lang w:val="ru-MD"/>
              </w:rPr>
            </w:pPr>
            <w:r w:rsidRPr="00497B2D">
              <w:rPr>
                <w:rFonts w:asciiTheme="majorHAnsi" w:eastAsia="Times New Roman" w:hAnsiTheme="majorHAnsi" w:cstheme="majorHAnsi"/>
                <w:sz w:val="20"/>
                <w:szCs w:val="16"/>
                <w:lang w:val="ru-MD"/>
              </w:rPr>
              <w:t>448.2</w:t>
            </w:r>
          </w:p>
        </w:tc>
        <w:tc>
          <w:tcPr>
            <w:tcW w:w="2506" w:type="dxa"/>
            <w:vAlign w:val="bottom"/>
          </w:tcPr>
          <w:p w14:paraId="79387FBF" w14:textId="71B2977A" w:rsidR="009101E4" w:rsidRPr="00497B2D" w:rsidRDefault="00F3310A" w:rsidP="00F3310A">
            <w:pPr>
              <w:jc w:val="right"/>
              <w:rPr>
                <w:rFonts w:asciiTheme="majorHAnsi" w:eastAsia="Calibri" w:hAnsiTheme="majorHAnsi" w:cstheme="majorHAnsi"/>
                <w:sz w:val="20"/>
                <w:szCs w:val="24"/>
                <w:highlight w:val="yellow"/>
                <w:lang w:val="ru-MD"/>
              </w:rPr>
            </w:pPr>
            <w:r w:rsidRPr="00497B2D">
              <w:rPr>
                <w:rFonts w:asciiTheme="majorHAnsi" w:hAnsiTheme="majorHAnsi" w:cstheme="majorHAnsi"/>
                <w:sz w:val="20"/>
                <w:szCs w:val="20"/>
                <w:lang w:val="ru-MD"/>
              </w:rPr>
              <w:t>1.445,9</w:t>
            </w:r>
          </w:p>
        </w:tc>
      </w:tr>
      <w:tr w:rsidR="009101E4" w:rsidRPr="00497B2D" w14:paraId="449CC856" w14:textId="77777777" w:rsidTr="00E939D7">
        <w:tc>
          <w:tcPr>
            <w:tcW w:w="2506" w:type="dxa"/>
            <w:vAlign w:val="center"/>
          </w:tcPr>
          <w:p w14:paraId="485D2ACF" w14:textId="63D81B4E" w:rsidR="009101E4" w:rsidRPr="00497B2D" w:rsidRDefault="009101E4" w:rsidP="009101E4">
            <w:pPr>
              <w:jc w:val="center"/>
              <w:rPr>
                <w:rFonts w:asciiTheme="majorHAnsi" w:eastAsia="Calibri" w:hAnsiTheme="majorHAnsi" w:cstheme="majorHAnsi"/>
                <w:sz w:val="20"/>
                <w:szCs w:val="24"/>
                <w:lang w:val="ru-MD"/>
              </w:rPr>
            </w:pPr>
            <w:r w:rsidRPr="00497B2D">
              <w:rPr>
                <w:rFonts w:asciiTheme="majorHAnsi" w:eastAsia="Times New Roman" w:hAnsiTheme="majorHAnsi" w:cstheme="majorHAnsi"/>
                <w:sz w:val="20"/>
                <w:szCs w:val="16"/>
                <w:lang w:val="ru-MD"/>
              </w:rPr>
              <w:t>2021</w:t>
            </w:r>
          </w:p>
        </w:tc>
        <w:tc>
          <w:tcPr>
            <w:tcW w:w="2506" w:type="dxa"/>
            <w:vAlign w:val="center"/>
          </w:tcPr>
          <w:p w14:paraId="39402FA6" w14:textId="56DA3F14" w:rsidR="009101E4" w:rsidRPr="00497B2D" w:rsidRDefault="009101E4" w:rsidP="009101E4">
            <w:pPr>
              <w:jc w:val="right"/>
              <w:rPr>
                <w:rFonts w:asciiTheme="majorHAnsi" w:eastAsia="Calibri" w:hAnsiTheme="majorHAnsi" w:cstheme="majorHAnsi"/>
                <w:sz w:val="20"/>
                <w:szCs w:val="24"/>
                <w:lang w:val="ru-MD"/>
              </w:rPr>
            </w:pPr>
            <w:r w:rsidRPr="00497B2D">
              <w:rPr>
                <w:rFonts w:asciiTheme="majorHAnsi" w:eastAsia="Times New Roman" w:hAnsiTheme="majorHAnsi" w:cstheme="majorHAnsi"/>
                <w:sz w:val="20"/>
                <w:szCs w:val="16"/>
                <w:lang w:val="ru-MD"/>
              </w:rPr>
              <w:t xml:space="preserve">8 </w:t>
            </w:r>
            <w:r w:rsidR="00F3310A" w:rsidRPr="00497B2D">
              <w:rPr>
                <w:rFonts w:asciiTheme="majorHAnsi" w:eastAsia="Times New Roman" w:hAnsiTheme="majorHAnsi" w:cstheme="majorHAnsi"/>
                <w:sz w:val="20"/>
                <w:szCs w:val="16"/>
                <w:lang w:val="ru-MD"/>
              </w:rPr>
              <w:t>962.1</w:t>
            </w:r>
          </w:p>
        </w:tc>
        <w:tc>
          <w:tcPr>
            <w:tcW w:w="2506" w:type="dxa"/>
            <w:vAlign w:val="center"/>
          </w:tcPr>
          <w:p w14:paraId="6E70D515" w14:textId="273B410A" w:rsidR="009101E4" w:rsidRPr="00497B2D" w:rsidRDefault="00F3310A" w:rsidP="009101E4">
            <w:pPr>
              <w:jc w:val="right"/>
              <w:rPr>
                <w:rFonts w:asciiTheme="majorHAnsi" w:eastAsia="Calibri" w:hAnsiTheme="majorHAnsi" w:cstheme="majorHAnsi"/>
                <w:sz w:val="20"/>
                <w:szCs w:val="24"/>
                <w:lang w:val="ru-MD"/>
              </w:rPr>
            </w:pPr>
            <w:r w:rsidRPr="00497B2D">
              <w:rPr>
                <w:rFonts w:asciiTheme="majorHAnsi" w:eastAsia="Times New Roman" w:hAnsiTheme="majorHAnsi" w:cstheme="majorHAnsi"/>
                <w:sz w:val="20"/>
                <w:szCs w:val="16"/>
                <w:lang w:val="ru-MD"/>
              </w:rPr>
              <w:t>537.7</w:t>
            </w:r>
          </w:p>
        </w:tc>
        <w:tc>
          <w:tcPr>
            <w:tcW w:w="2506" w:type="dxa"/>
            <w:vAlign w:val="bottom"/>
          </w:tcPr>
          <w:p w14:paraId="79AB8867" w14:textId="516D0A11" w:rsidR="009101E4" w:rsidRPr="00497B2D" w:rsidRDefault="009101E4" w:rsidP="00F3310A">
            <w:pPr>
              <w:jc w:val="right"/>
              <w:rPr>
                <w:rFonts w:asciiTheme="majorHAnsi" w:eastAsia="Calibri" w:hAnsiTheme="majorHAnsi" w:cstheme="majorHAnsi"/>
                <w:sz w:val="20"/>
                <w:szCs w:val="24"/>
                <w:highlight w:val="yellow"/>
                <w:lang w:val="ru-MD"/>
              </w:rPr>
            </w:pPr>
            <w:r w:rsidRPr="00497B2D">
              <w:rPr>
                <w:rFonts w:asciiTheme="majorHAnsi" w:hAnsiTheme="majorHAnsi" w:cstheme="majorHAnsi"/>
                <w:sz w:val="20"/>
                <w:szCs w:val="20"/>
                <w:lang w:val="ru-MD"/>
              </w:rPr>
              <w:t>1.734,6</w:t>
            </w:r>
          </w:p>
        </w:tc>
      </w:tr>
      <w:tr w:rsidR="009101E4" w:rsidRPr="00497B2D" w14:paraId="531DDDA8" w14:textId="77777777" w:rsidTr="00E939D7">
        <w:tc>
          <w:tcPr>
            <w:tcW w:w="2506" w:type="dxa"/>
            <w:vAlign w:val="center"/>
          </w:tcPr>
          <w:p w14:paraId="4DBE5AE4" w14:textId="0665AB41" w:rsidR="009101E4" w:rsidRPr="00497B2D" w:rsidRDefault="009101E4" w:rsidP="009101E4">
            <w:pPr>
              <w:jc w:val="center"/>
              <w:rPr>
                <w:rFonts w:asciiTheme="majorHAnsi" w:eastAsia="Calibri" w:hAnsiTheme="majorHAnsi" w:cstheme="majorHAnsi"/>
                <w:sz w:val="20"/>
                <w:szCs w:val="24"/>
                <w:lang w:val="ru-MD"/>
              </w:rPr>
            </w:pPr>
            <w:r w:rsidRPr="00497B2D">
              <w:rPr>
                <w:rFonts w:asciiTheme="majorHAnsi" w:eastAsia="Times New Roman" w:hAnsiTheme="majorHAnsi" w:cstheme="majorHAnsi"/>
                <w:sz w:val="20"/>
                <w:szCs w:val="16"/>
                <w:lang w:val="ru-MD"/>
              </w:rPr>
              <w:t>2022</w:t>
            </w:r>
          </w:p>
        </w:tc>
        <w:tc>
          <w:tcPr>
            <w:tcW w:w="2506" w:type="dxa"/>
            <w:vAlign w:val="center"/>
          </w:tcPr>
          <w:p w14:paraId="1AB1B9E4" w14:textId="07B8F877" w:rsidR="009101E4" w:rsidRPr="00497B2D" w:rsidRDefault="009101E4" w:rsidP="009101E4">
            <w:pPr>
              <w:jc w:val="right"/>
              <w:rPr>
                <w:rFonts w:asciiTheme="majorHAnsi" w:eastAsia="Calibri" w:hAnsiTheme="majorHAnsi" w:cstheme="majorHAnsi"/>
                <w:sz w:val="20"/>
                <w:szCs w:val="24"/>
                <w:lang w:val="ru-MD"/>
              </w:rPr>
            </w:pPr>
            <w:r w:rsidRPr="00497B2D">
              <w:rPr>
                <w:rFonts w:asciiTheme="majorHAnsi" w:eastAsia="Times New Roman" w:hAnsiTheme="majorHAnsi" w:cstheme="majorHAnsi"/>
                <w:sz w:val="20"/>
                <w:szCs w:val="16"/>
                <w:lang w:val="ru-MD"/>
              </w:rPr>
              <w:t xml:space="preserve">10 </w:t>
            </w:r>
            <w:r w:rsidR="00F3310A" w:rsidRPr="00497B2D">
              <w:rPr>
                <w:rFonts w:asciiTheme="majorHAnsi" w:eastAsia="Times New Roman" w:hAnsiTheme="majorHAnsi" w:cstheme="majorHAnsi"/>
                <w:sz w:val="20"/>
                <w:szCs w:val="16"/>
                <w:lang w:val="ru-MD"/>
              </w:rPr>
              <w:t>122.7</w:t>
            </w:r>
          </w:p>
        </w:tc>
        <w:tc>
          <w:tcPr>
            <w:tcW w:w="2506" w:type="dxa"/>
            <w:vAlign w:val="center"/>
          </w:tcPr>
          <w:p w14:paraId="2F352A3C" w14:textId="56FB68C4" w:rsidR="009101E4" w:rsidRPr="00497B2D" w:rsidRDefault="009101E4" w:rsidP="00F3310A">
            <w:pPr>
              <w:jc w:val="right"/>
              <w:rPr>
                <w:rFonts w:asciiTheme="majorHAnsi" w:eastAsia="Calibri" w:hAnsiTheme="majorHAnsi" w:cstheme="majorHAnsi"/>
                <w:sz w:val="20"/>
                <w:szCs w:val="24"/>
                <w:lang w:val="ru-MD"/>
              </w:rPr>
            </w:pPr>
            <w:r w:rsidRPr="00497B2D">
              <w:rPr>
                <w:rFonts w:asciiTheme="majorHAnsi" w:eastAsia="Times New Roman" w:hAnsiTheme="majorHAnsi" w:cstheme="majorHAnsi"/>
                <w:sz w:val="20"/>
                <w:szCs w:val="16"/>
                <w:lang w:val="ru-MD"/>
              </w:rPr>
              <w:t>607.</w:t>
            </w:r>
            <w:r w:rsidR="00F3310A" w:rsidRPr="00497B2D">
              <w:rPr>
                <w:rFonts w:asciiTheme="majorHAnsi" w:eastAsia="Times New Roman" w:hAnsiTheme="majorHAnsi" w:cstheme="majorHAnsi"/>
                <w:sz w:val="20"/>
                <w:szCs w:val="16"/>
                <w:lang w:val="ru-MD"/>
              </w:rPr>
              <w:t>4</w:t>
            </w:r>
          </w:p>
        </w:tc>
        <w:tc>
          <w:tcPr>
            <w:tcW w:w="2506" w:type="dxa"/>
            <w:vAlign w:val="bottom"/>
          </w:tcPr>
          <w:p w14:paraId="25A20170" w14:textId="0F1DA47A" w:rsidR="009101E4" w:rsidRPr="00497B2D" w:rsidRDefault="00F3310A" w:rsidP="009101E4">
            <w:pPr>
              <w:jc w:val="right"/>
              <w:rPr>
                <w:rFonts w:asciiTheme="majorHAnsi" w:eastAsia="Calibri" w:hAnsiTheme="majorHAnsi" w:cstheme="majorHAnsi"/>
                <w:sz w:val="20"/>
                <w:szCs w:val="24"/>
                <w:highlight w:val="yellow"/>
                <w:lang w:val="ru-MD"/>
              </w:rPr>
            </w:pPr>
            <w:r w:rsidRPr="00497B2D">
              <w:rPr>
                <w:rFonts w:asciiTheme="majorHAnsi" w:hAnsiTheme="majorHAnsi" w:cstheme="majorHAnsi"/>
                <w:sz w:val="20"/>
                <w:szCs w:val="20"/>
                <w:lang w:val="ru-MD"/>
              </w:rPr>
              <w:t>1.959,2</w:t>
            </w:r>
          </w:p>
        </w:tc>
      </w:tr>
      <w:tr w:rsidR="009101E4" w:rsidRPr="00497B2D" w14:paraId="77FC8746" w14:textId="77777777" w:rsidTr="00E939D7">
        <w:tc>
          <w:tcPr>
            <w:tcW w:w="2506" w:type="dxa"/>
          </w:tcPr>
          <w:p w14:paraId="3BCD6A2C" w14:textId="02AAB946" w:rsidR="009101E4" w:rsidRPr="00497B2D" w:rsidRDefault="00DC532B" w:rsidP="009101E4">
            <w:pPr>
              <w:jc w:val="center"/>
              <w:rPr>
                <w:rFonts w:asciiTheme="majorHAnsi" w:eastAsia="Calibri" w:hAnsiTheme="majorHAnsi" w:cstheme="majorHAnsi"/>
                <w:sz w:val="20"/>
                <w:szCs w:val="24"/>
                <w:lang w:val="ru-MD"/>
              </w:rPr>
            </w:pPr>
            <w:r w:rsidRPr="00497B2D">
              <w:rPr>
                <w:rFonts w:asciiTheme="majorHAnsi" w:eastAsia="Times New Roman" w:hAnsiTheme="majorHAnsi" w:cstheme="majorHAnsi"/>
                <w:b/>
                <w:sz w:val="20"/>
                <w:szCs w:val="16"/>
                <w:lang w:val="ru-MD"/>
              </w:rPr>
              <w:t>Всего</w:t>
            </w:r>
          </w:p>
        </w:tc>
        <w:tc>
          <w:tcPr>
            <w:tcW w:w="2506" w:type="dxa"/>
            <w:vAlign w:val="center"/>
          </w:tcPr>
          <w:p w14:paraId="526EE24A" w14:textId="1995E4AB" w:rsidR="009101E4" w:rsidRPr="00497B2D" w:rsidRDefault="009101E4" w:rsidP="00F3310A">
            <w:pPr>
              <w:jc w:val="right"/>
              <w:rPr>
                <w:rFonts w:asciiTheme="majorHAnsi" w:eastAsia="Calibri" w:hAnsiTheme="majorHAnsi" w:cstheme="majorHAnsi"/>
                <w:sz w:val="20"/>
                <w:szCs w:val="24"/>
                <w:lang w:val="ru-MD"/>
              </w:rPr>
            </w:pPr>
            <w:r w:rsidRPr="00497B2D">
              <w:rPr>
                <w:rFonts w:asciiTheme="majorHAnsi" w:eastAsia="Times New Roman" w:hAnsiTheme="majorHAnsi" w:cstheme="majorHAnsi"/>
                <w:b/>
                <w:sz w:val="20"/>
                <w:szCs w:val="16"/>
                <w:lang w:val="ru-MD"/>
              </w:rPr>
              <w:t xml:space="preserve">26 </w:t>
            </w:r>
            <w:r w:rsidR="00F3310A" w:rsidRPr="00497B2D">
              <w:rPr>
                <w:rFonts w:asciiTheme="majorHAnsi" w:eastAsia="Times New Roman" w:hAnsiTheme="majorHAnsi" w:cstheme="majorHAnsi"/>
                <w:b/>
                <w:sz w:val="20"/>
                <w:szCs w:val="16"/>
                <w:lang w:val="ru-MD"/>
              </w:rPr>
              <w:t>555.0</w:t>
            </w:r>
          </w:p>
        </w:tc>
        <w:tc>
          <w:tcPr>
            <w:tcW w:w="2506" w:type="dxa"/>
            <w:vAlign w:val="center"/>
          </w:tcPr>
          <w:p w14:paraId="02EC1597" w14:textId="7592B800" w:rsidR="009101E4" w:rsidRPr="00497B2D" w:rsidRDefault="009101E4" w:rsidP="009101E4">
            <w:pPr>
              <w:jc w:val="right"/>
              <w:rPr>
                <w:rFonts w:asciiTheme="majorHAnsi" w:eastAsia="Calibri" w:hAnsiTheme="majorHAnsi" w:cstheme="majorHAnsi"/>
                <w:sz w:val="20"/>
                <w:szCs w:val="24"/>
                <w:lang w:val="ru-MD"/>
              </w:rPr>
            </w:pPr>
            <w:r w:rsidRPr="00497B2D">
              <w:rPr>
                <w:rFonts w:asciiTheme="majorHAnsi" w:eastAsia="Times New Roman" w:hAnsiTheme="majorHAnsi" w:cstheme="majorHAnsi"/>
                <w:b/>
                <w:sz w:val="20"/>
                <w:szCs w:val="16"/>
                <w:lang w:val="ru-MD"/>
              </w:rPr>
              <w:t xml:space="preserve">1 </w:t>
            </w:r>
            <w:r w:rsidR="00F3310A" w:rsidRPr="00497B2D">
              <w:rPr>
                <w:rFonts w:asciiTheme="majorHAnsi" w:eastAsia="Times New Roman" w:hAnsiTheme="majorHAnsi" w:cstheme="majorHAnsi"/>
                <w:b/>
                <w:sz w:val="20"/>
                <w:szCs w:val="16"/>
                <w:lang w:val="ru-MD"/>
              </w:rPr>
              <w:t>593.3</w:t>
            </w:r>
          </w:p>
        </w:tc>
        <w:tc>
          <w:tcPr>
            <w:tcW w:w="2506" w:type="dxa"/>
            <w:vAlign w:val="bottom"/>
          </w:tcPr>
          <w:p w14:paraId="3604FA21" w14:textId="5FDA7ECB" w:rsidR="009101E4" w:rsidRPr="00497B2D" w:rsidRDefault="009101E4" w:rsidP="00F3310A">
            <w:pPr>
              <w:jc w:val="right"/>
              <w:rPr>
                <w:rFonts w:asciiTheme="majorHAnsi" w:eastAsia="Calibri" w:hAnsiTheme="majorHAnsi" w:cstheme="majorHAnsi"/>
                <w:sz w:val="20"/>
                <w:szCs w:val="24"/>
                <w:highlight w:val="yellow"/>
                <w:lang w:val="ru-MD"/>
              </w:rPr>
            </w:pPr>
            <w:r w:rsidRPr="00497B2D">
              <w:rPr>
                <w:rFonts w:asciiTheme="majorHAnsi" w:hAnsiTheme="majorHAnsi" w:cstheme="majorHAnsi"/>
                <w:sz w:val="20"/>
                <w:szCs w:val="20"/>
                <w:lang w:val="ru-MD"/>
              </w:rPr>
              <w:t>5.139,</w:t>
            </w:r>
            <w:r w:rsidR="00F3310A" w:rsidRPr="00497B2D">
              <w:rPr>
                <w:rFonts w:asciiTheme="majorHAnsi" w:hAnsiTheme="majorHAnsi" w:cstheme="majorHAnsi"/>
                <w:sz w:val="20"/>
                <w:szCs w:val="20"/>
                <w:lang w:val="ru-MD"/>
              </w:rPr>
              <w:t>7</w:t>
            </w:r>
          </w:p>
        </w:tc>
      </w:tr>
    </w:tbl>
    <w:p w14:paraId="6001DA85" w14:textId="52A49422" w:rsidR="008352F4" w:rsidRPr="00B7675F" w:rsidRDefault="00281F6D" w:rsidP="008352F4">
      <w:pPr>
        <w:tabs>
          <w:tab w:val="left" w:pos="284"/>
          <w:tab w:val="left" w:pos="425"/>
        </w:tabs>
        <w:spacing w:after="0" w:line="276" w:lineRule="auto"/>
        <w:rPr>
          <w:rFonts w:asciiTheme="majorHAnsi" w:eastAsia="Calibri" w:hAnsiTheme="majorHAnsi" w:cstheme="majorHAnsi"/>
          <w:i/>
          <w:szCs w:val="20"/>
          <w:lang w:val="ro-MD"/>
        </w:rPr>
      </w:pPr>
      <w:r w:rsidRPr="00497B2D">
        <w:rPr>
          <w:rFonts w:asciiTheme="majorHAnsi" w:eastAsia="Calibri" w:hAnsiTheme="majorHAnsi" w:cstheme="majorHAnsi"/>
          <w:i/>
          <w:szCs w:val="20"/>
          <w:lang w:val="ru-MD"/>
        </w:rPr>
        <w:t>Источник</w:t>
      </w:r>
      <w:r w:rsidR="008352F4" w:rsidRPr="00497B2D">
        <w:rPr>
          <w:rFonts w:asciiTheme="majorHAnsi" w:eastAsia="Calibri" w:hAnsiTheme="majorHAnsi" w:cstheme="majorHAnsi"/>
          <w:i/>
          <w:szCs w:val="20"/>
          <w:lang w:val="ru-MD"/>
        </w:rPr>
        <w:t xml:space="preserve">: </w:t>
      </w:r>
      <w:r w:rsidR="00DC532B" w:rsidRPr="00497B2D">
        <w:rPr>
          <w:rFonts w:asciiTheme="majorHAnsi" w:eastAsia="Calibri" w:hAnsiTheme="majorHAnsi" w:cstheme="majorHAnsi"/>
          <w:i/>
          <w:szCs w:val="20"/>
          <w:lang w:val="ru-MD"/>
        </w:rPr>
        <w:t>Разработано аудитом на основе данных, представленных ГНС за период 2020-2022 гг</w:t>
      </w:r>
      <w:r w:rsidR="00DC7634" w:rsidRPr="00B7675F">
        <w:rPr>
          <w:rFonts w:asciiTheme="majorHAnsi" w:eastAsia="Calibri" w:hAnsiTheme="majorHAnsi" w:cstheme="majorHAnsi"/>
          <w:i/>
          <w:szCs w:val="20"/>
          <w:lang w:val="ro-MD"/>
        </w:rPr>
        <w:t>.</w:t>
      </w:r>
    </w:p>
    <w:p w14:paraId="69F42A5A" w14:textId="77777777" w:rsidR="008352F4" w:rsidRPr="00B7675F" w:rsidRDefault="008352F4" w:rsidP="008352F4">
      <w:pPr>
        <w:pStyle w:val="aa"/>
        <w:tabs>
          <w:tab w:val="left" w:pos="284"/>
          <w:tab w:val="left" w:pos="425"/>
        </w:tabs>
        <w:spacing w:after="0" w:line="276" w:lineRule="auto"/>
        <w:rPr>
          <w:rFonts w:asciiTheme="majorHAnsi" w:eastAsia="Calibri" w:hAnsiTheme="majorHAnsi" w:cstheme="majorHAnsi"/>
          <w:sz w:val="20"/>
          <w:szCs w:val="20"/>
          <w:lang w:val="ro-MD"/>
        </w:rPr>
      </w:pPr>
    </w:p>
    <w:p w14:paraId="3F83F12E" w14:textId="7863E378" w:rsidR="00C67851" w:rsidRPr="00FB7074" w:rsidRDefault="00DC532B" w:rsidP="00DC532B">
      <w:pPr>
        <w:pStyle w:val="aa"/>
        <w:numPr>
          <w:ilvl w:val="0"/>
          <w:numId w:val="26"/>
        </w:numPr>
        <w:tabs>
          <w:tab w:val="left" w:pos="0"/>
        </w:tabs>
        <w:spacing w:after="100" w:afterAutospacing="1" w:line="276" w:lineRule="auto"/>
        <w:ind w:left="0" w:firstLine="360"/>
        <w:jc w:val="both"/>
        <w:rPr>
          <w:rFonts w:asciiTheme="majorHAnsi" w:eastAsia="Calibri" w:hAnsiTheme="majorHAnsi" w:cstheme="majorHAnsi"/>
          <w:b/>
          <w:sz w:val="24"/>
          <w:szCs w:val="24"/>
          <w:lang w:val="ro-MD"/>
        </w:rPr>
      </w:pPr>
      <w:r w:rsidRPr="00497B2D">
        <w:rPr>
          <w:rFonts w:asciiTheme="majorHAnsi" w:eastAsia="Calibri" w:hAnsiTheme="majorHAnsi" w:cstheme="majorHAnsi"/>
          <w:b/>
          <w:sz w:val="24"/>
          <w:szCs w:val="24"/>
          <w:lang w:val="ru-MD"/>
        </w:rPr>
        <w:t>Некоторые экономические агенты,</w:t>
      </w:r>
      <w:r w:rsidR="00497B2D" w:rsidRPr="00497B2D">
        <w:rPr>
          <w:rFonts w:asciiTheme="majorHAnsi" w:eastAsia="Calibri" w:hAnsiTheme="majorHAnsi" w:cstheme="majorHAnsi"/>
          <w:b/>
          <w:sz w:val="24"/>
          <w:szCs w:val="24"/>
          <w:lang w:val="ru-MD"/>
        </w:rPr>
        <w:t xml:space="preserve"> </w:t>
      </w:r>
      <w:r w:rsidRPr="00497B2D">
        <w:rPr>
          <w:rFonts w:asciiTheme="majorHAnsi" w:eastAsia="Calibri" w:hAnsiTheme="majorHAnsi" w:cstheme="majorHAnsi"/>
          <w:b/>
          <w:sz w:val="24"/>
          <w:szCs w:val="24"/>
          <w:lang w:val="ru-MD"/>
        </w:rPr>
        <w:t>которые в течение 2020-2021 годов выпла</w:t>
      </w:r>
      <w:r w:rsidR="00497B2D" w:rsidRPr="00497B2D">
        <w:rPr>
          <w:rFonts w:asciiTheme="majorHAnsi" w:eastAsia="Calibri" w:hAnsiTheme="majorHAnsi" w:cstheme="majorHAnsi"/>
          <w:b/>
          <w:sz w:val="24"/>
          <w:szCs w:val="24"/>
          <w:lang w:val="ru-MD"/>
        </w:rPr>
        <w:t>чива</w:t>
      </w:r>
      <w:r w:rsidRPr="00497B2D">
        <w:rPr>
          <w:rFonts w:asciiTheme="majorHAnsi" w:eastAsia="Calibri" w:hAnsiTheme="majorHAnsi" w:cstheme="majorHAnsi"/>
          <w:b/>
          <w:sz w:val="24"/>
          <w:szCs w:val="24"/>
          <w:lang w:val="ru-MD"/>
        </w:rPr>
        <w:t xml:space="preserve">ли дивиденды </w:t>
      </w:r>
      <w:r w:rsidR="00497B2D" w:rsidRPr="00497B2D">
        <w:rPr>
          <w:rFonts w:asciiTheme="majorHAnsi" w:eastAsia="Calibri" w:hAnsiTheme="majorHAnsi" w:cstheme="majorHAnsi"/>
          <w:b/>
          <w:sz w:val="24"/>
          <w:szCs w:val="24"/>
          <w:lang w:val="ru-MD"/>
        </w:rPr>
        <w:t>на сумму</w:t>
      </w:r>
      <w:r w:rsidRPr="00497B2D">
        <w:rPr>
          <w:rFonts w:asciiTheme="majorHAnsi" w:eastAsia="Calibri" w:hAnsiTheme="majorHAnsi" w:cstheme="majorHAnsi"/>
          <w:b/>
          <w:sz w:val="24"/>
          <w:szCs w:val="24"/>
          <w:lang w:val="ru-MD"/>
        </w:rPr>
        <w:t xml:space="preserve"> 36,4 млн. ле</w:t>
      </w:r>
      <w:r w:rsidR="00497B2D" w:rsidRPr="00497B2D">
        <w:rPr>
          <w:rFonts w:asciiTheme="majorHAnsi" w:eastAsia="Calibri" w:hAnsiTheme="majorHAnsi" w:cstheme="majorHAnsi"/>
          <w:b/>
          <w:sz w:val="24"/>
          <w:szCs w:val="24"/>
          <w:lang w:val="ru-MD"/>
        </w:rPr>
        <w:t>ев</w:t>
      </w:r>
      <w:r w:rsidRPr="00497B2D">
        <w:rPr>
          <w:rFonts w:asciiTheme="majorHAnsi" w:eastAsia="Calibri" w:hAnsiTheme="majorHAnsi" w:cstheme="majorHAnsi"/>
          <w:b/>
          <w:sz w:val="24"/>
          <w:szCs w:val="24"/>
          <w:lang w:val="ru-MD"/>
        </w:rPr>
        <w:t>, в 2022 году при</w:t>
      </w:r>
      <w:r w:rsidR="00497B2D" w:rsidRPr="00497B2D">
        <w:rPr>
          <w:rFonts w:asciiTheme="majorHAnsi" w:eastAsia="Calibri" w:hAnsiTheme="majorHAnsi" w:cstheme="majorHAnsi"/>
          <w:b/>
          <w:sz w:val="24"/>
          <w:szCs w:val="24"/>
          <w:lang w:val="ru-MD"/>
        </w:rPr>
        <w:t>мен</w:t>
      </w:r>
      <w:r w:rsidRPr="00497B2D">
        <w:rPr>
          <w:rFonts w:asciiTheme="majorHAnsi" w:eastAsia="Calibri" w:hAnsiTheme="majorHAnsi" w:cstheme="majorHAnsi"/>
          <w:b/>
          <w:sz w:val="24"/>
          <w:szCs w:val="24"/>
          <w:lang w:val="ru-MD"/>
        </w:rPr>
        <w:t>или процедур</w:t>
      </w:r>
      <w:r w:rsidR="00497B2D" w:rsidRPr="00497B2D">
        <w:rPr>
          <w:rFonts w:asciiTheme="majorHAnsi" w:eastAsia="Calibri" w:hAnsiTheme="majorHAnsi" w:cstheme="majorHAnsi"/>
          <w:b/>
          <w:sz w:val="24"/>
          <w:szCs w:val="24"/>
          <w:lang w:val="ru-MD"/>
        </w:rPr>
        <w:t>у</w:t>
      </w:r>
      <w:r w:rsidRPr="00497B2D">
        <w:rPr>
          <w:rFonts w:asciiTheme="majorHAnsi" w:eastAsia="Calibri" w:hAnsiTheme="majorHAnsi" w:cstheme="majorHAnsi"/>
          <w:b/>
          <w:sz w:val="24"/>
          <w:szCs w:val="24"/>
          <w:lang w:val="ru-MD"/>
        </w:rPr>
        <w:t xml:space="preserve"> несостоятельности с задолженностью по бюджету социального страхования в размере 2,5 млн. ле</w:t>
      </w:r>
      <w:r w:rsidR="00497B2D" w:rsidRPr="00497B2D">
        <w:rPr>
          <w:rFonts w:asciiTheme="majorHAnsi" w:eastAsia="Calibri" w:hAnsiTheme="majorHAnsi" w:cstheme="majorHAnsi"/>
          <w:b/>
          <w:sz w:val="24"/>
          <w:szCs w:val="24"/>
          <w:lang w:val="ru-MD"/>
        </w:rPr>
        <w:t>ев</w:t>
      </w:r>
      <w:r w:rsidR="008352F4" w:rsidRPr="00497B2D">
        <w:rPr>
          <w:rFonts w:asciiTheme="majorHAnsi" w:eastAsia="Calibri" w:hAnsiTheme="majorHAnsi" w:cstheme="majorHAnsi"/>
          <w:b/>
          <w:sz w:val="24"/>
          <w:szCs w:val="24"/>
          <w:lang w:val="ru-MD"/>
        </w:rPr>
        <w:t xml:space="preserve">. </w:t>
      </w:r>
      <w:r w:rsidRPr="00497B2D">
        <w:rPr>
          <w:rFonts w:asciiTheme="majorHAnsi" w:eastAsia="Calibri" w:hAnsiTheme="majorHAnsi" w:cstheme="majorHAnsi"/>
          <w:sz w:val="24"/>
          <w:szCs w:val="24"/>
          <w:lang w:val="ru-MD"/>
        </w:rPr>
        <w:t>Так, в 16 случаях экономические агенты</w:t>
      </w:r>
      <w:r w:rsidR="00497B2D">
        <w:rPr>
          <w:rFonts w:asciiTheme="majorHAnsi" w:eastAsia="Calibri" w:hAnsiTheme="majorHAnsi" w:cstheme="majorHAnsi"/>
          <w:sz w:val="24"/>
          <w:szCs w:val="24"/>
          <w:lang w:val="ru-MD"/>
        </w:rPr>
        <w:t>,</w:t>
      </w:r>
      <w:r w:rsidRPr="00497B2D">
        <w:rPr>
          <w:rFonts w:asciiTheme="majorHAnsi" w:eastAsia="Calibri" w:hAnsiTheme="majorHAnsi" w:cstheme="majorHAnsi"/>
          <w:sz w:val="24"/>
          <w:szCs w:val="24"/>
          <w:lang w:val="ru-MD"/>
        </w:rPr>
        <w:t xml:space="preserve"> после выплаты дивидендов</w:t>
      </w:r>
      <w:r w:rsidR="00497B2D">
        <w:rPr>
          <w:rFonts w:asciiTheme="majorHAnsi" w:eastAsia="Calibri" w:hAnsiTheme="majorHAnsi" w:cstheme="majorHAnsi"/>
          <w:sz w:val="24"/>
          <w:szCs w:val="24"/>
          <w:lang w:val="ru-MD"/>
        </w:rPr>
        <w:t>,</w:t>
      </w:r>
      <w:r w:rsidRPr="00497B2D">
        <w:rPr>
          <w:rFonts w:asciiTheme="majorHAnsi" w:eastAsia="Calibri" w:hAnsiTheme="majorHAnsi" w:cstheme="majorHAnsi"/>
          <w:sz w:val="24"/>
          <w:szCs w:val="24"/>
          <w:lang w:val="ru-MD"/>
        </w:rPr>
        <w:t xml:space="preserve"> в следующем году не смогли выполнить свои обязательства перед </w:t>
      </w:r>
      <w:r w:rsidR="00497B2D">
        <w:rPr>
          <w:rFonts w:asciiTheme="majorHAnsi" w:eastAsia="Calibri" w:hAnsiTheme="majorHAnsi" w:cstheme="majorHAnsi"/>
          <w:sz w:val="24"/>
          <w:szCs w:val="24"/>
          <w:lang w:val="ru-MD"/>
        </w:rPr>
        <w:t>БГСС</w:t>
      </w:r>
      <w:r w:rsidRPr="00497B2D">
        <w:rPr>
          <w:rFonts w:asciiTheme="majorHAnsi" w:eastAsia="Calibri" w:hAnsiTheme="majorHAnsi" w:cstheme="majorHAnsi"/>
          <w:sz w:val="24"/>
          <w:szCs w:val="24"/>
          <w:lang w:val="ru-MD"/>
        </w:rPr>
        <w:t xml:space="preserve">. Процедура несостоятельности влечет за собой значительные риски при </w:t>
      </w:r>
      <w:r w:rsidR="00497B2D">
        <w:rPr>
          <w:rFonts w:asciiTheme="majorHAnsi" w:eastAsia="Calibri" w:hAnsiTheme="majorHAnsi" w:cstheme="majorHAnsi"/>
          <w:sz w:val="24"/>
          <w:szCs w:val="24"/>
          <w:lang w:val="ru-MD"/>
        </w:rPr>
        <w:t>установл</w:t>
      </w:r>
      <w:r w:rsidRPr="00497B2D">
        <w:rPr>
          <w:rFonts w:asciiTheme="majorHAnsi" w:eastAsia="Calibri" w:hAnsiTheme="majorHAnsi" w:cstheme="majorHAnsi"/>
          <w:sz w:val="24"/>
          <w:szCs w:val="24"/>
          <w:lang w:val="ru-MD"/>
        </w:rPr>
        <w:t>ении пособий</w:t>
      </w:r>
      <w:r w:rsidRPr="00497B2D">
        <w:rPr>
          <w:rFonts w:asciiTheme="majorHAnsi" w:eastAsia="Calibri" w:hAnsiTheme="majorHAnsi" w:cstheme="majorHAnsi"/>
          <w:sz w:val="24"/>
          <w:szCs w:val="24"/>
          <w:lang w:val="ro-MD"/>
        </w:rPr>
        <w:t xml:space="preserve"> </w:t>
      </w:r>
      <w:r w:rsidR="008C25BC" w:rsidRPr="00FB7074">
        <w:rPr>
          <w:rFonts w:asciiTheme="majorHAnsi" w:hAnsiTheme="majorHAnsi" w:cstheme="majorHAnsi"/>
          <w:sz w:val="24"/>
          <w:szCs w:val="24"/>
          <w:lang w:val="ro-MD"/>
        </w:rPr>
        <w:t>(</w:t>
      </w:r>
      <w:r w:rsidR="00497B2D">
        <w:rPr>
          <w:rFonts w:asciiTheme="majorHAnsi" w:hAnsiTheme="majorHAnsi" w:cstheme="majorHAnsi"/>
          <w:sz w:val="24"/>
          <w:szCs w:val="24"/>
          <w:lang w:val="ru-RU"/>
        </w:rPr>
        <w:t>см. п</w:t>
      </w:r>
      <w:r w:rsidR="008C25BC" w:rsidRPr="00FB7074">
        <w:rPr>
          <w:rFonts w:asciiTheme="majorHAnsi" w:hAnsiTheme="majorHAnsi" w:cstheme="majorHAnsi"/>
          <w:sz w:val="24"/>
          <w:szCs w:val="24"/>
          <w:lang w:val="ro-MD"/>
        </w:rPr>
        <w:t>.</w:t>
      </w:r>
      <w:r w:rsidR="00852CE4" w:rsidRPr="00FB7074">
        <w:rPr>
          <w:rFonts w:asciiTheme="majorHAnsi" w:hAnsiTheme="majorHAnsi" w:cstheme="majorHAnsi"/>
          <w:sz w:val="24"/>
          <w:szCs w:val="24"/>
          <w:lang w:val="ro-MD"/>
        </w:rPr>
        <w:t>7</w:t>
      </w:r>
      <w:r w:rsidR="008C25BC" w:rsidRPr="00FB7074">
        <w:rPr>
          <w:rFonts w:asciiTheme="majorHAnsi" w:hAnsiTheme="majorHAnsi" w:cstheme="majorHAnsi"/>
          <w:sz w:val="24"/>
          <w:szCs w:val="24"/>
          <w:lang w:val="ro-MD"/>
        </w:rPr>
        <w:t>.6).</w:t>
      </w:r>
    </w:p>
    <w:p w14:paraId="16D616FC" w14:textId="51FC131B" w:rsidR="001C1CE5" w:rsidRPr="006751EC" w:rsidRDefault="00DC532B" w:rsidP="001C1CE5">
      <w:pPr>
        <w:pStyle w:val="aa"/>
        <w:tabs>
          <w:tab w:val="left" w:pos="0"/>
        </w:tabs>
        <w:spacing w:after="100" w:afterAutospacing="1" w:line="276" w:lineRule="auto"/>
        <w:ind w:left="0"/>
        <w:jc w:val="both"/>
        <w:rPr>
          <w:rFonts w:asciiTheme="majorHAnsi" w:hAnsiTheme="majorHAnsi" w:cstheme="majorHAnsi"/>
          <w:sz w:val="24"/>
          <w:szCs w:val="24"/>
          <w:lang w:val="ru-MD"/>
        </w:rPr>
      </w:pPr>
      <w:r w:rsidRPr="006751EC">
        <w:rPr>
          <w:rFonts w:asciiTheme="majorHAnsi" w:hAnsiTheme="majorHAnsi" w:cstheme="majorHAnsi"/>
          <w:sz w:val="24"/>
          <w:szCs w:val="24"/>
          <w:lang w:val="ru-MD"/>
        </w:rPr>
        <w:t xml:space="preserve">В результате контрольных действий, осуществленных Государственной налоговой службой в связи с </w:t>
      </w:r>
      <w:r w:rsidR="006751EC" w:rsidRPr="006751EC">
        <w:rPr>
          <w:rFonts w:asciiTheme="majorHAnsi" w:hAnsiTheme="majorHAnsi" w:cstheme="majorHAnsi"/>
          <w:sz w:val="24"/>
          <w:szCs w:val="24"/>
          <w:lang w:val="ru-MD"/>
        </w:rPr>
        <w:t>инициирова</w:t>
      </w:r>
      <w:r w:rsidRPr="006751EC">
        <w:rPr>
          <w:rFonts w:asciiTheme="majorHAnsi" w:hAnsiTheme="majorHAnsi" w:cstheme="majorHAnsi"/>
          <w:sz w:val="24"/>
          <w:szCs w:val="24"/>
          <w:lang w:val="ru-MD"/>
        </w:rPr>
        <w:t xml:space="preserve">нием процедуры несостоятельности, в 15 случаях </w:t>
      </w:r>
      <w:r w:rsidR="006751EC" w:rsidRPr="006751EC">
        <w:rPr>
          <w:rFonts w:asciiTheme="majorHAnsi" w:hAnsiTheme="majorHAnsi" w:cstheme="majorHAnsi"/>
          <w:sz w:val="24"/>
          <w:szCs w:val="24"/>
          <w:lang w:val="ru-MD"/>
        </w:rPr>
        <w:t xml:space="preserve">материалы </w:t>
      </w:r>
      <w:r w:rsidRPr="006751EC">
        <w:rPr>
          <w:rFonts w:asciiTheme="majorHAnsi" w:hAnsiTheme="majorHAnsi" w:cstheme="majorHAnsi"/>
          <w:sz w:val="24"/>
          <w:szCs w:val="24"/>
          <w:lang w:val="ru-MD"/>
        </w:rPr>
        <w:t>был</w:t>
      </w:r>
      <w:r w:rsidR="006751EC" w:rsidRPr="006751EC">
        <w:rPr>
          <w:rFonts w:asciiTheme="majorHAnsi" w:hAnsiTheme="majorHAnsi" w:cstheme="majorHAnsi"/>
          <w:sz w:val="24"/>
          <w:szCs w:val="24"/>
          <w:lang w:val="ru-MD"/>
        </w:rPr>
        <w:t>и</w:t>
      </w:r>
      <w:r w:rsidRPr="006751EC">
        <w:rPr>
          <w:rFonts w:asciiTheme="majorHAnsi" w:hAnsiTheme="majorHAnsi" w:cstheme="majorHAnsi"/>
          <w:sz w:val="24"/>
          <w:szCs w:val="24"/>
          <w:lang w:val="ru-MD"/>
        </w:rPr>
        <w:t xml:space="preserve"> передан</w:t>
      </w:r>
      <w:r w:rsidR="006751EC" w:rsidRPr="006751EC">
        <w:rPr>
          <w:rFonts w:asciiTheme="majorHAnsi" w:hAnsiTheme="majorHAnsi" w:cstheme="majorHAnsi"/>
          <w:sz w:val="24"/>
          <w:szCs w:val="24"/>
          <w:lang w:val="ru-MD"/>
        </w:rPr>
        <w:t>ы</w:t>
      </w:r>
      <w:r w:rsidRPr="006751EC">
        <w:rPr>
          <w:rFonts w:asciiTheme="majorHAnsi" w:hAnsiTheme="majorHAnsi" w:cstheme="majorHAnsi"/>
          <w:sz w:val="24"/>
          <w:szCs w:val="24"/>
          <w:lang w:val="ru-MD"/>
        </w:rPr>
        <w:t xml:space="preserve"> орган</w:t>
      </w:r>
      <w:r w:rsidR="006751EC" w:rsidRPr="006751EC">
        <w:rPr>
          <w:rFonts w:asciiTheme="majorHAnsi" w:hAnsiTheme="majorHAnsi" w:cstheme="majorHAnsi"/>
          <w:sz w:val="24"/>
          <w:szCs w:val="24"/>
          <w:lang w:val="ru-MD"/>
        </w:rPr>
        <w:t>у</w:t>
      </w:r>
      <w:r w:rsidRPr="006751EC">
        <w:rPr>
          <w:rFonts w:asciiTheme="majorHAnsi" w:hAnsiTheme="majorHAnsi" w:cstheme="majorHAnsi"/>
          <w:sz w:val="24"/>
          <w:szCs w:val="24"/>
          <w:lang w:val="ru-MD"/>
        </w:rPr>
        <w:t xml:space="preserve"> уголовного преследования </w:t>
      </w:r>
      <w:r w:rsidR="006751EC" w:rsidRPr="006751EC">
        <w:rPr>
          <w:rFonts w:asciiTheme="majorHAnsi" w:hAnsiTheme="majorHAnsi" w:cstheme="majorHAnsi"/>
          <w:sz w:val="24"/>
          <w:szCs w:val="24"/>
          <w:lang w:val="ru-MD"/>
        </w:rPr>
        <w:t xml:space="preserve">в рамках </w:t>
      </w:r>
      <w:r w:rsidRPr="006751EC">
        <w:rPr>
          <w:rFonts w:asciiTheme="majorHAnsi" w:hAnsiTheme="majorHAnsi" w:cstheme="majorHAnsi"/>
          <w:sz w:val="24"/>
          <w:szCs w:val="24"/>
          <w:lang w:val="ru-MD"/>
        </w:rPr>
        <w:t>Государственной налоговой службы</w:t>
      </w:r>
      <w:r w:rsidR="006751EC" w:rsidRPr="006751EC">
        <w:rPr>
          <w:rFonts w:asciiTheme="majorHAnsi" w:hAnsiTheme="majorHAnsi" w:cstheme="majorHAnsi"/>
          <w:sz w:val="24"/>
          <w:szCs w:val="24"/>
          <w:lang w:val="ru-MD"/>
        </w:rPr>
        <w:t>,</w:t>
      </w:r>
      <w:r w:rsidRPr="006751EC">
        <w:rPr>
          <w:rFonts w:asciiTheme="majorHAnsi" w:hAnsiTheme="majorHAnsi" w:cstheme="majorHAnsi"/>
          <w:sz w:val="24"/>
          <w:szCs w:val="24"/>
          <w:lang w:val="ru-MD"/>
        </w:rPr>
        <w:t xml:space="preserve"> в связи с </w:t>
      </w:r>
      <w:r w:rsidR="006751EC" w:rsidRPr="006751EC">
        <w:rPr>
          <w:rFonts w:asciiTheme="majorHAnsi" w:hAnsiTheme="majorHAnsi" w:cstheme="majorHAnsi"/>
          <w:sz w:val="24"/>
          <w:szCs w:val="24"/>
          <w:lang w:val="ru-MD"/>
        </w:rPr>
        <w:t>наличие</w:t>
      </w:r>
      <w:r w:rsidRPr="006751EC">
        <w:rPr>
          <w:rFonts w:asciiTheme="majorHAnsi" w:hAnsiTheme="majorHAnsi" w:cstheme="majorHAnsi"/>
          <w:sz w:val="24"/>
          <w:szCs w:val="24"/>
          <w:lang w:val="ru-MD"/>
        </w:rPr>
        <w:t>м признаков умышленной несостоятельности</w:t>
      </w:r>
      <w:r w:rsidR="001C1CE5" w:rsidRPr="006751EC">
        <w:rPr>
          <w:rFonts w:asciiTheme="majorHAnsi" w:hAnsiTheme="majorHAnsi" w:cstheme="majorHAnsi"/>
          <w:sz w:val="24"/>
          <w:szCs w:val="24"/>
          <w:lang w:val="ru-MD"/>
        </w:rPr>
        <w:t>.</w:t>
      </w:r>
    </w:p>
    <w:p w14:paraId="4BF3254A" w14:textId="62187E96" w:rsidR="00FF3AE0" w:rsidRPr="006751EC" w:rsidRDefault="00DC532B" w:rsidP="008C25BC">
      <w:pPr>
        <w:spacing w:after="300" w:line="276" w:lineRule="auto"/>
        <w:jc w:val="both"/>
        <w:rPr>
          <w:rFonts w:asciiTheme="majorHAnsi" w:hAnsiTheme="majorHAnsi" w:cstheme="majorHAnsi"/>
          <w:sz w:val="24"/>
          <w:szCs w:val="24"/>
          <w:lang w:val="ru-MD"/>
        </w:rPr>
      </w:pPr>
      <w:r w:rsidRPr="006751EC">
        <w:rPr>
          <w:rFonts w:asciiTheme="majorHAnsi" w:hAnsiTheme="majorHAnsi" w:cstheme="majorHAnsi"/>
          <w:sz w:val="24"/>
          <w:szCs w:val="24"/>
          <w:lang w:val="ru-MD"/>
        </w:rPr>
        <w:t xml:space="preserve">Таким образом, зарплата в конверте является </w:t>
      </w:r>
      <w:r w:rsidR="006751EC" w:rsidRPr="006751EC">
        <w:rPr>
          <w:rFonts w:asciiTheme="majorHAnsi" w:hAnsiTheme="majorHAnsi" w:cstheme="majorHAnsi"/>
          <w:sz w:val="24"/>
          <w:szCs w:val="24"/>
          <w:lang w:val="ru-MD"/>
        </w:rPr>
        <w:t>токсич</w:t>
      </w:r>
      <w:r w:rsidRPr="006751EC">
        <w:rPr>
          <w:rFonts w:asciiTheme="majorHAnsi" w:hAnsiTheme="majorHAnsi" w:cstheme="majorHAnsi"/>
          <w:sz w:val="24"/>
          <w:szCs w:val="24"/>
          <w:lang w:val="ru-MD"/>
        </w:rPr>
        <w:t>ным явлением и проблемой для каждого гражданина, принимающего такое вознаграждение за сво</w:t>
      </w:r>
      <w:r w:rsidR="006751EC" w:rsidRPr="006751EC">
        <w:rPr>
          <w:rFonts w:asciiTheme="majorHAnsi" w:hAnsiTheme="majorHAnsi" w:cstheme="majorHAnsi"/>
          <w:sz w:val="24"/>
          <w:szCs w:val="24"/>
          <w:lang w:val="ru-MD"/>
        </w:rPr>
        <w:t>й</w:t>
      </w:r>
      <w:r w:rsidRPr="006751EC">
        <w:rPr>
          <w:rFonts w:asciiTheme="majorHAnsi" w:hAnsiTheme="majorHAnsi" w:cstheme="majorHAnsi"/>
          <w:sz w:val="24"/>
          <w:szCs w:val="24"/>
          <w:lang w:val="ru-MD"/>
        </w:rPr>
        <w:t xml:space="preserve"> </w:t>
      </w:r>
      <w:r w:rsidR="006751EC" w:rsidRPr="006751EC">
        <w:rPr>
          <w:rFonts w:asciiTheme="majorHAnsi" w:hAnsiTheme="majorHAnsi" w:cstheme="majorHAnsi"/>
          <w:sz w:val="24"/>
          <w:szCs w:val="24"/>
          <w:lang w:val="ru-MD"/>
        </w:rPr>
        <w:t>труд</w:t>
      </w:r>
      <w:r w:rsidRPr="006751EC">
        <w:rPr>
          <w:rFonts w:asciiTheme="majorHAnsi" w:hAnsiTheme="majorHAnsi" w:cstheme="majorHAnsi"/>
          <w:sz w:val="24"/>
          <w:szCs w:val="24"/>
          <w:lang w:val="ru-MD"/>
        </w:rPr>
        <w:t xml:space="preserve">. Деньги, полученные в конверте, позволяют избежать уплаты налогов и взносов, но эта практика на самом деле означает </w:t>
      </w:r>
      <w:r w:rsidR="006751EC" w:rsidRPr="006751EC">
        <w:rPr>
          <w:rFonts w:asciiTheme="majorHAnsi" w:hAnsiTheme="majorHAnsi" w:cstheme="majorHAnsi"/>
          <w:sz w:val="24"/>
          <w:szCs w:val="24"/>
          <w:lang w:val="ru-MD"/>
        </w:rPr>
        <w:t>приговор</w:t>
      </w:r>
      <w:r w:rsidRPr="006751EC">
        <w:rPr>
          <w:rFonts w:asciiTheme="majorHAnsi" w:hAnsiTheme="majorHAnsi" w:cstheme="majorHAnsi"/>
          <w:sz w:val="24"/>
          <w:szCs w:val="24"/>
          <w:lang w:val="ru-MD"/>
        </w:rPr>
        <w:t xml:space="preserve"> </w:t>
      </w:r>
      <w:r w:rsidR="006751EC" w:rsidRPr="006751EC">
        <w:rPr>
          <w:rFonts w:asciiTheme="majorHAnsi" w:hAnsiTheme="majorHAnsi" w:cstheme="majorHAnsi"/>
          <w:sz w:val="24"/>
          <w:szCs w:val="24"/>
          <w:lang w:val="ru-MD"/>
        </w:rPr>
        <w:t xml:space="preserve">на </w:t>
      </w:r>
      <w:r w:rsidRPr="006751EC">
        <w:rPr>
          <w:rFonts w:asciiTheme="majorHAnsi" w:hAnsiTheme="majorHAnsi" w:cstheme="majorHAnsi"/>
          <w:sz w:val="24"/>
          <w:szCs w:val="24"/>
          <w:lang w:val="ru-MD"/>
        </w:rPr>
        <w:t>неопределенно</w:t>
      </w:r>
      <w:r w:rsidR="006751EC" w:rsidRPr="006751EC">
        <w:rPr>
          <w:rFonts w:asciiTheme="majorHAnsi" w:hAnsiTheme="majorHAnsi" w:cstheme="majorHAnsi"/>
          <w:sz w:val="24"/>
          <w:szCs w:val="24"/>
          <w:lang w:val="ru-MD"/>
        </w:rPr>
        <w:t>е</w:t>
      </w:r>
      <w:r w:rsidRPr="006751EC">
        <w:rPr>
          <w:rFonts w:asciiTheme="majorHAnsi" w:hAnsiTheme="majorHAnsi" w:cstheme="majorHAnsi"/>
          <w:sz w:val="24"/>
          <w:szCs w:val="24"/>
          <w:lang w:val="ru-MD"/>
        </w:rPr>
        <w:t xml:space="preserve"> будуще</w:t>
      </w:r>
      <w:r w:rsidR="006751EC" w:rsidRPr="006751EC">
        <w:rPr>
          <w:rFonts w:asciiTheme="majorHAnsi" w:hAnsiTheme="majorHAnsi" w:cstheme="majorHAnsi"/>
          <w:sz w:val="24"/>
          <w:szCs w:val="24"/>
          <w:lang w:val="ru-MD"/>
        </w:rPr>
        <w:t>е,</w:t>
      </w:r>
      <w:r w:rsidRPr="006751EC">
        <w:rPr>
          <w:rFonts w:asciiTheme="majorHAnsi" w:hAnsiTheme="majorHAnsi" w:cstheme="majorHAnsi"/>
          <w:sz w:val="24"/>
          <w:szCs w:val="24"/>
          <w:lang w:val="ru-MD"/>
        </w:rPr>
        <w:t xml:space="preserve"> с</w:t>
      </w:r>
      <w:r w:rsidR="006751EC" w:rsidRPr="006751EC">
        <w:rPr>
          <w:rFonts w:asciiTheme="majorHAnsi" w:hAnsiTheme="majorHAnsi" w:cstheme="majorHAnsi"/>
          <w:sz w:val="24"/>
          <w:szCs w:val="24"/>
          <w:lang w:val="ru-MD"/>
        </w:rPr>
        <w:t>о</w:t>
      </w:r>
      <w:r w:rsidRPr="006751EC">
        <w:rPr>
          <w:rFonts w:asciiTheme="majorHAnsi" w:hAnsiTheme="majorHAnsi" w:cstheme="majorHAnsi"/>
          <w:sz w:val="24"/>
          <w:szCs w:val="24"/>
          <w:lang w:val="ru-MD"/>
        </w:rPr>
        <w:t xml:space="preserve"> множеством серьезных рисков и последствий, которых невозможно избежать</w:t>
      </w:r>
      <w:r w:rsidR="00C67851" w:rsidRPr="006751EC">
        <w:rPr>
          <w:rFonts w:asciiTheme="majorHAnsi" w:hAnsiTheme="majorHAnsi" w:cstheme="majorHAnsi"/>
          <w:sz w:val="24"/>
          <w:szCs w:val="24"/>
          <w:lang w:val="ru-MD"/>
        </w:rPr>
        <w:t>.</w:t>
      </w:r>
    </w:p>
    <w:p w14:paraId="15BE4B54" w14:textId="0BB6202A" w:rsidR="00DE27FA" w:rsidRPr="00B7675F" w:rsidRDefault="006751EC" w:rsidP="00437B23">
      <w:pPr>
        <w:pStyle w:val="aa"/>
        <w:numPr>
          <w:ilvl w:val="0"/>
          <w:numId w:val="2"/>
        </w:numPr>
        <w:shd w:val="clear" w:color="auto" w:fill="FFFFFF" w:themeFill="background1"/>
        <w:spacing w:line="276" w:lineRule="auto"/>
        <w:jc w:val="both"/>
        <w:outlineLvl w:val="0"/>
        <w:rPr>
          <w:rFonts w:asciiTheme="majorHAnsi" w:hAnsiTheme="majorHAnsi" w:cstheme="majorHAnsi"/>
          <w:b/>
          <w:sz w:val="28"/>
          <w:szCs w:val="24"/>
          <w:lang w:val="ro-MD"/>
        </w:rPr>
      </w:pPr>
      <w:r>
        <w:rPr>
          <w:rFonts w:asciiTheme="majorHAnsi" w:hAnsiTheme="majorHAnsi" w:cstheme="majorHAnsi"/>
          <w:b/>
          <w:sz w:val="28"/>
          <w:szCs w:val="24"/>
          <w:lang w:val="ru-RU"/>
        </w:rPr>
        <w:t>ДРУГАЯ ИНФОРМАЦИЯ</w:t>
      </w:r>
    </w:p>
    <w:p w14:paraId="75E330BD" w14:textId="1A76FA7B" w:rsidR="00F77382" w:rsidRPr="00653E85" w:rsidRDefault="00C95B59" w:rsidP="00C95B59">
      <w:pPr>
        <w:pStyle w:val="aa"/>
        <w:numPr>
          <w:ilvl w:val="1"/>
          <w:numId w:val="2"/>
        </w:numPr>
        <w:spacing w:after="120" w:line="276" w:lineRule="auto"/>
        <w:ind w:left="0" w:firstLine="0"/>
        <w:jc w:val="both"/>
        <w:outlineLvl w:val="1"/>
        <w:rPr>
          <w:rFonts w:asciiTheme="majorHAnsi" w:hAnsiTheme="majorHAnsi" w:cstheme="majorHAnsi"/>
          <w:b/>
          <w:sz w:val="24"/>
          <w:szCs w:val="24"/>
          <w:lang w:val="ro-MD"/>
        </w:rPr>
      </w:pPr>
      <w:r w:rsidRPr="00C95B59">
        <w:rPr>
          <w:rFonts w:asciiTheme="majorHAnsi" w:hAnsiTheme="majorHAnsi" w:cstheme="majorHAnsi"/>
          <w:b/>
          <w:sz w:val="24"/>
          <w:szCs w:val="24"/>
          <w:lang w:val="ru-MD"/>
        </w:rPr>
        <w:t>Не</w:t>
      </w:r>
      <w:r w:rsidR="001D5907">
        <w:rPr>
          <w:rFonts w:asciiTheme="majorHAnsi" w:hAnsiTheme="majorHAnsi" w:cstheme="majorHAnsi"/>
          <w:b/>
          <w:sz w:val="24"/>
          <w:szCs w:val="24"/>
          <w:lang w:val="ru-MD"/>
        </w:rPr>
        <w:t>корректировка</w:t>
      </w:r>
      <w:r w:rsidRPr="00C95B59">
        <w:rPr>
          <w:rFonts w:asciiTheme="majorHAnsi" w:hAnsiTheme="majorHAnsi" w:cstheme="majorHAnsi"/>
          <w:b/>
          <w:sz w:val="24"/>
          <w:szCs w:val="24"/>
          <w:lang w:val="ru-MD"/>
        </w:rPr>
        <w:t xml:space="preserve"> первоначальных остатков долгов не обеспечивает сопоставимости при отражении краткосрочных долгов по социальным пособиям за 2022 год, которые были занижены как минимум на 14,0 млн. леев</w:t>
      </w:r>
      <w:r w:rsidRPr="00C95B59">
        <w:rPr>
          <w:rFonts w:asciiTheme="majorHAnsi" w:hAnsiTheme="majorHAnsi" w:cstheme="majorHAnsi"/>
          <w:b/>
          <w:sz w:val="24"/>
          <w:szCs w:val="24"/>
          <w:lang w:val="ro-MD"/>
        </w:rPr>
        <w:t xml:space="preserve">. </w:t>
      </w:r>
    </w:p>
    <w:p w14:paraId="27D1C0EB" w14:textId="16AA12F0" w:rsidR="00F77382" w:rsidRPr="001D5907" w:rsidRDefault="00F904D9" w:rsidP="00F77382">
      <w:pPr>
        <w:pStyle w:val="af3"/>
        <w:spacing w:after="0" w:line="276" w:lineRule="auto"/>
        <w:jc w:val="both"/>
        <w:rPr>
          <w:rFonts w:asciiTheme="majorHAnsi" w:hAnsiTheme="majorHAnsi" w:cstheme="majorHAnsi"/>
          <w:sz w:val="24"/>
          <w:szCs w:val="24"/>
          <w:lang w:val="ru-MD"/>
        </w:rPr>
      </w:pPr>
      <w:r w:rsidRPr="001D5907">
        <w:rPr>
          <w:rFonts w:asciiTheme="majorHAnsi" w:hAnsiTheme="majorHAnsi" w:cstheme="majorHAnsi"/>
          <w:sz w:val="24"/>
          <w:szCs w:val="24"/>
          <w:lang w:val="ru-MD"/>
        </w:rPr>
        <w:t>Аудиторские констатации за</w:t>
      </w:r>
      <w:r w:rsidR="00E14326" w:rsidRPr="001D5907">
        <w:rPr>
          <w:rFonts w:asciiTheme="majorHAnsi" w:hAnsiTheme="majorHAnsi" w:cstheme="majorHAnsi"/>
          <w:sz w:val="24"/>
          <w:szCs w:val="24"/>
          <w:lang w:val="ru-MD"/>
        </w:rPr>
        <w:t xml:space="preserve"> предыдущ</w:t>
      </w:r>
      <w:r w:rsidR="001D5907">
        <w:rPr>
          <w:rFonts w:asciiTheme="majorHAnsi" w:hAnsiTheme="majorHAnsi" w:cstheme="majorHAnsi"/>
          <w:sz w:val="24"/>
          <w:szCs w:val="24"/>
          <w:lang w:val="ru-MD"/>
        </w:rPr>
        <w:t>и</w:t>
      </w:r>
      <w:r w:rsidRPr="001D5907">
        <w:rPr>
          <w:rFonts w:asciiTheme="majorHAnsi" w:hAnsiTheme="majorHAnsi" w:cstheme="majorHAnsi"/>
          <w:sz w:val="24"/>
          <w:szCs w:val="24"/>
          <w:lang w:val="ru-MD"/>
        </w:rPr>
        <w:t>е</w:t>
      </w:r>
      <w:r w:rsidR="00E14326" w:rsidRPr="001D5907">
        <w:rPr>
          <w:rFonts w:asciiTheme="majorHAnsi" w:hAnsiTheme="majorHAnsi" w:cstheme="majorHAnsi"/>
          <w:sz w:val="24"/>
          <w:szCs w:val="24"/>
          <w:lang w:val="ru-MD"/>
        </w:rPr>
        <w:t xml:space="preserve"> </w:t>
      </w:r>
      <w:r w:rsidRPr="001D5907">
        <w:rPr>
          <w:rFonts w:asciiTheme="majorHAnsi" w:hAnsiTheme="majorHAnsi" w:cstheme="majorHAnsi"/>
          <w:sz w:val="24"/>
          <w:szCs w:val="24"/>
          <w:lang w:val="ru-MD"/>
        </w:rPr>
        <w:t>годы</w:t>
      </w:r>
      <w:r w:rsidRPr="001D5907">
        <w:rPr>
          <w:rStyle w:val="a5"/>
          <w:rFonts w:asciiTheme="majorHAnsi" w:hAnsiTheme="majorHAnsi" w:cstheme="majorHAnsi"/>
          <w:sz w:val="24"/>
          <w:szCs w:val="24"/>
          <w:lang w:val="ru-MD"/>
        </w:rPr>
        <w:footnoteReference w:id="30"/>
      </w:r>
      <w:r w:rsidR="00E14326" w:rsidRPr="001D5907">
        <w:rPr>
          <w:rFonts w:asciiTheme="majorHAnsi" w:hAnsiTheme="majorHAnsi" w:cstheme="majorHAnsi"/>
          <w:sz w:val="24"/>
          <w:szCs w:val="24"/>
          <w:lang w:val="ru-MD"/>
        </w:rPr>
        <w:t xml:space="preserve"> выявили недостатки </w:t>
      </w:r>
      <w:r w:rsidRPr="001D5907">
        <w:rPr>
          <w:rFonts w:asciiTheme="majorHAnsi" w:hAnsiTheme="majorHAnsi" w:cstheme="majorHAnsi"/>
          <w:sz w:val="24"/>
          <w:szCs w:val="24"/>
          <w:lang w:val="ru-MD"/>
        </w:rPr>
        <w:t>при</w:t>
      </w:r>
      <w:r w:rsidR="00E14326" w:rsidRPr="001D5907">
        <w:rPr>
          <w:rFonts w:asciiTheme="majorHAnsi" w:hAnsiTheme="majorHAnsi" w:cstheme="majorHAnsi"/>
          <w:sz w:val="24"/>
          <w:szCs w:val="24"/>
          <w:lang w:val="ru-MD"/>
        </w:rPr>
        <w:t xml:space="preserve"> отражении приостановленных остатков долга после 3/6 месяцев предыдущих периодов, </w:t>
      </w:r>
      <w:r w:rsidRPr="001D5907">
        <w:rPr>
          <w:rFonts w:asciiTheme="majorHAnsi" w:hAnsiTheme="majorHAnsi" w:cstheme="majorHAnsi"/>
          <w:sz w:val="24"/>
          <w:szCs w:val="24"/>
          <w:lang w:val="ru-MD"/>
        </w:rPr>
        <w:t>кот</w:t>
      </w:r>
      <w:r w:rsidR="001D5907">
        <w:rPr>
          <w:rFonts w:asciiTheme="majorHAnsi" w:hAnsiTheme="majorHAnsi" w:cstheme="majorHAnsi"/>
          <w:sz w:val="24"/>
          <w:szCs w:val="24"/>
          <w:lang w:val="ru-MD"/>
        </w:rPr>
        <w:t>о</w:t>
      </w:r>
      <w:r w:rsidRPr="001D5907">
        <w:rPr>
          <w:rFonts w:asciiTheme="majorHAnsi" w:hAnsiTheme="majorHAnsi" w:cstheme="majorHAnsi"/>
          <w:sz w:val="24"/>
          <w:szCs w:val="24"/>
          <w:lang w:val="ru-MD"/>
        </w:rPr>
        <w:t xml:space="preserve">рые </w:t>
      </w:r>
      <w:r w:rsidR="00E14326" w:rsidRPr="001D5907">
        <w:rPr>
          <w:rFonts w:asciiTheme="majorHAnsi" w:hAnsiTheme="majorHAnsi" w:cstheme="majorHAnsi"/>
          <w:sz w:val="24"/>
          <w:szCs w:val="24"/>
          <w:lang w:val="ru-MD"/>
        </w:rPr>
        <w:t>сохран</w:t>
      </w:r>
      <w:r w:rsidRPr="001D5907">
        <w:rPr>
          <w:rFonts w:asciiTheme="majorHAnsi" w:hAnsiTheme="majorHAnsi" w:cstheme="majorHAnsi"/>
          <w:sz w:val="24"/>
          <w:szCs w:val="24"/>
          <w:lang w:val="ru-MD"/>
        </w:rPr>
        <w:t>ились</w:t>
      </w:r>
      <w:r w:rsidR="00E14326" w:rsidRPr="001D5907">
        <w:rPr>
          <w:rFonts w:asciiTheme="majorHAnsi" w:hAnsiTheme="majorHAnsi" w:cstheme="majorHAnsi"/>
          <w:sz w:val="24"/>
          <w:szCs w:val="24"/>
          <w:lang w:val="ru-MD"/>
        </w:rPr>
        <w:t xml:space="preserve"> </w:t>
      </w:r>
      <w:r w:rsidRPr="001D5907">
        <w:rPr>
          <w:rFonts w:asciiTheme="majorHAnsi" w:hAnsiTheme="majorHAnsi" w:cstheme="majorHAnsi"/>
          <w:sz w:val="24"/>
          <w:szCs w:val="24"/>
          <w:lang w:val="ru-MD"/>
        </w:rPr>
        <w:t>лишь в ИС</w:t>
      </w:r>
      <w:r w:rsidR="00E14326" w:rsidRPr="001D5907">
        <w:rPr>
          <w:rFonts w:asciiTheme="majorHAnsi" w:hAnsiTheme="majorHAnsi" w:cstheme="majorHAnsi"/>
          <w:sz w:val="24"/>
          <w:szCs w:val="24"/>
          <w:lang w:val="ru-MD"/>
        </w:rPr>
        <w:t xml:space="preserve"> „</w:t>
      </w:r>
      <w:r w:rsidRPr="001D5907">
        <w:rPr>
          <w:rFonts w:asciiTheme="majorHAnsi" w:hAnsiTheme="majorHAnsi" w:cstheme="majorHAnsi"/>
          <w:sz w:val="24"/>
          <w:szCs w:val="24"/>
          <w:lang w:val="ru-MD"/>
        </w:rPr>
        <w:t>С</w:t>
      </w:r>
      <w:r w:rsidR="00E14326" w:rsidRPr="001D5907">
        <w:rPr>
          <w:rFonts w:asciiTheme="majorHAnsi" w:hAnsiTheme="majorHAnsi" w:cstheme="majorHAnsi"/>
          <w:sz w:val="24"/>
          <w:szCs w:val="24"/>
          <w:lang w:val="ru-MD"/>
        </w:rPr>
        <w:t>оциальн</w:t>
      </w:r>
      <w:r w:rsidRPr="001D5907">
        <w:rPr>
          <w:rFonts w:asciiTheme="majorHAnsi" w:hAnsiTheme="majorHAnsi" w:cstheme="majorHAnsi"/>
          <w:sz w:val="24"/>
          <w:szCs w:val="24"/>
          <w:lang w:val="ru-MD"/>
        </w:rPr>
        <w:t>ая</w:t>
      </w:r>
      <w:r w:rsidR="00E14326" w:rsidRPr="001D5907">
        <w:rPr>
          <w:rFonts w:asciiTheme="majorHAnsi" w:hAnsiTheme="majorHAnsi" w:cstheme="majorHAnsi"/>
          <w:sz w:val="24"/>
          <w:szCs w:val="24"/>
          <w:lang w:val="ru-MD"/>
        </w:rPr>
        <w:t xml:space="preserve"> защит</w:t>
      </w:r>
      <w:r w:rsidRPr="001D5907">
        <w:rPr>
          <w:rFonts w:asciiTheme="majorHAnsi" w:hAnsiTheme="majorHAnsi" w:cstheme="majorHAnsi"/>
          <w:sz w:val="24"/>
          <w:szCs w:val="24"/>
          <w:lang w:val="ru-MD"/>
        </w:rPr>
        <w:t>а</w:t>
      </w:r>
      <w:r w:rsidR="00E14326" w:rsidRPr="001D5907">
        <w:rPr>
          <w:rFonts w:asciiTheme="majorHAnsi" w:hAnsiTheme="majorHAnsi" w:cstheme="majorHAnsi"/>
          <w:sz w:val="24"/>
          <w:szCs w:val="24"/>
          <w:lang w:val="ru-MD"/>
        </w:rPr>
        <w:t xml:space="preserve">”. Выявленные нарушения произошли из-за того, что </w:t>
      </w:r>
      <w:r w:rsidRPr="001D5907">
        <w:rPr>
          <w:rFonts w:asciiTheme="majorHAnsi" w:hAnsiTheme="majorHAnsi" w:cstheme="majorHAnsi"/>
          <w:sz w:val="24"/>
          <w:szCs w:val="24"/>
          <w:lang w:val="ru-MD"/>
        </w:rPr>
        <w:t>ИС</w:t>
      </w:r>
      <w:r w:rsidR="00E14326" w:rsidRPr="001D5907">
        <w:rPr>
          <w:rFonts w:asciiTheme="majorHAnsi" w:hAnsiTheme="majorHAnsi" w:cstheme="majorHAnsi"/>
          <w:sz w:val="24"/>
          <w:szCs w:val="24"/>
          <w:lang w:val="ru-MD"/>
        </w:rPr>
        <w:t xml:space="preserve"> „Социальная защита” дает возможность </w:t>
      </w:r>
      <w:r w:rsidR="001D5907" w:rsidRPr="001D5907">
        <w:rPr>
          <w:rFonts w:asciiTheme="majorHAnsi" w:hAnsiTheme="majorHAnsi" w:cstheme="majorHAnsi"/>
          <w:sz w:val="24"/>
          <w:szCs w:val="24"/>
          <w:lang w:val="ru-MD"/>
        </w:rPr>
        <w:t>просмотра</w:t>
      </w:r>
      <w:r w:rsidR="00E14326" w:rsidRPr="001D5907">
        <w:rPr>
          <w:rFonts w:asciiTheme="majorHAnsi" w:hAnsiTheme="majorHAnsi" w:cstheme="majorHAnsi"/>
          <w:sz w:val="24"/>
          <w:szCs w:val="24"/>
          <w:lang w:val="ru-MD"/>
        </w:rPr>
        <w:t xml:space="preserve"> долг</w:t>
      </w:r>
      <w:r w:rsidR="001D5907" w:rsidRPr="001D5907">
        <w:rPr>
          <w:rFonts w:asciiTheme="majorHAnsi" w:hAnsiTheme="majorHAnsi" w:cstheme="majorHAnsi"/>
          <w:sz w:val="24"/>
          <w:szCs w:val="24"/>
          <w:lang w:val="ru-MD"/>
        </w:rPr>
        <w:t>а</w:t>
      </w:r>
      <w:r w:rsidR="00E14326" w:rsidRPr="001D5907">
        <w:rPr>
          <w:rFonts w:asciiTheme="majorHAnsi" w:hAnsiTheme="majorHAnsi" w:cstheme="majorHAnsi"/>
          <w:sz w:val="24"/>
          <w:szCs w:val="24"/>
          <w:lang w:val="ru-MD"/>
        </w:rPr>
        <w:t xml:space="preserve"> на одного бенефициара (путем проверки </w:t>
      </w:r>
      <w:r w:rsidR="001D5907" w:rsidRPr="001D5907">
        <w:rPr>
          <w:rFonts w:asciiTheme="majorHAnsi" w:hAnsiTheme="majorHAnsi" w:cstheme="majorHAnsi"/>
          <w:sz w:val="24"/>
          <w:szCs w:val="24"/>
          <w:lang w:val="ru-MD"/>
        </w:rPr>
        <w:t>лич</w:t>
      </w:r>
      <w:r w:rsidR="00E14326" w:rsidRPr="001D5907">
        <w:rPr>
          <w:rFonts w:asciiTheme="majorHAnsi" w:hAnsiTheme="majorHAnsi" w:cstheme="majorHAnsi"/>
          <w:sz w:val="24"/>
          <w:szCs w:val="24"/>
          <w:lang w:val="ru-MD"/>
        </w:rPr>
        <w:t xml:space="preserve">ного счета для приостановленных выплат до 2021 года), а долг, связанный с приостановленными выплатами, не был включен в учет. Они сохраняются в системе и выделяются </w:t>
      </w:r>
      <w:r w:rsidR="001D5907" w:rsidRPr="001D5907">
        <w:rPr>
          <w:rFonts w:asciiTheme="majorHAnsi" w:hAnsiTheme="majorHAnsi" w:cstheme="majorHAnsi"/>
          <w:sz w:val="24"/>
          <w:szCs w:val="24"/>
          <w:lang w:val="ru-MD"/>
        </w:rPr>
        <w:t>при подаче</w:t>
      </w:r>
      <w:r w:rsidR="00E14326" w:rsidRPr="001D5907">
        <w:rPr>
          <w:rFonts w:asciiTheme="majorHAnsi" w:hAnsiTheme="majorHAnsi" w:cstheme="majorHAnsi"/>
          <w:sz w:val="24"/>
          <w:szCs w:val="24"/>
          <w:lang w:val="ru-MD"/>
        </w:rPr>
        <w:t xml:space="preserve"> заявлени</w:t>
      </w:r>
      <w:r w:rsidR="001D5907" w:rsidRPr="001D5907">
        <w:rPr>
          <w:rFonts w:asciiTheme="majorHAnsi" w:hAnsiTheme="majorHAnsi" w:cstheme="majorHAnsi"/>
          <w:sz w:val="24"/>
          <w:szCs w:val="24"/>
          <w:lang w:val="ru-MD"/>
        </w:rPr>
        <w:t>я</w:t>
      </w:r>
      <w:r w:rsidR="00E14326" w:rsidRPr="001D5907">
        <w:rPr>
          <w:rFonts w:asciiTheme="majorHAnsi" w:hAnsiTheme="majorHAnsi" w:cstheme="majorHAnsi"/>
          <w:sz w:val="24"/>
          <w:szCs w:val="24"/>
          <w:lang w:val="ru-MD"/>
        </w:rPr>
        <w:t xml:space="preserve"> о возобновлении платежа</w:t>
      </w:r>
      <w:r w:rsidR="00F77382" w:rsidRPr="001D5907">
        <w:rPr>
          <w:rFonts w:asciiTheme="majorHAnsi" w:hAnsiTheme="majorHAnsi" w:cstheme="majorHAnsi"/>
          <w:sz w:val="24"/>
          <w:szCs w:val="24"/>
          <w:lang w:val="ru-MD"/>
        </w:rPr>
        <w:t>.</w:t>
      </w:r>
    </w:p>
    <w:p w14:paraId="34E2AD65" w14:textId="07DE0B95" w:rsidR="00F77382" w:rsidRPr="00336B57" w:rsidRDefault="001D5907" w:rsidP="00F77382">
      <w:pPr>
        <w:pStyle w:val="af3"/>
        <w:spacing w:after="0" w:line="276" w:lineRule="auto"/>
        <w:jc w:val="both"/>
        <w:rPr>
          <w:rFonts w:asciiTheme="majorHAnsi" w:hAnsiTheme="majorHAnsi" w:cstheme="majorHAnsi"/>
          <w:sz w:val="24"/>
          <w:szCs w:val="24"/>
          <w:lang w:val="ru-MD"/>
        </w:rPr>
      </w:pPr>
      <w:r w:rsidRPr="00336B57">
        <w:rPr>
          <w:rFonts w:asciiTheme="majorHAnsi" w:hAnsiTheme="majorHAnsi" w:cstheme="majorHAnsi"/>
          <w:sz w:val="24"/>
          <w:szCs w:val="24"/>
          <w:lang w:val="ru-MD"/>
        </w:rPr>
        <w:t>Начиная с</w:t>
      </w:r>
      <w:r w:rsidR="00E14326" w:rsidRPr="00336B57">
        <w:rPr>
          <w:rFonts w:asciiTheme="majorHAnsi" w:hAnsiTheme="majorHAnsi" w:cstheme="majorHAnsi"/>
          <w:sz w:val="24"/>
          <w:szCs w:val="24"/>
          <w:lang w:val="ru-MD"/>
        </w:rPr>
        <w:t xml:space="preserve"> 2021 года</w:t>
      </w:r>
      <w:r w:rsidR="00336B57" w:rsidRPr="00336B57">
        <w:rPr>
          <w:rFonts w:asciiTheme="majorHAnsi" w:hAnsiTheme="majorHAnsi" w:cstheme="majorHAnsi"/>
          <w:sz w:val="24"/>
          <w:szCs w:val="24"/>
          <w:lang w:val="ru-MD"/>
        </w:rPr>
        <w:t>,</w:t>
      </w:r>
      <w:r w:rsidR="00E14326" w:rsidRPr="00336B57">
        <w:rPr>
          <w:rFonts w:asciiTheme="majorHAnsi" w:hAnsiTheme="majorHAnsi" w:cstheme="majorHAnsi"/>
          <w:sz w:val="24"/>
          <w:szCs w:val="24"/>
          <w:lang w:val="ru-MD"/>
        </w:rPr>
        <w:t xml:space="preserve"> НКСС разработал</w:t>
      </w:r>
      <w:r w:rsidRPr="00336B57">
        <w:rPr>
          <w:rFonts w:asciiTheme="majorHAnsi" w:hAnsiTheme="majorHAnsi" w:cstheme="majorHAnsi"/>
          <w:sz w:val="24"/>
          <w:szCs w:val="24"/>
          <w:lang w:val="ru-MD"/>
        </w:rPr>
        <w:t>а</w:t>
      </w:r>
      <w:r w:rsidR="00E14326" w:rsidRPr="00336B57">
        <w:rPr>
          <w:rFonts w:asciiTheme="majorHAnsi" w:hAnsiTheme="majorHAnsi" w:cstheme="majorHAnsi"/>
          <w:sz w:val="24"/>
          <w:szCs w:val="24"/>
          <w:lang w:val="ru-MD"/>
        </w:rPr>
        <w:t xml:space="preserve"> изменения в правилах учета долга, таким образом, они отраж</w:t>
      </w:r>
      <w:r w:rsidR="00336B57" w:rsidRPr="00336B57">
        <w:rPr>
          <w:rFonts w:asciiTheme="majorHAnsi" w:hAnsiTheme="majorHAnsi" w:cstheme="majorHAnsi"/>
          <w:sz w:val="24"/>
          <w:szCs w:val="24"/>
          <w:lang w:val="ru-MD"/>
        </w:rPr>
        <w:t>ались</w:t>
      </w:r>
      <w:r w:rsidR="00E14326" w:rsidRPr="00336B57">
        <w:rPr>
          <w:rFonts w:asciiTheme="majorHAnsi" w:hAnsiTheme="majorHAnsi" w:cstheme="majorHAnsi"/>
          <w:sz w:val="24"/>
          <w:szCs w:val="24"/>
          <w:lang w:val="ru-MD"/>
        </w:rPr>
        <w:t xml:space="preserve"> как долгосрочные обязательства </w:t>
      </w:r>
      <w:r w:rsidRPr="00336B57">
        <w:rPr>
          <w:rFonts w:asciiTheme="majorHAnsi" w:hAnsiTheme="majorHAnsi" w:cstheme="majorHAnsi"/>
          <w:sz w:val="24"/>
          <w:szCs w:val="24"/>
          <w:lang w:val="ru-MD"/>
        </w:rPr>
        <w:t>на</w:t>
      </w:r>
      <w:r w:rsidR="00E14326" w:rsidRPr="00336B57">
        <w:rPr>
          <w:rFonts w:asciiTheme="majorHAnsi" w:hAnsiTheme="majorHAnsi" w:cstheme="majorHAnsi"/>
          <w:sz w:val="24"/>
          <w:szCs w:val="24"/>
          <w:lang w:val="ru-MD"/>
        </w:rPr>
        <w:t xml:space="preserve"> внеб</w:t>
      </w:r>
      <w:r w:rsidRPr="00336B57">
        <w:rPr>
          <w:rFonts w:asciiTheme="majorHAnsi" w:hAnsiTheme="majorHAnsi" w:cstheme="majorHAnsi"/>
          <w:sz w:val="24"/>
          <w:szCs w:val="24"/>
          <w:lang w:val="ru-MD"/>
        </w:rPr>
        <w:t>алансовых</w:t>
      </w:r>
      <w:r w:rsidR="00E14326" w:rsidRPr="00336B57">
        <w:rPr>
          <w:rFonts w:asciiTheme="majorHAnsi" w:hAnsiTheme="majorHAnsi" w:cstheme="majorHAnsi"/>
          <w:sz w:val="24"/>
          <w:szCs w:val="24"/>
          <w:lang w:val="ru-MD"/>
        </w:rPr>
        <w:t xml:space="preserve"> счета</w:t>
      </w:r>
      <w:r w:rsidRPr="00336B57">
        <w:rPr>
          <w:rFonts w:asciiTheme="majorHAnsi" w:hAnsiTheme="majorHAnsi" w:cstheme="majorHAnsi"/>
          <w:sz w:val="24"/>
          <w:szCs w:val="24"/>
          <w:lang w:val="ru-MD"/>
        </w:rPr>
        <w:t>х</w:t>
      </w:r>
      <w:r w:rsidR="00E14326" w:rsidRPr="00336B57">
        <w:rPr>
          <w:rFonts w:asciiTheme="majorHAnsi" w:hAnsiTheme="majorHAnsi" w:cstheme="majorHAnsi"/>
          <w:sz w:val="24"/>
          <w:szCs w:val="24"/>
          <w:lang w:val="ru-MD"/>
        </w:rPr>
        <w:t xml:space="preserve">. В этом контексте аудит отмечает, что новый метод отражает долги, </w:t>
      </w:r>
      <w:r w:rsidR="00336B57" w:rsidRPr="00336B57">
        <w:rPr>
          <w:rFonts w:asciiTheme="majorHAnsi" w:hAnsiTheme="majorHAnsi" w:cstheme="majorHAnsi"/>
          <w:sz w:val="24"/>
          <w:szCs w:val="24"/>
          <w:lang w:val="ru-MD"/>
        </w:rPr>
        <w:t>сформир</w:t>
      </w:r>
      <w:r w:rsidR="00E14326" w:rsidRPr="00336B57">
        <w:rPr>
          <w:rFonts w:asciiTheme="majorHAnsi" w:hAnsiTheme="majorHAnsi" w:cstheme="majorHAnsi"/>
          <w:sz w:val="24"/>
          <w:szCs w:val="24"/>
          <w:lang w:val="ru-MD"/>
        </w:rPr>
        <w:t xml:space="preserve">ованные через 12 месяцев в случае </w:t>
      </w:r>
      <w:r w:rsidR="00A375C3" w:rsidRPr="00336B57">
        <w:rPr>
          <w:rFonts w:asciiTheme="majorHAnsi" w:hAnsiTheme="majorHAnsi" w:cstheme="majorHAnsi"/>
          <w:sz w:val="24"/>
          <w:szCs w:val="24"/>
          <w:lang w:val="ru-MD"/>
        </w:rPr>
        <w:t>невостребования</w:t>
      </w:r>
      <w:r w:rsidR="00E14326" w:rsidRPr="00336B57">
        <w:rPr>
          <w:rFonts w:asciiTheme="majorHAnsi" w:hAnsiTheme="majorHAnsi" w:cstheme="majorHAnsi"/>
          <w:sz w:val="24"/>
          <w:szCs w:val="24"/>
          <w:lang w:val="ru-MD"/>
        </w:rPr>
        <w:t xml:space="preserve"> пособия, без учета </w:t>
      </w:r>
      <w:r w:rsidR="00336B57" w:rsidRPr="00336B57">
        <w:rPr>
          <w:rFonts w:asciiTheme="majorHAnsi" w:hAnsiTheme="majorHAnsi" w:cstheme="majorHAnsi"/>
          <w:sz w:val="24"/>
          <w:szCs w:val="24"/>
          <w:lang w:val="ru-MD"/>
        </w:rPr>
        <w:t xml:space="preserve">приостановленной </w:t>
      </w:r>
      <w:r w:rsidR="00E14326" w:rsidRPr="00336B57">
        <w:rPr>
          <w:rFonts w:asciiTheme="majorHAnsi" w:hAnsiTheme="majorHAnsi" w:cstheme="majorHAnsi"/>
          <w:sz w:val="24"/>
          <w:szCs w:val="24"/>
          <w:lang w:val="ru-MD"/>
        </w:rPr>
        <w:t>задолженности</w:t>
      </w:r>
      <w:r w:rsidR="00336B57" w:rsidRPr="00336B57">
        <w:rPr>
          <w:rFonts w:asciiTheme="majorHAnsi" w:hAnsiTheme="majorHAnsi" w:cstheme="majorHAnsi"/>
          <w:sz w:val="24"/>
          <w:szCs w:val="24"/>
          <w:lang w:val="ru-MD"/>
        </w:rPr>
        <w:t xml:space="preserve"> </w:t>
      </w:r>
      <w:r w:rsidR="00E14326" w:rsidRPr="00336B57">
        <w:rPr>
          <w:rFonts w:asciiTheme="majorHAnsi" w:hAnsiTheme="majorHAnsi" w:cstheme="majorHAnsi"/>
          <w:sz w:val="24"/>
          <w:szCs w:val="24"/>
          <w:lang w:val="ru-MD"/>
        </w:rPr>
        <w:t xml:space="preserve">через 3/6 месяцев предыдущих периодов, </w:t>
      </w:r>
      <w:r w:rsidR="00336B57" w:rsidRPr="00336B57">
        <w:rPr>
          <w:rFonts w:asciiTheme="majorHAnsi" w:hAnsiTheme="majorHAnsi" w:cstheme="majorHAnsi"/>
          <w:sz w:val="24"/>
          <w:szCs w:val="24"/>
          <w:lang w:val="ru-MD"/>
        </w:rPr>
        <w:t>сохранившейся</w:t>
      </w:r>
      <w:r w:rsidR="00E14326" w:rsidRPr="00336B57">
        <w:rPr>
          <w:rFonts w:asciiTheme="majorHAnsi" w:hAnsiTheme="majorHAnsi" w:cstheme="majorHAnsi"/>
          <w:sz w:val="24"/>
          <w:szCs w:val="24"/>
          <w:lang w:val="ru-MD"/>
        </w:rPr>
        <w:t xml:space="preserve"> только в </w:t>
      </w:r>
      <w:r w:rsidR="00A375C3" w:rsidRPr="00336B57">
        <w:rPr>
          <w:rFonts w:asciiTheme="majorHAnsi" w:hAnsiTheme="majorHAnsi" w:cstheme="majorHAnsi"/>
          <w:sz w:val="24"/>
          <w:szCs w:val="24"/>
          <w:lang w:val="ru-MD"/>
        </w:rPr>
        <w:t>ИС</w:t>
      </w:r>
      <w:r w:rsidR="00E14326" w:rsidRPr="00336B57">
        <w:rPr>
          <w:rFonts w:asciiTheme="majorHAnsi" w:hAnsiTheme="majorHAnsi" w:cstheme="majorHAnsi"/>
          <w:sz w:val="24"/>
          <w:szCs w:val="24"/>
          <w:lang w:val="ru-MD"/>
        </w:rPr>
        <w:t xml:space="preserve"> </w:t>
      </w:r>
      <w:r w:rsidR="00A375C3" w:rsidRPr="00336B57">
        <w:rPr>
          <w:rFonts w:asciiTheme="majorHAnsi" w:hAnsiTheme="majorHAnsi" w:cstheme="majorHAnsi"/>
          <w:sz w:val="24"/>
          <w:szCs w:val="24"/>
          <w:lang w:val="ru-MD"/>
        </w:rPr>
        <w:t>„</w:t>
      </w:r>
      <w:r w:rsidR="00E14326" w:rsidRPr="00336B57">
        <w:rPr>
          <w:rFonts w:asciiTheme="majorHAnsi" w:hAnsiTheme="majorHAnsi" w:cstheme="majorHAnsi"/>
          <w:sz w:val="24"/>
          <w:szCs w:val="24"/>
          <w:lang w:val="ru-MD"/>
        </w:rPr>
        <w:t>Социальная защита</w:t>
      </w:r>
      <w:r w:rsidR="00A375C3" w:rsidRPr="00336B57">
        <w:rPr>
          <w:rFonts w:asciiTheme="majorHAnsi" w:hAnsiTheme="majorHAnsi" w:cstheme="majorHAnsi"/>
          <w:sz w:val="24"/>
          <w:szCs w:val="24"/>
          <w:lang w:val="ru-MD"/>
        </w:rPr>
        <w:t>”</w:t>
      </w:r>
      <w:r w:rsidR="00E14326" w:rsidRPr="00336B57">
        <w:rPr>
          <w:rFonts w:asciiTheme="majorHAnsi" w:hAnsiTheme="majorHAnsi" w:cstheme="majorHAnsi"/>
          <w:sz w:val="24"/>
          <w:szCs w:val="24"/>
          <w:lang w:val="ru-MD"/>
        </w:rPr>
        <w:t>, а остатки долг</w:t>
      </w:r>
      <w:r w:rsidR="00336B57" w:rsidRPr="00336B57">
        <w:rPr>
          <w:rFonts w:asciiTheme="majorHAnsi" w:hAnsiTheme="majorHAnsi" w:cstheme="majorHAnsi"/>
          <w:sz w:val="24"/>
          <w:szCs w:val="24"/>
          <w:lang w:val="ru-MD"/>
        </w:rPr>
        <w:t>ов</w:t>
      </w:r>
      <w:r w:rsidR="00E14326" w:rsidRPr="00336B57">
        <w:rPr>
          <w:rFonts w:asciiTheme="majorHAnsi" w:hAnsiTheme="majorHAnsi" w:cstheme="majorHAnsi"/>
          <w:sz w:val="24"/>
          <w:szCs w:val="24"/>
          <w:lang w:val="ru-MD"/>
        </w:rPr>
        <w:t xml:space="preserve"> предыдущего года не понесли никаких изменений/корректировок</w:t>
      </w:r>
      <w:r w:rsidR="00F77382" w:rsidRPr="00336B57">
        <w:rPr>
          <w:rFonts w:asciiTheme="majorHAnsi" w:hAnsiTheme="majorHAnsi" w:cstheme="majorHAnsi"/>
          <w:sz w:val="24"/>
          <w:szCs w:val="24"/>
          <w:lang w:val="ru-MD"/>
        </w:rPr>
        <w:t>.</w:t>
      </w:r>
    </w:p>
    <w:p w14:paraId="7722D41B" w14:textId="542614BA" w:rsidR="00F77382" w:rsidRPr="00336B57" w:rsidRDefault="00E14326" w:rsidP="00F77382">
      <w:pPr>
        <w:pStyle w:val="af3"/>
        <w:spacing w:after="0" w:line="276" w:lineRule="auto"/>
        <w:jc w:val="both"/>
        <w:rPr>
          <w:rFonts w:asciiTheme="majorHAnsi" w:hAnsiTheme="majorHAnsi" w:cstheme="majorHAnsi"/>
          <w:sz w:val="24"/>
          <w:szCs w:val="24"/>
          <w:lang w:val="ru-MD"/>
        </w:rPr>
      </w:pPr>
      <w:r w:rsidRPr="00336B57">
        <w:rPr>
          <w:rFonts w:asciiTheme="majorHAnsi" w:hAnsiTheme="majorHAnsi" w:cstheme="majorHAnsi"/>
          <w:sz w:val="24"/>
          <w:szCs w:val="24"/>
          <w:lang w:val="ru-MD"/>
        </w:rPr>
        <w:t>В этом контексте</w:t>
      </w:r>
      <w:r w:rsidR="00336B57" w:rsidRPr="00336B57">
        <w:rPr>
          <w:rFonts w:asciiTheme="majorHAnsi" w:hAnsiTheme="majorHAnsi" w:cstheme="majorHAnsi"/>
          <w:sz w:val="24"/>
          <w:szCs w:val="24"/>
          <w:lang w:val="ru-MD"/>
        </w:rPr>
        <w:t>,</w:t>
      </w:r>
      <w:r w:rsidRPr="00336B57">
        <w:rPr>
          <w:rFonts w:asciiTheme="majorHAnsi" w:hAnsiTheme="majorHAnsi" w:cstheme="majorHAnsi"/>
          <w:sz w:val="24"/>
          <w:szCs w:val="24"/>
          <w:lang w:val="ru-MD"/>
        </w:rPr>
        <w:t xml:space="preserve"> аудит </w:t>
      </w:r>
      <w:r w:rsidR="00336B57" w:rsidRPr="00336B57">
        <w:rPr>
          <w:rFonts w:asciiTheme="majorHAnsi" w:hAnsiTheme="majorHAnsi" w:cstheme="majorHAnsi"/>
          <w:sz w:val="24"/>
          <w:szCs w:val="24"/>
          <w:lang w:val="ru-MD"/>
        </w:rPr>
        <w:t>проанализировал</w:t>
      </w:r>
      <w:r w:rsidRPr="00336B57">
        <w:rPr>
          <w:rFonts w:asciiTheme="majorHAnsi" w:hAnsiTheme="majorHAnsi" w:cstheme="majorHAnsi"/>
          <w:sz w:val="24"/>
          <w:szCs w:val="24"/>
          <w:lang w:val="ru-MD"/>
        </w:rPr>
        <w:t xml:space="preserve"> заяв</w:t>
      </w:r>
      <w:r w:rsidR="00336B57" w:rsidRPr="00336B57">
        <w:rPr>
          <w:rFonts w:asciiTheme="majorHAnsi" w:hAnsiTheme="majorHAnsi" w:cstheme="majorHAnsi"/>
          <w:sz w:val="24"/>
          <w:szCs w:val="24"/>
          <w:lang w:val="ru-MD"/>
        </w:rPr>
        <w:t>ления о</w:t>
      </w:r>
      <w:r w:rsidRPr="00336B57">
        <w:rPr>
          <w:rFonts w:asciiTheme="majorHAnsi" w:hAnsiTheme="majorHAnsi" w:cstheme="majorHAnsi"/>
          <w:sz w:val="24"/>
          <w:szCs w:val="24"/>
          <w:lang w:val="ru-MD"/>
        </w:rPr>
        <w:t xml:space="preserve"> возобновлени</w:t>
      </w:r>
      <w:r w:rsidR="00336B57" w:rsidRPr="00336B57">
        <w:rPr>
          <w:rFonts w:asciiTheme="majorHAnsi" w:hAnsiTheme="majorHAnsi" w:cstheme="majorHAnsi"/>
          <w:sz w:val="24"/>
          <w:szCs w:val="24"/>
          <w:lang w:val="ru-MD"/>
        </w:rPr>
        <w:t>и</w:t>
      </w:r>
      <w:r w:rsidRPr="00336B57">
        <w:rPr>
          <w:rFonts w:asciiTheme="majorHAnsi" w:hAnsiTheme="majorHAnsi" w:cstheme="majorHAnsi"/>
          <w:sz w:val="24"/>
          <w:szCs w:val="24"/>
          <w:lang w:val="ru-MD"/>
        </w:rPr>
        <w:t xml:space="preserve"> выплаты пособий в 2022 году. Так, </w:t>
      </w:r>
      <w:r w:rsidR="00336B57" w:rsidRPr="00336B57">
        <w:rPr>
          <w:rFonts w:asciiTheme="majorHAnsi" w:hAnsiTheme="majorHAnsi" w:cstheme="majorHAnsi"/>
          <w:sz w:val="24"/>
          <w:szCs w:val="24"/>
          <w:lang w:val="ru-MD"/>
        </w:rPr>
        <w:t xml:space="preserve">за </w:t>
      </w:r>
      <w:r w:rsidRPr="00336B57">
        <w:rPr>
          <w:rFonts w:asciiTheme="majorHAnsi" w:hAnsiTheme="majorHAnsi" w:cstheme="majorHAnsi"/>
          <w:sz w:val="24"/>
          <w:szCs w:val="24"/>
          <w:lang w:val="ru-MD"/>
        </w:rPr>
        <w:t>про</w:t>
      </w:r>
      <w:r w:rsidR="00336B57" w:rsidRPr="00336B57">
        <w:rPr>
          <w:rFonts w:asciiTheme="majorHAnsi" w:hAnsiTheme="majorHAnsi" w:cstheme="majorHAnsi"/>
          <w:sz w:val="24"/>
          <w:szCs w:val="24"/>
          <w:lang w:val="ru-MD"/>
        </w:rPr>
        <w:t>аудированный</w:t>
      </w:r>
      <w:r w:rsidRPr="00336B57">
        <w:rPr>
          <w:rFonts w:asciiTheme="majorHAnsi" w:hAnsiTheme="majorHAnsi" w:cstheme="majorHAnsi"/>
          <w:sz w:val="24"/>
          <w:szCs w:val="24"/>
          <w:lang w:val="ru-MD"/>
        </w:rPr>
        <w:t xml:space="preserve"> год заявку на возобновление вы</w:t>
      </w:r>
      <w:r w:rsidR="00336B57" w:rsidRPr="00336B57">
        <w:rPr>
          <w:rFonts w:asciiTheme="majorHAnsi" w:hAnsiTheme="majorHAnsi" w:cstheme="majorHAnsi"/>
          <w:sz w:val="24"/>
          <w:szCs w:val="24"/>
          <w:lang w:val="ru-MD"/>
        </w:rPr>
        <w:t>платы</w:t>
      </w:r>
      <w:r w:rsidRPr="00336B57">
        <w:rPr>
          <w:rFonts w:asciiTheme="majorHAnsi" w:hAnsiTheme="majorHAnsi" w:cstheme="majorHAnsi"/>
          <w:sz w:val="24"/>
          <w:szCs w:val="24"/>
          <w:lang w:val="ru-MD"/>
        </w:rPr>
        <w:t xml:space="preserve"> пенси</w:t>
      </w:r>
      <w:r w:rsidR="00336B57" w:rsidRPr="00336B57">
        <w:rPr>
          <w:rFonts w:asciiTheme="majorHAnsi" w:hAnsiTheme="majorHAnsi" w:cstheme="majorHAnsi"/>
          <w:sz w:val="24"/>
          <w:szCs w:val="24"/>
          <w:lang w:val="ru-MD"/>
        </w:rPr>
        <w:t>и</w:t>
      </w:r>
      <w:r w:rsidRPr="00336B57">
        <w:rPr>
          <w:rFonts w:asciiTheme="majorHAnsi" w:hAnsiTheme="majorHAnsi" w:cstheme="majorHAnsi"/>
          <w:sz w:val="24"/>
          <w:szCs w:val="24"/>
          <w:lang w:val="ru-MD"/>
        </w:rPr>
        <w:t xml:space="preserve"> </w:t>
      </w:r>
      <w:r w:rsidR="00336B57" w:rsidRPr="00336B57">
        <w:rPr>
          <w:rFonts w:asciiTheme="majorHAnsi" w:hAnsiTheme="majorHAnsi" w:cstheme="majorHAnsi"/>
          <w:sz w:val="24"/>
          <w:szCs w:val="24"/>
          <w:lang w:val="ru-MD"/>
        </w:rPr>
        <w:t xml:space="preserve">подали </w:t>
      </w:r>
      <w:r w:rsidRPr="00336B57">
        <w:rPr>
          <w:rFonts w:asciiTheme="majorHAnsi" w:hAnsiTheme="majorHAnsi" w:cstheme="majorHAnsi"/>
          <w:sz w:val="24"/>
          <w:szCs w:val="24"/>
          <w:lang w:val="ru-MD"/>
        </w:rPr>
        <w:t xml:space="preserve">221 бенефициар, пособия </w:t>
      </w:r>
      <w:r w:rsidR="00336B57" w:rsidRPr="00336B57">
        <w:rPr>
          <w:rFonts w:asciiTheme="majorHAnsi" w:hAnsiTheme="majorHAnsi" w:cstheme="majorHAnsi"/>
          <w:sz w:val="24"/>
          <w:szCs w:val="24"/>
          <w:lang w:val="ru-MD"/>
        </w:rPr>
        <w:t xml:space="preserve">которых ранее </w:t>
      </w:r>
      <w:r w:rsidRPr="00336B57">
        <w:rPr>
          <w:rFonts w:asciiTheme="majorHAnsi" w:hAnsiTheme="majorHAnsi" w:cstheme="majorHAnsi"/>
          <w:sz w:val="24"/>
          <w:szCs w:val="24"/>
          <w:lang w:val="ru-MD"/>
        </w:rPr>
        <w:t>были приостановлены</w:t>
      </w:r>
      <w:r w:rsidR="00336B57" w:rsidRPr="00336B57">
        <w:rPr>
          <w:rFonts w:asciiTheme="majorHAnsi" w:hAnsiTheme="majorHAnsi" w:cstheme="majorHAnsi"/>
          <w:sz w:val="24"/>
          <w:szCs w:val="24"/>
          <w:lang w:val="ru-MD"/>
        </w:rPr>
        <w:t>,</w:t>
      </w:r>
      <w:r w:rsidRPr="00336B57">
        <w:rPr>
          <w:rFonts w:asciiTheme="majorHAnsi" w:hAnsiTheme="majorHAnsi" w:cstheme="majorHAnsi"/>
          <w:sz w:val="24"/>
          <w:szCs w:val="24"/>
          <w:lang w:val="ru-MD"/>
        </w:rPr>
        <w:t xml:space="preserve"> до </w:t>
      </w:r>
      <w:r w:rsidR="00336B57" w:rsidRPr="00336B57">
        <w:rPr>
          <w:rFonts w:asciiTheme="majorHAnsi" w:hAnsiTheme="majorHAnsi" w:cstheme="majorHAnsi"/>
          <w:sz w:val="24"/>
          <w:szCs w:val="24"/>
          <w:lang w:val="ru-MD"/>
        </w:rPr>
        <w:t>внедрения</w:t>
      </w:r>
      <w:r w:rsidRPr="00336B57">
        <w:rPr>
          <w:rFonts w:asciiTheme="majorHAnsi" w:hAnsiTheme="majorHAnsi" w:cstheme="majorHAnsi"/>
          <w:sz w:val="24"/>
          <w:szCs w:val="24"/>
          <w:lang w:val="ru-MD"/>
        </w:rPr>
        <w:t xml:space="preserve"> механизм отражения долгосрочн</w:t>
      </w:r>
      <w:r w:rsidR="00336B57" w:rsidRPr="00336B57">
        <w:rPr>
          <w:rFonts w:asciiTheme="majorHAnsi" w:hAnsiTheme="majorHAnsi" w:cstheme="majorHAnsi"/>
          <w:sz w:val="24"/>
          <w:szCs w:val="24"/>
          <w:lang w:val="ru-MD"/>
        </w:rPr>
        <w:t>ых</w:t>
      </w:r>
      <w:r w:rsidRPr="00336B57">
        <w:rPr>
          <w:rFonts w:asciiTheme="majorHAnsi" w:hAnsiTheme="majorHAnsi" w:cstheme="majorHAnsi"/>
          <w:sz w:val="24"/>
          <w:szCs w:val="24"/>
          <w:lang w:val="ru-MD"/>
        </w:rPr>
        <w:t xml:space="preserve"> долг</w:t>
      </w:r>
      <w:r w:rsidR="00336B57" w:rsidRPr="00336B57">
        <w:rPr>
          <w:rFonts w:asciiTheme="majorHAnsi" w:hAnsiTheme="majorHAnsi" w:cstheme="majorHAnsi"/>
          <w:sz w:val="24"/>
          <w:szCs w:val="24"/>
          <w:lang w:val="ru-MD"/>
        </w:rPr>
        <w:t>ов</w:t>
      </w:r>
      <w:r w:rsidRPr="00336B57">
        <w:rPr>
          <w:rFonts w:asciiTheme="majorHAnsi" w:hAnsiTheme="majorHAnsi" w:cstheme="majorHAnsi"/>
          <w:sz w:val="24"/>
          <w:szCs w:val="24"/>
          <w:lang w:val="ru-MD"/>
        </w:rPr>
        <w:t xml:space="preserve">. Они не </w:t>
      </w:r>
      <w:r w:rsidR="00336B57" w:rsidRPr="00336B57">
        <w:rPr>
          <w:rFonts w:asciiTheme="majorHAnsi" w:hAnsiTheme="majorHAnsi" w:cstheme="majorHAnsi"/>
          <w:sz w:val="24"/>
          <w:szCs w:val="24"/>
          <w:lang w:val="ru-MD"/>
        </w:rPr>
        <w:t>получа</w:t>
      </w:r>
      <w:r w:rsidRPr="00336B57">
        <w:rPr>
          <w:rFonts w:asciiTheme="majorHAnsi" w:hAnsiTheme="majorHAnsi" w:cstheme="majorHAnsi"/>
          <w:sz w:val="24"/>
          <w:szCs w:val="24"/>
          <w:lang w:val="ru-MD"/>
        </w:rPr>
        <w:t xml:space="preserve">ли пособие </w:t>
      </w:r>
      <w:r w:rsidR="00336B57" w:rsidRPr="00336B57">
        <w:rPr>
          <w:rFonts w:asciiTheme="majorHAnsi" w:hAnsiTheme="majorHAnsi" w:cstheme="majorHAnsi"/>
          <w:sz w:val="24"/>
          <w:szCs w:val="24"/>
          <w:lang w:val="ru-MD"/>
        </w:rPr>
        <w:t>за</w:t>
      </w:r>
      <w:r w:rsidRPr="00336B57">
        <w:rPr>
          <w:rFonts w:asciiTheme="majorHAnsi" w:hAnsiTheme="majorHAnsi" w:cstheme="majorHAnsi"/>
          <w:sz w:val="24"/>
          <w:szCs w:val="24"/>
          <w:lang w:val="ru-MD"/>
        </w:rPr>
        <w:t xml:space="preserve"> период от 1 года и 8 месяцев до 12 лет и 4 месяц</w:t>
      </w:r>
      <w:r w:rsidR="00336B57" w:rsidRPr="00336B57">
        <w:rPr>
          <w:rFonts w:asciiTheme="majorHAnsi" w:hAnsiTheme="majorHAnsi" w:cstheme="majorHAnsi"/>
          <w:sz w:val="24"/>
          <w:szCs w:val="24"/>
          <w:lang w:val="ru-MD"/>
        </w:rPr>
        <w:t>а,</w:t>
      </w:r>
      <w:r w:rsidRPr="00336B57">
        <w:rPr>
          <w:rFonts w:asciiTheme="majorHAnsi" w:hAnsiTheme="majorHAnsi" w:cstheme="majorHAnsi"/>
          <w:sz w:val="24"/>
          <w:szCs w:val="24"/>
          <w:lang w:val="ru-MD"/>
        </w:rPr>
        <w:t xml:space="preserve"> на общую сумму 14,0 млн. ле</w:t>
      </w:r>
      <w:r w:rsidR="00336B57" w:rsidRPr="00336B57">
        <w:rPr>
          <w:rFonts w:asciiTheme="majorHAnsi" w:hAnsiTheme="majorHAnsi" w:cstheme="majorHAnsi"/>
          <w:sz w:val="24"/>
          <w:szCs w:val="24"/>
          <w:lang w:val="ru-MD"/>
        </w:rPr>
        <w:t>ев</w:t>
      </w:r>
      <w:r w:rsidRPr="00336B57">
        <w:rPr>
          <w:rFonts w:asciiTheme="majorHAnsi" w:hAnsiTheme="majorHAnsi" w:cstheme="majorHAnsi"/>
          <w:sz w:val="24"/>
          <w:szCs w:val="24"/>
          <w:lang w:val="ru-MD"/>
        </w:rPr>
        <w:t>. Таким образом, сумма, приписываемая не</w:t>
      </w:r>
      <w:r w:rsidR="00336B57" w:rsidRPr="00336B57">
        <w:rPr>
          <w:rFonts w:asciiTheme="majorHAnsi" w:hAnsiTheme="majorHAnsi" w:cstheme="majorHAnsi"/>
          <w:sz w:val="24"/>
          <w:szCs w:val="24"/>
          <w:lang w:val="ru-MD"/>
        </w:rPr>
        <w:t>отраже</w:t>
      </w:r>
      <w:r w:rsidRPr="00336B57">
        <w:rPr>
          <w:rFonts w:asciiTheme="majorHAnsi" w:hAnsiTheme="majorHAnsi" w:cstheme="majorHAnsi"/>
          <w:sz w:val="24"/>
          <w:szCs w:val="24"/>
          <w:lang w:val="ru-MD"/>
        </w:rPr>
        <w:t>ному долгу в первоначальных остатках, оценивается как минимум в 14,0 млн. ле</w:t>
      </w:r>
      <w:r w:rsidR="00336B57" w:rsidRPr="00336B57">
        <w:rPr>
          <w:rFonts w:asciiTheme="majorHAnsi" w:hAnsiTheme="majorHAnsi" w:cstheme="majorHAnsi"/>
          <w:sz w:val="24"/>
          <w:szCs w:val="24"/>
          <w:lang w:val="ru-MD"/>
        </w:rPr>
        <w:t>ев</w:t>
      </w:r>
      <w:r w:rsidR="00F77382" w:rsidRPr="00336B57">
        <w:rPr>
          <w:rFonts w:asciiTheme="majorHAnsi" w:hAnsiTheme="majorHAnsi" w:cstheme="majorHAnsi"/>
          <w:sz w:val="24"/>
          <w:szCs w:val="24"/>
          <w:lang w:val="ru-MD"/>
        </w:rPr>
        <w:t>.</w:t>
      </w:r>
    </w:p>
    <w:p w14:paraId="3E6B2603" w14:textId="37D35D0E" w:rsidR="00F77382" w:rsidRPr="00FC4FF2" w:rsidRDefault="00E14326" w:rsidP="00F77382">
      <w:pPr>
        <w:pStyle w:val="af3"/>
        <w:spacing w:after="0" w:line="276" w:lineRule="auto"/>
        <w:jc w:val="both"/>
        <w:rPr>
          <w:rFonts w:asciiTheme="majorHAnsi" w:hAnsiTheme="majorHAnsi" w:cstheme="majorHAnsi"/>
          <w:sz w:val="24"/>
          <w:szCs w:val="24"/>
          <w:lang w:val="ru-MD"/>
        </w:rPr>
      </w:pPr>
      <w:r w:rsidRPr="00FC4FF2">
        <w:rPr>
          <w:rFonts w:asciiTheme="majorHAnsi" w:hAnsiTheme="majorHAnsi" w:cstheme="majorHAnsi"/>
          <w:sz w:val="24"/>
          <w:szCs w:val="24"/>
          <w:lang w:val="ru-MD"/>
        </w:rPr>
        <w:t>Что касается отражения долгосрочн</w:t>
      </w:r>
      <w:r w:rsidR="00336B57" w:rsidRPr="00FC4FF2">
        <w:rPr>
          <w:rFonts w:asciiTheme="majorHAnsi" w:hAnsiTheme="majorHAnsi" w:cstheme="majorHAnsi"/>
          <w:sz w:val="24"/>
          <w:szCs w:val="24"/>
          <w:lang w:val="ru-MD"/>
        </w:rPr>
        <w:t>ых</w:t>
      </w:r>
      <w:r w:rsidRPr="00FC4FF2">
        <w:rPr>
          <w:rFonts w:asciiTheme="majorHAnsi" w:hAnsiTheme="majorHAnsi" w:cstheme="majorHAnsi"/>
          <w:sz w:val="24"/>
          <w:szCs w:val="24"/>
          <w:lang w:val="ru-MD"/>
        </w:rPr>
        <w:t xml:space="preserve"> долг</w:t>
      </w:r>
      <w:r w:rsidR="00336B57" w:rsidRPr="00FC4FF2">
        <w:rPr>
          <w:rFonts w:asciiTheme="majorHAnsi" w:hAnsiTheme="majorHAnsi" w:cstheme="majorHAnsi"/>
          <w:sz w:val="24"/>
          <w:szCs w:val="24"/>
          <w:lang w:val="ru-MD"/>
        </w:rPr>
        <w:t>ов</w:t>
      </w:r>
      <w:r w:rsidRPr="00FC4FF2">
        <w:rPr>
          <w:rFonts w:asciiTheme="majorHAnsi" w:hAnsiTheme="majorHAnsi" w:cstheme="majorHAnsi"/>
          <w:sz w:val="24"/>
          <w:szCs w:val="24"/>
          <w:lang w:val="ru-MD"/>
        </w:rPr>
        <w:t xml:space="preserve">, </w:t>
      </w:r>
      <w:r w:rsidR="00336B57" w:rsidRPr="00FC4FF2">
        <w:rPr>
          <w:rFonts w:asciiTheme="majorHAnsi" w:hAnsiTheme="majorHAnsi" w:cstheme="majorHAnsi"/>
          <w:sz w:val="24"/>
          <w:szCs w:val="24"/>
          <w:lang w:val="ru-MD"/>
        </w:rPr>
        <w:t>отмечается</w:t>
      </w:r>
      <w:r w:rsidRPr="00FC4FF2">
        <w:rPr>
          <w:rFonts w:asciiTheme="majorHAnsi" w:hAnsiTheme="majorHAnsi" w:cstheme="majorHAnsi"/>
          <w:sz w:val="24"/>
          <w:szCs w:val="24"/>
          <w:lang w:val="ru-MD"/>
        </w:rPr>
        <w:t xml:space="preserve">, что в конце каждого месяца суммы </w:t>
      </w:r>
      <w:r w:rsidR="00FC4FF2" w:rsidRPr="00FC4FF2">
        <w:rPr>
          <w:rFonts w:asciiTheme="majorHAnsi" w:hAnsiTheme="majorHAnsi" w:cstheme="majorHAnsi"/>
          <w:sz w:val="24"/>
          <w:szCs w:val="24"/>
          <w:lang w:val="ru-MD"/>
        </w:rPr>
        <w:t xml:space="preserve">установленных </w:t>
      </w:r>
      <w:r w:rsidRPr="00FC4FF2">
        <w:rPr>
          <w:rFonts w:asciiTheme="majorHAnsi" w:hAnsiTheme="majorHAnsi" w:cstheme="majorHAnsi"/>
          <w:sz w:val="24"/>
          <w:szCs w:val="24"/>
          <w:lang w:val="ru-MD"/>
        </w:rPr>
        <w:t xml:space="preserve">пенсий, не </w:t>
      </w:r>
      <w:r w:rsidR="00FC4FF2" w:rsidRPr="00FC4FF2">
        <w:rPr>
          <w:rFonts w:asciiTheme="majorHAnsi" w:hAnsiTheme="majorHAnsi" w:cstheme="majorHAnsi"/>
          <w:sz w:val="24"/>
          <w:szCs w:val="24"/>
          <w:lang w:val="ru-MD"/>
        </w:rPr>
        <w:t>востребова</w:t>
      </w:r>
      <w:r w:rsidRPr="00FC4FF2">
        <w:rPr>
          <w:rFonts w:asciiTheme="majorHAnsi" w:hAnsiTheme="majorHAnsi" w:cstheme="majorHAnsi"/>
          <w:sz w:val="24"/>
          <w:szCs w:val="24"/>
          <w:lang w:val="ru-MD"/>
        </w:rPr>
        <w:t>нны</w:t>
      </w:r>
      <w:r w:rsidR="00FC4FF2" w:rsidRPr="00FC4FF2">
        <w:rPr>
          <w:rFonts w:asciiTheme="majorHAnsi" w:hAnsiTheme="majorHAnsi" w:cstheme="majorHAnsi"/>
          <w:sz w:val="24"/>
          <w:szCs w:val="24"/>
          <w:lang w:val="ru-MD"/>
        </w:rPr>
        <w:t>х</w:t>
      </w:r>
      <w:r w:rsidRPr="00FC4FF2">
        <w:rPr>
          <w:rFonts w:asciiTheme="majorHAnsi" w:hAnsiTheme="majorHAnsi" w:cstheme="majorHAnsi"/>
          <w:sz w:val="24"/>
          <w:szCs w:val="24"/>
          <w:lang w:val="ru-MD"/>
        </w:rPr>
        <w:t xml:space="preserve"> бенефициаром </w:t>
      </w:r>
      <w:r w:rsidR="00FC4FF2" w:rsidRPr="00FC4FF2">
        <w:rPr>
          <w:rFonts w:asciiTheme="majorHAnsi" w:hAnsiTheme="majorHAnsi" w:cstheme="majorHAnsi"/>
          <w:sz w:val="24"/>
          <w:szCs w:val="24"/>
          <w:lang w:val="ru-MD"/>
        </w:rPr>
        <w:t>на протяжении</w:t>
      </w:r>
      <w:r w:rsidRPr="00FC4FF2">
        <w:rPr>
          <w:rFonts w:asciiTheme="majorHAnsi" w:hAnsiTheme="majorHAnsi" w:cstheme="majorHAnsi"/>
          <w:sz w:val="24"/>
          <w:szCs w:val="24"/>
          <w:lang w:val="ru-MD"/>
        </w:rPr>
        <w:t xml:space="preserve"> 12 месяцев подряд, приостанавливаются и отражаются на внеб</w:t>
      </w:r>
      <w:r w:rsidR="00FC4FF2" w:rsidRPr="00FC4FF2">
        <w:rPr>
          <w:rFonts w:asciiTheme="majorHAnsi" w:hAnsiTheme="majorHAnsi" w:cstheme="majorHAnsi"/>
          <w:sz w:val="24"/>
          <w:szCs w:val="24"/>
          <w:lang w:val="ru-MD"/>
        </w:rPr>
        <w:t>алансо</w:t>
      </w:r>
      <w:r w:rsidRPr="00FC4FF2">
        <w:rPr>
          <w:rFonts w:asciiTheme="majorHAnsi" w:hAnsiTheme="majorHAnsi" w:cstheme="majorHAnsi"/>
          <w:sz w:val="24"/>
          <w:szCs w:val="24"/>
          <w:lang w:val="ru-MD"/>
        </w:rPr>
        <w:t xml:space="preserve">вых счетах, </w:t>
      </w:r>
      <w:r w:rsidR="00FC4FF2" w:rsidRPr="00FC4FF2">
        <w:rPr>
          <w:rFonts w:asciiTheme="majorHAnsi" w:hAnsiTheme="majorHAnsi" w:cstheme="majorHAnsi"/>
          <w:sz w:val="24"/>
          <w:szCs w:val="24"/>
          <w:lang w:val="ru-MD"/>
        </w:rPr>
        <w:t>и</w:t>
      </w:r>
      <w:r w:rsidRPr="00FC4FF2">
        <w:rPr>
          <w:rFonts w:asciiTheme="majorHAnsi" w:hAnsiTheme="majorHAnsi" w:cstheme="majorHAnsi"/>
          <w:sz w:val="24"/>
          <w:szCs w:val="24"/>
          <w:lang w:val="ru-MD"/>
        </w:rPr>
        <w:t xml:space="preserve"> </w:t>
      </w:r>
      <w:r w:rsidR="00FC4FF2" w:rsidRPr="00FC4FF2">
        <w:rPr>
          <w:rFonts w:asciiTheme="majorHAnsi" w:hAnsiTheme="majorHAnsi" w:cstheme="majorHAnsi"/>
          <w:sz w:val="24"/>
          <w:szCs w:val="24"/>
          <w:lang w:val="ru-MD"/>
        </w:rPr>
        <w:t>на</w:t>
      </w:r>
      <w:r w:rsidRPr="00FC4FF2">
        <w:rPr>
          <w:rFonts w:asciiTheme="majorHAnsi" w:hAnsiTheme="majorHAnsi" w:cstheme="majorHAnsi"/>
          <w:sz w:val="24"/>
          <w:szCs w:val="24"/>
          <w:lang w:val="ru-MD"/>
        </w:rPr>
        <w:t xml:space="preserve"> кон</w:t>
      </w:r>
      <w:r w:rsidR="00FC4FF2" w:rsidRPr="00FC4FF2">
        <w:rPr>
          <w:rFonts w:asciiTheme="majorHAnsi" w:hAnsiTheme="majorHAnsi" w:cstheme="majorHAnsi"/>
          <w:sz w:val="24"/>
          <w:szCs w:val="24"/>
          <w:lang w:val="ru-MD"/>
        </w:rPr>
        <w:t>е</w:t>
      </w:r>
      <w:r w:rsidRPr="00FC4FF2">
        <w:rPr>
          <w:rFonts w:asciiTheme="majorHAnsi" w:hAnsiTheme="majorHAnsi" w:cstheme="majorHAnsi"/>
          <w:sz w:val="24"/>
          <w:szCs w:val="24"/>
          <w:lang w:val="ru-MD"/>
        </w:rPr>
        <w:t>ц 2022 года они составили 53,6 млн. ле</w:t>
      </w:r>
      <w:r w:rsidR="00FC4FF2" w:rsidRPr="00FC4FF2">
        <w:rPr>
          <w:rFonts w:asciiTheme="majorHAnsi" w:hAnsiTheme="majorHAnsi" w:cstheme="majorHAnsi"/>
          <w:sz w:val="24"/>
          <w:szCs w:val="24"/>
          <w:lang w:val="ru-MD"/>
        </w:rPr>
        <w:t>ев</w:t>
      </w:r>
      <w:r w:rsidR="00F77382" w:rsidRPr="00FC4FF2">
        <w:rPr>
          <w:rFonts w:asciiTheme="majorHAnsi" w:hAnsiTheme="majorHAnsi" w:cstheme="majorHAnsi"/>
          <w:sz w:val="24"/>
          <w:szCs w:val="24"/>
          <w:lang w:val="ru-MD"/>
        </w:rPr>
        <w:t>.</w:t>
      </w:r>
    </w:p>
    <w:p w14:paraId="412CC06B" w14:textId="77777777" w:rsidR="00F77382" w:rsidRPr="00653E85" w:rsidRDefault="00F77382" w:rsidP="00F77382">
      <w:pPr>
        <w:pStyle w:val="af3"/>
        <w:spacing w:after="0" w:line="276" w:lineRule="auto"/>
        <w:jc w:val="both"/>
        <w:rPr>
          <w:rFonts w:asciiTheme="majorHAnsi" w:hAnsiTheme="majorHAnsi" w:cstheme="majorHAnsi"/>
          <w:sz w:val="24"/>
          <w:szCs w:val="24"/>
          <w:lang w:val="ro-MD"/>
        </w:rPr>
      </w:pPr>
    </w:p>
    <w:p w14:paraId="208E3306" w14:textId="264C9327" w:rsidR="005E7DC9" w:rsidRPr="00653E85" w:rsidRDefault="00E14326" w:rsidP="00E14326">
      <w:pPr>
        <w:pStyle w:val="aa"/>
        <w:numPr>
          <w:ilvl w:val="1"/>
          <w:numId w:val="2"/>
        </w:numPr>
        <w:spacing w:line="276" w:lineRule="auto"/>
        <w:ind w:left="0" w:firstLine="0"/>
        <w:jc w:val="both"/>
        <w:outlineLvl w:val="1"/>
        <w:rPr>
          <w:rFonts w:asciiTheme="majorHAnsi" w:eastAsia="Times New Roman" w:hAnsiTheme="majorHAnsi" w:cs="Times New Roman"/>
          <w:b/>
          <w:sz w:val="24"/>
          <w:szCs w:val="24"/>
          <w:lang w:val="ro-MD"/>
        </w:rPr>
      </w:pPr>
      <w:r w:rsidRPr="00120841">
        <w:rPr>
          <w:rFonts w:asciiTheme="majorHAnsi" w:eastAsia="Times New Roman" w:hAnsiTheme="majorHAnsi" w:cs="Times New Roman"/>
          <w:b/>
          <w:sz w:val="24"/>
          <w:szCs w:val="24"/>
          <w:lang w:val="ru-MD"/>
        </w:rPr>
        <w:t>Несовершен</w:t>
      </w:r>
      <w:r w:rsidR="00630B74" w:rsidRPr="00120841">
        <w:rPr>
          <w:rFonts w:asciiTheme="majorHAnsi" w:eastAsia="Times New Roman" w:hAnsiTheme="majorHAnsi" w:cs="Times New Roman"/>
          <w:b/>
          <w:sz w:val="24"/>
          <w:szCs w:val="24"/>
          <w:lang w:val="ru-MD"/>
        </w:rPr>
        <w:t>ство</w:t>
      </w:r>
      <w:r w:rsidRPr="00120841">
        <w:rPr>
          <w:rFonts w:asciiTheme="majorHAnsi" w:eastAsia="Times New Roman" w:hAnsiTheme="majorHAnsi" w:cs="Times New Roman"/>
          <w:b/>
          <w:sz w:val="24"/>
          <w:szCs w:val="24"/>
          <w:lang w:val="ru-MD"/>
        </w:rPr>
        <w:t xml:space="preserve"> нормативно</w:t>
      </w:r>
      <w:r w:rsidR="00630B74" w:rsidRPr="00120841">
        <w:rPr>
          <w:rFonts w:asciiTheme="majorHAnsi" w:eastAsia="Times New Roman" w:hAnsiTheme="majorHAnsi" w:cs="Times New Roman"/>
          <w:b/>
          <w:sz w:val="24"/>
          <w:szCs w:val="24"/>
          <w:lang w:val="ru-MD"/>
        </w:rPr>
        <w:t>й</w:t>
      </w:r>
      <w:r w:rsidRPr="00120841">
        <w:rPr>
          <w:rFonts w:asciiTheme="majorHAnsi" w:eastAsia="Times New Roman" w:hAnsiTheme="majorHAnsi" w:cs="Times New Roman"/>
          <w:b/>
          <w:sz w:val="24"/>
          <w:szCs w:val="24"/>
          <w:lang w:val="ru-MD"/>
        </w:rPr>
        <w:t xml:space="preserve"> баз</w:t>
      </w:r>
      <w:r w:rsidR="00630B74" w:rsidRPr="00120841">
        <w:rPr>
          <w:rFonts w:asciiTheme="majorHAnsi" w:eastAsia="Times New Roman" w:hAnsiTheme="majorHAnsi" w:cs="Times New Roman"/>
          <w:b/>
          <w:sz w:val="24"/>
          <w:szCs w:val="24"/>
          <w:lang w:val="ru-MD"/>
        </w:rPr>
        <w:t>ы</w:t>
      </w:r>
      <w:r w:rsidRPr="00120841">
        <w:rPr>
          <w:rFonts w:asciiTheme="majorHAnsi" w:eastAsia="Times New Roman" w:hAnsiTheme="majorHAnsi" w:cs="Times New Roman"/>
          <w:b/>
          <w:sz w:val="24"/>
          <w:szCs w:val="24"/>
          <w:lang w:val="ru-MD"/>
        </w:rPr>
        <w:t>, отсутствие электронно</w:t>
      </w:r>
      <w:r w:rsidR="00630B74" w:rsidRPr="00120841">
        <w:rPr>
          <w:rFonts w:asciiTheme="majorHAnsi" w:eastAsia="Times New Roman" w:hAnsiTheme="majorHAnsi" w:cs="Times New Roman"/>
          <w:b/>
          <w:sz w:val="24"/>
          <w:szCs w:val="24"/>
          <w:lang w:val="ru-MD"/>
        </w:rPr>
        <w:t>го регистра по учету</w:t>
      </w:r>
      <w:r w:rsidRPr="00120841">
        <w:rPr>
          <w:rFonts w:asciiTheme="majorHAnsi" w:eastAsia="Times New Roman" w:hAnsiTheme="majorHAnsi" w:cs="Times New Roman"/>
          <w:b/>
          <w:sz w:val="24"/>
          <w:szCs w:val="24"/>
          <w:lang w:val="ru-MD"/>
        </w:rPr>
        <w:t xml:space="preserve"> </w:t>
      </w:r>
      <w:r w:rsidR="00E90AFD" w:rsidRPr="00120841">
        <w:rPr>
          <w:rFonts w:asciiTheme="majorHAnsi" w:eastAsia="Times New Roman" w:hAnsiTheme="majorHAnsi" w:cs="Times New Roman"/>
          <w:b/>
          <w:bCs/>
          <w:iCs/>
          <w:sz w:val="24"/>
          <w:szCs w:val="24"/>
          <w:lang w:val="ru-MD"/>
        </w:rPr>
        <w:t>свободных профессионалов, осуществляющих деятельность в сфере правосудия</w:t>
      </w:r>
      <w:r w:rsidR="00194D29">
        <w:rPr>
          <w:rFonts w:asciiTheme="majorHAnsi" w:eastAsia="Times New Roman" w:hAnsiTheme="majorHAnsi" w:cs="Times New Roman"/>
          <w:b/>
          <w:bCs/>
          <w:iCs/>
          <w:sz w:val="24"/>
          <w:szCs w:val="24"/>
          <w:lang w:val="ru-MD"/>
        </w:rPr>
        <w:t>,</w:t>
      </w:r>
      <w:r w:rsidR="00E90AFD" w:rsidRPr="00120841">
        <w:rPr>
          <w:rFonts w:asciiTheme="majorHAnsi" w:eastAsia="Times New Roman" w:hAnsiTheme="majorHAnsi" w:cs="Times New Roman"/>
          <w:b/>
          <w:sz w:val="24"/>
          <w:szCs w:val="24"/>
          <w:lang w:val="ru-MD"/>
        </w:rPr>
        <w:t xml:space="preserve"> </w:t>
      </w:r>
      <w:r w:rsidRPr="00120841">
        <w:rPr>
          <w:rFonts w:asciiTheme="majorHAnsi" w:eastAsia="Times New Roman" w:hAnsiTheme="majorHAnsi" w:cs="Times New Roman"/>
          <w:b/>
          <w:sz w:val="24"/>
          <w:szCs w:val="24"/>
          <w:lang w:val="ru-MD"/>
        </w:rPr>
        <w:t xml:space="preserve">в </w:t>
      </w:r>
      <w:r w:rsidR="00194D29">
        <w:rPr>
          <w:rFonts w:asciiTheme="majorHAnsi" w:eastAsia="Times New Roman" w:hAnsiTheme="majorHAnsi" w:cs="Times New Roman"/>
          <w:b/>
          <w:sz w:val="24"/>
          <w:szCs w:val="24"/>
          <w:lang w:val="ru-MD"/>
        </w:rPr>
        <w:t xml:space="preserve">рамках </w:t>
      </w:r>
      <w:r w:rsidRPr="00120841">
        <w:rPr>
          <w:rFonts w:asciiTheme="majorHAnsi" w:eastAsia="Times New Roman" w:hAnsiTheme="majorHAnsi" w:cs="Times New Roman"/>
          <w:b/>
          <w:sz w:val="24"/>
          <w:szCs w:val="24"/>
          <w:lang w:val="ru-MD"/>
        </w:rPr>
        <w:t>уполномоченно</w:t>
      </w:r>
      <w:r w:rsidR="00194D29">
        <w:rPr>
          <w:rFonts w:asciiTheme="majorHAnsi" w:eastAsia="Times New Roman" w:hAnsiTheme="majorHAnsi" w:cs="Times New Roman"/>
          <w:b/>
          <w:sz w:val="24"/>
          <w:szCs w:val="24"/>
          <w:lang w:val="ru-MD"/>
        </w:rPr>
        <w:t>го</w:t>
      </w:r>
      <w:r w:rsidRPr="00120841">
        <w:rPr>
          <w:rFonts w:asciiTheme="majorHAnsi" w:eastAsia="Times New Roman" w:hAnsiTheme="majorHAnsi" w:cs="Times New Roman"/>
          <w:b/>
          <w:sz w:val="24"/>
          <w:szCs w:val="24"/>
          <w:lang w:val="ru-MD"/>
        </w:rPr>
        <w:t xml:space="preserve"> орган</w:t>
      </w:r>
      <w:r w:rsidR="00194D29">
        <w:rPr>
          <w:rFonts w:asciiTheme="majorHAnsi" w:eastAsia="Times New Roman" w:hAnsiTheme="majorHAnsi" w:cs="Times New Roman"/>
          <w:b/>
          <w:sz w:val="24"/>
          <w:szCs w:val="24"/>
          <w:lang w:val="ru-MD"/>
        </w:rPr>
        <w:t>а</w:t>
      </w:r>
      <w:r w:rsidRPr="00120841">
        <w:rPr>
          <w:rFonts w:asciiTheme="majorHAnsi" w:eastAsia="Times New Roman" w:hAnsiTheme="majorHAnsi" w:cs="Times New Roman"/>
          <w:b/>
          <w:sz w:val="24"/>
          <w:szCs w:val="24"/>
          <w:lang w:val="ru-MD"/>
        </w:rPr>
        <w:t xml:space="preserve"> с правом регистрации (Мин</w:t>
      </w:r>
      <w:r w:rsidR="00630B74" w:rsidRPr="00120841">
        <w:rPr>
          <w:rFonts w:asciiTheme="majorHAnsi" w:eastAsia="Times New Roman" w:hAnsiTheme="majorHAnsi" w:cs="Times New Roman"/>
          <w:b/>
          <w:sz w:val="24"/>
          <w:szCs w:val="24"/>
          <w:lang w:val="ru-MD"/>
        </w:rPr>
        <w:t xml:space="preserve">истерство </w:t>
      </w:r>
      <w:r w:rsidRPr="00120841">
        <w:rPr>
          <w:rFonts w:asciiTheme="majorHAnsi" w:eastAsia="Times New Roman" w:hAnsiTheme="majorHAnsi" w:cs="Times New Roman"/>
          <w:b/>
          <w:sz w:val="24"/>
          <w:szCs w:val="24"/>
          <w:lang w:val="ru-MD"/>
        </w:rPr>
        <w:t>юст</w:t>
      </w:r>
      <w:r w:rsidR="00630B74" w:rsidRPr="00120841">
        <w:rPr>
          <w:rFonts w:asciiTheme="majorHAnsi" w:eastAsia="Times New Roman" w:hAnsiTheme="majorHAnsi" w:cs="Times New Roman"/>
          <w:b/>
          <w:sz w:val="24"/>
          <w:szCs w:val="24"/>
          <w:lang w:val="ru-MD"/>
        </w:rPr>
        <w:t>иции</w:t>
      </w:r>
      <w:r w:rsidRPr="00120841">
        <w:rPr>
          <w:rFonts w:asciiTheme="majorHAnsi" w:eastAsia="Times New Roman" w:hAnsiTheme="majorHAnsi" w:cs="Times New Roman"/>
          <w:b/>
          <w:sz w:val="24"/>
          <w:szCs w:val="24"/>
          <w:lang w:val="ru-MD"/>
        </w:rPr>
        <w:t xml:space="preserve">), отсутствие предоставления данных </w:t>
      </w:r>
      <w:r w:rsidR="00194D29">
        <w:rPr>
          <w:rFonts w:asciiTheme="majorHAnsi" w:eastAsia="Times New Roman" w:hAnsiTheme="majorHAnsi" w:cs="Times New Roman"/>
          <w:b/>
          <w:sz w:val="24"/>
          <w:szCs w:val="24"/>
          <w:lang w:val="ru-MD"/>
        </w:rPr>
        <w:t xml:space="preserve">в </w:t>
      </w:r>
      <w:r w:rsidR="00194D29" w:rsidRPr="00120841">
        <w:rPr>
          <w:rFonts w:asciiTheme="majorHAnsi" w:eastAsia="Times New Roman" w:hAnsiTheme="majorHAnsi" w:cs="Times New Roman"/>
          <w:b/>
          <w:sz w:val="24"/>
          <w:szCs w:val="24"/>
          <w:lang w:val="ru-MD"/>
        </w:rPr>
        <w:t>электронно</w:t>
      </w:r>
      <w:r w:rsidR="00194D29">
        <w:rPr>
          <w:rFonts w:asciiTheme="majorHAnsi" w:eastAsia="Times New Roman" w:hAnsiTheme="majorHAnsi" w:cs="Times New Roman"/>
          <w:b/>
          <w:sz w:val="24"/>
          <w:szCs w:val="24"/>
          <w:lang w:val="ru-MD"/>
        </w:rPr>
        <w:t xml:space="preserve">м виде в </w:t>
      </w:r>
      <w:r w:rsidRPr="00120841">
        <w:rPr>
          <w:rFonts w:asciiTheme="majorHAnsi" w:eastAsia="Times New Roman" w:hAnsiTheme="majorHAnsi" w:cs="Times New Roman"/>
          <w:b/>
          <w:sz w:val="24"/>
          <w:szCs w:val="24"/>
          <w:lang w:val="ru-MD"/>
        </w:rPr>
        <w:t>НКСС, а также недостаточн</w:t>
      </w:r>
      <w:r w:rsidR="00194D29">
        <w:rPr>
          <w:rFonts w:asciiTheme="majorHAnsi" w:eastAsia="Times New Roman" w:hAnsiTheme="majorHAnsi" w:cs="Times New Roman"/>
          <w:b/>
          <w:sz w:val="24"/>
          <w:szCs w:val="24"/>
          <w:lang w:val="ru-MD"/>
        </w:rPr>
        <w:t>ость</w:t>
      </w:r>
      <w:r w:rsidRPr="00120841">
        <w:rPr>
          <w:rFonts w:asciiTheme="majorHAnsi" w:eastAsia="Times New Roman" w:hAnsiTheme="majorHAnsi" w:cs="Times New Roman"/>
          <w:b/>
          <w:sz w:val="24"/>
          <w:szCs w:val="24"/>
          <w:lang w:val="ru-MD"/>
        </w:rPr>
        <w:t xml:space="preserve"> мер по контролю за правильностью расчета и </w:t>
      </w:r>
      <w:r w:rsidR="002E3A8E">
        <w:rPr>
          <w:rFonts w:asciiTheme="majorHAnsi" w:eastAsia="Times New Roman" w:hAnsiTheme="majorHAnsi" w:cs="Times New Roman"/>
          <w:b/>
          <w:sz w:val="24"/>
          <w:szCs w:val="24"/>
          <w:lang w:val="ru-MD"/>
        </w:rPr>
        <w:t>перечисления их</w:t>
      </w:r>
      <w:r w:rsidRPr="00120841">
        <w:rPr>
          <w:rFonts w:asciiTheme="majorHAnsi" w:eastAsia="Times New Roman" w:hAnsiTheme="majorHAnsi" w:cs="Times New Roman"/>
          <w:b/>
          <w:sz w:val="24"/>
          <w:szCs w:val="24"/>
          <w:lang w:val="ru-MD"/>
        </w:rPr>
        <w:t xml:space="preserve"> в срок Государственной налоговой службой, </w:t>
      </w:r>
      <w:r w:rsidR="002E3A8E">
        <w:rPr>
          <w:rFonts w:asciiTheme="majorHAnsi" w:eastAsia="Times New Roman" w:hAnsiTheme="majorHAnsi" w:cs="Times New Roman"/>
          <w:b/>
          <w:sz w:val="24"/>
          <w:szCs w:val="24"/>
          <w:lang w:val="ru-MD"/>
        </w:rPr>
        <w:t>обуслови</w:t>
      </w:r>
      <w:r w:rsidRPr="00120841">
        <w:rPr>
          <w:rFonts w:asciiTheme="majorHAnsi" w:eastAsia="Times New Roman" w:hAnsiTheme="majorHAnsi" w:cs="Times New Roman"/>
          <w:b/>
          <w:sz w:val="24"/>
          <w:szCs w:val="24"/>
          <w:lang w:val="ru-MD"/>
        </w:rPr>
        <w:t xml:space="preserve">ли </w:t>
      </w:r>
      <w:r w:rsidR="002E3A8E">
        <w:rPr>
          <w:rFonts w:asciiTheme="majorHAnsi" w:eastAsia="Times New Roman" w:hAnsiTheme="majorHAnsi" w:cs="Times New Roman"/>
          <w:b/>
          <w:sz w:val="24"/>
          <w:szCs w:val="24"/>
          <w:lang w:val="ru-MD"/>
        </w:rPr>
        <w:t>у</w:t>
      </w:r>
      <w:r w:rsidRPr="00120841">
        <w:rPr>
          <w:rFonts w:asciiTheme="majorHAnsi" w:eastAsia="Times New Roman" w:hAnsiTheme="majorHAnsi" w:cs="Times New Roman"/>
          <w:b/>
          <w:sz w:val="24"/>
          <w:szCs w:val="24"/>
          <w:lang w:val="ru-MD"/>
        </w:rPr>
        <w:t>пущенны</w:t>
      </w:r>
      <w:r w:rsidR="002E3A8E">
        <w:rPr>
          <w:rFonts w:asciiTheme="majorHAnsi" w:eastAsia="Times New Roman" w:hAnsiTheme="majorHAnsi" w:cs="Times New Roman"/>
          <w:b/>
          <w:sz w:val="24"/>
          <w:szCs w:val="24"/>
          <w:lang w:val="ru-MD"/>
        </w:rPr>
        <w:t>е</w:t>
      </w:r>
      <w:r w:rsidRPr="00120841">
        <w:rPr>
          <w:rFonts w:asciiTheme="majorHAnsi" w:eastAsia="Times New Roman" w:hAnsiTheme="majorHAnsi" w:cs="Times New Roman"/>
          <w:b/>
          <w:sz w:val="24"/>
          <w:szCs w:val="24"/>
          <w:lang w:val="ru-MD"/>
        </w:rPr>
        <w:t xml:space="preserve"> доход</w:t>
      </w:r>
      <w:r w:rsidR="002E3A8E">
        <w:rPr>
          <w:rFonts w:asciiTheme="majorHAnsi" w:eastAsia="Times New Roman" w:hAnsiTheme="majorHAnsi" w:cs="Times New Roman"/>
          <w:b/>
          <w:sz w:val="24"/>
          <w:szCs w:val="24"/>
          <w:lang w:val="ru-MD"/>
        </w:rPr>
        <w:t>ы</w:t>
      </w:r>
      <w:r w:rsidRPr="00120841">
        <w:rPr>
          <w:rFonts w:asciiTheme="majorHAnsi" w:eastAsia="Times New Roman" w:hAnsiTheme="majorHAnsi" w:cs="Times New Roman"/>
          <w:b/>
          <w:sz w:val="24"/>
          <w:szCs w:val="24"/>
          <w:lang w:val="ru-MD"/>
        </w:rPr>
        <w:t xml:space="preserve"> </w:t>
      </w:r>
      <w:r w:rsidR="00630B74" w:rsidRPr="00120841">
        <w:rPr>
          <w:rFonts w:asciiTheme="majorHAnsi" w:eastAsia="Times New Roman" w:hAnsiTheme="majorHAnsi" w:cs="Times New Roman"/>
          <w:b/>
          <w:sz w:val="24"/>
          <w:szCs w:val="24"/>
          <w:lang w:val="ru-MD"/>
        </w:rPr>
        <w:t>БГСС</w:t>
      </w:r>
      <w:r w:rsidRPr="00120841">
        <w:rPr>
          <w:rFonts w:asciiTheme="majorHAnsi" w:eastAsia="Times New Roman" w:hAnsiTheme="majorHAnsi" w:cs="Times New Roman"/>
          <w:b/>
          <w:sz w:val="24"/>
          <w:szCs w:val="24"/>
          <w:lang w:val="ru-MD"/>
        </w:rPr>
        <w:t xml:space="preserve"> </w:t>
      </w:r>
      <w:r w:rsidR="002E3A8E">
        <w:rPr>
          <w:rFonts w:asciiTheme="majorHAnsi" w:eastAsia="Times New Roman" w:hAnsiTheme="majorHAnsi" w:cs="Times New Roman"/>
          <w:b/>
          <w:sz w:val="24"/>
          <w:szCs w:val="24"/>
          <w:lang w:val="ru-MD"/>
        </w:rPr>
        <w:t>о</w:t>
      </w:r>
      <w:r w:rsidRPr="00120841">
        <w:rPr>
          <w:rFonts w:asciiTheme="majorHAnsi" w:eastAsia="Times New Roman" w:hAnsiTheme="majorHAnsi" w:cs="Times New Roman"/>
          <w:b/>
          <w:sz w:val="24"/>
          <w:szCs w:val="24"/>
          <w:lang w:val="ru-MD"/>
        </w:rPr>
        <w:t xml:space="preserve">т </w:t>
      </w:r>
      <w:r w:rsidR="002E3A8E">
        <w:rPr>
          <w:rFonts w:asciiTheme="majorHAnsi" w:eastAsia="Times New Roman" w:hAnsiTheme="majorHAnsi" w:cs="Times New Roman"/>
          <w:b/>
          <w:sz w:val="24"/>
          <w:szCs w:val="24"/>
          <w:lang w:val="ru-MD"/>
        </w:rPr>
        <w:t>данн</w:t>
      </w:r>
      <w:r w:rsidRPr="00120841">
        <w:rPr>
          <w:rFonts w:asciiTheme="majorHAnsi" w:eastAsia="Times New Roman" w:hAnsiTheme="majorHAnsi" w:cs="Times New Roman"/>
          <w:b/>
          <w:sz w:val="24"/>
          <w:szCs w:val="24"/>
          <w:lang w:val="ru-MD"/>
        </w:rPr>
        <w:t xml:space="preserve">ой категории плательщиков </w:t>
      </w:r>
      <w:r w:rsidR="002E3A8E">
        <w:rPr>
          <w:rFonts w:asciiTheme="majorHAnsi" w:eastAsia="Times New Roman" w:hAnsiTheme="majorHAnsi" w:cs="Times New Roman"/>
          <w:b/>
          <w:sz w:val="24"/>
          <w:szCs w:val="24"/>
          <w:lang w:val="ru-MD"/>
        </w:rPr>
        <w:t xml:space="preserve">взносов, </w:t>
      </w:r>
      <w:r w:rsidRPr="00120841">
        <w:rPr>
          <w:rFonts w:asciiTheme="majorHAnsi" w:eastAsia="Times New Roman" w:hAnsiTheme="majorHAnsi" w:cs="Times New Roman"/>
          <w:b/>
          <w:sz w:val="24"/>
          <w:szCs w:val="24"/>
          <w:lang w:val="ru-MD"/>
        </w:rPr>
        <w:t>в размере 310,5 тыс. леев. Так</w:t>
      </w:r>
      <w:r w:rsidRPr="002E3A8E">
        <w:rPr>
          <w:rFonts w:asciiTheme="majorHAnsi" w:eastAsia="Times New Roman" w:hAnsiTheme="majorHAnsi" w:cs="Times New Roman"/>
          <w:b/>
          <w:sz w:val="24"/>
          <w:szCs w:val="24"/>
          <w:lang w:val="fr-FR"/>
        </w:rPr>
        <w:t>,</w:t>
      </w:r>
      <w:r>
        <w:rPr>
          <w:rFonts w:asciiTheme="majorHAnsi" w:eastAsia="Times New Roman" w:hAnsiTheme="majorHAnsi" w:cs="Times New Roman"/>
          <w:b/>
          <w:sz w:val="24"/>
          <w:szCs w:val="24"/>
          <w:lang w:val="ro-MD"/>
        </w:rPr>
        <w:t xml:space="preserve"> </w:t>
      </w:r>
    </w:p>
    <w:p w14:paraId="0A4840E1" w14:textId="77777777" w:rsidR="005E7DC9" w:rsidRPr="00653E85" w:rsidRDefault="005E7DC9" w:rsidP="005E7DC9">
      <w:pPr>
        <w:pStyle w:val="aa"/>
        <w:tabs>
          <w:tab w:val="left" w:pos="-90"/>
          <w:tab w:val="left" w:pos="360"/>
        </w:tabs>
        <w:spacing w:line="276" w:lineRule="auto"/>
        <w:ind w:left="0"/>
        <w:jc w:val="both"/>
        <w:rPr>
          <w:rFonts w:asciiTheme="majorHAnsi" w:hAnsiTheme="majorHAnsi" w:cstheme="majorHAnsi"/>
          <w:b/>
          <w:bCs/>
          <w:i/>
          <w:iCs/>
          <w:sz w:val="24"/>
          <w:szCs w:val="24"/>
          <w:lang w:val="ro-MD"/>
        </w:rPr>
      </w:pPr>
    </w:p>
    <w:p w14:paraId="10EDA719" w14:textId="54C9B3AF" w:rsidR="005E7DC9" w:rsidRPr="00B01C83" w:rsidRDefault="00E14326" w:rsidP="00E14326">
      <w:pPr>
        <w:pStyle w:val="aa"/>
        <w:numPr>
          <w:ilvl w:val="0"/>
          <w:numId w:val="4"/>
        </w:numPr>
        <w:tabs>
          <w:tab w:val="left" w:pos="-90"/>
          <w:tab w:val="left" w:pos="360"/>
        </w:tabs>
        <w:spacing w:line="276" w:lineRule="auto"/>
        <w:ind w:left="0" w:firstLine="0"/>
        <w:jc w:val="both"/>
        <w:rPr>
          <w:rFonts w:asciiTheme="majorHAnsi" w:hAnsiTheme="majorHAnsi" w:cstheme="majorHAnsi"/>
          <w:b/>
          <w:bCs/>
          <w:i/>
          <w:iCs/>
          <w:sz w:val="24"/>
          <w:szCs w:val="24"/>
          <w:lang w:val="ru-MD"/>
        </w:rPr>
      </w:pPr>
      <w:r w:rsidRPr="00B01C83">
        <w:rPr>
          <w:rFonts w:asciiTheme="majorHAnsi" w:hAnsiTheme="majorHAnsi" w:cstheme="majorHAnsi"/>
          <w:b/>
          <w:bCs/>
          <w:i/>
          <w:iCs/>
          <w:sz w:val="24"/>
          <w:szCs w:val="24"/>
          <w:lang w:val="ru-MD"/>
        </w:rPr>
        <w:t xml:space="preserve">процесс регистрации </w:t>
      </w:r>
      <w:r w:rsidR="00630B74" w:rsidRPr="00B01C83">
        <w:rPr>
          <w:rFonts w:asciiTheme="majorHAnsi" w:hAnsiTheme="majorHAnsi" w:cstheme="majorHAnsi"/>
          <w:b/>
          <w:bCs/>
          <w:i/>
          <w:iCs/>
          <w:sz w:val="24"/>
          <w:szCs w:val="24"/>
          <w:lang w:val="ru-MD"/>
        </w:rPr>
        <w:t>свободных профессионалов</w:t>
      </w:r>
      <w:r w:rsidRPr="00B01C83">
        <w:rPr>
          <w:rFonts w:asciiTheme="majorHAnsi" w:hAnsiTheme="majorHAnsi" w:cstheme="majorHAnsi"/>
          <w:b/>
          <w:bCs/>
          <w:i/>
          <w:iCs/>
          <w:sz w:val="24"/>
          <w:szCs w:val="24"/>
          <w:lang w:val="ru-MD"/>
        </w:rPr>
        <w:t xml:space="preserve">, </w:t>
      </w:r>
      <w:r w:rsidR="00630B74" w:rsidRPr="00B01C83">
        <w:rPr>
          <w:rFonts w:asciiTheme="majorHAnsi" w:hAnsiTheme="majorHAnsi" w:cstheme="majorHAnsi"/>
          <w:b/>
          <w:bCs/>
          <w:i/>
          <w:iCs/>
          <w:sz w:val="24"/>
          <w:szCs w:val="24"/>
          <w:lang w:val="ru-MD"/>
        </w:rPr>
        <w:t>осуществля</w:t>
      </w:r>
      <w:r w:rsidRPr="00B01C83">
        <w:rPr>
          <w:rFonts w:asciiTheme="majorHAnsi" w:hAnsiTheme="majorHAnsi" w:cstheme="majorHAnsi"/>
          <w:b/>
          <w:bCs/>
          <w:i/>
          <w:iCs/>
          <w:sz w:val="24"/>
          <w:szCs w:val="24"/>
          <w:lang w:val="ru-MD"/>
        </w:rPr>
        <w:t>ющих деятельность в с</w:t>
      </w:r>
      <w:r w:rsidR="00630B74" w:rsidRPr="00B01C83">
        <w:rPr>
          <w:rFonts w:asciiTheme="majorHAnsi" w:hAnsiTheme="majorHAnsi" w:cstheme="majorHAnsi"/>
          <w:b/>
          <w:bCs/>
          <w:i/>
          <w:iCs/>
          <w:sz w:val="24"/>
          <w:szCs w:val="24"/>
          <w:lang w:val="ru-MD"/>
        </w:rPr>
        <w:t>фе</w:t>
      </w:r>
      <w:r w:rsidRPr="00B01C83">
        <w:rPr>
          <w:rFonts w:asciiTheme="majorHAnsi" w:hAnsiTheme="majorHAnsi" w:cstheme="majorHAnsi"/>
          <w:b/>
          <w:bCs/>
          <w:i/>
          <w:iCs/>
          <w:sz w:val="24"/>
          <w:szCs w:val="24"/>
          <w:lang w:val="ru-MD"/>
        </w:rPr>
        <w:t xml:space="preserve">ре </w:t>
      </w:r>
      <w:r w:rsidR="00630B74" w:rsidRPr="00B01C83">
        <w:rPr>
          <w:rFonts w:asciiTheme="majorHAnsi" w:hAnsiTheme="majorHAnsi" w:cstheme="majorHAnsi"/>
          <w:b/>
          <w:bCs/>
          <w:i/>
          <w:iCs/>
          <w:sz w:val="24"/>
          <w:szCs w:val="24"/>
          <w:lang w:val="ru-MD"/>
        </w:rPr>
        <w:t>правосудия,</w:t>
      </w:r>
      <w:r w:rsidRPr="00B01C83">
        <w:rPr>
          <w:rFonts w:asciiTheme="majorHAnsi" w:hAnsiTheme="majorHAnsi" w:cstheme="majorHAnsi"/>
          <w:b/>
          <w:bCs/>
          <w:i/>
          <w:iCs/>
          <w:sz w:val="24"/>
          <w:szCs w:val="24"/>
          <w:lang w:val="ru-MD"/>
        </w:rPr>
        <w:t xml:space="preserve"> в качестве плательщиков взносов в </w:t>
      </w:r>
      <w:r w:rsidR="00630B74" w:rsidRPr="00B01C83">
        <w:rPr>
          <w:rFonts w:asciiTheme="majorHAnsi" w:hAnsiTheme="majorHAnsi" w:cstheme="majorHAnsi"/>
          <w:b/>
          <w:bCs/>
          <w:i/>
          <w:iCs/>
          <w:sz w:val="24"/>
          <w:szCs w:val="24"/>
          <w:lang w:val="ru-MD"/>
        </w:rPr>
        <w:t>БГСС,</w:t>
      </w:r>
      <w:r w:rsidRPr="00B01C83">
        <w:rPr>
          <w:rFonts w:asciiTheme="majorHAnsi" w:hAnsiTheme="majorHAnsi" w:cstheme="majorHAnsi"/>
          <w:b/>
          <w:bCs/>
          <w:i/>
          <w:iCs/>
          <w:sz w:val="24"/>
          <w:szCs w:val="24"/>
          <w:lang w:val="ru-MD"/>
        </w:rPr>
        <w:t xml:space="preserve"> в соответствии с действующими нормативными </w:t>
      </w:r>
      <w:r w:rsidR="00630B74" w:rsidRPr="00B01C83">
        <w:rPr>
          <w:rFonts w:asciiTheme="majorHAnsi" w:hAnsiTheme="majorHAnsi" w:cstheme="majorHAnsi"/>
          <w:b/>
          <w:bCs/>
          <w:i/>
          <w:iCs/>
          <w:sz w:val="24"/>
          <w:szCs w:val="24"/>
          <w:lang w:val="ru-MD"/>
        </w:rPr>
        <w:t>акта</w:t>
      </w:r>
      <w:r w:rsidRPr="00B01C83">
        <w:rPr>
          <w:rFonts w:asciiTheme="majorHAnsi" w:hAnsiTheme="majorHAnsi" w:cstheme="majorHAnsi"/>
          <w:b/>
          <w:bCs/>
          <w:i/>
          <w:iCs/>
          <w:sz w:val="24"/>
          <w:szCs w:val="24"/>
          <w:lang w:val="ru-MD"/>
        </w:rPr>
        <w:t xml:space="preserve">ми, не обеспечивает полного учета плательщиков </w:t>
      </w:r>
      <w:r w:rsidR="00630B74" w:rsidRPr="00B01C83">
        <w:rPr>
          <w:rFonts w:asciiTheme="majorHAnsi" w:hAnsiTheme="majorHAnsi" w:cstheme="majorHAnsi"/>
          <w:b/>
          <w:bCs/>
          <w:i/>
          <w:iCs/>
          <w:sz w:val="24"/>
          <w:szCs w:val="24"/>
          <w:lang w:val="ru-MD"/>
        </w:rPr>
        <w:t>на национальном уровне</w:t>
      </w:r>
      <w:r w:rsidR="005E7DC9" w:rsidRPr="00B01C83">
        <w:rPr>
          <w:rFonts w:asciiTheme="majorHAnsi" w:hAnsiTheme="majorHAnsi" w:cstheme="majorHAnsi"/>
          <w:b/>
          <w:bCs/>
          <w:i/>
          <w:iCs/>
          <w:sz w:val="24"/>
          <w:szCs w:val="24"/>
          <w:lang w:val="ru-MD"/>
        </w:rPr>
        <w:t>.</w:t>
      </w:r>
    </w:p>
    <w:p w14:paraId="083015C5" w14:textId="760155A8" w:rsidR="005E7DC9" w:rsidRPr="00B01C83" w:rsidRDefault="00D2581B" w:rsidP="005E7DC9">
      <w:pPr>
        <w:tabs>
          <w:tab w:val="left" w:pos="3408"/>
        </w:tabs>
        <w:spacing w:line="276" w:lineRule="auto"/>
        <w:jc w:val="both"/>
        <w:rPr>
          <w:rFonts w:asciiTheme="majorHAnsi" w:hAnsiTheme="majorHAnsi" w:cstheme="majorHAnsi"/>
          <w:sz w:val="24"/>
          <w:szCs w:val="24"/>
          <w:lang w:val="ru-MD"/>
        </w:rPr>
      </w:pPr>
      <w:r w:rsidRPr="00B01C83">
        <w:rPr>
          <w:rFonts w:asciiTheme="majorHAnsi" w:hAnsiTheme="majorHAnsi" w:cstheme="majorHAnsi"/>
          <w:sz w:val="24"/>
          <w:szCs w:val="24"/>
          <w:lang w:val="ru-MD"/>
        </w:rPr>
        <w:t>Согласно законодательству</w:t>
      </w:r>
      <w:r w:rsidR="005E7DC9" w:rsidRPr="00B01C83">
        <w:rPr>
          <w:rStyle w:val="a5"/>
          <w:rFonts w:asciiTheme="majorHAnsi" w:hAnsiTheme="majorHAnsi" w:cstheme="majorHAnsi"/>
          <w:sz w:val="24"/>
          <w:szCs w:val="24"/>
          <w:lang w:val="ru-MD"/>
        </w:rPr>
        <w:footnoteReference w:id="31"/>
      </w:r>
      <w:r w:rsidR="00984D5C" w:rsidRPr="00B01C83">
        <w:rPr>
          <w:rFonts w:asciiTheme="majorHAnsi" w:hAnsiTheme="majorHAnsi" w:cstheme="majorHAnsi"/>
          <w:sz w:val="24"/>
          <w:szCs w:val="24"/>
          <w:lang w:val="ru-MD"/>
        </w:rPr>
        <w:t>,</w:t>
      </w:r>
      <w:r w:rsidR="005E7DC9" w:rsidRPr="00B01C83">
        <w:rPr>
          <w:rFonts w:asciiTheme="majorHAnsi" w:hAnsiTheme="majorHAnsi" w:cstheme="majorHAnsi"/>
          <w:sz w:val="24"/>
          <w:szCs w:val="24"/>
          <w:lang w:val="ru-MD"/>
        </w:rPr>
        <w:t xml:space="preserve"> </w:t>
      </w:r>
      <w:r w:rsidRPr="00B01C83">
        <w:rPr>
          <w:rFonts w:asciiTheme="majorHAnsi" w:hAnsiTheme="majorHAnsi" w:cstheme="majorHAnsi"/>
          <w:iCs/>
          <w:sz w:val="24"/>
          <w:szCs w:val="24"/>
          <w:lang w:val="ru-MD"/>
        </w:rPr>
        <w:t>свободный профессионал, осуществляющий деятельность в сфере правосудия</w:t>
      </w:r>
      <w:r w:rsidRPr="00B01C83">
        <w:rPr>
          <w:rFonts w:asciiTheme="majorHAnsi" w:hAnsiTheme="majorHAnsi" w:cstheme="majorHAnsi"/>
          <w:sz w:val="24"/>
          <w:szCs w:val="24"/>
          <w:lang w:val="ru-MD"/>
        </w:rPr>
        <w:t>, – это лицо, зарегистрировавшее одну из предусмотренных законом форм организации деятельности адвоката, нотариуса, судебного исполнителя, авторизованного управляющего, медиатора</w:t>
      </w:r>
      <w:r w:rsidR="005E7DC9" w:rsidRPr="00B01C83">
        <w:rPr>
          <w:rFonts w:asciiTheme="majorHAnsi" w:hAnsiTheme="majorHAnsi" w:cstheme="majorHAnsi"/>
          <w:sz w:val="24"/>
          <w:szCs w:val="24"/>
          <w:lang w:val="ru-MD"/>
        </w:rPr>
        <w:t xml:space="preserve">. </w:t>
      </w:r>
      <w:r w:rsidRPr="00B01C83">
        <w:rPr>
          <w:rFonts w:asciiTheme="majorHAnsi" w:hAnsiTheme="majorHAnsi" w:cstheme="majorHAnsi"/>
          <w:sz w:val="24"/>
          <w:szCs w:val="24"/>
          <w:lang w:val="ru-MD"/>
        </w:rPr>
        <w:t>Субъекты и физические лица</w:t>
      </w:r>
      <w:r w:rsidRPr="00B01C83">
        <w:rPr>
          <w:rStyle w:val="a5"/>
          <w:rFonts w:asciiTheme="majorHAnsi" w:hAnsiTheme="majorHAnsi" w:cstheme="majorHAnsi"/>
          <w:sz w:val="24"/>
          <w:szCs w:val="24"/>
          <w:lang w:val="ru-MD"/>
        </w:rPr>
        <w:footnoteReference w:id="32"/>
      </w:r>
      <w:r w:rsidRPr="00B01C83">
        <w:rPr>
          <w:rFonts w:asciiTheme="majorHAnsi" w:hAnsiTheme="majorHAnsi" w:cstheme="majorHAnsi"/>
          <w:sz w:val="24"/>
          <w:szCs w:val="24"/>
          <w:lang w:val="ru-MD"/>
        </w:rPr>
        <w:t>, не подпадающие под действие Закона №220-XVI от 19.10.2007</w:t>
      </w:r>
      <w:r w:rsidRPr="00B01C83">
        <w:rPr>
          <w:rStyle w:val="a5"/>
          <w:rFonts w:asciiTheme="majorHAnsi" w:hAnsiTheme="majorHAnsi" w:cstheme="majorHAnsi"/>
          <w:sz w:val="24"/>
          <w:szCs w:val="24"/>
          <w:lang w:val="ru-MD"/>
        </w:rPr>
        <w:footnoteReference w:id="33"/>
      </w:r>
      <w:r w:rsidRPr="00B01C83">
        <w:rPr>
          <w:rFonts w:asciiTheme="majorHAnsi" w:hAnsiTheme="majorHAnsi" w:cstheme="majorHAnsi"/>
          <w:sz w:val="24"/>
          <w:szCs w:val="24"/>
          <w:lang w:val="ru-MD"/>
        </w:rPr>
        <w:t>, обязаны зарегистрироваться в течение 10 рабочих дней со дня получения права на ведение определенной деятельности в качестве плательщиков взносов государственного социального страхования в территориальном подразделении Национальной кассы, где они имеют свой юридический адрес. Начиная с 2021 года, была изменена годовая фиксированная плата, которая дает этой категории плательщиков право на пособия по социальному обеспечению за возникшие страховые риски</w:t>
      </w:r>
      <w:r w:rsidR="00303677" w:rsidRPr="00B01C83">
        <w:rPr>
          <w:rFonts w:asciiTheme="majorHAnsi" w:hAnsiTheme="majorHAnsi" w:cstheme="majorHAnsi"/>
          <w:sz w:val="24"/>
          <w:szCs w:val="24"/>
          <w:lang w:val="ru-MD"/>
        </w:rPr>
        <w:t>,</w:t>
      </w:r>
      <w:r w:rsidRPr="00B01C83">
        <w:rPr>
          <w:rFonts w:asciiTheme="majorHAnsi" w:hAnsiTheme="majorHAnsi" w:cstheme="majorHAnsi"/>
          <w:sz w:val="24"/>
          <w:szCs w:val="24"/>
          <w:lang w:val="ru-MD"/>
        </w:rPr>
        <w:t xml:space="preserve"> при соблюдении условий их предоставления. На 2021</w:t>
      </w:r>
      <w:r w:rsidR="00303677" w:rsidRPr="00B01C83">
        <w:rPr>
          <w:rStyle w:val="a5"/>
          <w:rFonts w:asciiTheme="majorHAnsi" w:hAnsiTheme="majorHAnsi" w:cstheme="majorHAnsi"/>
          <w:sz w:val="24"/>
          <w:szCs w:val="24"/>
          <w:lang w:val="ru-MD"/>
        </w:rPr>
        <w:footnoteReference w:id="34"/>
      </w:r>
      <w:r w:rsidRPr="00B01C83">
        <w:rPr>
          <w:rFonts w:asciiTheme="majorHAnsi" w:hAnsiTheme="majorHAnsi" w:cstheme="majorHAnsi"/>
          <w:sz w:val="24"/>
          <w:szCs w:val="24"/>
          <w:lang w:val="ru-MD"/>
        </w:rPr>
        <w:t xml:space="preserve"> и 2022</w:t>
      </w:r>
      <w:r w:rsidR="00303677" w:rsidRPr="00B01C83">
        <w:rPr>
          <w:rStyle w:val="a5"/>
          <w:rFonts w:asciiTheme="majorHAnsi" w:hAnsiTheme="majorHAnsi" w:cstheme="majorHAnsi"/>
          <w:sz w:val="24"/>
          <w:szCs w:val="24"/>
          <w:lang w:val="ru-MD"/>
        </w:rPr>
        <w:footnoteReference w:id="35"/>
      </w:r>
      <w:r w:rsidRPr="00B01C83">
        <w:rPr>
          <w:rFonts w:asciiTheme="majorHAnsi" w:hAnsiTheme="majorHAnsi" w:cstheme="majorHAnsi"/>
          <w:sz w:val="24"/>
          <w:szCs w:val="24"/>
          <w:lang w:val="ru-MD"/>
        </w:rPr>
        <w:t xml:space="preserve"> годы взнос обязательного государственного социального страхования в фиксированной сумме </w:t>
      </w:r>
      <w:r w:rsidR="00303677" w:rsidRPr="00B01C83">
        <w:rPr>
          <w:rFonts w:asciiTheme="majorHAnsi" w:hAnsiTheme="majorHAnsi" w:cstheme="majorHAnsi"/>
          <w:sz w:val="24"/>
          <w:szCs w:val="24"/>
          <w:lang w:val="ru-MD"/>
        </w:rPr>
        <w:t xml:space="preserve">была </w:t>
      </w:r>
      <w:r w:rsidRPr="00B01C83">
        <w:rPr>
          <w:rFonts w:asciiTheme="majorHAnsi" w:hAnsiTheme="majorHAnsi" w:cstheme="majorHAnsi"/>
          <w:sz w:val="24"/>
          <w:szCs w:val="24"/>
          <w:lang w:val="ru-MD"/>
        </w:rPr>
        <w:t>устан</w:t>
      </w:r>
      <w:r w:rsidR="00303677" w:rsidRPr="00B01C83">
        <w:rPr>
          <w:rFonts w:asciiTheme="majorHAnsi" w:hAnsiTheme="majorHAnsi" w:cstheme="majorHAnsi"/>
          <w:sz w:val="24"/>
          <w:szCs w:val="24"/>
          <w:lang w:val="ru-MD"/>
        </w:rPr>
        <w:t>овлена</w:t>
      </w:r>
      <w:r w:rsidRPr="00B01C83">
        <w:rPr>
          <w:rFonts w:asciiTheme="majorHAnsi" w:hAnsiTheme="majorHAnsi" w:cstheme="majorHAnsi"/>
          <w:sz w:val="24"/>
          <w:szCs w:val="24"/>
          <w:lang w:val="ru-MD"/>
        </w:rPr>
        <w:t xml:space="preserve"> в размере 24 255 леев</w:t>
      </w:r>
      <w:r w:rsidR="00303677" w:rsidRPr="00B01C83">
        <w:rPr>
          <w:rFonts w:asciiTheme="majorHAnsi" w:hAnsiTheme="majorHAnsi" w:cstheme="majorHAnsi"/>
          <w:sz w:val="24"/>
          <w:szCs w:val="24"/>
          <w:lang w:val="ru-MD"/>
        </w:rPr>
        <w:t>/</w:t>
      </w:r>
      <w:r w:rsidRPr="00B01C83">
        <w:rPr>
          <w:rFonts w:asciiTheme="majorHAnsi" w:hAnsiTheme="majorHAnsi" w:cstheme="majorHAnsi"/>
          <w:sz w:val="24"/>
          <w:szCs w:val="24"/>
          <w:lang w:val="ru-MD"/>
        </w:rPr>
        <w:t>год, соответственно, сумма ежемесячного взноса составля</w:t>
      </w:r>
      <w:r w:rsidR="00B01C83" w:rsidRPr="00B01C83">
        <w:rPr>
          <w:rFonts w:asciiTheme="majorHAnsi" w:hAnsiTheme="majorHAnsi" w:cstheme="majorHAnsi"/>
          <w:sz w:val="24"/>
          <w:szCs w:val="24"/>
          <w:lang w:val="ru-MD"/>
        </w:rPr>
        <w:t>ла</w:t>
      </w:r>
      <w:r w:rsidRPr="00B01C83">
        <w:rPr>
          <w:rFonts w:asciiTheme="majorHAnsi" w:hAnsiTheme="majorHAnsi" w:cstheme="majorHAnsi"/>
          <w:sz w:val="24"/>
          <w:szCs w:val="24"/>
          <w:lang w:val="ru-MD"/>
        </w:rPr>
        <w:t xml:space="preserve"> 2 021,25 леев</w:t>
      </w:r>
      <w:r w:rsidR="005E7DC9" w:rsidRPr="00B01C83">
        <w:rPr>
          <w:rFonts w:asciiTheme="majorHAnsi" w:hAnsiTheme="majorHAnsi" w:cstheme="majorHAnsi"/>
          <w:sz w:val="24"/>
          <w:szCs w:val="24"/>
          <w:lang w:val="ru-MD"/>
        </w:rPr>
        <w:t>.</w:t>
      </w:r>
    </w:p>
    <w:p w14:paraId="37BFD612" w14:textId="312F703E" w:rsidR="005E7DC9" w:rsidRPr="00E305E7" w:rsidRDefault="00207E1C" w:rsidP="005E7DC9">
      <w:pPr>
        <w:tabs>
          <w:tab w:val="left" w:pos="3408"/>
        </w:tabs>
        <w:spacing w:line="276" w:lineRule="auto"/>
        <w:jc w:val="both"/>
        <w:rPr>
          <w:rFonts w:asciiTheme="majorHAnsi" w:hAnsiTheme="majorHAnsi" w:cstheme="majorHAnsi"/>
          <w:sz w:val="24"/>
          <w:szCs w:val="24"/>
          <w:lang w:val="ru-MD"/>
        </w:rPr>
      </w:pPr>
      <w:r w:rsidRPr="00514B2D">
        <w:rPr>
          <w:rFonts w:asciiTheme="majorHAnsi" w:hAnsiTheme="majorHAnsi" w:cstheme="majorHAnsi"/>
          <w:sz w:val="24"/>
          <w:szCs w:val="24"/>
          <w:lang w:val="ru-MD"/>
        </w:rPr>
        <w:t xml:space="preserve">Аудит, чтобы </w:t>
      </w:r>
      <w:r w:rsidR="00B01C83" w:rsidRPr="00514B2D">
        <w:rPr>
          <w:rFonts w:asciiTheme="majorHAnsi" w:hAnsiTheme="majorHAnsi" w:cstheme="majorHAnsi"/>
          <w:sz w:val="24"/>
          <w:szCs w:val="24"/>
          <w:lang w:val="ru-MD"/>
        </w:rPr>
        <w:t>удостовериться в</w:t>
      </w:r>
      <w:r w:rsidRPr="00514B2D">
        <w:rPr>
          <w:rFonts w:asciiTheme="majorHAnsi" w:hAnsiTheme="majorHAnsi" w:cstheme="majorHAnsi"/>
          <w:sz w:val="24"/>
          <w:szCs w:val="24"/>
          <w:lang w:val="ru-MD"/>
        </w:rPr>
        <w:t xml:space="preserve"> регистраци</w:t>
      </w:r>
      <w:r w:rsidR="00B01C83" w:rsidRPr="00514B2D">
        <w:rPr>
          <w:rFonts w:asciiTheme="majorHAnsi" w:hAnsiTheme="majorHAnsi" w:cstheme="majorHAnsi"/>
          <w:sz w:val="24"/>
          <w:szCs w:val="24"/>
          <w:lang w:val="ru-MD"/>
        </w:rPr>
        <w:t>и</w:t>
      </w:r>
      <w:r w:rsidRPr="00514B2D">
        <w:rPr>
          <w:rFonts w:asciiTheme="majorHAnsi" w:hAnsiTheme="majorHAnsi" w:cstheme="majorHAnsi"/>
          <w:sz w:val="24"/>
          <w:szCs w:val="24"/>
          <w:lang w:val="ru-MD"/>
        </w:rPr>
        <w:t xml:space="preserve"> </w:t>
      </w:r>
      <w:r w:rsidR="00B01C83" w:rsidRPr="00514B2D">
        <w:rPr>
          <w:rFonts w:asciiTheme="majorHAnsi" w:hAnsiTheme="majorHAnsi" w:cstheme="majorHAnsi"/>
          <w:sz w:val="24"/>
          <w:szCs w:val="24"/>
          <w:lang w:val="ru-MD"/>
        </w:rPr>
        <w:t>свободных профессионал</w:t>
      </w:r>
      <w:r w:rsidRPr="00514B2D">
        <w:rPr>
          <w:rFonts w:asciiTheme="majorHAnsi" w:hAnsiTheme="majorHAnsi" w:cstheme="majorHAnsi"/>
          <w:sz w:val="24"/>
          <w:szCs w:val="24"/>
          <w:lang w:val="ru-MD"/>
        </w:rPr>
        <w:t xml:space="preserve">ов, которые зарегистрировали свою </w:t>
      </w:r>
      <w:r w:rsidR="00B01C83" w:rsidRPr="00514B2D">
        <w:rPr>
          <w:rFonts w:asciiTheme="majorHAnsi" w:hAnsiTheme="majorHAnsi" w:cstheme="majorHAnsi"/>
          <w:sz w:val="24"/>
          <w:szCs w:val="24"/>
          <w:lang w:val="ru-MD"/>
        </w:rPr>
        <w:t>деятельность</w:t>
      </w:r>
      <w:r w:rsidRPr="00514B2D">
        <w:rPr>
          <w:rFonts w:asciiTheme="majorHAnsi" w:hAnsiTheme="majorHAnsi" w:cstheme="majorHAnsi"/>
          <w:sz w:val="24"/>
          <w:szCs w:val="24"/>
          <w:lang w:val="ru-MD"/>
        </w:rPr>
        <w:t xml:space="preserve"> в 2021-2022 год</w:t>
      </w:r>
      <w:r w:rsidR="00B01C83" w:rsidRPr="00514B2D">
        <w:rPr>
          <w:rFonts w:asciiTheme="majorHAnsi" w:hAnsiTheme="majorHAnsi" w:cstheme="majorHAnsi"/>
          <w:sz w:val="24"/>
          <w:szCs w:val="24"/>
          <w:lang w:val="ru-MD"/>
        </w:rPr>
        <w:t>ах,</w:t>
      </w:r>
      <w:r w:rsidRPr="00514B2D">
        <w:rPr>
          <w:rFonts w:asciiTheme="majorHAnsi" w:hAnsiTheme="majorHAnsi" w:cstheme="majorHAnsi"/>
          <w:sz w:val="24"/>
          <w:szCs w:val="24"/>
          <w:lang w:val="ru-MD"/>
        </w:rPr>
        <w:t xml:space="preserve"> в качестве плательщик</w:t>
      </w:r>
      <w:r w:rsidR="00B01C83" w:rsidRPr="00514B2D">
        <w:rPr>
          <w:rFonts w:asciiTheme="majorHAnsi" w:hAnsiTheme="majorHAnsi" w:cstheme="majorHAnsi"/>
          <w:sz w:val="24"/>
          <w:szCs w:val="24"/>
          <w:lang w:val="ru-MD"/>
        </w:rPr>
        <w:t>ов</w:t>
      </w:r>
      <w:r w:rsidRPr="00514B2D">
        <w:rPr>
          <w:rFonts w:asciiTheme="majorHAnsi" w:hAnsiTheme="majorHAnsi" w:cstheme="majorHAnsi"/>
          <w:sz w:val="24"/>
          <w:szCs w:val="24"/>
          <w:lang w:val="ru-MD"/>
        </w:rPr>
        <w:t xml:space="preserve"> взносов социального страхования в </w:t>
      </w:r>
      <w:r w:rsidR="00B01C83" w:rsidRPr="00514B2D">
        <w:rPr>
          <w:rFonts w:asciiTheme="majorHAnsi" w:hAnsiTheme="majorHAnsi" w:cstheme="majorHAnsi"/>
          <w:sz w:val="24"/>
          <w:szCs w:val="24"/>
          <w:lang w:val="ru-MD"/>
        </w:rPr>
        <w:t>БГСС</w:t>
      </w:r>
      <w:r w:rsidRPr="00514B2D">
        <w:rPr>
          <w:rFonts w:asciiTheme="majorHAnsi" w:hAnsiTheme="majorHAnsi" w:cstheme="majorHAnsi"/>
          <w:sz w:val="24"/>
          <w:szCs w:val="24"/>
          <w:lang w:val="ru-MD"/>
        </w:rPr>
        <w:t xml:space="preserve">, сопоставил данные </w:t>
      </w:r>
      <w:r w:rsidR="00B01C83" w:rsidRPr="00514B2D">
        <w:rPr>
          <w:rFonts w:asciiTheme="majorHAnsi" w:hAnsiTheme="majorHAnsi" w:cstheme="majorHAnsi"/>
          <w:sz w:val="24"/>
          <w:szCs w:val="24"/>
          <w:lang w:val="ru-MD"/>
        </w:rPr>
        <w:t>из</w:t>
      </w:r>
      <w:r w:rsidRPr="00514B2D">
        <w:rPr>
          <w:rFonts w:asciiTheme="majorHAnsi" w:hAnsiTheme="majorHAnsi" w:cstheme="majorHAnsi"/>
          <w:sz w:val="24"/>
          <w:szCs w:val="24"/>
          <w:lang w:val="ru-MD"/>
        </w:rPr>
        <w:t xml:space="preserve"> </w:t>
      </w:r>
      <w:r w:rsidR="00B01C83" w:rsidRPr="00514B2D">
        <w:rPr>
          <w:rFonts w:asciiTheme="majorHAnsi" w:hAnsiTheme="majorHAnsi" w:cstheme="majorHAnsi"/>
          <w:sz w:val="24"/>
          <w:szCs w:val="24"/>
          <w:lang w:val="ru-MD"/>
        </w:rPr>
        <w:t>Р</w:t>
      </w:r>
      <w:r w:rsidRPr="00514B2D">
        <w:rPr>
          <w:rFonts w:asciiTheme="majorHAnsi" w:hAnsiTheme="majorHAnsi" w:cstheme="majorHAnsi"/>
          <w:sz w:val="24"/>
          <w:szCs w:val="24"/>
          <w:lang w:val="ru-MD"/>
        </w:rPr>
        <w:t>е</w:t>
      </w:r>
      <w:r w:rsidR="00B01C83" w:rsidRPr="00514B2D">
        <w:rPr>
          <w:rFonts w:asciiTheme="majorHAnsi" w:hAnsiTheme="majorHAnsi" w:cstheme="majorHAnsi"/>
          <w:sz w:val="24"/>
          <w:szCs w:val="24"/>
          <w:lang w:val="ru-MD"/>
        </w:rPr>
        <w:t>гистра по учету</w:t>
      </w:r>
      <w:r w:rsidRPr="00514B2D">
        <w:rPr>
          <w:rFonts w:asciiTheme="majorHAnsi" w:hAnsiTheme="majorHAnsi" w:cstheme="majorHAnsi"/>
          <w:sz w:val="24"/>
          <w:szCs w:val="24"/>
          <w:lang w:val="ru-MD"/>
        </w:rPr>
        <w:t xml:space="preserve"> плательщиков взносов в государственной системе социального страхования, </w:t>
      </w:r>
      <w:r w:rsidR="00B01C83" w:rsidRPr="00514B2D">
        <w:rPr>
          <w:rFonts w:asciiTheme="majorHAnsi" w:hAnsiTheme="majorHAnsi" w:cstheme="majorHAnsi"/>
          <w:sz w:val="24"/>
          <w:szCs w:val="24"/>
          <w:lang w:val="ru-MD"/>
        </w:rPr>
        <w:t>администриру</w:t>
      </w:r>
      <w:r w:rsidRPr="00514B2D">
        <w:rPr>
          <w:rFonts w:asciiTheme="majorHAnsi" w:hAnsiTheme="majorHAnsi" w:cstheme="majorHAnsi"/>
          <w:sz w:val="24"/>
          <w:szCs w:val="24"/>
          <w:lang w:val="ru-MD"/>
        </w:rPr>
        <w:t>емо</w:t>
      </w:r>
      <w:r w:rsidR="00B01C83" w:rsidRPr="00514B2D">
        <w:rPr>
          <w:rFonts w:asciiTheme="majorHAnsi" w:hAnsiTheme="majorHAnsi" w:cstheme="majorHAnsi"/>
          <w:sz w:val="24"/>
          <w:szCs w:val="24"/>
          <w:lang w:val="ru-MD"/>
        </w:rPr>
        <w:t>го</w:t>
      </w:r>
      <w:r w:rsidRPr="00514B2D">
        <w:rPr>
          <w:rFonts w:asciiTheme="majorHAnsi" w:hAnsiTheme="majorHAnsi" w:cstheme="majorHAnsi"/>
          <w:sz w:val="24"/>
          <w:szCs w:val="24"/>
          <w:lang w:val="ru-MD"/>
        </w:rPr>
        <w:t xml:space="preserve"> </w:t>
      </w:r>
      <w:r w:rsidR="00B01C83" w:rsidRPr="00514B2D">
        <w:rPr>
          <w:rFonts w:asciiTheme="majorHAnsi" w:hAnsiTheme="majorHAnsi" w:cstheme="majorHAnsi"/>
          <w:sz w:val="24"/>
          <w:szCs w:val="24"/>
          <w:lang w:val="ru-MD"/>
        </w:rPr>
        <w:t>КНСС</w:t>
      </w:r>
      <w:r w:rsidRPr="00514B2D">
        <w:rPr>
          <w:rFonts w:asciiTheme="majorHAnsi" w:hAnsiTheme="majorHAnsi" w:cstheme="majorHAnsi"/>
          <w:sz w:val="24"/>
          <w:szCs w:val="24"/>
          <w:lang w:val="ru-MD"/>
        </w:rPr>
        <w:t xml:space="preserve">, с выпиской из </w:t>
      </w:r>
      <w:r w:rsidR="00B01C83" w:rsidRPr="00514B2D">
        <w:rPr>
          <w:rFonts w:asciiTheme="majorHAnsi" w:hAnsiTheme="majorHAnsi" w:cstheme="majorHAnsi"/>
          <w:sz w:val="24"/>
          <w:szCs w:val="24"/>
          <w:lang w:val="ru-MD"/>
        </w:rPr>
        <w:t>Реги</w:t>
      </w:r>
      <w:r w:rsidRPr="00514B2D">
        <w:rPr>
          <w:rFonts w:asciiTheme="majorHAnsi" w:hAnsiTheme="majorHAnsi" w:cstheme="majorHAnsi"/>
          <w:sz w:val="24"/>
          <w:szCs w:val="24"/>
          <w:lang w:val="ru-MD"/>
        </w:rPr>
        <w:t xml:space="preserve">стра </w:t>
      </w:r>
      <w:r w:rsidR="00514B2D" w:rsidRPr="00514B2D">
        <w:rPr>
          <w:rFonts w:asciiTheme="majorHAnsi" w:hAnsiTheme="majorHAnsi" w:cstheme="majorHAnsi"/>
          <w:sz w:val="24"/>
          <w:szCs w:val="24"/>
          <w:lang w:val="ru-MD"/>
        </w:rPr>
        <w:t xml:space="preserve">адвокатских кабинетов и объединенных адвокатских бюро </w:t>
      </w:r>
      <w:r w:rsidRPr="00514B2D">
        <w:rPr>
          <w:rFonts w:asciiTheme="majorHAnsi" w:hAnsiTheme="majorHAnsi" w:cstheme="majorHAnsi"/>
          <w:sz w:val="24"/>
          <w:szCs w:val="24"/>
          <w:lang w:val="ru-MD"/>
        </w:rPr>
        <w:t xml:space="preserve">и выпиской из </w:t>
      </w:r>
      <w:r w:rsidR="00514B2D" w:rsidRPr="00514B2D">
        <w:rPr>
          <w:rFonts w:asciiTheme="majorHAnsi" w:hAnsiTheme="majorHAnsi" w:cstheme="majorHAnsi"/>
          <w:sz w:val="24"/>
          <w:szCs w:val="24"/>
          <w:lang w:val="ru-MD"/>
        </w:rPr>
        <w:t>Г</w:t>
      </w:r>
      <w:r w:rsidRPr="00514B2D">
        <w:rPr>
          <w:rFonts w:asciiTheme="majorHAnsi" w:hAnsiTheme="majorHAnsi" w:cstheme="majorHAnsi"/>
          <w:sz w:val="24"/>
          <w:szCs w:val="24"/>
          <w:lang w:val="ru-MD"/>
        </w:rPr>
        <w:t xml:space="preserve">осударственного реестра </w:t>
      </w:r>
      <w:r w:rsidR="00514B2D" w:rsidRPr="00514B2D">
        <w:rPr>
          <w:rFonts w:asciiTheme="majorHAnsi" w:hAnsiTheme="majorHAnsi" w:cstheme="majorHAnsi"/>
          <w:sz w:val="24"/>
          <w:szCs w:val="24"/>
          <w:lang w:val="ru-MD"/>
        </w:rPr>
        <w:t>медиатор</w:t>
      </w:r>
      <w:r w:rsidRPr="00514B2D">
        <w:rPr>
          <w:rFonts w:asciiTheme="majorHAnsi" w:hAnsiTheme="majorHAnsi" w:cstheme="majorHAnsi"/>
          <w:sz w:val="24"/>
          <w:szCs w:val="24"/>
          <w:lang w:val="ru-MD"/>
        </w:rPr>
        <w:t>ов, размещенн</w:t>
      </w:r>
      <w:r w:rsidR="00514B2D" w:rsidRPr="00514B2D">
        <w:rPr>
          <w:rFonts w:asciiTheme="majorHAnsi" w:hAnsiTheme="majorHAnsi" w:cstheme="majorHAnsi"/>
          <w:sz w:val="24"/>
          <w:szCs w:val="24"/>
          <w:lang w:val="ru-MD"/>
        </w:rPr>
        <w:t>ых</w:t>
      </w:r>
      <w:r w:rsidRPr="00514B2D">
        <w:rPr>
          <w:rFonts w:asciiTheme="majorHAnsi" w:hAnsiTheme="majorHAnsi" w:cstheme="majorHAnsi"/>
          <w:sz w:val="24"/>
          <w:szCs w:val="24"/>
          <w:lang w:val="ru-MD"/>
        </w:rPr>
        <w:t xml:space="preserve"> на официально</w:t>
      </w:r>
      <w:r w:rsidR="00514B2D" w:rsidRPr="00514B2D">
        <w:rPr>
          <w:rFonts w:asciiTheme="majorHAnsi" w:hAnsiTheme="majorHAnsi" w:cstheme="majorHAnsi"/>
          <w:sz w:val="24"/>
          <w:szCs w:val="24"/>
          <w:lang w:val="ru-MD"/>
        </w:rPr>
        <w:t>м</w:t>
      </w:r>
      <w:r w:rsidRPr="00514B2D">
        <w:rPr>
          <w:rFonts w:asciiTheme="majorHAnsi" w:hAnsiTheme="majorHAnsi" w:cstheme="majorHAnsi"/>
          <w:sz w:val="24"/>
          <w:szCs w:val="24"/>
          <w:lang w:val="ru-MD"/>
        </w:rPr>
        <w:t xml:space="preserve"> с</w:t>
      </w:r>
      <w:r w:rsidR="00514B2D" w:rsidRPr="00514B2D">
        <w:rPr>
          <w:rFonts w:asciiTheme="majorHAnsi" w:hAnsiTheme="majorHAnsi" w:cstheme="majorHAnsi"/>
          <w:sz w:val="24"/>
          <w:szCs w:val="24"/>
          <w:lang w:val="ru-MD"/>
        </w:rPr>
        <w:t>айте Министерства юстиции</w:t>
      </w:r>
      <w:r w:rsidRPr="00514B2D">
        <w:rPr>
          <w:rFonts w:asciiTheme="majorHAnsi" w:hAnsiTheme="majorHAnsi" w:cstheme="majorHAnsi"/>
          <w:sz w:val="24"/>
          <w:szCs w:val="24"/>
          <w:lang w:val="ru-MD"/>
        </w:rPr>
        <w:t xml:space="preserve"> </w:t>
      </w:r>
      <w:r w:rsidR="005E7DC9" w:rsidRPr="00514B2D">
        <w:rPr>
          <w:rFonts w:asciiTheme="majorHAnsi" w:hAnsiTheme="majorHAnsi" w:cstheme="majorHAnsi"/>
          <w:sz w:val="24"/>
          <w:szCs w:val="24"/>
          <w:lang w:val="ru-MD"/>
        </w:rPr>
        <w:t>(</w:t>
      </w:r>
      <w:hyperlink r:id="rId13" w:history="1">
        <w:r w:rsidR="005E7DC9" w:rsidRPr="00514B2D">
          <w:rPr>
            <w:rStyle w:val="af2"/>
            <w:rFonts w:asciiTheme="majorHAnsi" w:hAnsiTheme="majorHAnsi" w:cstheme="majorHAnsi"/>
            <w:sz w:val="24"/>
            <w:szCs w:val="24"/>
            <w:lang w:val="ru-MD"/>
          </w:rPr>
          <w:t>www.justice.gov.md</w:t>
        </w:r>
      </w:hyperlink>
      <w:r w:rsidR="005E7DC9" w:rsidRPr="00514B2D">
        <w:rPr>
          <w:rFonts w:asciiTheme="majorHAnsi" w:hAnsiTheme="majorHAnsi" w:cstheme="majorHAnsi"/>
          <w:sz w:val="24"/>
          <w:szCs w:val="24"/>
          <w:lang w:val="ru-MD"/>
        </w:rPr>
        <w:t xml:space="preserve">). </w:t>
      </w:r>
      <w:r w:rsidRPr="00514B2D">
        <w:rPr>
          <w:rFonts w:asciiTheme="majorHAnsi" w:hAnsiTheme="majorHAnsi" w:cstheme="majorHAnsi"/>
          <w:sz w:val="24"/>
          <w:szCs w:val="24"/>
          <w:lang w:val="ru-MD"/>
        </w:rPr>
        <w:t xml:space="preserve">Результаты </w:t>
      </w:r>
      <w:r w:rsidR="00514B2D" w:rsidRPr="00514B2D">
        <w:rPr>
          <w:rFonts w:asciiTheme="majorHAnsi" w:hAnsiTheme="majorHAnsi" w:cstheme="majorHAnsi"/>
          <w:sz w:val="24"/>
          <w:szCs w:val="24"/>
          <w:lang w:val="ru-MD"/>
        </w:rPr>
        <w:t xml:space="preserve">сверки </w:t>
      </w:r>
      <w:r w:rsidRPr="00514B2D">
        <w:rPr>
          <w:rFonts w:asciiTheme="majorHAnsi" w:hAnsiTheme="majorHAnsi" w:cstheme="majorHAnsi"/>
          <w:sz w:val="24"/>
          <w:szCs w:val="24"/>
          <w:lang w:val="ru-MD"/>
        </w:rPr>
        <w:t>свидетельствуют о том, что из 114 случаев регистрации адвокатских кабинетов</w:t>
      </w:r>
      <w:r w:rsidR="00514B2D" w:rsidRPr="00514B2D">
        <w:rPr>
          <w:rFonts w:asciiTheme="majorHAnsi" w:hAnsiTheme="majorHAnsi" w:cstheme="majorHAnsi"/>
          <w:sz w:val="24"/>
          <w:szCs w:val="24"/>
          <w:lang w:val="ru-MD"/>
        </w:rPr>
        <w:t>,</w:t>
      </w:r>
      <w:r w:rsidRPr="00514B2D">
        <w:rPr>
          <w:rFonts w:asciiTheme="majorHAnsi" w:hAnsiTheme="majorHAnsi" w:cstheme="majorHAnsi"/>
          <w:sz w:val="24"/>
          <w:szCs w:val="24"/>
          <w:lang w:val="ru-MD"/>
        </w:rPr>
        <w:t xml:space="preserve"> в 43 случаях (37,7%) срок регистрации был превышен </w:t>
      </w:r>
      <w:r w:rsidR="00514B2D" w:rsidRPr="00514B2D">
        <w:rPr>
          <w:rFonts w:asciiTheme="majorHAnsi" w:hAnsiTheme="majorHAnsi" w:cstheme="majorHAnsi"/>
          <w:sz w:val="24"/>
          <w:szCs w:val="24"/>
          <w:lang w:val="ru-MD"/>
        </w:rPr>
        <w:t>от</w:t>
      </w:r>
      <w:r w:rsidRPr="00514B2D">
        <w:rPr>
          <w:rFonts w:asciiTheme="majorHAnsi" w:hAnsiTheme="majorHAnsi" w:cstheme="majorHAnsi"/>
          <w:sz w:val="24"/>
          <w:szCs w:val="24"/>
          <w:lang w:val="ru-MD"/>
        </w:rPr>
        <w:t xml:space="preserve"> 1 дня до 431 дн</w:t>
      </w:r>
      <w:r w:rsidR="00514B2D" w:rsidRPr="00514B2D">
        <w:rPr>
          <w:rFonts w:asciiTheme="majorHAnsi" w:hAnsiTheme="majorHAnsi" w:cstheme="majorHAnsi"/>
          <w:sz w:val="24"/>
          <w:szCs w:val="24"/>
          <w:lang w:val="ru-MD"/>
        </w:rPr>
        <w:t>ей</w:t>
      </w:r>
      <w:r w:rsidRPr="00514B2D">
        <w:rPr>
          <w:rFonts w:asciiTheme="majorHAnsi" w:hAnsiTheme="majorHAnsi" w:cstheme="majorHAnsi"/>
          <w:sz w:val="24"/>
          <w:szCs w:val="24"/>
          <w:lang w:val="ru-MD"/>
        </w:rPr>
        <w:t xml:space="preserve">, а в 18 случаях (15,8%) </w:t>
      </w:r>
      <w:r w:rsidR="00514B2D" w:rsidRPr="00514B2D">
        <w:rPr>
          <w:rFonts w:asciiTheme="majorHAnsi" w:hAnsiTheme="majorHAnsi" w:cstheme="majorHAnsi"/>
          <w:sz w:val="24"/>
          <w:szCs w:val="24"/>
          <w:lang w:val="ru-MD"/>
        </w:rPr>
        <w:t>субъект</w:t>
      </w:r>
      <w:r w:rsidRPr="00514B2D">
        <w:rPr>
          <w:rFonts w:asciiTheme="majorHAnsi" w:hAnsiTheme="majorHAnsi" w:cstheme="majorHAnsi"/>
          <w:sz w:val="24"/>
          <w:szCs w:val="24"/>
          <w:lang w:val="ru-MD"/>
        </w:rPr>
        <w:t xml:space="preserve"> не был зарегистрирован</w:t>
      </w:r>
      <w:r w:rsidR="00514B2D" w:rsidRPr="00514B2D">
        <w:rPr>
          <w:rFonts w:asciiTheme="majorHAnsi" w:hAnsiTheme="majorHAnsi" w:cstheme="majorHAnsi"/>
          <w:sz w:val="24"/>
          <w:szCs w:val="24"/>
          <w:lang w:val="ru-MD"/>
        </w:rPr>
        <w:t xml:space="preserve"> в качестве</w:t>
      </w:r>
      <w:r w:rsidRPr="00514B2D">
        <w:rPr>
          <w:rFonts w:asciiTheme="majorHAnsi" w:hAnsiTheme="majorHAnsi" w:cstheme="majorHAnsi"/>
          <w:sz w:val="24"/>
          <w:szCs w:val="24"/>
          <w:lang w:val="ru-MD"/>
        </w:rPr>
        <w:t xml:space="preserve"> плательщик</w:t>
      </w:r>
      <w:r w:rsidR="00514B2D" w:rsidRPr="00514B2D">
        <w:rPr>
          <w:rFonts w:asciiTheme="majorHAnsi" w:hAnsiTheme="majorHAnsi" w:cstheme="majorHAnsi"/>
          <w:sz w:val="24"/>
          <w:szCs w:val="24"/>
          <w:lang w:val="ru-MD"/>
        </w:rPr>
        <w:t>а</w:t>
      </w:r>
      <w:r w:rsidRPr="00514B2D">
        <w:rPr>
          <w:rFonts w:asciiTheme="majorHAnsi" w:hAnsiTheme="majorHAnsi" w:cstheme="majorHAnsi"/>
          <w:sz w:val="24"/>
          <w:szCs w:val="24"/>
          <w:lang w:val="ru-MD"/>
        </w:rPr>
        <w:t xml:space="preserve"> взносов в </w:t>
      </w:r>
      <w:r w:rsidR="00B01C83" w:rsidRPr="00514B2D">
        <w:rPr>
          <w:rFonts w:asciiTheme="majorHAnsi" w:hAnsiTheme="majorHAnsi" w:cstheme="majorHAnsi"/>
          <w:sz w:val="24"/>
          <w:szCs w:val="24"/>
          <w:lang w:val="ru-MD"/>
        </w:rPr>
        <w:t>БГСС</w:t>
      </w:r>
      <w:r w:rsidRPr="00514B2D">
        <w:rPr>
          <w:rFonts w:asciiTheme="majorHAnsi" w:hAnsiTheme="majorHAnsi" w:cstheme="majorHAnsi"/>
          <w:sz w:val="24"/>
          <w:szCs w:val="24"/>
          <w:lang w:val="ru-MD"/>
        </w:rPr>
        <w:t xml:space="preserve">. Результаты проверки регистрации 10 </w:t>
      </w:r>
      <w:r w:rsidR="00514B2D" w:rsidRPr="00514B2D">
        <w:rPr>
          <w:rFonts w:asciiTheme="majorHAnsi" w:hAnsiTheme="majorHAnsi" w:cstheme="majorHAnsi"/>
          <w:sz w:val="24"/>
          <w:szCs w:val="24"/>
          <w:lang w:val="ru-MD"/>
        </w:rPr>
        <w:t>медиатор</w:t>
      </w:r>
      <w:r w:rsidRPr="00514B2D">
        <w:rPr>
          <w:rFonts w:asciiTheme="majorHAnsi" w:hAnsiTheme="majorHAnsi" w:cstheme="majorHAnsi"/>
          <w:sz w:val="24"/>
          <w:szCs w:val="24"/>
          <w:lang w:val="ru-MD"/>
        </w:rPr>
        <w:t>ских бюро показ</w:t>
      </w:r>
      <w:r w:rsidR="00514B2D" w:rsidRPr="00514B2D">
        <w:rPr>
          <w:rFonts w:asciiTheme="majorHAnsi" w:hAnsiTheme="majorHAnsi" w:cstheme="majorHAnsi"/>
          <w:sz w:val="24"/>
          <w:szCs w:val="24"/>
          <w:lang w:val="ru-MD"/>
        </w:rPr>
        <w:t>али</w:t>
      </w:r>
      <w:r w:rsidRPr="00514B2D">
        <w:rPr>
          <w:rFonts w:asciiTheme="majorHAnsi" w:hAnsiTheme="majorHAnsi" w:cstheme="majorHAnsi"/>
          <w:sz w:val="24"/>
          <w:szCs w:val="24"/>
          <w:lang w:val="ru-MD"/>
        </w:rPr>
        <w:t xml:space="preserve">, что в 3 случаях (30%) </w:t>
      </w:r>
      <w:r w:rsidR="00514B2D" w:rsidRPr="00514B2D">
        <w:rPr>
          <w:rFonts w:asciiTheme="majorHAnsi" w:hAnsiTheme="majorHAnsi" w:cstheme="majorHAnsi"/>
          <w:sz w:val="24"/>
          <w:szCs w:val="24"/>
          <w:lang w:val="ru-MD"/>
        </w:rPr>
        <w:t>субъект</w:t>
      </w:r>
      <w:r w:rsidRPr="00514B2D">
        <w:rPr>
          <w:rFonts w:asciiTheme="majorHAnsi" w:hAnsiTheme="majorHAnsi" w:cstheme="majorHAnsi"/>
          <w:sz w:val="24"/>
          <w:szCs w:val="24"/>
          <w:lang w:val="ru-MD"/>
        </w:rPr>
        <w:t xml:space="preserve">ы были зарегистрированы с опозданием, а в 6 случаях (60%) </w:t>
      </w:r>
      <w:r w:rsidR="00514B2D" w:rsidRPr="00514B2D">
        <w:rPr>
          <w:rFonts w:asciiTheme="majorHAnsi" w:hAnsiTheme="majorHAnsi" w:cstheme="majorHAnsi"/>
          <w:sz w:val="24"/>
          <w:szCs w:val="24"/>
          <w:lang w:val="ru-MD"/>
        </w:rPr>
        <w:t>субъект</w:t>
      </w:r>
      <w:r w:rsidRPr="00514B2D">
        <w:rPr>
          <w:rFonts w:asciiTheme="majorHAnsi" w:hAnsiTheme="majorHAnsi" w:cstheme="majorHAnsi"/>
          <w:sz w:val="24"/>
          <w:szCs w:val="24"/>
          <w:lang w:val="ru-MD"/>
        </w:rPr>
        <w:t xml:space="preserve">ы не </w:t>
      </w:r>
      <w:r w:rsidR="00514B2D" w:rsidRPr="00514B2D">
        <w:rPr>
          <w:rFonts w:asciiTheme="majorHAnsi" w:hAnsiTheme="majorHAnsi" w:cstheme="majorHAnsi"/>
          <w:sz w:val="24"/>
          <w:szCs w:val="24"/>
          <w:lang w:val="ru-MD"/>
        </w:rPr>
        <w:t>за</w:t>
      </w:r>
      <w:r w:rsidRPr="00514B2D">
        <w:rPr>
          <w:rFonts w:asciiTheme="majorHAnsi" w:hAnsiTheme="majorHAnsi" w:cstheme="majorHAnsi"/>
          <w:sz w:val="24"/>
          <w:szCs w:val="24"/>
          <w:lang w:val="ru-MD"/>
        </w:rPr>
        <w:t>регистрир</w:t>
      </w:r>
      <w:r w:rsidR="00514B2D" w:rsidRPr="00514B2D">
        <w:rPr>
          <w:rFonts w:asciiTheme="majorHAnsi" w:hAnsiTheme="majorHAnsi" w:cstheme="majorHAnsi"/>
          <w:sz w:val="24"/>
          <w:szCs w:val="24"/>
          <w:lang w:val="ru-MD"/>
        </w:rPr>
        <w:t>ованы</w:t>
      </w:r>
      <w:r w:rsidRPr="00514B2D">
        <w:rPr>
          <w:rFonts w:asciiTheme="majorHAnsi" w:hAnsiTheme="majorHAnsi" w:cstheme="majorHAnsi"/>
          <w:sz w:val="24"/>
          <w:szCs w:val="24"/>
          <w:lang w:val="ru-MD"/>
        </w:rPr>
        <w:t xml:space="preserve"> в качестве плательщиков взносов в </w:t>
      </w:r>
      <w:r w:rsidR="00B01C83" w:rsidRPr="00514B2D">
        <w:rPr>
          <w:rFonts w:asciiTheme="majorHAnsi" w:hAnsiTheme="majorHAnsi" w:cstheme="majorHAnsi"/>
          <w:sz w:val="24"/>
          <w:szCs w:val="24"/>
          <w:lang w:val="ru-MD"/>
        </w:rPr>
        <w:t>БГСС</w:t>
      </w:r>
      <w:r w:rsidRPr="00514B2D">
        <w:rPr>
          <w:rFonts w:asciiTheme="majorHAnsi" w:hAnsiTheme="majorHAnsi" w:cstheme="majorHAnsi"/>
          <w:sz w:val="24"/>
          <w:szCs w:val="24"/>
          <w:lang w:val="ru-MD"/>
        </w:rPr>
        <w:t>.</w:t>
      </w:r>
      <w:r w:rsidR="005E7DC9" w:rsidRPr="00653E85">
        <w:rPr>
          <w:rFonts w:asciiTheme="majorHAnsi" w:hAnsiTheme="majorHAnsi" w:cstheme="majorHAnsi"/>
          <w:sz w:val="24"/>
          <w:szCs w:val="24"/>
          <w:lang w:val="ro-MD"/>
        </w:rPr>
        <w:t xml:space="preserve"> </w:t>
      </w:r>
      <w:r w:rsidRPr="00514B2D">
        <w:rPr>
          <w:rFonts w:asciiTheme="majorHAnsi" w:hAnsiTheme="majorHAnsi" w:cstheme="majorHAnsi"/>
          <w:sz w:val="24"/>
          <w:szCs w:val="24"/>
          <w:lang w:val="ru-MD"/>
        </w:rPr>
        <w:t xml:space="preserve">Эти ситуации были допущены из-за отсутствия </w:t>
      </w:r>
      <w:r w:rsidR="00514B2D" w:rsidRPr="00514B2D">
        <w:rPr>
          <w:rFonts w:asciiTheme="majorHAnsi" w:hAnsiTheme="majorHAnsi" w:cstheme="majorHAnsi"/>
          <w:sz w:val="24"/>
          <w:szCs w:val="24"/>
          <w:lang w:val="ru-MD"/>
        </w:rPr>
        <w:t>взаимодействия</w:t>
      </w:r>
      <w:r w:rsidRPr="00514B2D">
        <w:rPr>
          <w:rFonts w:asciiTheme="majorHAnsi" w:hAnsiTheme="majorHAnsi" w:cstheme="majorHAnsi"/>
          <w:sz w:val="24"/>
          <w:szCs w:val="24"/>
          <w:lang w:val="ru-MD"/>
        </w:rPr>
        <w:t xml:space="preserve"> уполномоченного органа с правом регистрации (Мин</w:t>
      </w:r>
      <w:r w:rsidR="00514B2D" w:rsidRPr="00514B2D">
        <w:rPr>
          <w:rFonts w:asciiTheme="majorHAnsi" w:hAnsiTheme="majorHAnsi" w:cstheme="majorHAnsi"/>
          <w:sz w:val="24"/>
          <w:szCs w:val="24"/>
          <w:lang w:val="ru-MD"/>
        </w:rPr>
        <w:t xml:space="preserve">истерства </w:t>
      </w:r>
      <w:r w:rsidRPr="00514B2D">
        <w:rPr>
          <w:rFonts w:asciiTheme="majorHAnsi" w:hAnsiTheme="majorHAnsi" w:cstheme="majorHAnsi"/>
          <w:sz w:val="24"/>
          <w:szCs w:val="24"/>
          <w:lang w:val="ru-MD"/>
        </w:rPr>
        <w:t>юст</w:t>
      </w:r>
      <w:r w:rsidR="00514B2D" w:rsidRPr="00514B2D">
        <w:rPr>
          <w:rFonts w:asciiTheme="majorHAnsi" w:hAnsiTheme="majorHAnsi" w:cstheme="majorHAnsi"/>
          <w:sz w:val="24"/>
          <w:szCs w:val="24"/>
          <w:lang w:val="ru-MD"/>
        </w:rPr>
        <w:t>иции</w:t>
      </w:r>
      <w:r w:rsidRPr="00514B2D">
        <w:rPr>
          <w:rFonts w:asciiTheme="majorHAnsi" w:hAnsiTheme="majorHAnsi" w:cstheme="majorHAnsi"/>
          <w:sz w:val="24"/>
          <w:szCs w:val="24"/>
          <w:lang w:val="ru-MD"/>
        </w:rPr>
        <w:t>) с НКСС, а также отсутствия электронно</w:t>
      </w:r>
      <w:r w:rsidR="00514B2D" w:rsidRPr="00514B2D">
        <w:rPr>
          <w:rFonts w:asciiTheme="majorHAnsi" w:hAnsiTheme="majorHAnsi" w:cstheme="majorHAnsi"/>
          <w:sz w:val="24"/>
          <w:szCs w:val="24"/>
          <w:lang w:val="ru-MD"/>
        </w:rPr>
        <w:t>го регистра по учету</w:t>
      </w:r>
      <w:r w:rsidRPr="00514B2D">
        <w:rPr>
          <w:rFonts w:asciiTheme="majorHAnsi" w:hAnsiTheme="majorHAnsi" w:cstheme="majorHAnsi"/>
          <w:sz w:val="24"/>
          <w:szCs w:val="24"/>
          <w:lang w:val="ru-MD"/>
        </w:rPr>
        <w:t xml:space="preserve"> </w:t>
      </w:r>
      <w:r w:rsidR="00B01C83" w:rsidRPr="00514B2D">
        <w:rPr>
          <w:rFonts w:asciiTheme="majorHAnsi" w:hAnsiTheme="majorHAnsi" w:cstheme="majorHAnsi"/>
          <w:sz w:val="24"/>
          <w:szCs w:val="24"/>
          <w:lang w:val="ru-MD"/>
        </w:rPr>
        <w:t>свободных профессионал</w:t>
      </w:r>
      <w:r w:rsidRPr="00514B2D">
        <w:rPr>
          <w:rFonts w:asciiTheme="majorHAnsi" w:hAnsiTheme="majorHAnsi" w:cstheme="majorHAnsi"/>
          <w:sz w:val="24"/>
          <w:szCs w:val="24"/>
          <w:lang w:val="ru-MD"/>
        </w:rPr>
        <w:t>ов, котор</w:t>
      </w:r>
      <w:r w:rsidR="00514B2D" w:rsidRPr="00514B2D">
        <w:rPr>
          <w:rFonts w:asciiTheme="majorHAnsi" w:hAnsiTheme="majorHAnsi" w:cstheme="majorHAnsi"/>
          <w:sz w:val="24"/>
          <w:szCs w:val="24"/>
          <w:lang w:val="ru-MD"/>
        </w:rPr>
        <w:t>ый</w:t>
      </w:r>
      <w:r w:rsidRPr="00514B2D">
        <w:rPr>
          <w:rFonts w:asciiTheme="majorHAnsi" w:hAnsiTheme="majorHAnsi" w:cstheme="majorHAnsi"/>
          <w:sz w:val="24"/>
          <w:szCs w:val="24"/>
          <w:lang w:val="ru-MD"/>
        </w:rPr>
        <w:t xml:space="preserve"> обеспечил бы передачу информации о регистрации деятельности автоматически</w:t>
      </w:r>
      <w:r w:rsidR="00514B2D" w:rsidRPr="00514B2D">
        <w:rPr>
          <w:rFonts w:asciiTheme="majorHAnsi" w:hAnsiTheme="majorHAnsi" w:cstheme="majorHAnsi"/>
          <w:sz w:val="24"/>
          <w:szCs w:val="24"/>
          <w:lang w:val="ru-MD"/>
        </w:rPr>
        <w:t>,</w:t>
      </w:r>
      <w:r w:rsidRPr="00514B2D">
        <w:rPr>
          <w:rFonts w:asciiTheme="majorHAnsi" w:hAnsiTheme="majorHAnsi" w:cstheme="majorHAnsi"/>
          <w:sz w:val="24"/>
          <w:szCs w:val="24"/>
          <w:lang w:val="ru-MD"/>
        </w:rPr>
        <w:t xml:space="preserve"> через платформу </w:t>
      </w:r>
      <w:r w:rsidR="00514B2D" w:rsidRPr="00514B2D">
        <w:rPr>
          <w:rFonts w:asciiTheme="majorHAnsi" w:hAnsiTheme="majorHAnsi" w:cstheme="majorHAnsi"/>
          <w:sz w:val="24"/>
          <w:szCs w:val="24"/>
          <w:lang w:val="ru-MD"/>
        </w:rPr>
        <w:t>интероперабельности</w:t>
      </w:r>
      <w:r w:rsidRPr="00514B2D">
        <w:rPr>
          <w:rFonts w:asciiTheme="majorHAnsi" w:hAnsiTheme="majorHAnsi" w:cstheme="majorHAnsi"/>
          <w:sz w:val="24"/>
          <w:szCs w:val="24"/>
          <w:lang w:val="ru-MD"/>
        </w:rPr>
        <w:t xml:space="preserve"> (MConnect), через межсистемные </w:t>
      </w:r>
      <w:r w:rsidR="00514B2D" w:rsidRPr="00514B2D">
        <w:rPr>
          <w:rFonts w:asciiTheme="majorHAnsi" w:hAnsiTheme="majorHAnsi" w:cstheme="majorHAnsi"/>
          <w:sz w:val="24"/>
          <w:szCs w:val="24"/>
          <w:lang w:val="ru-MD"/>
        </w:rPr>
        <w:t xml:space="preserve">подключения НКСС и Министерства </w:t>
      </w:r>
      <w:r w:rsidR="00514B2D" w:rsidRPr="00E305E7">
        <w:rPr>
          <w:rFonts w:asciiTheme="majorHAnsi" w:hAnsiTheme="majorHAnsi" w:cstheme="majorHAnsi"/>
          <w:sz w:val="24"/>
          <w:szCs w:val="24"/>
          <w:lang w:val="ru-MD"/>
        </w:rPr>
        <w:t>юстиции</w:t>
      </w:r>
      <w:r w:rsidR="005E7DC9" w:rsidRPr="00E305E7">
        <w:rPr>
          <w:rFonts w:asciiTheme="majorHAnsi" w:hAnsiTheme="majorHAnsi" w:cstheme="majorHAnsi"/>
          <w:sz w:val="24"/>
          <w:szCs w:val="24"/>
          <w:lang w:val="ru-MD"/>
        </w:rPr>
        <w:t xml:space="preserve">. </w:t>
      </w:r>
      <w:r w:rsidR="00514B2D" w:rsidRPr="00E305E7">
        <w:rPr>
          <w:rFonts w:asciiTheme="majorHAnsi" w:hAnsiTheme="majorHAnsi" w:cstheme="majorHAnsi"/>
          <w:sz w:val="24"/>
          <w:szCs w:val="24"/>
          <w:lang w:val="ru-MD"/>
        </w:rPr>
        <w:t>Как следствие</w:t>
      </w:r>
      <w:r w:rsidRPr="00E305E7">
        <w:rPr>
          <w:rFonts w:asciiTheme="majorHAnsi" w:hAnsiTheme="majorHAnsi" w:cstheme="majorHAnsi"/>
          <w:sz w:val="24"/>
          <w:szCs w:val="24"/>
          <w:lang w:val="ru-MD"/>
        </w:rPr>
        <w:t xml:space="preserve">, представитель </w:t>
      </w:r>
      <w:r w:rsidR="00514B2D" w:rsidRPr="00E305E7">
        <w:rPr>
          <w:rFonts w:asciiTheme="majorHAnsi" w:hAnsiTheme="majorHAnsi" w:cstheme="majorHAnsi"/>
          <w:sz w:val="24"/>
          <w:szCs w:val="24"/>
          <w:lang w:val="ru-MD"/>
        </w:rPr>
        <w:t>субъекта</w:t>
      </w:r>
      <w:r w:rsidRPr="00E305E7">
        <w:rPr>
          <w:rFonts w:asciiTheme="majorHAnsi" w:hAnsiTheme="majorHAnsi" w:cstheme="majorHAnsi"/>
          <w:sz w:val="24"/>
          <w:szCs w:val="24"/>
          <w:lang w:val="ru-MD"/>
        </w:rPr>
        <w:t xml:space="preserve"> должен физически явиться в </w:t>
      </w:r>
      <w:r w:rsidR="00514B2D" w:rsidRPr="00E305E7">
        <w:rPr>
          <w:rFonts w:asciiTheme="majorHAnsi" w:hAnsiTheme="majorHAnsi" w:cstheme="majorHAnsi"/>
          <w:sz w:val="24"/>
          <w:szCs w:val="24"/>
          <w:lang w:val="ru-MD"/>
        </w:rPr>
        <w:t>НКСС</w:t>
      </w:r>
      <w:r w:rsidRPr="00E305E7">
        <w:rPr>
          <w:rFonts w:asciiTheme="majorHAnsi" w:hAnsiTheme="majorHAnsi" w:cstheme="majorHAnsi"/>
          <w:sz w:val="24"/>
          <w:szCs w:val="24"/>
          <w:lang w:val="ru-MD"/>
        </w:rPr>
        <w:t xml:space="preserve">, где </w:t>
      </w:r>
      <w:r w:rsidR="00514B2D" w:rsidRPr="00E305E7">
        <w:rPr>
          <w:rFonts w:asciiTheme="majorHAnsi" w:hAnsiTheme="majorHAnsi" w:cstheme="majorHAnsi"/>
          <w:sz w:val="24"/>
          <w:szCs w:val="24"/>
          <w:lang w:val="ru-MD"/>
        </w:rPr>
        <w:t>он имеет</w:t>
      </w:r>
      <w:r w:rsidRPr="00E305E7">
        <w:rPr>
          <w:rFonts w:asciiTheme="majorHAnsi" w:hAnsiTheme="majorHAnsi" w:cstheme="majorHAnsi"/>
          <w:sz w:val="24"/>
          <w:szCs w:val="24"/>
          <w:lang w:val="ru-MD"/>
        </w:rPr>
        <w:t xml:space="preserve"> юридический адрес, и подать заявление </w:t>
      </w:r>
      <w:r w:rsidR="00112CE7" w:rsidRPr="00E305E7">
        <w:rPr>
          <w:rFonts w:asciiTheme="majorHAnsi" w:hAnsiTheme="majorHAnsi" w:cstheme="majorHAnsi"/>
          <w:sz w:val="24"/>
          <w:szCs w:val="24"/>
          <w:lang w:val="ru-MD"/>
        </w:rPr>
        <w:t>о</w:t>
      </w:r>
      <w:r w:rsidRPr="00E305E7">
        <w:rPr>
          <w:rFonts w:asciiTheme="majorHAnsi" w:hAnsiTheme="majorHAnsi" w:cstheme="majorHAnsi"/>
          <w:sz w:val="24"/>
          <w:szCs w:val="24"/>
          <w:lang w:val="ru-MD"/>
        </w:rPr>
        <w:t xml:space="preserve"> </w:t>
      </w:r>
      <w:r w:rsidR="00112CE7" w:rsidRPr="00E305E7">
        <w:rPr>
          <w:rFonts w:asciiTheme="majorHAnsi" w:hAnsiTheme="majorHAnsi" w:cstheme="majorHAnsi"/>
          <w:sz w:val="24"/>
          <w:szCs w:val="24"/>
          <w:lang w:val="ru-MD"/>
        </w:rPr>
        <w:t>принятии на</w:t>
      </w:r>
      <w:r w:rsidRPr="00E305E7">
        <w:rPr>
          <w:rFonts w:asciiTheme="majorHAnsi" w:hAnsiTheme="majorHAnsi" w:cstheme="majorHAnsi"/>
          <w:sz w:val="24"/>
          <w:szCs w:val="24"/>
          <w:lang w:val="ru-MD"/>
        </w:rPr>
        <w:t xml:space="preserve"> учет</w:t>
      </w:r>
      <w:r w:rsidR="005E7DC9" w:rsidRPr="00E305E7">
        <w:rPr>
          <w:rStyle w:val="a5"/>
          <w:rFonts w:asciiTheme="majorHAnsi" w:hAnsiTheme="majorHAnsi" w:cstheme="majorHAnsi"/>
          <w:sz w:val="24"/>
          <w:szCs w:val="24"/>
          <w:lang w:val="ru-MD"/>
        </w:rPr>
        <w:footnoteReference w:id="36"/>
      </w:r>
      <w:r w:rsidR="005E7DC9" w:rsidRPr="00E305E7">
        <w:rPr>
          <w:rFonts w:asciiTheme="majorHAnsi" w:hAnsiTheme="majorHAnsi" w:cstheme="majorHAnsi"/>
          <w:sz w:val="24"/>
          <w:szCs w:val="24"/>
          <w:lang w:val="ru-MD"/>
        </w:rPr>
        <w:t xml:space="preserve">. </w:t>
      </w:r>
    </w:p>
    <w:p w14:paraId="55845085" w14:textId="55E29C34" w:rsidR="005E7DC9" w:rsidRPr="006C002F" w:rsidRDefault="00207E1C" w:rsidP="005E7DC9">
      <w:pPr>
        <w:tabs>
          <w:tab w:val="left" w:pos="3408"/>
        </w:tabs>
        <w:spacing w:line="276" w:lineRule="auto"/>
        <w:jc w:val="both"/>
        <w:rPr>
          <w:rFonts w:asciiTheme="majorHAnsi" w:hAnsiTheme="majorHAnsi" w:cstheme="majorHAnsi"/>
          <w:sz w:val="24"/>
          <w:szCs w:val="24"/>
          <w:lang w:val="ru-MD"/>
        </w:rPr>
      </w:pPr>
      <w:r w:rsidRPr="006C002F">
        <w:rPr>
          <w:rFonts w:asciiTheme="majorHAnsi" w:hAnsiTheme="majorHAnsi" w:cstheme="majorHAnsi"/>
          <w:sz w:val="24"/>
          <w:szCs w:val="24"/>
          <w:lang w:val="ru-MD"/>
        </w:rPr>
        <w:t>Хотя НКСС предпринял</w:t>
      </w:r>
      <w:r w:rsidR="00E305E7" w:rsidRPr="006C002F">
        <w:rPr>
          <w:rFonts w:asciiTheme="majorHAnsi" w:hAnsiTheme="majorHAnsi" w:cstheme="majorHAnsi"/>
          <w:sz w:val="24"/>
          <w:szCs w:val="24"/>
          <w:lang w:val="ru-MD"/>
        </w:rPr>
        <w:t>а</w:t>
      </w:r>
      <w:r w:rsidRPr="006C002F">
        <w:rPr>
          <w:rFonts w:asciiTheme="majorHAnsi" w:hAnsiTheme="majorHAnsi" w:cstheme="majorHAnsi"/>
          <w:sz w:val="24"/>
          <w:szCs w:val="24"/>
          <w:lang w:val="ru-MD"/>
        </w:rPr>
        <w:t xml:space="preserve"> меры по информированию Союза </w:t>
      </w:r>
      <w:r w:rsidR="00E305E7" w:rsidRPr="006C002F">
        <w:rPr>
          <w:rFonts w:asciiTheme="majorHAnsi" w:hAnsiTheme="majorHAnsi" w:cstheme="majorHAnsi"/>
          <w:sz w:val="24"/>
          <w:szCs w:val="24"/>
          <w:lang w:val="ru-MD"/>
        </w:rPr>
        <w:t>адвока</w:t>
      </w:r>
      <w:r w:rsidRPr="006C002F">
        <w:rPr>
          <w:rFonts w:asciiTheme="majorHAnsi" w:hAnsiTheme="majorHAnsi" w:cstheme="majorHAnsi"/>
          <w:sz w:val="24"/>
          <w:szCs w:val="24"/>
          <w:lang w:val="ru-MD"/>
        </w:rPr>
        <w:t>тов и</w:t>
      </w:r>
      <w:r w:rsidR="00E305E7" w:rsidRPr="006C002F">
        <w:rPr>
          <w:rFonts w:asciiTheme="majorHAnsi" w:hAnsiTheme="majorHAnsi" w:cstheme="majorHAnsi"/>
          <w:sz w:val="24"/>
          <w:szCs w:val="24"/>
          <w:lang w:val="ru-MD"/>
        </w:rPr>
        <w:t>,</w:t>
      </w:r>
      <w:r w:rsidRPr="006C002F">
        <w:rPr>
          <w:rFonts w:asciiTheme="majorHAnsi" w:hAnsiTheme="majorHAnsi" w:cstheme="majorHAnsi"/>
          <w:sz w:val="24"/>
          <w:szCs w:val="24"/>
          <w:lang w:val="ru-MD"/>
        </w:rPr>
        <w:t xml:space="preserve"> </w:t>
      </w:r>
      <w:r w:rsidR="00E305E7" w:rsidRPr="006C002F">
        <w:rPr>
          <w:rFonts w:asciiTheme="majorHAnsi" w:hAnsiTheme="majorHAnsi" w:cstheme="majorHAnsi"/>
          <w:sz w:val="24"/>
          <w:szCs w:val="24"/>
          <w:lang w:val="ru-MD"/>
        </w:rPr>
        <w:t xml:space="preserve">соответственно, </w:t>
      </w:r>
      <w:r w:rsidRPr="006C002F">
        <w:rPr>
          <w:rFonts w:asciiTheme="majorHAnsi" w:hAnsiTheme="majorHAnsi" w:cstheme="majorHAnsi"/>
          <w:sz w:val="24"/>
          <w:szCs w:val="24"/>
          <w:lang w:val="ru-MD"/>
        </w:rPr>
        <w:t xml:space="preserve">Совета </w:t>
      </w:r>
      <w:r w:rsidR="00E305E7" w:rsidRPr="006C002F">
        <w:rPr>
          <w:rFonts w:asciiTheme="majorHAnsi" w:hAnsiTheme="majorHAnsi" w:cstheme="majorHAnsi"/>
          <w:sz w:val="24"/>
          <w:szCs w:val="24"/>
          <w:lang w:val="ru-MD"/>
        </w:rPr>
        <w:t>медиаторов</w:t>
      </w:r>
      <w:r w:rsidRPr="006C002F">
        <w:rPr>
          <w:rFonts w:asciiTheme="majorHAnsi" w:hAnsiTheme="majorHAnsi" w:cstheme="majorHAnsi"/>
          <w:sz w:val="24"/>
          <w:szCs w:val="24"/>
          <w:lang w:val="ru-MD"/>
        </w:rPr>
        <w:t>, относительно необходимости регистрации этой категории плательщиков, не все лица, которые зарегистрировали формы организации предполагаемой деятельности, выполняли свои обяза</w:t>
      </w:r>
      <w:r w:rsidR="00E305E7" w:rsidRPr="006C002F">
        <w:rPr>
          <w:rFonts w:asciiTheme="majorHAnsi" w:hAnsiTheme="majorHAnsi" w:cstheme="majorHAnsi"/>
          <w:sz w:val="24"/>
          <w:szCs w:val="24"/>
          <w:lang w:val="ru-MD"/>
        </w:rPr>
        <w:t>нности</w:t>
      </w:r>
      <w:r w:rsidRPr="006C002F">
        <w:rPr>
          <w:rFonts w:asciiTheme="majorHAnsi" w:hAnsiTheme="majorHAnsi" w:cstheme="majorHAnsi"/>
          <w:sz w:val="24"/>
          <w:szCs w:val="24"/>
          <w:lang w:val="ru-MD"/>
        </w:rPr>
        <w:t xml:space="preserve"> по регистрации в качестве плательщиков в </w:t>
      </w:r>
      <w:r w:rsidR="00B01C83" w:rsidRPr="006C002F">
        <w:rPr>
          <w:rFonts w:asciiTheme="majorHAnsi" w:hAnsiTheme="majorHAnsi" w:cstheme="majorHAnsi"/>
          <w:sz w:val="24"/>
          <w:szCs w:val="24"/>
          <w:lang w:val="ru-MD"/>
        </w:rPr>
        <w:t>БГСС</w:t>
      </w:r>
      <w:r w:rsidRPr="006C002F">
        <w:rPr>
          <w:rFonts w:asciiTheme="majorHAnsi" w:hAnsiTheme="majorHAnsi" w:cstheme="majorHAnsi"/>
          <w:sz w:val="24"/>
          <w:szCs w:val="24"/>
          <w:lang w:val="ru-MD"/>
        </w:rPr>
        <w:t xml:space="preserve">.  Возложение на плательщика </w:t>
      </w:r>
      <w:r w:rsidR="00E305E7" w:rsidRPr="006C002F">
        <w:rPr>
          <w:rFonts w:asciiTheme="majorHAnsi" w:hAnsiTheme="majorHAnsi" w:cstheme="majorHAnsi"/>
          <w:sz w:val="24"/>
          <w:szCs w:val="24"/>
          <w:lang w:val="ru-MD"/>
        </w:rPr>
        <w:t xml:space="preserve">взносов </w:t>
      </w:r>
      <w:r w:rsidR="006C002F" w:rsidRPr="006C002F">
        <w:rPr>
          <w:rFonts w:asciiTheme="majorHAnsi" w:hAnsiTheme="majorHAnsi" w:cstheme="majorHAnsi"/>
          <w:sz w:val="24"/>
          <w:szCs w:val="24"/>
          <w:lang w:val="ru-MD"/>
        </w:rPr>
        <w:t xml:space="preserve">ответственности </w:t>
      </w:r>
      <w:r w:rsidRPr="006C002F">
        <w:rPr>
          <w:rFonts w:asciiTheme="majorHAnsi" w:hAnsiTheme="majorHAnsi" w:cstheme="majorHAnsi"/>
          <w:sz w:val="24"/>
          <w:szCs w:val="24"/>
          <w:lang w:val="ru-MD"/>
        </w:rPr>
        <w:t xml:space="preserve">за регистрацию в качестве плательщика взносов приводит к невозможности отслеживания </w:t>
      </w:r>
      <w:r w:rsidR="006C002F" w:rsidRPr="006C002F">
        <w:rPr>
          <w:rFonts w:asciiTheme="majorHAnsi" w:hAnsiTheme="majorHAnsi" w:cstheme="majorHAnsi"/>
          <w:sz w:val="24"/>
          <w:szCs w:val="24"/>
          <w:lang w:val="ru-MD"/>
        </w:rPr>
        <w:t>потенциаль</w:t>
      </w:r>
      <w:r w:rsidRPr="006C002F">
        <w:rPr>
          <w:rFonts w:asciiTheme="majorHAnsi" w:hAnsiTheme="majorHAnsi" w:cstheme="majorHAnsi"/>
          <w:sz w:val="24"/>
          <w:szCs w:val="24"/>
          <w:lang w:val="ru-MD"/>
        </w:rPr>
        <w:t xml:space="preserve">ного дохода </w:t>
      </w:r>
      <w:r w:rsidR="006C002F" w:rsidRPr="006C002F">
        <w:rPr>
          <w:rFonts w:asciiTheme="majorHAnsi" w:hAnsiTheme="majorHAnsi" w:cstheme="majorHAnsi"/>
          <w:sz w:val="24"/>
          <w:szCs w:val="24"/>
          <w:lang w:val="ru-MD"/>
        </w:rPr>
        <w:t>в</w:t>
      </w:r>
      <w:r w:rsidRPr="006C002F">
        <w:rPr>
          <w:rFonts w:asciiTheme="majorHAnsi" w:hAnsiTheme="majorHAnsi" w:cstheme="majorHAnsi"/>
          <w:sz w:val="24"/>
          <w:szCs w:val="24"/>
          <w:lang w:val="ru-MD"/>
        </w:rPr>
        <w:t xml:space="preserve"> </w:t>
      </w:r>
      <w:r w:rsidR="00B01C83" w:rsidRPr="006C002F">
        <w:rPr>
          <w:rFonts w:asciiTheme="majorHAnsi" w:hAnsiTheme="majorHAnsi" w:cstheme="majorHAnsi"/>
          <w:sz w:val="24"/>
          <w:szCs w:val="24"/>
          <w:lang w:val="ru-MD"/>
        </w:rPr>
        <w:t>БГСС</w:t>
      </w:r>
      <w:r w:rsidR="005E7DC9" w:rsidRPr="006C002F">
        <w:rPr>
          <w:rFonts w:asciiTheme="majorHAnsi" w:hAnsiTheme="majorHAnsi" w:cstheme="majorHAnsi"/>
          <w:sz w:val="24"/>
          <w:szCs w:val="24"/>
          <w:lang w:val="ru-MD"/>
        </w:rPr>
        <w:t>.</w:t>
      </w:r>
    </w:p>
    <w:p w14:paraId="5011F24E" w14:textId="5FB28112" w:rsidR="005E7DC9" w:rsidRPr="00142FEC" w:rsidRDefault="000864DF" w:rsidP="00207E1C">
      <w:pPr>
        <w:pStyle w:val="aa"/>
        <w:numPr>
          <w:ilvl w:val="0"/>
          <w:numId w:val="4"/>
        </w:numPr>
        <w:tabs>
          <w:tab w:val="left" w:pos="360"/>
        </w:tabs>
        <w:spacing w:line="276" w:lineRule="auto"/>
        <w:ind w:left="0" w:firstLine="0"/>
        <w:jc w:val="both"/>
        <w:rPr>
          <w:rFonts w:asciiTheme="majorHAnsi" w:hAnsiTheme="majorHAnsi" w:cstheme="majorHAnsi"/>
          <w:b/>
          <w:bCs/>
          <w:i/>
          <w:iCs/>
          <w:sz w:val="24"/>
          <w:szCs w:val="24"/>
          <w:lang w:val="ru-MD"/>
        </w:rPr>
      </w:pPr>
      <w:r w:rsidRPr="00142FEC">
        <w:rPr>
          <w:rFonts w:asciiTheme="majorHAnsi" w:hAnsiTheme="majorHAnsi" w:cstheme="majorHAnsi"/>
          <w:b/>
          <w:bCs/>
          <w:i/>
          <w:iCs/>
          <w:sz w:val="24"/>
          <w:szCs w:val="24"/>
          <w:lang w:val="ru-MD"/>
        </w:rPr>
        <w:t>Несвоевременная р</w:t>
      </w:r>
      <w:r w:rsidR="00207E1C" w:rsidRPr="00142FEC">
        <w:rPr>
          <w:rFonts w:asciiTheme="majorHAnsi" w:hAnsiTheme="majorHAnsi" w:cstheme="majorHAnsi"/>
          <w:b/>
          <w:bCs/>
          <w:i/>
          <w:iCs/>
          <w:sz w:val="24"/>
          <w:szCs w:val="24"/>
          <w:lang w:val="ru-MD"/>
        </w:rPr>
        <w:t xml:space="preserve">егистрация </w:t>
      </w:r>
      <w:r w:rsidR="00B01C83" w:rsidRPr="00142FEC">
        <w:rPr>
          <w:rFonts w:asciiTheme="majorHAnsi" w:hAnsiTheme="majorHAnsi" w:cstheme="majorHAnsi"/>
          <w:b/>
          <w:bCs/>
          <w:i/>
          <w:iCs/>
          <w:sz w:val="24"/>
          <w:szCs w:val="24"/>
          <w:lang w:val="ru-MD"/>
        </w:rPr>
        <w:t>свободных профессионал</w:t>
      </w:r>
      <w:r w:rsidR="00207E1C" w:rsidRPr="00142FEC">
        <w:rPr>
          <w:rFonts w:asciiTheme="majorHAnsi" w:hAnsiTheme="majorHAnsi" w:cstheme="majorHAnsi"/>
          <w:b/>
          <w:bCs/>
          <w:i/>
          <w:iCs/>
          <w:sz w:val="24"/>
          <w:szCs w:val="24"/>
          <w:lang w:val="ru-MD"/>
        </w:rPr>
        <w:t xml:space="preserve">ов в качестве плательщиков взносов в </w:t>
      </w:r>
      <w:r w:rsidR="00B01C83" w:rsidRPr="00142FEC">
        <w:rPr>
          <w:rFonts w:asciiTheme="majorHAnsi" w:hAnsiTheme="majorHAnsi" w:cstheme="majorHAnsi"/>
          <w:b/>
          <w:bCs/>
          <w:i/>
          <w:iCs/>
          <w:sz w:val="24"/>
          <w:szCs w:val="24"/>
          <w:lang w:val="ru-MD"/>
        </w:rPr>
        <w:t>БГСС</w:t>
      </w:r>
      <w:r w:rsidR="00207E1C" w:rsidRPr="00142FEC">
        <w:rPr>
          <w:rFonts w:asciiTheme="majorHAnsi" w:hAnsiTheme="majorHAnsi" w:cstheme="majorHAnsi"/>
          <w:b/>
          <w:bCs/>
          <w:i/>
          <w:iCs/>
          <w:sz w:val="24"/>
          <w:szCs w:val="24"/>
          <w:lang w:val="ru-MD"/>
        </w:rPr>
        <w:t xml:space="preserve"> </w:t>
      </w:r>
      <w:r w:rsidRPr="00142FEC">
        <w:rPr>
          <w:rFonts w:asciiTheme="majorHAnsi" w:hAnsiTheme="majorHAnsi" w:cstheme="majorHAnsi"/>
          <w:b/>
          <w:bCs/>
          <w:i/>
          <w:iCs/>
          <w:sz w:val="24"/>
          <w:szCs w:val="24"/>
          <w:lang w:val="ru-MD"/>
        </w:rPr>
        <w:t>осуществля</w:t>
      </w:r>
      <w:r w:rsidR="00207E1C" w:rsidRPr="00142FEC">
        <w:rPr>
          <w:rFonts w:asciiTheme="majorHAnsi" w:hAnsiTheme="majorHAnsi" w:cstheme="majorHAnsi"/>
          <w:b/>
          <w:bCs/>
          <w:i/>
          <w:iCs/>
          <w:sz w:val="24"/>
          <w:szCs w:val="24"/>
          <w:lang w:val="ru-MD"/>
        </w:rPr>
        <w:t xml:space="preserve">лась без применения дисциплинарных мер, </w:t>
      </w:r>
      <w:r w:rsidRPr="00142FEC">
        <w:rPr>
          <w:rFonts w:asciiTheme="majorHAnsi" w:hAnsiTheme="majorHAnsi" w:cstheme="majorHAnsi"/>
          <w:b/>
          <w:bCs/>
          <w:i/>
          <w:iCs/>
          <w:sz w:val="24"/>
          <w:szCs w:val="24"/>
          <w:lang w:val="ru-MD"/>
        </w:rPr>
        <w:t>которые</w:t>
      </w:r>
      <w:r w:rsidR="00207E1C" w:rsidRPr="00142FEC">
        <w:rPr>
          <w:rFonts w:asciiTheme="majorHAnsi" w:hAnsiTheme="majorHAnsi" w:cstheme="majorHAnsi"/>
          <w:b/>
          <w:bCs/>
          <w:i/>
          <w:iCs/>
          <w:sz w:val="24"/>
          <w:szCs w:val="24"/>
          <w:lang w:val="ru-MD"/>
        </w:rPr>
        <w:t xml:space="preserve"> явля</w:t>
      </w:r>
      <w:r w:rsidRPr="00142FEC">
        <w:rPr>
          <w:rFonts w:asciiTheme="majorHAnsi" w:hAnsiTheme="majorHAnsi" w:cstheme="majorHAnsi"/>
          <w:b/>
          <w:bCs/>
          <w:i/>
          <w:iCs/>
          <w:sz w:val="24"/>
          <w:szCs w:val="24"/>
          <w:lang w:val="ru-MD"/>
        </w:rPr>
        <w:t>ю</w:t>
      </w:r>
      <w:r w:rsidR="00207E1C" w:rsidRPr="00142FEC">
        <w:rPr>
          <w:rFonts w:asciiTheme="majorHAnsi" w:hAnsiTheme="majorHAnsi" w:cstheme="majorHAnsi"/>
          <w:b/>
          <w:bCs/>
          <w:i/>
          <w:iCs/>
          <w:sz w:val="24"/>
          <w:szCs w:val="24"/>
          <w:lang w:val="ru-MD"/>
        </w:rPr>
        <w:t xml:space="preserve">тся дополнительным источником дохода для </w:t>
      </w:r>
      <w:r w:rsidR="00B01C83" w:rsidRPr="00142FEC">
        <w:rPr>
          <w:rFonts w:asciiTheme="majorHAnsi" w:hAnsiTheme="majorHAnsi" w:cstheme="majorHAnsi"/>
          <w:b/>
          <w:bCs/>
          <w:i/>
          <w:iCs/>
          <w:sz w:val="24"/>
          <w:szCs w:val="24"/>
          <w:lang w:val="ru-MD"/>
        </w:rPr>
        <w:t>БГСС</w:t>
      </w:r>
      <w:r w:rsidR="005E7DC9" w:rsidRPr="00142FEC">
        <w:rPr>
          <w:rFonts w:asciiTheme="majorHAnsi" w:hAnsiTheme="majorHAnsi" w:cstheme="majorHAnsi"/>
          <w:b/>
          <w:bCs/>
          <w:i/>
          <w:iCs/>
          <w:sz w:val="24"/>
          <w:szCs w:val="24"/>
          <w:lang w:val="ru-MD"/>
        </w:rPr>
        <w:t>.</w:t>
      </w:r>
    </w:p>
    <w:p w14:paraId="5B897B11" w14:textId="363BDA07" w:rsidR="005E7DC9" w:rsidRPr="00150254" w:rsidRDefault="0094034D" w:rsidP="0094034D">
      <w:pPr>
        <w:tabs>
          <w:tab w:val="left" w:pos="3408"/>
        </w:tabs>
        <w:spacing w:line="276" w:lineRule="auto"/>
        <w:jc w:val="both"/>
        <w:rPr>
          <w:rFonts w:asciiTheme="majorHAnsi" w:hAnsiTheme="majorHAnsi" w:cstheme="majorHAnsi"/>
          <w:sz w:val="24"/>
          <w:szCs w:val="24"/>
          <w:lang w:val="ru-MD"/>
        </w:rPr>
      </w:pPr>
      <w:r w:rsidRPr="00142FEC">
        <w:rPr>
          <w:rFonts w:asciiTheme="majorHAnsi" w:hAnsiTheme="majorHAnsi" w:cstheme="majorHAnsi"/>
          <w:sz w:val="24"/>
          <w:szCs w:val="24"/>
          <w:lang w:val="ru-MD"/>
        </w:rPr>
        <w:t>Согласно предписаниям</w:t>
      </w:r>
      <w:r w:rsidR="005E7DC9" w:rsidRPr="00142FEC">
        <w:rPr>
          <w:rStyle w:val="a5"/>
          <w:rFonts w:asciiTheme="majorHAnsi" w:hAnsiTheme="majorHAnsi" w:cstheme="majorHAnsi"/>
          <w:sz w:val="24"/>
          <w:szCs w:val="24"/>
          <w:lang w:val="ru-MD"/>
        </w:rPr>
        <w:footnoteReference w:id="37"/>
      </w:r>
      <w:r w:rsidR="00C4693F" w:rsidRPr="00142FEC">
        <w:rPr>
          <w:rFonts w:asciiTheme="majorHAnsi" w:hAnsiTheme="majorHAnsi" w:cstheme="majorHAnsi"/>
          <w:sz w:val="24"/>
          <w:szCs w:val="24"/>
          <w:lang w:val="ru-MD"/>
        </w:rPr>
        <w:t>,</w:t>
      </w:r>
      <w:r w:rsidR="005E7DC9" w:rsidRPr="00142FEC">
        <w:rPr>
          <w:rFonts w:asciiTheme="majorHAnsi" w:hAnsiTheme="majorHAnsi" w:cstheme="majorHAnsi"/>
          <w:sz w:val="24"/>
          <w:szCs w:val="24"/>
          <w:lang w:val="ru-MD"/>
        </w:rPr>
        <w:t xml:space="preserve"> </w:t>
      </w:r>
      <w:r w:rsidR="000864DF" w:rsidRPr="00142FEC">
        <w:rPr>
          <w:rFonts w:asciiTheme="majorHAnsi" w:hAnsiTheme="majorHAnsi" w:cstheme="majorHAnsi"/>
          <w:sz w:val="24"/>
          <w:szCs w:val="24"/>
          <w:lang w:val="ru-MD"/>
        </w:rPr>
        <w:t>о</w:t>
      </w:r>
      <w:r w:rsidRPr="00142FEC">
        <w:rPr>
          <w:rFonts w:asciiTheme="majorHAnsi" w:hAnsiTheme="majorHAnsi" w:cstheme="majorHAnsi"/>
          <w:sz w:val="24"/>
          <w:szCs w:val="24"/>
          <w:lang w:val="ru-MD"/>
        </w:rPr>
        <w:t>существление деятельности на основании аттестата медиатора, лицензии нотариуса, судебного исполнителя, адвоката или судебного эксперта, осуществляющего деятельность в бюро судебной экспертизы, разрешения на осуществление деятельности авторизованного управляющего, без регистрации в качестве плательщика взносов обязательного государственного социального страхования в течение 10 рабочих дней с момента получения права на осуществление определенной деятельности</w:t>
      </w:r>
      <w:r w:rsidR="00142FEC" w:rsidRPr="00142FEC">
        <w:rPr>
          <w:rFonts w:asciiTheme="majorHAnsi" w:hAnsiTheme="majorHAnsi" w:cstheme="majorHAnsi"/>
          <w:sz w:val="24"/>
          <w:szCs w:val="24"/>
          <w:lang w:val="ru-MD"/>
        </w:rPr>
        <w:t>,</w:t>
      </w:r>
      <w:r w:rsidRPr="00142FEC">
        <w:rPr>
          <w:rFonts w:asciiTheme="majorHAnsi" w:hAnsiTheme="majorHAnsi" w:cstheme="majorHAnsi"/>
          <w:sz w:val="24"/>
          <w:szCs w:val="24"/>
          <w:lang w:val="ru-MD"/>
        </w:rPr>
        <w:t xml:space="preserve"> влечет наложение штрафа на физических лиц в размере от 15 до 30 условных единиц</w:t>
      </w:r>
      <w:r w:rsidR="00142FEC" w:rsidRPr="00142FEC">
        <w:rPr>
          <w:rFonts w:asciiTheme="majorHAnsi" w:hAnsiTheme="majorHAnsi" w:cstheme="majorHAnsi"/>
          <w:sz w:val="24"/>
          <w:szCs w:val="24"/>
          <w:lang w:val="ru-MD"/>
        </w:rPr>
        <w:t>,</w:t>
      </w:r>
      <w:r w:rsidRPr="00142FEC">
        <w:rPr>
          <w:rFonts w:asciiTheme="majorHAnsi" w:hAnsiTheme="majorHAnsi" w:cstheme="majorHAnsi"/>
          <w:sz w:val="24"/>
          <w:szCs w:val="24"/>
          <w:lang w:val="ru-MD"/>
        </w:rPr>
        <w:t xml:space="preserve"> и на должностных лиц в размере от 30 до 60 условных единиц</w:t>
      </w:r>
      <w:r w:rsidR="005E7DC9" w:rsidRPr="00142FEC">
        <w:rPr>
          <w:rFonts w:asciiTheme="majorHAnsi" w:hAnsiTheme="majorHAnsi" w:cstheme="majorHAnsi"/>
          <w:sz w:val="24"/>
          <w:szCs w:val="24"/>
          <w:lang w:val="ru-MD"/>
        </w:rPr>
        <w:t xml:space="preserve">. </w:t>
      </w:r>
      <w:r w:rsidR="00D10FB8" w:rsidRPr="00142FEC">
        <w:rPr>
          <w:rFonts w:asciiTheme="majorHAnsi" w:hAnsiTheme="majorHAnsi" w:cstheme="majorHAnsi"/>
          <w:sz w:val="24"/>
          <w:szCs w:val="24"/>
          <w:lang w:val="ru-MD"/>
        </w:rPr>
        <w:t xml:space="preserve">Органом, ответственным за применение дисциплинарных мер, является Государственная </w:t>
      </w:r>
      <w:r w:rsidR="00D10FB8" w:rsidRPr="00150254">
        <w:rPr>
          <w:rFonts w:asciiTheme="majorHAnsi" w:hAnsiTheme="majorHAnsi" w:cstheme="majorHAnsi"/>
          <w:sz w:val="24"/>
          <w:szCs w:val="24"/>
          <w:lang w:val="ru-MD"/>
        </w:rPr>
        <w:t>налоговая служба</w:t>
      </w:r>
      <w:r w:rsidR="005E7DC9" w:rsidRPr="00150254">
        <w:rPr>
          <w:rFonts w:asciiTheme="majorHAnsi" w:hAnsiTheme="majorHAnsi" w:cstheme="majorHAnsi"/>
          <w:sz w:val="24"/>
          <w:szCs w:val="24"/>
          <w:lang w:val="ru-MD"/>
        </w:rPr>
        <w:t>.</w:t>
      </w:r>
    </w:p>
    <w:p w14:paraId="4443281F" w14:textId="42741413" w:rsidR="005E7DC9" w:rsidRPr="00150254" w:rsidRDefault="00D10FB8" w:rsidP="005E7DC9">
      <w:pPr>
        <w:tabs>
          <w:tab w:val="left" w:pos="3408"/>
        </w:tabs>
        <w:spacing w:line="276" w:lineRule="auto"/>
        <w:jc w:val="both"/>
        <w:rPr>
          <w:rFonts w:asciiTheme="majorHAnsi" w:hAnsiTheme="majorHAnsi" w:cstheme="majorHAnsi"/>
          <w:sz w:val="24"/>
          <w:szCs w:val="24"/>
          <w:lang w:val="ru-MD"/>
        </w:rPr>
      </w:pPr>
      <w:r w:rsidRPr="00150254">
        <w:rPr>
          <w:rFonts w:asciiTheme="majorHAnsi" w:hAnsiTheme="majorHAnsi" w:cstheme="majorHAnsi"/>
          <w:sz w:val="24"/>
          <w:szCs w:val="24"/>
          <w:lang w:val="ru-MD"/>
        </w:rPr>
        <w:t xml:space="preserve">В этом контексте, хотя аудит выявил 70 случаев, когда </w:t>
      </w:r>
      <w:r w:rsidR="00B01C83" w:rsidRPr="00150254">
        <w:rPr>
          <w:rFonts w:asciiTheme="majorHAnsi" w:hAnsiTheme="majorHAnsi" w:cstheme="majorHAnsi"/>
          <w:sz w:val="24"/>
          <w:szCs w:val="24"/>
          <w:lang w:val="ru-MD"/>
        </w:rPr>
        <w:t>свободны</w:t>
      </w:r>
      <w:r w:rsidR="00150254" w:rsidRPr="00150254">
        <w:rPr>
          <w:rFonts w:asciiTheme="majorHAnsi" w:hAnsiTheme="majorHAnsi" w:cstheme="majorHAnsi"/>
          <w:sz w:val="24"/>
          <w:szCs w:val="24"/>
          <w:lang w:val="ru-MD"/>
        </w:rPr>
        <w:t>е</w:t>
      </w:r>
      <w:r w:rsidR="00B01C83" w:rsidRPr="00150254">
        <w:rPr>
          <w:rFonts w:asciiTheme="majorHAnsi" w:hAnsiTheme="majorHAnsi" w:cstheme="majorHAnsi"/>
          <w:sz w:val="24"/>
          <w:szCs w:val="24"/>
          <w:lang w:val="ru-MD"/>
        </w:rPr>
        <w:t xml:space="preserve"> профессионал</w:t>
      </w:r>
      <w:r w:rsidRPr="00150254">
        <w:rPr>
          <w:rFonts w:asciiTheme="majorHAnsi" w:hAnsiTheme="majorHAnsi" w:cstheme="majorHAnsi"/>
          <w:sz w:val="24"/>
          <w:szCs w:val="24"/>
          <w:lang w:val="ru-MD"/>
        </w:rPr>
        <w:t xml:space="preserve">ы, </w:t>
      </w:r>
      <w:r w:rsidR="00150254" w:rsidRPr="00150254">
        <w:rPr>
          <w:rFonts w:asciiTheme="majorHAnsi" w:hAnsiTheme="majorHAnsi" w:cstheme="majorHAnsi"/>
          <w:sz w:val="24"/>
          <w:szCs w:val="24"/>
          <w:lang w:val="ru-MD"/>
        </w:rPr>
        <w:t>осуществля</w:t>
      </w:r>
      <w:r w:rsidRPr="00150254">
        <w:rPr>
          <w:rFonts w:asciiTheme="majorHAnsi" w:hAnsiTheme="majorHAnsi" w:cstheme="majorHAnsi"/>
          <w:sz w:val="24"/>
          <w:szCs w:val="24"/>
          <w:lang w:val="ru-MD"/>
        </w:rPr>
        <w:t>ющие деятельность</w:t>
      </w:r>
      <w:r w:rsidR="00150254" w:rsidRPr="00150254">
        <w:rPr>
          <w:rFonts w:asciiTheme="majorHAnsi" w:hAnsiTheme="majorHAnsi" w:cstheme="majorHAnsi"/>
          <w:sz w:val="24"/>
          <w:szCs w:val="24"/>
          <w:lang w:val="ru-MD"/>
        </w:rPr>
        <w:t xml:space="preserve"> в сфере правосудия</w:t>
      </w:r>
      <w:r w:rsidRPr="00150254">
        <w:rPr>
          <w:rFonts w:asciiTheme="majorHAnsi" w:hAnsiTheme="majorHAnsi" w:cstheme="majorHAnsi"/>
          <w:sz w:val="24"/>
          <w:szCs w:val="24"/>
          <w:lang w:val="ru-MD"/>
        </w:rPr>
        <w:t xml:space="preserve">, осуществляли </w:t>
      </w:r>
      <w:r w:rsidR="00150254" w:rsidRPr="00150254">
        <w:rPr>
          <w:rFonts w:asciiTheme="majorHAnsi" w:hAnsiTheme="majorHAnsi" w:cstheme="majorHAnsi"/>
          <w:sz w:val="24"/>
          <w:szCs w:val="24"/>
          <w:lang w:val="ru-MD"/>
        </w:rPr>
        <w:t xml:space="preserve">свою </w:t>
      </w:r>
      <w:r w:rsidRPr="00150254">
        <w:rPr>
          <w:rFonts w:asciiTheme="majorHAnsi" w:hAnsiTheme="majorHAnsi" w:cstheme="majorHAnsi"/>
          <w:sz w:val="24"/>
          <w:szCs w:val="24"/>
          <w:lang w:val="ru-MD"/>
        </w:rPr>
        <w:t xml:space="preserve">деятельность без регистрации в качестве плательщика взносов в </w:t>
      </w:r>
      <w:r w:rsidR="00B01C83" w:rsidRPr="00150254">
        <w:rPr>
          <w:rFonts w:asciiTheme="majorHAnsi" w:hAnsiTheme="majorHAnsi" w:cstheme="majorHAnsi"/>
          <w:sz w:val="24"/>
          <w:szCs w:val="24"/>
          <w:lang w:val="ru-MD"/>
        </w:rPr>
        <w:t>БГСС</w:t>
      </w:r>
      <w:r w:rsidRPr="00150254">
        <w:rPr>
          <w:rFonts w:asciiTheme="majorHAnsi" w:hAnsiTheme="majorHAnsi" w:cstheme="majorHAnsi"/>
          <w:sz w:val="24"/>
          <w:szCs w:val="24"/>
          <w:lang w:val="ru-MD"/>
        </w:rPr>
        <w:t xml:space="preserve">, </w:t>
      </w:r>
      <w:r w:rsidR="00150254" w:rsidRPr="00150254">
        <w:rPr>
          <w:rFonts w:asciiTheme="majorHAnsi" w:hAnsiTheme="majorHAnsi" w:cstheme="majorHAnsi"/>
          <w:sz w:val="24"/>
          <w:szCs w:val="24"/>
          <w:lang w:val="ru-MD"/>
        </w:rPr>
        <w:t>при этом, отмечается</w:t>
      </w:r>
      <w:r w:rsidRPr="00150254">
        <w:rPr>
          <w:rFonts w:asciiTheme="majorHAnsi" w:hAnsiTheme="majorHAnsi" w:cstheme="majorHAnsi"/>
          <w:sz w:val="24"/>
          <w:szCs w:val="24"/>
          <w:lang w:val="ru-MD"/>
        </w:rPr>
        <w:t xml:space="preserve">, что </w:t>
      </w:r>
      <w:r w:rsidR="00150254" w:rsidRPr="00150254">
        <w:rPr>
          <w:rFonts w:asciiTheme="majorHAnsi" w:hAnsiTheme="majorHAnsi" w:cstheme="majorHAnsi"/>
          <w:sz w:val="24"/>
          <w:szCs w:val="24"/>
          <w:lang w:val="ru-MD"/>
        </w:rPr>
        <w:t>ГНС</w:t>
      </w:r>
      <w:r w:rsidRPr="00150254">
        <w:rPr>
          <w:rFonts w:asciiTheme="majorHAnsi" w:hAnsiTheme="majorHAnsi" w:cstheme="majorHAnsi"/>
          <w:sz w:val="24"/>
          <w:szCs w:val="24"/>
          <w:lang w:val="ru-MD"/>
        </w:rPr>
        <w:t xml:space="preserve"> не </w:t>
      </w:r>
      <w:r w:rsidR="00150254" w:rsidRPr="00150254">
        <w:rPr>
          <w:rFonts w:asciiTheme="majorHAnsi" w:hAnsiTheme="majorHAnsi" w:cstheme="majorHAnsi"/>
          <w:sz w:val="24"/>
          <w:szCs w:val="24"/>
          <w:lang w:val="ru-MD"/>
        </w:rPr>
        <w:t>составля</w:t>
      </w:r>
      <w:r w:rsidRPr="00150254">
        <w:rPr>
          <w:rFonts w:asciiTheme="majorHAnsi" w:hAnsiTheme="majorHAnsi" w:cstheme="majorHAnsi"/>
          <w:sz w:val="24"/>
          <w:szCs w:val="24"/>
          <w:lang w:val="ru-MD"/>
        </w:rPr>
        <w:t xml:space="preserve">ла </w:t>
      </w:r>
      <w:r w:rsidR="00150254" w:rsidRPr="00150254">
        <w:rPr>
          <w:rFonts w:asciiTheme="majorHAnsi" w:hAnsiTheme="majorHAnsi" w:cstheme="majorHAnsi"/>
          <w:sz w:val="24"/>
          <w:szCs w:val="24"/>
          <w:lang w:val="ru-MD"/>
        </w:rPr>
        <w:t xml:space="preserve">ни одного </w:t>
      </w:r>
      <w:r w:rsidRPr="00150254">
        <w:rPr>
          <w:rFonts w:asciiTheme="majorHAnsi" w:hAnsiTheme="majorHAnsi" w:cstheme="majorHAnsi"/>
          <w:sz w:val="24"/>
          <w:szCs w:val="24"/>
          <w:lang w:val="ru-MD"/>
        </w:rPr>
        <w:t>протокол</w:t>
      </w:r>
      <w:r w:rsidR="00150254" w:rsidRPr="00150254">
        <w:rPr>
          <w:rFonts w:asciiTheme="majorHAnsi" w:hAnsiTheme="majorHAnsi" w:cstheme="majorHAnsi"/>
          <w:sz w:val="24"/>
          <w:szCs w:val="24"/>
          <w:lang w:val="ru-MD"/>
        </w:rPr>
        <w:t>а</w:t>
      </w:r>
      <w:r w:rsidRPr="00150254">
        <w:rPr>
          <w:rFonts w:asciiTheme="majorHAnsi" w:hAnsiTheme="majorHAnsi" w:cstheme="majorHAnsi"/>
          <w:sz w:val="24"/>
          <w:szCs w:val="24"/>
          <w:lang w:val="ru-MD"/>
        </w:rPr>
        <w:t xml:space="preserve"> об установлении правонарушени</w:t>
      </w:r>
      <w:r w:rsidR="00150254" w:rsidRPr="00150254">
        <w:rPr>
          <w:rFonts w:asciiTheme="majorHAnsi" w:hAnsiTheme="majorHAnsi" w:cstheme="majorHAnsi"/>
          <w:sz w:val="24"/>
          <w:szCs w:val="24"/>
          <w:lang w:val="ru-MD"/>
        </w:rPr>
        <w:t>я</w:t>
      </w:r>
      <w:r w:rsidRPr="00150254">
        <w:rPr>
          <w:rFonts w:asciiTheme="majorHAnsi" w:hAnsiTheme="majorHAnsi" w:cstheme="majorHAnsi"/>
          <w:sz w:val="24"/>
          <w:szCs w:val="24"/>
          <w:lang w:val="ru-MD"/>
        </w:rPr>
        <w:t xml:space="preserve"> в этом отношении</w:t>
      </w:r>
      <w:r w:rsidR="005E7DC9" w:rsidRPr="00150254">
        <w:rPr>
          <w:rFonts w:asciiTheme="majorHAnsi" w:hAnsiTheme="majorHAnsi" w:cstheme="majorHAnsi"/>
          <w:sz w:val="24"/>
          <w:szCs w:val="24"/>
          <w:lang w:val="ru-MD"/>
        </w:rPr>
        <w:t xml:space="preserve">. </w:t>
      </w:r>
    </w:p>
    <w:p w14:paraId="5F670B25" w14:textId="2D545488" w:rsidR="005E7DC9" w:rsidRPr="006D4511" w:rsidRDefault="00150254" w:rsidP="005E7DC9">
      <w:pPr>
        <w:tabs>
          <w:tab w:val="left" w:pos="3408"/>
        </w:tabs>
        <w:spacing w:line="276" w:lineRule="auto"/>
        <w:jc w:val="both"/>
        <w:rPr>
          <w:rFonts w:asciiTheme="majorHAnsi" w:hAnsiTheme="majorHAnsi" w:cstheme="majorHAnsi"/>
          <w:color w:val="000000" w:themeColor="text1"/>
          <w:sz w:val="24"/>
          <w:szCs w:val="24"/>
          <w:shd w:val="clear" w:color="auto" w:fill="FFFFFF"/>
          <w:lang w:val="ru-MD"/>
        </w:rPr>
      </w:pPr>
      <w:r w:rsidRPr="006D4511">
        <w:rPr>
          <w:rFonts w:asciiTheme="majorHAnsi" w:hAnsiTheme="majorHAnsi" w:cstheme="majorHAnsi"/>
          <w:color w:val="000000" w:themeColor="text1"/>
          <w:sz w:val="24"/>
          <w:szCs w:val="24"/>
          <w:lang w:val="ru-MD"/>
        </w:rPr>
        <w:t>А</w:t>
      </w:r>
      <w:r w:rsidR="00D10FB8" w:rsidRPr="006D4511">
        <w:rPr>
          <w:rFonts w:asciiTheme="majorHAnsi" w:hAnsiTheme="majorHAnsi" w:cstheme="majorHAnsi"/>
          <w:color w:val="000000" w:themeColor="text1"/>
          <w:sz w:val="24"/>
          <w:szCs w:val="24"/>
          <w:lang w:val="ru-MD"/>
        </w:rPr>
        <w:t xml:space="preserve">удит отмечает, что штрафы, наложенные органами </w:t>
      </w:r>
      <w:r w:rsidRPr="006D4511">
        <w:rPr>
          <w:rFonts w:asciiTheme="majorHAnsi" w:hAnsiTheme="majorHAnsi" w:cstheme="majorHAnsi"/>
          <w:color w:val="000000" w:themeColor="text1"/>
          <w:sz w:val="24"/>
          <w:szCs w:val="24"/>
          <w:lang w:val="ru-MD"/>
        </w:rPr>
        <w:t>Г</w:t>
      </w:r>
      <w:r w:rsidR="00D10FB8" w:rsidRPr="006D4511">
        <w:rPr>
          <w:rFonts w:asciiTheme="majorHAnsi" w:hAnsiTheme="majorHAnsi" w:cstheme="majorHAnsi"/>
          <w:color w:val="000000" w:themeColor="text1"/>
          <w:sz w:val="24"/>
          <w:szCs w:val="24"/>
          <w:lang w:val="ru-MD"/>
        </w:rPr>
        <w:t>осударственной налоговой службы за пр</w:t>
      </w:r>
      <w:r w:rsidRPr="006D4511">
        <w:rPr>
          <w:rFonts w:asciiTheme="majorHAnsi" w:hAnsiTheme="majorHAnsi" w:cstheme="majorHAnsi"/>
          <w:color w:val="000000" w:themeColor="text1"/>
          <w:sz w:val="24"/>
          <w:szCs w:val="24"/>
          <w:lang w:val="ru-MD"/>
        </w:rPr>
        <w:t>авонарушения, предусмотренные ст.</w:t>
      </w:r>
      <w:r w:rsidR="00D10FB8" w:rsidRPr="006D4511">
        <w:rPr>
          <w:rFonts w:asciiTheme="majorHAnsi" w:hAnsiTheme="majorHAnsi" w:cstheme="majorHAnsi"/>
          <w:color w:val="000000" w:themeColor="text1"/>
          <w:sz w:val="24"/>
          <w:szCs w:val="24"/>
          <w:lang w:val="ru-MD"/>
        </w:rPr>
        <w:t>263 (2)</w:t>
      </w:r>
      <w:r w:rsidRPr="006D4511">
        <w:rPr>
          <w:rFonts w:asciiTheme="majorHAnsi" w:hAnsiTheme="majorHAnsi" w:cstheme="majorHAnsi"/>
          <w:color w:val="000000" w:themeColor="text1"/>
          <w:sz w:val="24"/>
          <w:szCs w:val="24"/>
          <w:lang w:val="ru-MD"/>
        </w:rPr>
        <w:t>,</w:t>
      </w:r>
      <w:r w:rsidR="00D10FB8" w:rsidRPr="006D4511">
        <w:rPr>
          <w:rFonts w:asciiTheme="majorHAnsi" w:hAnsiTheme="majorHAnsi" w:cstheme="majorHAnsi"/>
          <w:color w:val="000000" w:themeColor="text1"/>
          <w:sz w:val="24"/>
          <w:szCs w:val="24"/>
          <w:lang w:val="ru-MD"/>
        </w:rPr>
        <w:t xml:space="preserve"> </w:t>
      </w:r>
      <w:r w:rsidRPr="006D4511">
        <w:rPr>
          <w:rFonts w:asciiTheme="majorHAnsi" w:hAnsiTheme="majorHAnsi" w:cstheme="majorHAnsi"/>
          <w:color w:val="000000" w:themeColor="text1"/>
          <w:sz w:val="24"/>
          <w:szCs w:val="24"/>
          <w:lang w:val="ru-MD"/>
        </w:rPr>
        <w:t>перечисляются</w:t>
      </w:r>
      <w:r w:rsidR="00D10FB8" w:rsidRPr="006D4511">
        <w:rPr>
          <w:rFonts w:asciiTheme="majorHAnsi" w:hAnsiTheme="majorHAnsi" w:cstheme="majorHAnsi"/>
          <w:color w:val="000000" w:themeColor="text1"/>
          <w:sz w:val="24"/>
          <w:szCs w:val="24"/>
          <w:lang w:val="ru-MD"/>
        </w:rPr>
        <w:t xml:space="preserve"> в бюджет государственного социального страхования</w:t>
      </w:r>
      <w:r w:rsidRPr="006D4511">
        <w:rPr>
          <w:rStyle w:val="a5"/>
          <w:rFonts w:asciiTheme="majorHAnsi" w:hAnsiTheme="majorHAnsi" w:cstheme="majorHAnsi"/>
          <w:color w:val="000000" w:themeColor="text1"/>
          <w:sz w:val="24"/>
          <w:szCs w:val="24"/>
          <w:shd w:val="clear" w:color="auto" w:fill="FFFFFF"/>
          <w:lang w:val="ru-MD"/>
        </w:rPr>
        <w:footnoteReference w:id="38"/>
      </w:r>
      <w:r w:rsidR="00D10FB8" w:rsidRPr="006D4511">
        <w:rPr>
          <w:rFonts w:asciiTheme="majorHAnsi" w:hAnsiTheme="majorHAnsi" w:cstheme="majorHAnsi"/>
          <w:color w:val="000000" w:themeColor="text1"/>
          <w:sz w:val="24"/>
          <w:szCs w:val="24"/>
          <w:lang w:val="ru-MD"/>
        </w:rPr>
        <w:t xml:space="preserve">. </w:t>
      </w:r>
      <w:r w:rsidRPr="006D4511">
        <w:rPr>
          <w:rFonts w:asciiTheme="majorHAnsi" w:hAnsiTheme="majorHAnsi" w:cstheme="majorHAnsi"/>
          <w:color w:val="000000" w:themeColor="text1"/>
          <w:sz w:val="24"/>
          <w:szCs w:val="24"/>
          <w:lang w:val="ru-MD"/>
        </w:rPr>
        <w:t>По о</w:t>
      </w:r>
      <w:r w:rsidR="00D10FB8" w:rsidRPr="006D4511">
        <w:rPr>
          <w:rFonts w:asciiTheme="majorHAnsi" w:hAnsiTheme="majorHAnsi" w:cstheme="majorHAnsi"/>
          <w:color w:val="000000" w:themeColor="text1"/>
          <w:sz w:val="24"/>
          <w:szCs w:val="24"/>
          <w:lang w:val="ru-MD"/>
        </w:rPr>
        <w:t>цен</w:t>
      </w:r>
      <w:r w:rsidRPr="006D4511">
        <w:rPr>
          <w:rFonts w:asciiTheme="majorHAnsi" w:hAnsiTheme="majorHAnsi" w:cstheme="majorHAnsi"/>
          <w:color w:val="000000" w:themeColor="text1"/>
          <w:sz w:val="24"/>
          <w:szCs w:val="24"/>
          <w:lang w:val="ru-MD"/>
        </w:rPr>
        <w:t>кам аудита, у</w:t>
      </w:r>
      <w:r w:rsidR="00D10FB8" w:rsidRPr="006D4511">
        <w:rPr>
          <w:rFonts w:asciiTheme="majorHAnsi" w:hAnsiTheme="majorHAnsi" w:cstheme="majorHAnsi"/>
          <w:color w:val="000000" w:themeColor="text1"/>
          <w:sz w:val="24"/>
          <w:szCs w:val="24"/>
          <w:lang w:val="ru-MD"/>
        </w:rPr>
        <w:t xml:space="preserve">пущенные доходы </w:t>
      </w:r>
      <w:r w:rsidRPr="006D4511">
        <w:rPr>
          <w:rFonts w:asciiTheme="majorHAnsi" w:hAnsiTheme="majorHAnsi" w:cstheme="majorHAnsi"/>
          <w:color w:val="000000" w:themeColor="text1"/>
          <w:sz w:val="24"/>
          <w:szCs w:val="24"/>
          <w:lang w:val="ru-MD"/>
        </w:rPr>
        <w:t>составляют</w:t>
      </w:r>
      <w:r w:rsidR="00D10FB8" w:rsidRPr="006D4511">
        <w:rPr>
          <w:rFonts w:asciiTheme="majorHAnsi" w:hAnsiTheme="majorHAnsi" w:cstheme="majorHAnsi"/>
          <w:color w:val="000000" w:themeColor="text1"/>
          <w:sz w:val="24"/>
          <w:szCs w:val="24"/>
          <w:lang w:val="ru-MD"/>
        </w:rPr>
        <w:t xml:space="preserve"> от 52,5 тыс. леев до 210,0 тыс. леев. Таким образом, не</w:t>
      </w:r>
      <w:r w:rsidRPr="006D4511">
        <w:rPr>
          <w:rFonts w:asciiTheme="majorHAnsi" w:hAnsiTheme="majorHAnsi" w:cstheme="majorHAnsi"/>
          <w:color w:val="000000" w:themeColor="text1"/>
          <w:sz w:val="24"/>
          <w:szCs w:val="24"/>
          <w:lang w:val="ru-MD"/>
        </w:rPr>
        <w:t>выполн</w:t>
      </w:r>
      <w:r w:rsidR="00D10FB8" w:rsidRPr="006D4511">
        <w:rPr>
          <w:rFonts w:asciiTheme="majorHAnsi" w:hAnsiTheme="majorHAnsi" w:cstheme="majorHAnsi"/>
          <w:color w:val="000000" w:themeColor="text1"/>
          <w:sz w:val="24"/>
          <w:szCs w:val="24"/>
          <w:lang w:val="ru-MD"/>
        </w:rPr>
        <w:t xml:space="preserve">ение </w:t>
      </w:r>
      <w:r w:rsidRPr="006D4511">
        <w:rPr>
          <w:rFonts w:asciiTheme="majorHAnsi" w:hAnsiTheme="majorHAnsi" w:cstheme="majorHAnsi"/>
          <w:color w:val="000000" w:themeColor="text1"/>
          <w:sz w:val="24"/>
          <w:szCs w:val="24"/>
          <w:lang w:val="ru-MD"/>
        </w:rPr>
        <w:t>ГНС</w:t>
      </w:r>
      <w:r w:rsidR="00D10FB8" w:rsidRPr="006D4511">
        <w:rPr>
          <w:rFonts w:asciiTheme="majorHAnsi" w:hAnsiTheme="majorHAnsi" w:cstheme="majorHAnsi"/>
          <w:color w:val="000000" w:themeColor="text1"/>
          <w:sz w:val="24"/>
          <w:szCs w:val="24"/>
          <w:lang w:val="ru-MD"/>
        </w:rPr>
        <w:t xml:space="preserve"> об</w:t>
      </w:r>
      <w:r w:rsidRPr="006D4511">
        <w:rPr>
          <w:rFonts w:asciiTheme="majorHAnsi" w:hAnsiTheme="majorHAnsi" w:cstheme="majorHAnsi"/>
          <w:color w:val="000000" w:themeColor="text1"/>
          <w:sz w:val="24"/>
          <w:szCs w:val="24"/>
          <w:lang w:val="ru-MD"/>
        </w:rPr>
        <w:t>язанносте</w:t>
      </w:r>
      <w:r w:rsidR="00D10FB8" w:rsidRPr="006D4511">
        <w:rPr>
          <w:rFonts w:asciiTheme="majorHAnsi" w:hAnsiTheme="majorHAnsi" w:cstheme="majorHAnsi"/>
          <w:color w:val="000000" w:themeColor="text1"/>
          <w:sz w:val="24"/>
          <w:szCs w:val="24"/>
          <w:lang w:val="ru-MD"/>
        </w:rPr>
        <w:t xml:space="preserve">й, предусмотренных Кодексом о правонарушениях, не дисциплинирует эту категорию плательщиков, а также </w:t>
      </w:r>
      <w:r w:rsidR="006D4511" w:rsidRPr="006D4511">
        <w:rPr>
          <w:rFonts w:asciiTheme="majorHAnsi" w:hAnsiTheme="majorHAnsi" w:cstheme="majorHAnsi"/>
          <w:color w:val="000000" w:themeColor="text1"/>
          <w:sz w:val="24"/>
          <w:szCs w:val="24"/>
          <w:lang w:val="ru-MD"/>
        </w:rPr>
        <w:t>содействует упущению</w:t>
      </w:r>
      <w:r w:rsidR="00D10FB8" w:rsidRPr="006D4511">
        <w:rPr>
          <w:rFonts w:asciiTheme="majorHAnsi" w:hAnsiTheme="majorHAnsi" w:cstheme="majorHAnsi"/>
          <w:color w:val="000000" w:themeColor="text1"/>
          <w:sz w:val="24"/>
          <w:szCs w:val="24"/>
          <w:lang w:val="ru-MD"/>
        </w:rPr>
        <w:t xml:space="preserve"> доходов</w:t>
      </w:r>
      <w:r w:rsidR="006D4511" w:rsidRPr="006D4511">
        <w:rPr>
          <w:rFonts w:asciiTheme="majorHAnsi" w:hAnsiTheme="majorHAnsi" w:cstheme="majorHAnsi"/>
          <w:color w:val="000000" w:themeColor="text1"/>
          <w:sz w:val="24"/>
          <w:szCs w:val="24"/>
          <w:lang w:val="ru-MD"/>
        </w:rPr>
        <w:t xml:space="preserve"> в</w:t>
      </w:r>
      <w:r w:rsidR="00D10FB8" w:rsidRPr="006D4511">
        <w:rPr>
          <w:rFonts w:asciiTheme="majorHAnsi" w:hAnsiTheme="majorHAnsi" w:cstheme="majorHAnsi"/>
          <w:color w:val="000000" w:themeColor="text1"/>
          <w:sz w:val="24"/>
          <w:szCs w:val="24"/>
          <w:lang w:val="ru-MD"/>
        </w:rPr>
        <w:t xml:space="preserve"> </w:t>
      </w:r>
      <w:r w:rsidR="00B01C83" w:rsidRPr="006D4511">
        <w:rPr>
          <w:rFonts w:asciiTheme="majorHAnsi" w:hAnsiTheme="majorHAnsi" w:cstheme="majorHAnsi"/>
          <w:color w:val="000000" w:themeColor="text1"/>
          <w:sz w:val="24"/>
          <w:szCs w:val="24"/>
          <w:lang w:val="ru-MD"/>
        </w:rPr>
        <w:t>БГСС</w:t>
      </w:r>
      <w:r w:rsidRPr="006D4511">
        <w:rPr>
          <w:rFonts w:asciiTheme="majorHAnsi" w:hAnsiTheme="majorHAnsi" w:cstheme="majorHAnsi"/>
          <w:color w:val="000000" w:themeColor="text1"/>
          <w:sz w:val="24"/>
          <w:szCs w:val="24"/>
          <w:lang w:val="ru-MD"/>
        </w:rPr>
        <w:t>.</w:t>
      </w:r>
      <w:r w:rsidR="00D10FB8" w:rsidRPr="006D4511">
        <w:rPr>
          <w:rFonts w:asciiTheme="majorHAnsi" w:hAnsiTheme="majorHAnsi" w:cstheme="majorHAnsi"/>
          <w:color w:val="000000" w:themeColor="text1"/>
          <w:sz w:val="24"/>
          <w:szCs w:val="24"/>
          <w:lang w:val="ru-MD"/>
        </w:rPr>
        <w:t xml:space="preserve"> </w:t>
      </w:r>
    </w:p>
    <w:p w14:paraId="0F237B23" w14:textId="1C8E36AC" w:rsidR="005E7DC9" w:rsidRPr="00653E85" w:rsidRDefault="00D10FB8" w:rsidP="00D10FB8">
      <w:pPr>
        <w:pStyle w:val="aa"/>
        <w:numPr>
          <w:ilvl w:val="0"/>
          <w:numId w:val="4"/>
        </w:numPr>
        <w:spacing w:line="276" w:lineRule="auto"/>
        <w:ind w:left="0" w:firstLine="360"/>
        <w:jc w:val="both"/>
        <w:rPr>
          <w:rFonts w:asciiTheme="majorHAnsi" w:hAnsiTheme="majorHAnsi" w:cstheme="majorHAnsi"/>
          <w:b/>
          <w:bCs/>
          <w:i/>
          <w:iCs/>
          <w:sz w:val="24"/>
          <w:szCs w:val="24"/>
          <w:lang w:val="ro-MD"/>
        </w:rPr>
      </w:pPr>
      <w:r w:rsidRPr="00A05FD5">
        <w:rPr>
          <w:rFonts w:asciiTheme="majorHAnsi" w:hAnsiTheme="majorHAnsi" w:cstheme="majorHAnsi"/>
          <w:b/>
          <w:bCs/>
          <w:i/>
          <w:iCs/>
          <w:sz w:val="24"/>
          <w:szCs w:val="24"/>
          <w:lang w:val="ru-MD"/>
        </w:rPr>
        <w:t xml:space="preserve">Обязанность декларировать и </w:t>
      </w:r>
      <w:r w:rsidR="00A05FD5" w:rsidRPr="00A05FD5">
        <w:rPr>
          <w:rFonts w:asciiTheme="majorHAnsi" w:hAnsiTheme="majorHAnsi" w:cstheme="majorHAnsi"/>
          <w:b/>
          <w:bCs/>
          <w:i/>
          <w:iCs/>
          <w:sz w:val="24"/>
          <w:szCs w:val="24"/>
          <w:lang w:val="ru-MD"/>
        </w:rPr>
        <w:t>о</w:t>
      </w:r>
      <w:r w:rsidRPr="00A05FD5">
        <w:rPr>
          <w:rFonts w:asciiTheme="majorHAnsi" w:hAnsiTheme="majorHAnsi" w:cstheme="majorHAnsi"/>
          <w:b/>
          <w:bCs/>
          <w:i/>
          <w:iCs/>
          <w:sz w:val="24"/>
          <w:szCs w:val="24"/>
          <w:lang w:val="ru-MD"/>
        </w:rPr>
        <w:t>плачивать взносы государственно</w:t>
      </w:r>
      <w:r w:rsidR="00A05FD5" w:rsidRPr="00A05FD5">
        <w:rPr>
          <w:rFonts w:asciiTheme="majorHAnsi" w:hAnsiTheme="majorHAnsi" w:cstheme="majorHAnsi"/>
          <w:b/>
          <w:bCs/>
          <w:i/>
          <w:iCs/>
          <w:sz w:val="24"/>
          <w:szCs w:val="24"/>
          <w:lang w:val="ru-MD"/>
        </w:rPr>
        <w:t>го</w:t>
      </w:r>
      <w:r w:rsidRPr="00A05FD5">
        <w:rPr>
          <w:rFonts w:asciiTheme="majorHAnsi" w:hAnsiTheme="majorHAnsi" w:cstheme="majorHAnsi"/>
          <w:b/>
          <w:bCs/>
          <w:i/>
          <w:iCs/>
          <w:sz w:val="24"/>
          <w:szCs w:val="24"/>
          <w:lang w:val="ru-MD"/>
        </w:rPr>
        <w:t xml:space="preserve"> социально</w:t>
      </w:r>
      <w:r w:rsidR="00A05FD5" w:rsidRPr="00A05FD5">
        <w:rPr>
          <w:rFonts w:asciiTheme="majorHAnsi" w:hAnsiTheme="majorHAnsi" w:cstheme="majorHAnsi"/>
          <w:b/>
          <w:bCs/>
          <w:i/>
          <w:iCs/>
          <w:sz w:val="24"/>
          <w:szCs w:val="24"/>
          <w:lang w:val="ru-MD"/>
        </w:rPr>
        <w:t>го</w:t>
      </w:r>
      <w:r w:rsidRPr="00A05FD5">
        <w:rPr>
          <w:rFonts w:asciiTheme="majorHAnsi" w:hAnsiTheme="majorHAnsi" w:cstheme="majorHAnsi"/>
          <w:b/>
          <w:bCs/>
          <w:i/>
          <w:iCs/>
          <w:sz w:val="24"/>
          <w:szCs w:val="24"/>
          <w:lang w:val="ru-MD"/>
        </w:rPr>
        <w:t xml:space="preserve"> страховани</w:t>
      </w:r>
      <w:r w:rsidR="00A05FD5" w:rsidRPr="00A05FD5">
        <w:rPr>
          <w:rFonts w:asciiTheme="majorHAnsi" w:hAnsiTheme="majorHAnsi" w:cstheme="majorHAnsi"/>
          <w:b/>
          <w:bCs/>
          <w:i/>
          <w:iCs/>
          <w:sz w:val="24"/>
          <w:szCs w:val="24"/>
          <w:lang w:val="ru-MD"/>
        </w:rPr>
        <w:t>я</w:t>
      </w:r>
      <w:r w:rsidRPr="00A05FD5">
        <w:rPr>
          <w:rFonts w:asciiTheme="majorHAnsi" w:hAnsiTheme="majorHAnsi" w:cstheme="majorHAnsi"/>
          <w:b/>
          <w:bCs/>
          <w:i/>
          <w:iCs/>
          <w:sz w:val="24"/>
          <w:szCs w:val="24"/>
          <w:lang w:val="ru-MD"/>
        </w:rPr>
        <w:t xml:space="preserve"> </w:t>
      </w:r>
      <w:r w:rsidR="001138A9" w:rsidRPr="00A05FD5">
        <w:rPr>
          <w:rFonts w:asciiTheme="majorHAnsi" w:hAnsiTheme="majorHAnsi" w:cstheme="majorHAnsi"/>
          <w:b/>
          <w:bCs/>
          <w:i/>
          <w:iCs/>
          <w:sz w:val="24"/>
          <w:szCs w:val="24"/>
          <w:lang w:val="ru-MD"/>
        </w:rPr>
        <w:t>выполн</w:t>
      </w:r>
      <w:r w:rsidR="001138A9">
        <w:rPr>
          <w:rFonts w:asciiTheme="majorHAnsi" w:hAnsiTheme="majorHAnsi" w:cstheme="majorHAnsi"/>
          <w:b/>
          <w:bCs/>
          <w:i/>
          <w:iCs/>
          <w:sz w:val="24"/>
          <w:szCs w:val="24"/>
          <w:lang w:val="ru-MD"/>
        </w:rPr>
        <w:t xml:space="preserve">ялась </w:t>
      </w:r>
      <w:r w:rsidRPr="00A05FD5">
        <w:rPr>
          <w:rFonts w:asciiTheme="majorHAnsi" w:hAnsiTheme="majorHAnsi" w:cstheme="majorHAnsi"/>
          <w:b/>
          <w:bCs/>
          <w:i/>
          <w:iCs/>
          <w:sz w:val="24"/>
          <w:szCs w:val="24"/>
          <w:lang w:val="ru-MD"/>
        </w:rPr>
        <w:t>не все</w:t>
      </w:r>
      <w:r w:rsidR="00A05FD5" w:rsidRPr="00A05FD5">
        <w:rPr>
          <w:rFonts w:asciiTheme="majorHAnsi" w:hAnsiTheme="majorHAnsi" w:cstheme="majorHAnsi"/>
          <w:b/>
          <w:bCs/>
          <w:i/>
          <w:iCs/>
          <w:sz w:val="24"/>
          <w:szCs w:val="24"/>
          <w:lang w:val="ru-MD"/>
        </w:rPr>
        <w:t>ми</w:t>
      </w:r>
      <w:r w:rsidRPr="00A05FD5">
        <w:rPr>
          <w:rFonts w:asciiTheme="majorHAnsi" w:hAnsiTheme="majorHAnsi" w:cstheme="majorHAnsi"/>
          <w:b/>
          <w:bCs/>
          <w:i/>
          <w:iCs/>
          <w:sz w:val="24"/>
          <w:szCs w:val="24"/>
          <w:lang w:val="ru-MD"/>
        </w:rPr>
        <w:t xml:space="preserve"> </w:t>
      </w:r>
      <w:r w:rsidR="00B01C83" w:rsidRPr="00A05FD5">
        <w:rPr>
          <w:rFonts w:asciiTheme="majorHAnsi" w:hAnsiTheme="majorHAnsi" w:cstheme="majorHAnsi"/>
          <w:b/>
          <w:bCs/>
          <w:i/>
          <w:iCs/>
          <w:sz w:val="24"/>
          <w:szCs w:val="24"/>
          <w:lang w:val="ru-MD"/>
        </w:rPr>
        <w:t>свободны</w:t>
      </w:r>
      <w:r w:rsidR="00A05FD5" w:rsidRPr="00A05FD5">
        <w:rPr>
          <w:rFonts w:asciiTheme="majorHAnsi" w:hAnsiTheme="majorHAnsi" w:cstheme="majorHAnsi"/>
          <w:b/>
          <w:bCs/>
          <w:i/>
          <w:iCs/>
          <w:sz w:val="24"/>
          <w:szCs w:val="24"/>
          <w:lang w:val="ru-MD"/>
        </w:rPr>
        <w:t>ми</w:t>
      </w:r>
      <w:r w:rsidR="00B01C83" w:rsidRPr="00A05FD5">
        <w:rPr>
          <w:rFonts w:asciiTheme="majorHAnsi" w:hAnsiTheme="majorHAnsi" w:cstheme="majorHAnsi"/>
          <w:b/>
          <w:bCs/>
          <w:i/>
          <w:iCs/>
          <w:sz w:val="24"/>
          <w:szCs w:val="24"/>
          <w:lang w:val="ru-MD"/>
        </w:rPr>
        <w:t xml:space="preserve"> профессионал</w:t>
      </w:r>
      <w:r w:rsidR="00A05FD5" w:rsidRPr="00A05FD5">
        <w:rPr>
          <w:rFonts w:asciiTheme="majorHAnsi" w:hAnsiTheme="majorHAnsi" w:cstheme="majorHAnsi"/>
          <w:b/>
          <w:bCs/>
          <w:i/>
          <w:iCs/>
          <w:sz w:val="24"/>
          <w:szCs w:val="24"/>
          <w:lang w:val="ru-MD"/>
        </w:rPr>
        <w:t>ами</w:t>
      </w:r>
      <w:r w:rsidRPr="00A05FD5">
        <w:rPr>
          <w:rFonts w:asciiTheme="majorHAnsi" w:hAnsiTheme="majorHAnsi" w:cstheme="majorHAnsi"/>
          <w:b/>
          <w:bCs/>
          <w:i/>
          <w:iCs/>
          <w:sz w:val="24"/>
          <w:szCs w:val="24"/>
          <w:lang w:val="ru-MD"/>
        </w:rPr>
        <w:t xml:space="preserve">, </w:t>
      </w:r>
      <w:r w:rsidR="00A05FD5" w:rsidRPr="00A05FD5">
        <w:rPr>
          <w:rFonts w:asciiTheme="majorHAnsi" w:hAnsiTheme="majorHAnsi" w:cstheme="majorHAnsi"/>
          <w:b/>
          <w:bCs/>
          <w:i/>
          <w:iCs/>
          <w:sz w:val="24"/>
          <w:szCs w:val="24"/>
          <w:lang w:val="ru-MD"/>
        </w:rPr>
        <w:t>осуществля</w:t>
      </w:r>
      <w:r w:rsidRPr="00A05FD5">
        <w:rPr>
          <w:rFonts w:asciiTheme="majorHAnsi" w:hAnsiTheme="majorHAnsi" w:cstheme="majorHAnsi"/>
          <w:b/>
          <w:bCs/>
          <w:i/>
          <w:iCs/>
          <w:sz w:val="24"/>
          <w:szCs w:val="24"/>
          <w:lang w:val="ru-MD"/>
        </w:rPr>
        <w:t>ющи</w:t>
      </w:r>
      <w:r w:rsidR="00A05FD5" w:rsidRPr="00A05FD5">
        <w:rPr>
          <w:rFonts w:asciiTheme="majorHAnsi" w:hAnsiTheme="majorHAnsi" w:cstheme="majorHAnsi"/>
          <w:b/>
          <w:bCs/>
          <w:i/>
          <w:iCs/>
          <w:sz w:val="24"/>
          <w:szCs w:val="24"/>
          <w:lang w:val="ru-MD"/>
        </w:rPr>
        <w:t>ми</w:t>
      </w:r>
      <w:r w:rsidRPr="00A05FD5">
        <w:rPr>
          <w:rFonts w:asciiTheme="majorHAnsi" w:hAnsiTheme="majorHAnsi" w:cstheme="majorHAnsi"/>
          <w:b/>
          <w:bCs/>
          <w:i/>
          <w:iCs/>
          <w:sz w:val="24"/>
          <w:szCs w:val="24"/>
          <w:lang w:val="ru-MD"/>
        </w:rPr>
        <w:t xml:space="preserve"> деятельность </w:t>
      </w:r>
      <w:r w:rsidR="00A05FD5" w:rsidRPr="00A05FD5">
        <w:rPr>
          <w:rFonts w:asciiTheme="majorHAnsi" w:hAnsiTheme="majorHAnsi" w:cstheme="majorHAnsi"/>
          <w:b/>
          <w:bCs/>
          <w:i/>
          <w:iCs/>
          <w:sz w:val="24"/>
          <w:szCs w:val="24"/>
          <w:lang w:val="ru-MD"/>
        </w:rPr>
        <w:t>в сфере правосудия</w:t>
      </w:r>
      <w:r w:rsidRPr="00A05FD5">
        <w:rPr>
          <w:rFonts w:asciiTheme="majorHAnsi" w:hAnsiTheme="majorHAnsi" w:cstheme="majorHAnsi"/>
          <w:b/>
          <w:bCs/>
          <w:i/>
          <w:iCs/>
          <w:sz w:val="24"/>
          <w:szCs w:val="24"/>
          <w:lang w:val="ru-MD"/>
        </w:rPr>
        <w:t xml:space="preserve">, что </w:t>
      </w:r>
      <w:r w:rsidR="00A05FD5" w:rsidRPr="00A05FD5">
        <w:rPr>
          <w:rFonts w:asciiTheme="majorHAnsi" w:hAnsiTheme="majorHAnsi" w:cstheme="majorHAnsi"/>
          <w:b/>
          <w:bCs/>
          <w:i/>
          <w:iCs/>
          <w:sz w:val="24"/>
          <w:szCs w:val="24"/>
          <w:lang w:val="ru-MD"/>
        </w:rPr>
        <w:t>нанес</w:t>
      </w:r>
      <w:r w:rsidRPr="00A05FD5">
        <w:rPr>
          <w:rFonts w:asciiTheme="majorHAnsi" w:hAnsiTheme="majorHAnsi" w:cstheme="majorHAnsi"/>
          <w:b/>
          <w:bCs/>
          <w:i/>
          <w:iCs/>
          <w:sz w:val="24"/>
          <w:szCs w:val="24"/>
          <w:lang w:val="ru-MD"/>
        </w:rPr>
        <w:t>ло у</w:t>
      </w:r>
      <w:r w:rsidR="00A05FD5" w:rsidRPr="00A05FD5">
        <w:rPr>
          <w:rFonts w:asciiTheme="majorHAnsi" w:hAnsiTheme="majorHAnsi" w:cstheme="majorHAnsi"/>
          <w:b/>
          <w:bCs/>
          <w:i/>
          <w:iCs/>
          <w:sz w:val="24"/>
          <w:szCs w:val="24"/>
          <w:lang w:val="ru-MD"/>
        </w:rPr>
        <w:t>бытки БГСС</w:t>
      </w:r>
      <w:r w:rsidRPr="00A05FD5">
        <w:rPr>
          <w:rFonts w:asciiTheme="majorHAnsi" w:hAnsiTheme="majorHAnsi" w:cstheme="majorHAnsi"/>
          <w:b/>
          <w:bCs/>
          <w:i/>
          <w:iCs/>
          <w:sz w:val="24"/>
          <w:szCs w:val="24"/>
          <w:lang w:val="ru-MD"/>
        </w:rPr>
        <w:t xml:space="preserve"> на </w:t>
      </w:r>
      <w:r w:rsidR="00A05FD5" w:rsidRPr="00A05FD5">
        <w:rPr>
          <w:rFonts w:asciiTheme="majorHAnsi" w:hAnsiTheme="majorHAnsi" w:cstheme="majorHAnsi"/>
          <w:b/>
          <w:bCs/>
          <w:i/>
          <w:iCs/>
          <w:sz w:val="24"/>
          <w:szCs w:val="24"/>
          <w:lang w:val="ru-MD"/>
        </w:rPr>
        <w:t xml:space="preserve">сумму </w:t>
      </w:r>
      <w:r w:rsidRPr="00A05FD5">
        <w:rPr>
          <w:rFonts w:asciiTheme="majorHAnsi" w:hAnsiTheme="majorHAnsi" w:cstheme="majorHAnsi"/>
          <w:b/>
          <w:bCs/>
          <w:i/>
          <w:iCs/>
          <w:sz w:val="24"/>
          <w:szCs w:val="24"/>
          <w:lang w:val="ru-MD"/>
        </w:rPr>
        <w:t>310,5 тыс. леев</w:t>
      </w:r>
      <w:r w:rsidR="005E7DC9" w:rsidRPr="00653E85">
        <w:rPr>
          <w:rFonts w:asciiTheme="majorHAnsi" w:hAnsiTheme="majorHAnsi" w:cstheme="majorHAnsi"/>
          <w:b/>
          <w:bCs/>
          <w:i/>
          <w:iCs/>
          <w:sz w:val="24"/>
          <w:szCs w:val="24"/>
          <w:lang w:val="ro-MD"/>
        </w:rPr>
        <w:t>.</w:t>
      </w:r>
    </w:p>
    <w:p w14:paraId="5F37A862" w14:textId="6BAF4FB5" w:rsidR="005E7DC9" w:rsidRPr="006D4511" w:rsidRDefault="00D10FB8" w:rsidP="005E7DC9">
      <w:pPr>
        <w:spacing w:line="276" w:lineRule="auto"/>
        <w:jc w:val="both"/>
        <w:rPr>
          <w:rFonts w:asciiTheme="majorHAnsi" w:hAnsiTheme="majorHAnsi" w:cstheme="majorHAnsi"/>
          <w:sz w:val="24"/>
          <w:szCs w:val="24"/>
          <w:lang w:val="ru-MD"/>
        </w:rPr>
      </w:pPr>
      <w:r w:rsidRPr="006D4511">
        <w:rPr>
          <w:rFonts w:asciiTheme="majorHAnsi" w:hAnsiTheme="majorHAnsi" w:cstheme="majorHAnsi"/>
          <w:sz w:val="24"/>
          <w:szCs w:val="24"/>
          <w:lang w:val="ru-MD"/>
        </w:rPr>
        <w:t xml:space="preserve">Представление деклараций о </w:t>
      </w:r>
      <w:r w:rsidR="006D4511" w:rsidRPr="006D4511">
        <w:rPr>
          <w:rFonts w:asciiTheme="majorHAnsi" w:hAnsiTheme="majorHAnsi" w:cstheme="majorHAnsi"/>
          <w:sz w:val="24"/>
          <w:szCs w:val="24"/>
          <w:lang w:val="ru-MD"/>
        </w:rPr>
        <w:t>начислении</w:t>
      </w:r>
      <w:r w:rsidRPr="006D4511">
        <w:rPr>
          <w:rFonts w:asciiTheme="majorHAnsi" w:hAnsiTheme="majorHAnsi" w:cstheme="majorHAnsi"/>
          <w:sz w:val="24"/>
          <w:szCs w:val="24"/>
          <w:lang w:val="ru-MD"/>
        </w:rPr>
        <w:t xml:space="preserve"> и использовании взносов обязательного государственного социального страхования </w:t>
      </w:r>
      <w:r w:rsidR="00B01C83" w:rsidRPr="006D4511">
        <w:rPr>
          <w:rFonts w:asciiTheme="majorHAnsi" w:hAnsiTheme="majorHAnsi" w:cstheme="majorHAnsi"/>
          <w:sz w:val="24"/>
          <w:szCs w:val="24"/>
          <w:lang w:val="ru-MD"/>
        </w:rPr>
        <w:t>свободны</w:t>
      </w:r>
      <w:r w:rsidR="006D4511" w:rsidRPr="006D4511">
        <w:rPr>
          <w:rFonts w:asciiTheme="majorHAnsi" w:hAnsiTheme="majorHAnsi" w:cstheme="majorHAnsi"/>
          <w:sz w:val="24"/>
          <w:szCs w:val="24"/>
          <w:lang w:val="ru-MD"/>
        </w:rPr>
        <w:t>ми</w:t>
      </w:r>
      <w:r w:rsidR="00B01C83" w:rsidRPr="006D4511">
        <w:rPr>
          <w:rFonts w:asciiTheme="majorHAnsi" w:hAnsiTheme="majorHAnsi" w:cstheme="majorHAnsi"/>
          <w:sz w:val="24"/>
          <w:szCs w:val="24"/>
          <w:lang w:val="ru-MD"/>
        </w:rPr>
        <w:t xml:space="preserve"> профессионал</w:t>
      </w:r>
      <w:r w:rsidRPr="006D4511">
        <w:rPr>
          <w:rFonts w:asciiTheme="majorHAnsi" w:hAnsiTheme="majorHAnsi" w:cstheme="majorHAnsi"/>
          <w:sz w:val="24"/>
          <w:szCs w:val="24"/>
          <w:lang w:val="ru-MD"/>
        </w:rPr>
        <w:t xml:space="preserve">ами, </w:t>
      </w:r>
      <w:r w:rsidR="006D4511" w:rsidRPr="006D4511">
        <w:rPr>
          <w:rFonts w:asciiTheme="majorHAnsi" w:hAnsiTheme="majorHAnsi" w:cstheme="majorHAnsi"/>
          <w:sz w:val="24"/>
          <w:szCs w:val="24"/>
          <w:lang w:val="ru-MD"/>
        </w:rPr>
        <w:t>осуществля</w:t>
      </w:r>
      <w:r w:rsidRPr="006D4511">
        <w:rPr>
          <w:rFonts w:asciiTheme="majorHAnsi" w:hAnsiTheme="majorHAnsi" w:cstheme="majorHAnsi"/>
          <w:sz w:val="24"/>
          <w:szCs w:val="24"/>
          <w:lang w:val="ru-MD"/>
        </w:rPr>
        <w:t>ющими деятельность в с</w:t>
      </w:r>
      <w:r w:rsidR="006D4511" w:rsidRPr="006D4511">
        <w:rPr>
          <w:rFonts w:asciiTheme="majorHAnsi" w:hAnsiTheme="majorHAnsi" w:cstheme="majorHAnsi"/>
          <w:sz w:val="24"/>
          <w:szCs w:val="24"/>
          <w:lang w:val="ru-MD"/>
        </w:rPr>
        <w:t>фере правосудия</w:t>
      </w:r>
      <w:r w:rsidRPr="006D4511">
        <w:rPr>
          <w:rFonts w:asciiTheme="majorHAnsi" w:hAnsiTheme="majorHAnsi" w:cstheme="majorHAnsi"/>
          <w:sz w:val="24"/>
          <w:szCs w:val="24"/>
          <w:lang w:val="ru-MD"/>
        </w:rPr>
        <w:t xml:space="preserve">, регулируется </w:t>
      </w:r>
      <w:r w:rsidR="006D4511" w:rsidRPr="006D4511">
        <w:rPr>
          <w:rFonts w:asciiTheme="majorHAnsi" w:hAnsiTheme="majorHAnsi" w:cstheme="majorHAnsi"/>
          <w:sz w:val="24"/>
          <w:szCs w:val="24"/>
          <w:lang w:val="ru-MD"/>
        </w:rPr>
        <w:t>З</w:t>
      </w:r>
      <w:r w:rsidRPr="006D4511">
        <w:rPr>
          <w:rFonts w:asciiTheme="majorHAnsi" w:hAnsiTheme="majorHAnsi" w:cstheme="majorHAnsi"/>
          <w:sz w:val="24"/>
          <w:szCs w:val="24"/>
          <w:lang w:val="ru-MD"/>
        </w:rPr>
        <w:t xml:space="preserve">аконом </w:t>
      </w:r>
      <w:r w:rsidR="006D4511" w:rsidRPr="006D4511">
        <w:rPr>
          <w:rFonts w:asciiTheme="majorHAnsi" w:hAnsiTheme="majorHAnsi" w:cstheme="majorHAnsi"/>
          <w:sz w:val="24"/>
          <w:szCs w:val="24"/>
          <w:lang w:val="ru-MD"/>
        </w:rPr>
        <w:t>о</w:t>
      </w:r>
      <w:r w:rsidRPr="006D4511">
        <w:rPr>
          <w:rFonts w:asciiTheme="majorHAnsi" w:hAnsiTheme="majorHAnsi" w:cstheme="majorHAnsi"/>
          <w:sz w:val="24"/>
          <w:szCs w:val="24"/>
          <w:lang w:val="ru-MD"/>
        </w:rPr>
        <w:t xml:space="preserve"> государственной системе социального страхования</w:t>
      </w:r>
      <w:r w:rsidR="006D4511" w:rsidRPr="006D4511">
        <w:rPr>
          <w:rStyle w:val="a5"/>
          <w:rFonts w:asciiTheme="majorHAnsi" w:hAnsiTheme="majorHAnsi" w:cstheme="majorHAnsi"/>
          <w:sz w:val="24"/>
          <w:szCs w:val="24"/>
          <w:lang w:val="ru-MD"/>
        </w:rPr>
        <w:footnoteReference w:id="39"/>
      </w:r>
      <w:r w:rsidR="006D4511" w:rsidRPr="006D4511">
        <w:rPr>
          <w:rFonts w:asciiTheme="majorHAnsi" w:hAnsiTheme="majorHAnsi" w:cstheme="majorHAnsi"/>
          <w:sz w:val="24"/>
          <w:szCs w:val="24"/>
          <w:lang w:val="ru-MD"/>
        </w:rPr>
        <w:t xml:space="preserve"> </w:t>
      </w:r>
      <w:r w:rsidRPr="006D4511">
        <w:rPr>
          <w:rFonts w:asciiTheme="majorHAnsi" w:hAnsiTheme="majorHAnsi" w:cstheme="majorHAnsi"/>
          <w:sz w:val="24"/>
          <w:szCs w:val="24"/>
          <w:lang w:val="ru-MD"/>
        </w:rPr>
        <w:t xml:space="preserve"> и </w:t>
      </w:r>
      <w:r w:rsidR="006D4511" w:rsidRPr="006D4511">
        <w:rPr>
          <w:rFonts w:asciiTheme="majorHAnsi" w:hAnsiTheme="majorHAnsi" w:cstheme="majorHAnsi"/>
          <w:sz w:val="24"/>
          <w:szCs w:val="24"/>
          <w:lang w:val="ru-MD"/>
        </w:rPr>
        <w:t>З</w:t>
      </w:r>
      <w:r w:rsidRPr="006D4511">
        <w:rPr>
          <w:rFonts w:asciiTheme="majorHAnsi" w:hAnsiTheme="majorHAnsi" w:cstheme="majorHAnsi"/>
          <w:sz w:val="24"/>
          <w:szCs w:val="24"/>
          <w:lang w:val="ru-MD"/>
        </w:rPr>
        <w:t xml:space="preserve">аконом </w:t>
      </w:r>
      <w:r w:rsidR="006D4511" w:rsidRPr="006D4511">
        <w:rPr>
          <w:rFonts w:asciiTheme="majorHAnsi" w:hAnsiTheme="majorHAnsi" w:cstheme="majorHAnsi"/>
          <w:sz w:val="24"/>
          <w:szCs w:val="24"/>
          <w:lang w:val="ru-MD"/>
        </w:rPr>
        <w:t>о</w:t>
      </w:r>
      <w:r w:rsidRPr="006D4511">
        <w:rPr>
          <w:rFonts w:asciiTheme="majorHAnsi" w:hAnsiTheme="majorHAnsi" w:cstheme="majorHAnsi"/>
          <w:sz w:val="24"/>
          <w:szCs w:val="24"/>
          <w:lang w:val="ru-MD"/>
        </w:rPr>
        <w:t xml:space="preserve"> бюджете государственного социального страхования на 2022 год</w:t>
      </w:r>
      <w:r w:rsidR="006D4511" w:rsidRPr="006D4511">
        <w:rPr>
          <w:rStyle w:val="a5"/>
          <w:rFonts w:asciiTheme="majorHAnsi" w:hAnsiTheme="majorHAnsi" w:cstheme="majorHAnsi"/>
          <w:sz w:val="24"/>
          <w:szCs w:val="24"/>
          <w:lang w:val="ru-MD"/>
        </w:rPr>
        <w:footnoteReference w:id="40"/>
      </w:r>
      <w:r w:rsidRPr="006D4511">
        <w:rPr>
          <w:rFonts w:asciiTheme="majorHAnsi" w:hAnsiTheme="majorHAnsi" w:cstheme="majorHAnsi"/>
          <w:sz w:val="24"/>
          <w:szCs w:val="24"/>
          <w:lang w:val="ru-MD"/>
        </w:rPr>
        <w:t xml:space="preserve">. В течение 2021-2022 годов зарегистрировали свою </w:t>
      </w:r>
      <w:r w:rsidR="006D4511" w:rsidRPr="006D4511">
        <w:rPr>
          <w:rFonts w:asciiTheme="majorHAnsi" w:hAnsiTheme="majorHAnsi" w:cstheme="majorHAnsi"/>
          <w:sz w:val="24"/>
          <w:szCs w:val="24"/>
          <w:lang w:val="ru-MD"/>
        </w:rPr>
        <w:t>деятельность</w:t>
      </w:r>
      <w:r w:rsidRPr="006D4511">
        <w:rPr>
          <w:rFonts w:asciiTheme="majorHAnsi" w:hAnsiTheme="majorHAnsi" w:cstheme="majorHAnsi"/>
          <w:sz w:val="24"/>
          <w:szCs w:val="24"/>
          <w:lang w:val="ru-MD"/>
        </w:rPr>
        <w:t xml:space="preserve"> 114 адвокатских кабинет</w:t>
      </w:r>
      <w:r w:rsidR="006D4511" w:rsidRPr="006D4511">
        <w:rPr>
          <w:rFonts w:asciiTheme="majorHAnsi" w:hAnsiTheme="majorHAnsi" w:cstheme="majorHAnsi"/>
          <w:sz w:val="24"/>
          <w:szCs w:val="24"/>
          <w:lang w:val="ru-MD"/>
        </w:rPr>
        <w:t>ов</w:t>
      </w:r>
      <w:r w:rsidRPr="006D4511">
        <w:rPr>
          <w:rFonts w:asciiTheme="majorHAnsi" w:hAnsiTheme="majorHAnsi" w:cstheme="majorHAnsi"/>
          <w:sz w:val="24"/>
          <w:szCs w:val="24"/>
          <w:lang w:val="ru-MD"/>
        </w:rPr>
        <w:t>, в 2022 году зарегистрирова</w:t>
      </w:r>
      <w:r w:rsidR="006D4511" w:rsidRPr="006D4511">
        <w:rPr>
          <w:rFonts w:asciiTheme="majorHAnsi" w:hAnsiTheme="majorHAnsi" w:cstheme="majorHAnsi"/>
          <w:sz w:val="24"/>
          <w:szCs w:val="24"/>
          <w:lang w:val="ru-MD"/>
        </w:rPr>
        <w:t>ли</w:t>
      </w:r>
      <w:r w:rsidRPr="006D4511">
        <w:rPr>
          <w:rFonts w:asciiTheme="majorHAnsi" w:hAnsiTheme="majorHAnsi" w:cstheme="majorHAnsi"/>
          <w:sz w:val="24"/>
          <w:szCs w:val="24"/>
          <w:lang w:val="ru-MD"/>
        </w:rPr>
        <w:t xml:space="preserve"> свою деятельность и 10 бюро </w:t>
      </w:r>
      <w:r w:rsidR="006D4511" w:rsidRPr="006D4511">
        <w:rPr>
          <w:rFonts w:asciiTheme="majorHAnsi" w:hAnsiTheme="majorHAnsi" w:cstheme="majorHAnsi"/>
          <w:sz w:val="24"/>
          <w:szCs w:val="24"/>
          <w:lang w:val="ru-MD"/>
        </w:rPr>
        <w:t>медиаторов</w:t>
      </w:r>
      <w:r w:rsidR="005E7DC9" w:rsidRPr="006D4511">
        <w:rPr>
          <w:rFonts w:asciiTheme="majorHAnsi" w:hAnsiTheme="majorHAnsi" w:cstheme="majorHAnsi"/>
          <w:sz w:val="24"/>
          <w:szCs w:val="24"/>
          <w:lang w:val="ru-MD"/>
        </w:rPr>
        <w:t>.</w:t>
      </w:r>
    </w:p>
    <w:p w14:paraId="75439A0E" w14:textId="12251F34" w:rsidR="005E7DC9" w:rsidRPr="0097451F" w:rsidRDefault="00D10FB8" w:rsidP="005E7DC9">
      <w:pPr>
        <w:spacing w:line="276" w:lineRule="auto"/>
        <w:jc w:val="both"/>
        <w:rPr>
          <w:rFonts w:asciiTheme="majorHAnsi" w:hAnsiTheme="majorHAnsi" w:cstheme="majorHAnsi"/>
          <w:sz w:val="24"/>
          <w:szCs w:val="24"/>
          <w:lang w:val="ru-MD"/>
        </w:rPr>
      </w:pPr>
      <w:r w:rsidRPr="0097451F">
        <w:rPr>
          <w:rFonts w:asciiTheme="majorHAnsi" w:hAnsiTheme="majorHAnsi" w:cstheme="majorHAnsi"/>
          <w:sz w:val="24"/>
          <w:szCs w:val="24"/>
          <w:lang w:val="ru-MD"/>
        </w:rPr>
        <w:t xml:space="preserve">Результаты аудита показали, что мониторинг процесса представления деклараций о </w:t>
      </w:r>
      <w:r w:rsidR="0097451F" w:rsidRPr="0097451F">
        <w:rPr>
          <w:rFonts w:asciiTheme="majorHAnsi" w:hAnsiTheme="majorHAnsi" w:cstheme="majorHAnsi"/>
          <w:sz w:val="24"/>
          <w:szCs w:val="24"/>
          <w:lang w:val="ru-MD"/>
        </w:rPr>
        <w:t>исчислении</w:t>
      </w:r>
      <w:r w:rsidRPr="0097451F">
        <w:rPr>
          <w:rFonts w:asciiTheme="majorHAnsi" w:hAnsiTheme="majorHAnsi" w:cstheme="majorHAnsi"/>
          <w:sz w:val="24"/>
          <w:szCs w:val="24"/>
          <w:lang w:val="ru-MD"/>
        </w:rPr>
        <w:t xml:space="preserve"> и использовании взносов социально</w:t>
      </w:r>
      <w:r w:rsidR="0097451F" w:rsidRPr="0097451F">
        <w:rPr>
          <w:rFonts w:asciiTheme="majorHAnsi" w:hAnsiTheme="majorHAnsi" w:cstheme="majorHAnsi"/>
          <w:sz w:val="24"/>
          <w:szCs w:val="24"/>
          <w:lang w:val="ru-MD"/>
        </w:rPr>
        <w:t>го</w:t>
      </w:r>
      <w:r w:rsidRPr="0097451F">
        <w:rPr>
          <w:rFonts w:asciiTheme="majorHAnsi" w:hAnsiTheme="majorHAnsi" w:cstheme="majorHAnsi"/>
          <w:sz w:val="24"/>
          <w:szCs w:val="24"/>
          <w:lang w:val="ru-MD"/>
        </w:rPr>
        <w:t xml:space="preserve"> страховани</w:t>
      </w:r>
      <w:r w:rsidR="0097451F" w:rsidRPr="0097451F">
        <w:rPr>
          <w:rFonts w:asciiTheme="majorHAnsi" w:hAnsiTheme="majorHAnsi" w:cstheme="majorHAnsi"/>
          <w:sz w:val="24"/>
          <w:szCs w:val="24"/>
          <w:lang w:val="ru-MD"/>
        </w:rPr>
        <w:t>я</w:t>
      </w:r>
      <w:r w:rsidRPr="0097451F">
        <w:rPr>
          <w:rFonts w:asciiTheme="majorHAnsi" w:hAnsiTheme="majorHAnsi" w:cstheme="majorHAnsi"/>
          <w:sz w:val="24"/>
          <w:szCs w:val="24"/>
          <w:lang w:val="ru-MD"/>
        </w:rPr>
        <w:t xml:space="preserve"> </w:t>
      </w:r>
      <w:r w:rsidR="00B01C83" w:rsidRPr="0097451F">
        <w:rPr>
          <w:rFonts w:asciiTheme="majorHAnsi" w:hAnsiTheme="majorHAnsi" w:cstheme="majorHAnsi"/>
          <w:sz w:val="24"/>
          <w:szCs w:val="24"/>
          <w:lang w:val="ru-MD"/>
        </w:rPr>
        <w:t>свободны</w:t>
      </w:r>
      <w:r w:rsidR="0097451F" w:rsidRPr="0097451F">
        <w:rPr>
          <w:rFonts w:asciiTheme="majorHAnsi" w:hAnsiTheme="majorHAnsi" w:cstheme="majorHAnsi"/>
          <w:sz w:val="24"/>
          <w:szCs w:val="24"/>
          <w:lang w:val="ru-MD"/>
        </w:rPr>
        <w:t>ми</w:t>
      </w:r>
      <w:r w:rsidR="00B01C83" w:rsidRPr="0097451F">
        <w:rPr>
          <w:rFonts w:asciiTheme="majorHAnsi" w:hAnsiTheme="majorHAnsi" w:cstheme="majorHAnsi"/>
          <w:sz w:val="24"/>
          <w:szCs w:val="24"/>
          <w:lang w:val="ru-MD"/>
        </w:rPr>
        <w:t xml:space="preserve"> профессионал</w:t>
      </w:r>
      <w:r w:rsidRPr="0097451F">
        <w:rPr>
          <w:rFonts w:asciiTheme="majorHAnsi" w:hAnsiTheme="majorHAnsi" w:cstheme="majorHAnsi"/>
          <w:sz w:val="24"/>
          <w:szCs w:val="24"/>
          <w:lang w:val="ru-MD"/>
        </w:rPr>
        <w:t>ами, предусмотренн</w:t>
      </w:r>
      <w:r w:rsidR="0097451F" w:rsidRPr="0097451F">
        <w:rPr>
          <w:rFonts w:asciiTheme="majorHAnsi" w:hAnsiTheme="majorHAnsi" w:cstheme="majorHAnsi"/>
          <w:sz w:val="24"/>
          <w:szCs w:val="24"/>
          <w:lang w:val="ru-MD"/>
        </w:rPr>
        <w:t>ых</w:t>
      </w:r>
      <w:r w:rsidRPr="0097451F">
        <w:rPr>
          <w:rFonts w:asciiTheme="majorHAnsi" w:hAnsiTheme="majorHAnsi" w:cstheme="majorHAnsi"/>
          <w:sz w:val="24"/>
          <w:szCs w:val="24"/>
          <w:lang w:val="ru-MD"/>
        </w:rPr>
        <w:t xml:space="preserve"> </w:t>
      </w:r>
      <w:r w:rsidR="0097451F" w:rsidRPr="0097451F">
        <w:rPr>
          <w:rFonts w:asciiTheme="majorHAnsi" w:hAnsiTheme="majorHAnsi" w:cstheme="majorHAnsi"/>
          <w:sz w:val="24"/>
          <w:szCs w:val="24"/>
          <w:lang w:val="ru-MD"/>
        </w:rPr>
        <w:t>по данному разделу</w:t>
      </w:r>
      <w:r w:rsidRPr="0097451F">
        <w:rPr>
          <w:rFonts w:asciiTheme="majorHAnsi" w:hAnsiTheme="majorHAnsi" w:cstheme="majorHAnsi"/>
          <w:sz w:val="24"/>
          <w:szCs w:val="24"/>
          <w:lang w:val="ru-MD"/>
        </w:rPr>
        <w:t xml:space="preserve">, не обеспечил полного накопления </w:t>
      </w:r>
      <w:r w:rsidR="0097451F" w:rsidRPr="0097451F">
        <w:rPr>
          <w:rFonts w:asciiTheme="majorHAnsi" w:hAnsiTheme="majorHAnsi" w:cstheme="majorHAnsi"/>
          <w:sz w:val="24"/>
          <w:szCs w:val="24"/>
          <w:lang w:val="ru-MD"/>
        </w:rPr>
        <w:t>отчетов</w:t>
      </w:r>
      <w:r w:rsidRPr="0097451F">
        <w:rPr>
          <w:rFonts w:asciiTheme="majorHAnsi" w:hAnsiTheme="majorHAnsi" w:cstheme="majorHAnsi"/>
          <w:sz w:val="24"/>
          <w:szCs w:val="24"/>
          <w:lang w:val="ru-MD"/>
        </w:rPr>
        <w:t>. Следует также отметить, что 5 адвокатских кабинетов, хотя и были обязаны</w:t>
      </w:r>
      <w:r w:rsidR="0097451F" w:rsidRPr="0097451F">
        <w:rPr>
          <w:rStyle w:val="a5"/>
          <w:rFonts w:asciiTheme="majorHAnsi" w:hAnsiTheme="majorHAnsi" w:cstheme="majorHAnsi"/>
          <w:sz w:val="24"/>
          <w:szCs w:val="24"/>
          <w:lang w:val="ru-MD"/>
        </w:rPr>
        <w:footnoteReference w:id="41"/>
      </w:r>
      <w:r w:rsidRPr="0097451F">
        <w:rPr>
          <w:rFonts w:asciiTheme="majorHAnsi" w:hAnsiTheme="majorHAnsi" w:cstheme="majorHAnsi"/>
          <w:sz w:val="24"/>
          <w:szCs w:val="24"/>
          <w:lang w:val="ru-MD"/>
        </w:rPr>
        <w:t xml:space="preserve">, не представили никаких </w:t>
      </w:r>
      <w:r w:rsidR="0097451F" w:rsidRPr="0097451F">
        <w:rPr>
          <w:rFonts w:asciiTheme="majorHAnsi" w:hAnsiTheme="majorHAnsi" w:cstheme="majorHAnsi"/>
          <w:sz w:val="24"/>
          <w:szCs w:val="24"/>
          <w:lang w:val="ru-MD"/>
        </w:rPr>
        <w:t>отчетов</w:t>
      </w:r>
      <w:r w:rsidRPr="0097451F">
        <w:rPr>
          <w:rFonts w:asciiTheme="majorHAnsi" w:hAnsiTheme="majorHAnsi" w:cstheme="majorHAnsi"/>
          <w:sz w:val="24"/>
          <w:szCs w:val="24"/>
          <w:lang w:val="ru-MD"/>
        </w:rPr>
        <w:t xml:space="preserve"> с момента регистрации деятельности до 31.12.2022, </w:t>
      </w:r>
      <w:r w:rsidR="0097451F" w:rsidRPr="0097451F">
        <w:rPr>
          <w:rFonts w:asciiTheme="majorHAnsi" w:hAnsiTheme="majorHAnsi" w:cstheme="majorHAnsi"/>
          <w:sz w:val="24"/>
          <w:szCs w:val="24"/>
          <w:lang w:val="ru-MD"/>
        </w:rPr>
        <w:t>другие</w:t>
      </w:r>
      <w:r w:rsidRPr="0097451F">
        <w:rPr>
          <w:rFonts w:asciiTheme="majorHAnsi" w:hAnsiTheme="majorHAnsi" w:cstheme="majorHAnsi"/>
          <w:sz w:val="24"/>
          <w:szCs w:val="24"/>
          <w:lang w:val="ru-MD"/>
        </w:rPr>
        <w:t xml:space="preserve"> 18 </w:t>
      </w:r>
      <w:r w:rsidR="0097451F" w:rsidRPr="0097451F">
        <w:rPr>
          <w:rFonts w:asciiTheme="majorHAnsi" w:hAnsiTheme="majorHAnsi" w:cstheme="majorHAnsi"/>
          <w:sz w:val="24"/>
          <w:szCs w:val="24"/>
          <w:lang w:val="ru-MD"/>
        </w:rPr>
        <w:t>кабинет</w:t>
      </w:r>
      <w:r w:rsidRPr="0097451F">
        <w:rPr>
          <w:rFonts w:asciiTheme="majorHAnsi" w:hAnsiTheme="majorHAnsi" w:cstheme="majorHAnsi"/>
          <w:sz w:val="24"/>
          <w:szCs w:val="24"/>
          <w:lang w:val="ru-MD"/>
        </w:rPr>
        <w:t xml:space="preserve">ов представили </w:t>
      </w:r>
      <w:r w:rsidR="0097451F" w:rsidRPr="0097451F">
        <w:rPr>
          <w:rFonts w:asciiTheme="majorHAnsi" w:hAnsiTheme="majorHAnsi" w:cstheme="majorHAnsi"/>
          <w:sz w:val="24"/>
          <w:szCs w:val="24"/>
          <w:lang w:val="ru-MD"/>
        </w:rPr>
        <w:t xml:space="preserve">частично </w:t>
      </w:r>
      <w:r w:rsidRPr="0097451F">
        <w:rPr>
          <w:rFonts w:asciiTheme="majorHAnsi" w:hAnsiTheme="majorHAnsi" w:cstheme="majorHAnsi"/>
          <w:sz w:val="24"/>
          <w:szCs w:val="24"/>
          <w:lang w:val="ru-MD"/>
        </w:rPr>
        <w:t>отчет</w:t>
      </w:r>
      <w:r w:rsidR="0097451F" w:rsidRPr="0097451F">
        <w:rPr>
          <w:rFonts w:asciiTheme="majorHAnsi" w:hAnsiTheme="majorHAnsi" w:cstheme="majorHAnsi"/>
          <w:sz w:val="24"/>
          <w:szCs w:val="24"/>
          <w:lang w:val="ru-MD"/>
        </w:rPr>
        <w:t>ы</w:t>
      </w:r>
      <w:r w:rsidRPr="0097451F">
        <w:rPr>
          <w:rFonts w:asciiTheme="majorHAnsi" w:hAnsiTheme="majorHAnsi" w:cstheme="majorHAnsi"/>
          <w:sz w:val="24"/>
          <w:szCs w:val="24"/>
          <w:lang w:val="ru-MD"/>
        </w:rPr>
        <w:t xml:space="preserve"> о </w:t>
      </w:r>
      <w:r w:rsidR="0097451F" w:rsidRPr="0097451F">
        <w:rPr>
          <w:rFonts w:asciiTheme="majorHAnsi" w:hAnsiTheme="majorHAnsi" w:cstheme="majorHAnsi"/>
          <w:sz w:val="24"/>
          <w:szCs w:val="24"/>
          <w:lang w:val="ru-MD"/>
        </w:rPr>
        <w:t>исчислении</w:t>
      </w:r>
      <w:r w:rsidRPr="0097451F">
        <w:rPr>
          <w:rFonts w:asciiTheme="majorHAnsi" w:hAnsiTheme="majorHAnsi" w:cstheme="majorHAnsi"/>
          <w:sz w:val="24"/>
          <w:szCs w:val="24"/>
          <w:lang w:val="ru-MD"/>
        </w:rPr>
        <w:t xml:space="preserve"> и использовании взносов социального страхования в течение 2021-2022 годов, за</w:t>
      </w:r>
      <w:r w:rsidR="0097451F" w:rsidRPr="0097451F">
        <w:rPr>
          <w:rFonts w:asciiTheme="majorHAnsi" w:hAnsiTheme="majorHAnsi" w:cstheme="majorHAnsi"/>
          <w:sz w:val="24"/>
          <w:szCs w:val="24"/>
          <w:lang w:val="ru-MD"/>
        </w:rPr>
        <w:t>регистр</w:t>
      </w:r>
      <w:r w:rsidRPr="0097451F">
        <w:rPr>
          <w:rFonts w:asciiTheme="majorHAnsi" w:hAnsiTheme="majorHAnsi" w:cstheme="majorHAnsi"/>
          <w:sz w:val="24"/>
          <w:szCs w:val="24"/>
          <w:lang w:val="ru-MD"/>
        </w:rPr>
        <w:t xml:space="preserve">ировав задолженность </w:t>
      </w:r>
      <w:r w:rsidR="0097451F" w:rsidRPr="0097451F">
        <w:rPr>
          <w:rFonts w:asciiTheme="majorHAnsi" w:hAnsiTheme="majorHAnsi" w:cstheme="majorHAnsi"/>
          <w:sz w:val="24"/>
          <w:szCs w:val="24"/>
          <w:lang w:val="ru-MD"/>
        </w:rPr>
        <w:t>по</w:t>
      </w:r>
      <w:r w:rsidRPr="0097451F">
        <w:rPr>
          <w:rFonts w:asciiTheme="majorHAnsi" w:hAnsiTheme="majorHAnsi" w:cstheme="majorHAnsi"/>
          <w:sz w:val="24"/>
          <w:szCs w:val="24"/>
          <w:lang w:val="ru-MD"/>
        </w:rPr>
        <w:t xml:space="preserve"> </w:t>
      </w:r>
      <w:r w:rsidR="0097451F" w:rsidRPr="0097451F">
        <w:rPr>
          <w:rFonts w:asciiTheme="majorHAnsi" w:hAnsiTheme="majorHAnsi" w:cstheme="majorHAnsi"/>
          <w:sz w:val="24"/>
          <w:szCs w:val="24"/>
          <w:lang w:val="ru-MD"/>
        </w:rPr>
        <w:t xml:space="preserve">части </w:t>
      </w:r>
      <w:r w:rsidRPr="0097451F">
        <w:rPr>
          <w:rFonts w:asciiTheme="majorHAnsi" w:hAnsiTheme="majorHAnsi" w:cstheme="majorHAnsi"/>
          <w:sz w:val="24"/>
          <w:szCs w:val="24"/>
          <w:lang w:val="ru-MD"/>
        </w:rPr>
        <w:t>представлени</w:t>
      </w:r>
      <w:r w:rsidR="0097451F" w:rsidRPr="0097451F">
        <w:rPr>
          <w:rFonts w:asciiTheme="majorHAnsi" w:hAnsiTheme="majorHAnsi" w:cstheme="majorHAnsi"/>
          <w:sz w:val="24"/>
          <w:szCs w:val="24"/>
          <w:lang w:val="ru-MD"/>
        </w:rPr>
        <w:t>я</w:t>
      </w:r>
      <w:r w:rsidRPr="0097451F">
        <w:rPr>
          <w:rFonts w:asciiTheme="majorHAnsi" w:hAnsiTheme="majorHAnsi" w:cstheme="majorHAnsi"/>
          <w:sz w:val="24"/>
          <w:szCs w:val="24"/>
          <w:lang w:val="ru-MD"/>
        </w:rPr>
        <w:t xml:space="preserve"> </w:t>
      </w:r>
      <w:r w:rsidR="0097451F" w:rsidRPr="0097451F">
        <w:rPr>
          <w:rFonts w:asciiTheme="majorHAnsi" w:hAnsiTheme="majorHAnsi" w:cstheme="majorHAnsi"/>
          <w:sz w:val="24"/>
          <w:szCs w:val="24"/>
          <w:lang w:val="ru-MD"/>
        </w:rPr>
        <w:t>отчетов</w:t>
      </w:r>
      <w:r w:rsidRPr="0097451F">
        <w:rPr>
          <w:rFonts w:asciiTheme="majorHAnsi" w:hAnsiTheme="majorHAnsi" w:cstheme="majorHAnsi"/>
          <w:sz w:val="24"/>
          <w:szCs w:val="24"/>
          <w:lang w:val="ru-MD"/>
        </w:rPr>
        <w:t>. Информация о непре</w:t>
      </w:r>
      <w:r w:rsidR="0097451F" w:rsidRPr="0097451F">
        <w:rPr>
          <w:rFonts w:asciiTheme="majorHAnsi" w:hAnsiTheme="majorHAnsi" w:cstheme="majorHAnsi"/>
          <w:sz w:val="24"/>
          <w:szCs w:val="24"/>
          <w:lang w:val="ru-MD"/>
        </w:rPr>
        <w:t>дставлен</w:t>
      </w:r>
      <w:r w:rsidRPr="0097451F">
        <w:rPr>
          <w:rFonts w:asciiTheme="majorHAnsi" w:hAnsiTheme="majorHAnsi" w:cstheme="majorHAnsi"/>
          <w:sz w:val="24"/>
          <w:szCs w:val="24"/>
          <w:lang w:val="ru-MD"/>
        </w:rPr>
        <w:t xml:space="preserve">ии адвокатскими кабинетами </w:t>
      </w:r>
      <w:r w:rsidR="0097451F" w:rsidRPr="0097451F">
        <w:rPr>
          <w:rFonts w:asciiTheme="majorHAnsi" w:hAnsiTheme="majorHAnsi" w:cstheme="majorHAnsi"/>
          <w:sz w:val="24"/>
          <w:szCs w:val="24"/>
          <w:lang w:val="ru-MD"/>
        </w:rPr>
        <w:t>декларац</w:t>
      </w:r>
      <w:r w:rsidRPr="0097451F">
        <w:rPr>
          <w:rFonts w:asciiTheme="majorHAnsi" w:hAnsiTheme="majorHAnsi" w:cstheme="majorHAnsi"/>
          <w:sz w:val="24"/>
          <w:szCs w:val="24"/>
          <w:lang w:val="ru-MD"/>
        </w:rPr>
        <w:t>ий IP</w:t>
      </w:r>
      <w:r w:rsidR="0097451F" w:rsidRPr="0097451F">
        <w:rPr>
          <w:rFonts w:asciiTheme="majorHAnsi" w:hAnsiTheme="majorHAnsi" w:cstheme="majorHAnsi"/>
          <w:sz w:val="24"/>
          <w:szCs w:val="24"/>
          <w:lang w:val="ru-MD"/>
        </w:rPr>
        <w:t>C21 представлена в Приложении №</w:t>
      </w:r>
      <w:r w:rsidRPr="0097451F">
        <w:rPr>
          <w:rFonts w:asciiTheme="majorHAnsi" w:hAnsiTheme="majorHAnsi" w:cstheme="majorHAnsi"/>
          <w:sz w:val="24"/>
          <w:szCs w:val="24"/>
          <w:lang w:val="ru-MD"/>
        </w:rPr>
        <w:t xml:space="preserve">5 к настоящему </w:t>
      </w:r>
      <w:r w:rsidR="0097451F" w:rsidRPr="0097451F">
        <w:rPr>
          <w:rFonts w:asciiTheme="majorHAnsi" w:hAnsiTheme="majorHAnsi" w:cstheme="majorHAnsi"/>
          <w:sz w:val="24"/>
          <w:szCs w:val="24"/>
          <w:lang w:val="ru-MD"/>
        </w:rPr>
        <w:t>Отчету аудита</w:t>
      </w:r>
      <w:r w:rsidR="005E7DC9" w:rsidRPr="0097451F">
        <w:rPr>
          <w:rFonts w:asciiTheme="majorHAnsi" w:hAnsiTheme="majorHAnsi" w:cstheme="majorHAnsi"/>
          <w:sz w:val="24"/>
          <w:szCs w:val="24"/>
          <w:lang w:val="ru-MD"/>
        </w:rPr>
        <w:t>.</w:t>
      </w:r>
    </w:p>
    <w:p w14:paraId="3D79FEDA" w14:textId="6F6BA35D" w:rsidR="005E7DC9" w:rsidRPr="00B95C1D" w:rsidRDefault="00B95C1D" w:rsidP="005E7DC9">
      <w:pPr>
        <w:spacing w:line="276" w:lineRule="auto"/>
        <w:jc w:val="both"/>
        <w:rPr>
          <w:rFonts w:asciiTheme="majorHAnsi" w:hAnsiTheme="majorHAnsi" w:cstheme="majorHAnsi"/>
          <w:sz w:val="24"/>
          <w:szCs w:val="24"/>
          <w:lang w:val="ru-MD"/>
        </w:rPr>
      </w:pPr>
      <w:r w:rsidRPr="00B95C1D">
        <w:rPr>
          <w:rFonts w:asciiTheme="majorHAnsi" w:hAnsiTheme="majorHAnsi" w:cstheme="majorHAnsi"/>
          <w:sz w:val="24"/>
          <w:szCs w:val="24"/>
          <w:lang w:val="ru-MD"/>
        </w:rPr>
        <w:t>Одно</w:t>
      </w:r>
      <w:r w:rsidR="00D10FB8" w:rsidRPr="00B95C1D">
        <w:rPr>
          <w:rFonts w:asciiTheme="majorHAnsi" w:hAnsiTheme="majorHAnsi" w:cstheme="majorHAnsi"/>
          <w:sz w:val="24"/>
          <w:szCs w:val="24"/>
          <w:lang w:val="ru-MD"/>
        </w:rPr>
        <w:t>врем</w:t>
      </w:r>
      <w:r w:rsidRPr="00B95C1D">
        <w:rPr>
          <w:rFonts w:asciiTheme="majorHAnsi" w:hAnsiTheme="majorHAnsi" w:cstheme="majorHAnsi"/>
          <w:sz w:val="24"/>
          <w:szCs w:val="24"/>
          <w:lang w:val="ru-MD"/>
        </w:rPr>
        <w:t>енно</w:t>
      </w:r>
      <w:r w:rsidR="00D10FB8" w:rsidRPr="00B95C1D">
        <w:rPr>
          <w:rFonts w:asciiTheme="majorHAnsi" w:hAnsiTheme="majorHAnsi" w:cstheme="majorHAnsi"/>
          <w:sz w:val="24"/>
          <w:szCs w:val="24"/>
          <w:lang w:val="ru-MD"/>
        </w:rPr>
        <w:t xml:space="preserve">, в </w:t>
      </w:r>
      <w:r w:rsidRPr="00B95C1D">
        <w:rPr>
          <w:rFonts w:asciiTheme="majorHAnsi" w:hAnsiTheme="majorHAnsi" w:cstheme="majorHAnsi"/>
          <w:sz w:val="24"/>
          <w:szCs w:val="24"/>
          <w:lang w:val="ru-MD"/>
        </w:rPr>
        <w:t>аспекте</w:t>
      </w:r>
      <w:r w:rsidR="00D10FB8" w:rsidRPr="00B95C1D">
        <w:rPr>
          <w:rFonts w:asciiTheme="majorHAnsi" w:hAnsiTheme="majorHAnsi" w:cstheme="majorHAnsi"/>
          <w:sz w:val="24"/>
          <w:szCs w:val="24"/>
          <w:lang w:val="ru-MD"/>
        </w:rPr>
        <w:t xml:space="preserve"> </w:t>
      </w:r>
      <w:r w:rsidRPr="00B95C1D">
        <w:rPr>
          <w:rFonts w:asciiTheme="majorHAnsi" w:hAnsiTheme="majorHAnsi" w:cstheme="majorHAnsi"/>
          <w:sz w:val="24"/>
          <w:szCs w:val="24"/>
          <w:lang w:val="ru-MD"/>
        </w:rPr>
        <w:t>уплаты</w:t>
      </w:r>
      <w:r w:rsidR="00D10FB8" w:rsidRPr="00B95C1D">
        <w:rPr>
          <w:rFonts w:asciiTheme="majorHAnsi" w:hAnsiTheme="majorHAnsi" w:cstheme="majorHAnsi"/>
          <w:sz w:val="24"/>
          <w:szCs w:val="24"/>
          <w:lang w:val="ru-MD"/>
        </w:rPr>
        <w:t xml:space="preserve"> </w:t>
      </w:r>
      <w:r w:rsidRPr="00B95C1D">
        <w:rPr>
          <w:rFonts w:asciiTheme="majorHAnsi" w:hAnsiTheme="majorHAnsi" w:cstheme="majorHAnsi"/>
          <w:sz w:val="24"/>
          <w:szCs w:val="24"/>
          <w:lang w:val="ru-MD"/>
        </w:rPr>
        <w:t>взносов социального страхования</w:t>
      </w:r>
      <w:r w:rsidR="00D10FB8" w:rsidRPr="00B95C1D">
        <w:rPr>
          <w:rFonts w:asciiTheme="majorHAnsi" w:hAnsiTheme="majorHAnsi" w:cstheme="majorHAnsi"/>
          <w:sz w:val="24"/>
          <w:szCs w:val="24"/>
          <w:lang w:val="ru-MD"/>
        </w:rPr>
        <w:t>, аудит показ</w:t>
      </w:r>
      <w:r w:rsidRPr="00B95C1D">
        <w:rPr>
          <w:rFonts w:asciiTheme="majorHAnsi" w:hAnsiTheme="majorHAnsi" w:cstheme="majorHAnsi"/>
          <w:sz w:val="24"/>
          <w:szCs w:val="24"/>
          <w:lang w:val="ru-MD"/>
        </w:rPr>
        <w:t>ал</w:t>
      </w:r>
      <w:r w:rsidR="00D10FB8" w:rsidRPr="00B95C1D">
        <w:rPr>
          <w:rFonts w:asciiTheme="majorHAnsi" w:hAnsiTheme="majorHAnsi" w:cstheme="majorHAnsi"/>
          <w:sz w:val="24"/>
          <w:szCs w:val="24"/>
          <w:lang w:val="ru-MD"/>
        </w:rPr>
        <w:t xml:space="preserve">, что 23 </w:t>
      </w:r>
      <w:r w:rsidRPr="00B95C1D">
        <w:rPr>
          <w:rFonts w:asciiTheme="majorHAnsi" w:hAnsiTheme="majorHAnsi" w:cstheme="majorHAnsi"/>
          <w:sz w:val="24"/>
          <w:szCs w:val="24"/>
          <w:lang w:val="ru-MD"/>
        </w:rPr>
        <w:t xml:space="preserve">адвокатских </w:t>
      </w:r>
      <w:r w:rsidR="00D10FB8" w:rsidRPr="00B95C1D">
        <w:rPr>
          <w:rFonts w:asciiTheme="majorHAnsi" w:hAnsiTheme="majorHAnsi" w:cstheme="majorHAnsi"/>
          <w:sz w:val="24"/>
          <w:szCs w:val="24"/>
          <w:lang w:val="ru-MD"/>
        </w:rPr>
        <w:t>кабинета по состоянию на 31.12.2022 зарегистрировали задолженность п</w:t>
      </w:r>
      <w:r w:rsidRPr="00B95C1D">
        <w:rPr>
          <w:rFonts w:asciiTheme="majorHAnsi" w:hAnsiTheme="majorHAnsi" w:cstheme="majorHAnsi"/>
          <w:sz w:val="24"/>
          <w:szCs w:val="24"/>
          <w:lang w:val="ru-MD"/>
        </w:rPr>
        <w:t>о</w:t>
      </w:r>
      <w:r w:rsidR="00D10FB8" w:rsidRPr="00B95C1D">
        <w:rPr>
          <w:rFonts w:asciiTheme="majorHAnsi" w:hAnsiTheme="majorHAnsi" w:cstheme="majorHAnsi"/>
          <w:sz w:val="24"/>
          <w:szCs w:val="24"/>
          <w:lang w:val="ru-MD"/>
        </w:rPr>
        <w:t xml:space="preserve"> </w:t>
      </w:r>
      <w:r w:rsidRPr="00B95C1D">
        <w:rPr>
          <w:rFonts w:asciiTheme="majorHAnsi" w:hAnsiTheme="majorHAnsi" w:cstheme="majorHAnsi"/>
          <w:sz w:val="24"/>
          <w:szCs w:val="24"/>
          <w:lang w:val="ru-MD"/>
        </w:rPr>
        <w:t>начислению</w:t>
      </w:r>
      <w:r w:rsidR="00D10FB8" w:rsidRPr="00B95C1D">
        <w:rPr>
          <w:rFonts w:asciiTheme="majorHAnsi" w:hAnsiTheme="majorHAnsi" w:cstheme="majorHAnsi"/>
          <w:sz w:val="24"/>
          <w:szCs w:val="24"/>
          <w:lang w:val="ru-MD"/>
        </w:rPr>
        <w:t xml:space="preserve"> и </w:t>
      </w:r>
      <w:r w:rsidRPr="00B95C1D">
        <w:rPr>
          <w:rFonts w:asciiTheme="majorHAnsi" w:hAnsiTheme="majorHAnsi" w:cstheme="majorHAnsi"/>
          <w:sz w:val="24"/>
          <w:szCs w:val="24"/>
          <w:lang w:val="ru-MD"/>
        </w:rPr>
        <w:t>у</w:t>
      </w:r>
      <w:r w:rsidR="00D10FB8" w:rsidRPr="00B95C1D">
        <w:rPr>
          <w:rFonts w:asciiTheme="majorHAnsi" w:hAnsiTheme="majorHAnsi" w:cstheme="majorHAnsi"/>
          <w:sz w:val="24"/>
          <w:szCs w:val="24"/>
          <w:lang w:val="ru-MD"/>
        </w:rPr>
        <w:t xml:space="preserve">плате </w:t>
      </w:r>
      <w:r w:rsidRPr="00B95C1D">
        <w:rPr>
          <w:rFonts w:asciiTheme="majorHAnsi" w:hAnsiTheme="majorHAnsi" w:cstheme="majorHAnsi"/>
          <w:sz w:val="24"/>
          <w:szCs w:val="24"/>
          <w:lang w:val="ru-MD"/>
        </w:rPr>
        <w:t>взносов социального страхования</w:t>
      </w:r>
      <w:r w:rsidR="00D10FB8" w:rsidRPr="00B95C1D">
        <w:rPr>
          <w:rFonts w:asciiTheme="majorHAnsi" w:hAnsiTheme="majorHAnsi" w:cstheme="majorHAnsi"/>
          <w:sz w:val="24"/>
          <w:szCs w:val="24"/>
          <w:lang w:val="ru-MD"/>
        </w:rPr>
        <w:t xml:space="preserve"> в размере 310,5 тыс. леев</w:t>
      </w:r>
      <w:r w:rsidR="005E7DC9" w:rsidRPr="00B95C1D">
        <w:rPr>
          <w:rFonts w:asciiTheme="majorHAnsi" w:hAnsiTheme="majorHAnsi" w:cstheme="majorHAnsi"/>
          <w:sz w:val="24"/>
          <w:szCs w:val="24"/>
          <w:lang w:val="ru-MD"/>
        </w:rPr>
        <w:t xml:space="preserve">. </w:t>
      </w:r>
    </w:p>
    <w:p w14:paraId="0C32BD1A" w14:textId="58E10D30" w:rsidR="005E7DC9" w:rsidRPr="00993CDF" w:rsidRDefault="00B95C1D" w:rsidP="005E7DC9">
      <w:pPr>
        <w:spacing w:line="276" w:lineRule="auto"/>
        <w:jc w:val="both"/>
        <w:rPr>
          <w:rFonts w:asciiTheme="majorHAnsi" w:hAnsiTheme="majorHAnsi" w:cstheme="majorHAnsi"/>
          <w:sz w:val="24"/>
          <w:szCs w:val="24"/>
          <w:lang w:val="ru-MD"/>
        </w:rPr>
      </w:pPr>
      <w:r w:rsidRPr="00993CDF">
        <w:rPr>
          <w:rFonts w:asciiTheme="majorHAnsi" w:hAnsiTheme="majorHAnsi" w:cstheme="majorHAnsi"/>
          <w:sz w:val="24"/>
          <w:szCs w:val="24"/>
          <w:lang w:val="ru-MD"/>
        </w:rPr>
        <w:t>Согласно законодательству</w:t>
      </w:r>
      <w:r w:rsidR="005E7DC9" w:rsidRPr="00993CDF">
        <w:rPr>
          <w:rStyle w:val="a5"/>
          <w:rFonts w:asciiTheme="majorHAnsi" w:hAnsiTheme="majorHAnsi" w:cstheme="majorHAnsi"/>
          <w:sz w:val="24"/>
          <w:szCs w:val="24"/>
          <w:lang w:val="ru-MD"/>
        </w:rPr>
        <w:footnoteReference w:id="42"/>
      </w:r>
      <w:r w:rsidR="00A913CB" w:rsidRPr="00993CDF">
        <w:rPr>
          <w:rFonts w:asciiTheme="majorHAnsi" w:hAnsiTheme="majorHAnsi" w:cstheme="majorHAnsi"/>
          <w:sz w:val="24"/>
          <w:szCs w:val="24"/>
          <w:lang w:val="ru-MD"/>
        </w:rPr>
        <w:t>,</w:t>
      </w:r>
      <w:r w:rsidR="005E7DC9" w:rsidRPr="00993CDF">
        <w:rPr>
          <w:rFonts w:asciiTheme="majorHAnsi" w:hAnsiTheme="majorHAnsi" w:cstheme="majorHAnsi"/>
          <w:sz w:val="24"/>
          <w:szCs w:val="24"/>
          <w:lang w:val="ru-MD"/>
        </w:rPr>
        <w:t xml:space="preserve"> </w:t>
      </w:r>
      <w:r w:rsidRPr="00993CDF">
        <w:rPr>
          <w:rFonts w:asciiTheme="majorHAnsi" w:hAnsiTheme="majorHAnsi" w:cstheme="majorHAnsi"/>
          <w:sz w:val="24"/>
          <w:szCs w:val="24"/>
          <w:lang w:val="ru-MD"/>
        </w:rPr>
        <w:t>с</w:t>
      </w:r>
      <w:r w:rsidR="00D10FB8" w:rsidRPr="00993CDF">
        <w:rPr>
          <w:rFonts w:asciiTheme="majorHAnsi" w:hAnsiTheme="majorHAnsi" w:cstheme="majorHAnsi"/>
          <w:sz w:val="24"/>
          <w:szCs w:val="24"/>
          <w:lang w:val="ru-MD"/>
        </w:rPr>
        <w:t>бор взносов обязательного государственного социального страхования, контроль за правильностью их исчисления и своевременностью перечисления в бюджет государственного социального страхования осуществляется Государственной налоговой службой.</w:t>
      </w:r>
      <w:r w:rsidR="005E7DC9" w:rsidRPr="00993CDF">
        <w:rPr>
          <w:rFonts w:asciiTheme="majorHAnsi" w:hAnsiTheme="majorHAnsi" w:cstheme="majorHAnsi"/>
          <w:sz w:val="24"/>
          <w:szCs w:val="24"/>
          <w:lang w:val="ru-MD"/>
        </w:rPr>
        <w:t xml:space="preserve"> </w:t>
      </w:r>
      <w:r w:rsidRPr="00993CDF">
        <w:rPr>
          <w:rFonts w:asciiTheme="majorHAnsi" w:hAnsiTheme="majorHAnsi" w:cstheme="majorHAnsi"/>
          <w:sz w:val="24"/>
          <w:szCs w:val="24"/>
          <w:lang w:val="ru-MD"/>
        </w:rPr>
        <w:t>Ситуации, выявл</w:t>
      </w:r>
      <w:r w:rsidR="00D10FB8" w:rsidRPr="00993CDF">
        <w:rPr>
          <w:rFonts w:asciiTheme="majorHAnsi" w:hAnsiTheme="majorHAnsi" w:cstheme="majorHAnsi"/>
          <w:sz w:val="24"/>
          <w:szCs w:val="24"/>
          <w:lang w:val="ru-MD"/>
        </w:rPr>
        <w:t>енные аудитом</w:t>
      </w:r>
      <w:r w:rsidRPr="00993CDF">
        <w:rPr>
          <w:rFonts w:asciiTheme="majorHAnsi" w:hAnsiTheme="majorHAnsi" w:cstheme="majorHAnsi"/>
          <w:sz w:val="24"/>
          <w:szCs w:val="24"/>
          <w:lang w:val="ru-MD"/>
        </w:rPr>
        <w:t>,</w:t>
      </w:r>
      <w:r w:rsidR="00D10FB8" w:rsidRPr="00993CDF">
        <w:rPr>
          <w:rFonts w:asciiTheme="majorHAnsi" w:hAnsiTheme="majorHAnsi" w:cstheme="majorHAnsi"/>
          <w:sz w:val="24"/>
          <w:szCs w:val="24"/>
          <w:lang w:val="ru-MD"/>
        </w:rPr>
        <w:t xml:space="preserve"> свидетельствуют о том, что </w:t>
      </w:r>
      <w:r w:rsidRPr="00993CDF">
        <w:rPr>
          <w:rFonts w:asciiTheme="majorHAnsi" w:hAnsiTheme="majorHAnsi" w:cstheme="majorHAnsi"/>
          <w:sz w:val="24"/>
          <w:szCs w:val="24"/>
          <w:lang w:val="ru-MD"/>
        </w:rPr>
        <w:t>ГНС</w:t>
      </w:r>
      <w:r w:rsidR="00D10FB8" w:rsidRPr="00993CDF">
        <w:rPr>
          <w:rFonts w:asciiTheme="majorHAnsi" w:hAnsiTheme="majorHAnsi" w:cstheme="majorHAnsi"/>
          <w:sz w:val="24"/>
          <w:szCs w:val="24"/>
          <w:lang w:val="ru-MD"/>
        </w:rPr>
        <w:t xml:space="preserve"> не вмешивалась </w:t>
      </w:r>
      <w:r w:rsidRPr="00993CDF">
        <w:rPr>
          <w:rFonts w:asciiTheme="majorHAnsi" w:hAnsiTheme="majorHAnsi" w:cstheme="majorHAnsi"/>
          <w:sz w:val="24"/>
          <w:szCs w:val="24"/>
          <w:lang w:val="ru-MD"/>
        </w:rPr>
        <w:t xml:space="preserve">путем принятия мер </w:t>
      </w:r>
      <w:r w:rsidR="00D10FB8" w:rsidRPr="00993CDF">
        <w:rPr>
          <w:rFonts w:asciiTheme="majorHAnsi" w:hAnsiTheme="majorHAnsi" w:cstheme="majorHAnsi"/>
          <w:sz w:val="24"/>
          <w:szCs w:val="24"/>
          <w:lang w:val="ru-MD"/>
        </w:rPr>
        <w:t>по п</w:t>
      </w:r>
      <w:r w:rsidRPr="00993CDF">
        <w:rPr>
          <w:rFonts w:asciiTheme="majorHAnsi" w:hAnsiTheme="majorHAnsi" w:cstheme="majorHAnsi"/>
          <w:sz w:val="24"/>
          <w:szCs w:val="24"/>
          <w:lang w:val="ru-MD"/>
        </w:rPr>
        <w:t>овыш</w:t>
      </w:r>
      <w:r w:rsidR="00D10FB8" w:rsidRPr="00993CDF">
        <w:rPr>
          <w:rFonts w:asciiTheme="majorHAnsi" w:hAnsiTheme="majorHAnsi" w:cstheme="majorHAnsi"/>
          <w:sz w:val="24"/>
          <w:szCs w:val="24"/>
          <w:lang w:val="ru-MD"/>
        </w:rPr>
        <w:t xml:space="preserve">ению ответственности </w:t>
      </w:r>
      <w:r w:rsidR="00B01C83" w:rsidRPr="00993CDF">
        <w:rPr>
          <w:rFonts w:asciiTheme="majorHAnsi" w:hAnsiTheme="majorHAnsi" w:cstheme="majorHAnsi"/>
          <w:sz w:val="24"/>
          <w:szCs w:val="24"/>
          <w:lang w:val="ru-MD"/>
        </w:rPr>
        <w:t>свободных профессионал</w:t>
      </w:r>
      <w:r w:rsidR="00D10FB8" w:rsidRPr="00993CDF">
        <w:rPr>
          <w:rFonts w:asciiTheme="majorHAnsi" w:hAnsiTheme="majorHAnsi" w:cstheme="majorHAnsi"/>
          <w:sz w:val="24"/>
          <w:szCs w:val="24"/>
          <w:lang w:val="ru-MD"/>
        </w:rPr>
        <w:t xml:space="preserve">ов, </w:t>
      </w:r>
      <w:r w:rsidRPr="00993CDF">
        <w:rPr>
          <w:rFonts w:asciiTheme="majorHAnsi" w:hAnsiTheme="majorHAnsi" w:cstheme="majorHAnsi"/>
          <w:sz w:val="24"/>
          <w:szCs w:val="24"/>
          <w:lang w:val="ru-MD"/>
        </w:rPr>
        <w:t>осуществляющих деятельность в сфере правосудия</w:t>
      </w:r>
      <w:r w:rsidR="00D10FB8" w:rsidRPr="00993CDF">
        <w:rPr>
          <w:rFonts w:asciiTheme="majorHAnsi" w:hAnsiTheme="majorHAnsi" w:cstheme="majorHAnsi"/>
          <w:sz w:val="24"/>
          <w:szCs w:val="24"/>
          <w:lang w:val="ru-MD"/>
        </w:rPr>
        <w:t xml:space="preserve">, за выполнение обязательств перед </w:t>
      </w:r>
      <w:r w:rsidR="00B01C83" w:rsidRPr="00993CDF">
        <w:rPr>
          <w:rFonts w:asciiTheme="majorHAnsi" w:hAnsiTheme="majorHAnsi" w:cstheme="majorHAnsi"/>
          <w:sz w:val="24"/>
          <w:szCs w:val="24"/>
          <w:lang w:val="ru-MD"/>
        </w:rPr>
        <w:t>БГСС</w:t>
      </w:r>
      <w:r w:rsidR="00D10FB8" w:rsidRPr="00993CDF">
        <w:rPr>
          <w:rFonts w:asciiTheme="majorHAnsi" w:hAnsiTheme="majorHAnsi" w:cstheme="majorHAnsi"/>
          <w:sz w:val="24"/>
          <w:szCs w:val="24"/>
          <w:lang w:val="ru-MD"/>
        </w:rPr>
        <w:t xml:space="preserve">. В этой </w:t>
      </w:r>
      <w:r w:rsidRPr="00993CDF">
        <w:rPr>
          <w:rFonts w:asciiTheme="majorHAnsi" w:hAnsiTheme="majorHAnsi" w:cstheme="majorHAnsi"/>
          <w:sz w:val="24"/>
          <w:szCs w:val="24"/>
          <w:lang w:val="ru-MD"/>
        </w:rPr>
        <w:t>отношении ГНС</w:t>
      </w:r>
      <w:r w:rsidR="00D10FB8" w:rsidRPr="00993CDF">
        <w:rPr>
          <w:rFonts w:asciiTheme="majorHAnsi" w:hAnsiTheme="majorHAnsi" w:cstheme="majorHAnsi"/>
          <w:sz w:val="24"/>
          <w:szCs w:val="24"/>
          <w:lang w:val="ru-MD"/>
        </w:rPr>
        <w:t xml:space="preserve"> сообщил</w:t>
      </w:r>
      <w:r w:rsidRPr="00993CDF">
        <w:rPr>
          <w:rFonts w:asciiTheme="majorHAnsi" w:hAnsiTheme="majorHAnsi" w:cstheme="majorHAnsi"/>
          <w:sz w:val="24"/>
          <w:szCs w:val="24"/>
          <w:lang w:val="ru-MD"/>
        </w:rPr>
        <w:t>а</w:t>
      </w:r>
      <w:r w:rsidR="00D10FB8" w:rsidRPr="00993CDF">
        <w:rPr>
          <w:rFonts w:asciiTheme="majorHAnsi" w:hAnsiTheme="majorHAnsi" w:cstheme="majorHAnsi"/>
          <w:sz w:val="24"/>
          <w:szCs w:val="24"/>
          <w:lang w:val="ru-MD"/>
        </w:rPr>
        <w:t xml:space="preserve">, что </w:t>
      </w:r>
      <w:r w:rsidR="00993CDF" w:rsidRPr="00993CDF">
        <w:rPr>
          <w:rFonts w:asciiTheme="majorHAnsi" w:hAnsiTheme="majorHAnsi" w:cstheme="majorHAnsi"/>
          <w:sz w:val="24"/>
          <w:szCs w:val="24"/>
          <w:lang w:val="ru-MD"/>
        </w:rPr>
        <w:t>направляла</w:t>
      </w:r>
      <w:r w:rsidR="00D10FB8" w:rsidRPr="00993CDF">
        <w:rPr>
          <w:rFonts w:asciiTheme="majorHAnsi" w:hAnsiTheme="majorHAnsi" w:cstheme="majorHAnsi"/>
          <w:sz w:val="24"/>
          <w:szCs w:val="24"/>
          <w:lang w:val="ru-MD"/>
        </w:rPr>
        <w:t xml:space="preserve"> письма о </w:t>
      </w:r>
      <w:r w:rsidR="00993CDF" w:rsidRPr="00993CDF">
        <w:rPr>
          <w:rFonts w:asciiTheme="majorHAnsi" w:hAnsiTheme="majorHAnsi" w:cstheme="majorHAnsi"/>
          <w:sz w:val="24"/>
          <w:szCs w:val="24"/>
          <w:lang w:val="ru-MD"/>
        </w:rPr>
        <w:t>добровольном выполнении обязательств</w:t>
      </w:r>
      <w:r w:rsidR="00D10FB8" w:rsidRPr="00993CDF">
        <w:rPr>
          <w:rFonts w:asciiTheme="majorHAnsi" w:hAnsiTheme="majorHAnsi" w:cstheme="majorHAnsi"/>
          <w:sz w:val="24"/>
          <w:szCs w:val="24"/>
          <w:lang w:val="ru-MD"/>
        </w:rPr>
        <w:t xml:space="preserve"> и </w:t>
      </w:r>
      <w:r w:rsidR="00993CDF" w:rsidRPr="00993CDF">
        <w:rPr>
          <w:rFonts w:asciiTheme="majorHAnsi" w:hAnsiTheme="majorHAnsi" w:cstheme="majorHAnsi"/>
          <w:sz w:val="24"/>
          <w:szCs w:val="24"/>
          <w:lang w:val="ru-MD"/>
        </w:rPr>
        <w:t xml:space="preserve">осуществляла </w:t>
      </w:r>
      <w:r w:rsidR="00D10FB8" w:rsidRPr="00993CDF">
        <w:rPr>
          <w:rFonts w:asciiTheme="majorHAnsi" w:hAnsiTheme="majorHAnsi" w:cstheme="majorHAnsi"/>
          <w:sz w:val="24"/>
          <w:szCs w:val="24"/>
          <w:lang w:val="ru-MD"/>
        </w:rPr>
        <w:t xml:space="preserve">телефонные звонки, но эта категория плательщиков не </w:t>
      </w:r>
      <w:r w:rsidR="00993CDF" w:rsidRPr="00993CDF">
        <w:rPr>
          <w:rFonts w:asciiTheme="majorHAnsi" w:hAnsiTheme="majorHAnsi" w:cstheme="majorHAnsi"/>
          <w:sz w:val="24"/>
          <w:szCs w:val="24"/>
          <w:lang w:val="ru-MD"/>
        </w:rPr>
        <w:t xml:space="preserve">отреагировала </w:t>
      </w:r>
      <w:r w:rsidR="00D10FB8" w:rsidRPr="00993CDF">
        <w:rPr>
          <w:rFonts w:asciiTheme="majorHAnsi" w:hAnsiTheme="majorHAnsi" w:cstheme="majorHAnsi"/>
          <w:sz w:val="24"/>
          <w:szCs w:val="24"/>
          <w:lang w:val="ru-MD"/>
        </w:rPr>
        <w:t>соответ</w:t>
      </w:r>
      <w:r w:rsidR="00993CDF" w:rsidRPr="00993CDF">
        <w:rPr>
          <w:rFonts w:asciiTheme="majorHAnsi" w:hAnsiTheme="majorHAnsi" w:cstheme="majorHAnsi"/>
          <w:sz w:val="24"/>
          <w:szCs w:val="24"/>
          <w:lang w:val="ru-MD"/>
        </w:rPr>
        <w:t>ственно</w:t>
      </w:r>
      <w:r w:rsidR="00D10FB8" w:rsidRPr="00993CDF">
        <w:rPr>
          <w:rFonts w:asciiTheme="majorHAnsi" w:hAnsiTheme="majorHAnsi" w:cstheme="majorHAnsi"/>
          <w:sz w:val="24"/>
          <w:szCs w:val="24"/>
          <w:lang w:val="ru-MD"/>
        </w:rPr>
        <w:t xml:space="preserve">. </w:t>
      </w:r>
    </w:p>
    <w:p w14:paraId="660E0596" w14:textId="6C355909" w:rsidR="009A17DA" w:rsidRPr="009F722D" w:rsidRDefault="00D10FB8" w:rsidP="009A17DA">
      <w:pPr>
        <w:pStyle w:val="aa"/>
        <w:tabs>
          <w:tab w:val="left" w:pos="270"/>
        </w:tabs>
        <w:spacing w:line="276" w:lineRule="auto"/>
        <w:ind w:left="0"/>
        <w:jc w:val="both"/>
        <w:rPr>
          <w:rFonts w:asciiTheme="majorHAnsi" w:hAnsiTheme="majorHAnsi" w:cstheme="majorHAnsi"/>
          <w:i/>
          <w:sz w:val="24"/>
          <w:szCs w:val="24"/>
          <w:lang w:val="ru-MD"/>
        </w:rPr>
      </w:pPr>
      <w:r>
        <w:rPr>
          <w:rFonts w:asciiTheme="majorHAnsi" w:hAnsiTheme="majorHAnsi" w:cstheme="majorHAnsi"/>
          <w:b/>
          <w:bCs/>
          <w:sz w:val="24"/>
          <w:szCs w:val="24"/>
          <w:lang w:val="ru-RU"/>
        </w:rPr>
        <w:t>Примечание</w:t>
      </w:r>
      <w:r w:rsidR="005E7DC9" w:rsidRPr="00FE54EB">
        <w:rPr>
          <w:rFonts w:asciiTheme="majorHAnsi" w:hAnsiTheme="majorHAnsi" w:cstheme="majorHAnsi"/>
          <w:b/>
          <w:bCs/>
          <w:sz w:val="24"/>
          <w:szCs w:val="24"/>
          <w:lang w:val="ro-MD"/>
        </w:rPr>
        <w:t>:</w:t>
      </w:r>
      <w:r w:rsidR="005E7DC9" w:rsidRPr="00FE54EB">
        <w:rPr>
          <w:rFonts w:asciiTheme="majorHAnsi" w:hAnsiTheme="majorHAnsi" w:cstheme="majorHAnsi"/>
          <w:sz w:val="24"/>
          <w:szCs w:val="24"/>
          <w:lang w:val="ro-MD"/>
        </w:rPr>
        <w:t xml:space="preserve"> </w:t>
      </w:r>
      <w:r w:rsidRPr="009F722D">
        <w:rPr>
          <w:rFonts w:asciiTheme="majorHAnsi" w:hAnsiTheme="majorHAnsi" w:cstheme="majorHAnsi"/>
          <w:i/>
          <w:sz w:val="24"/>
          <w:szCs w:val="24"/>
          <w:lang w:val="ru-MD"/>
        </w:rPr>
        <w:t>В ходе миссии</w:t>
      </w:r>
      <w:r w:rsidR="009F722D" w:rsidRPr="009F722D">
        <w:rPr>
          <w:rFonts w:asciiTheme="majorHAnsi" w:hAnsiTheme="majorHAnsi" w:cstheme="majorHAnsi"/>
          <w:i/>
          <w:sz w:val="24"/>
          <w:szCs w:val="24"/>
          <w:lang w:val="ru-MD"/>
        </w:rPr>
        <w:t>,</w:t>
      </w:r>
      <w:r w:rsidRPr="009F722D">
        <w:rPr>
          <w:rFonts w:asciiTheme="majorHAnsi" w:hAnsiTheme="majorHAnsi" w:cstheme="majorHAnsi"/>
          <w:i/>
          <w:sz w:val="24"/>
          <w:szCs w:val="24"/>
          <w:lang w:val="ru-MD"/>
        </w:rPr>
        <w:t xml:space="preserve"> по </w:t>
      </w:r>
      <w:r w:rsidR="009F722D" w:rsidRPr="009F722D">
        <w:rPr>
          <w:rFonts w:asciiTheme="majorHAnsi" w:hAnsiTheme="majorHAnsi" w:cstheme="majorHAnsi"/>
          <w:i/>
          <w:sz w:val="24"/>
          <w:szCs w:val="24"/>
          <w:lang w:val="ru-MD"/>
        </w:rPr>
        <w:t>запросу</w:t>
      </w:r>
      <w:r w:rsidRPr="009F722D">
        <w:rPr>
          <w:rFonts w:asciiTheme="majorHAnsi" w:hAnsiTheme="majorHAnsi" w:cstheme="majorHAnsi"/>
          <w:i/>
          <w:sz w:val="24"/>
          <w:szCs w:val="24"/>
          <w:lang w:val="ru-MD"/>
        </w:rPr>
        <w:t xml:space="preserve"> аудиторской группы </w:t>
      </w:r>
      <w:r w:rsidR="009F722D" w:rsidRPr="009F722D">
        <w:rPr>
          <w:rFonts w:asciiTheme="majorHAnsi" w:hAnsiTheme="majorHAnsi" w:cstheme="majorHAnsi"/>
          <w:i/>
          <w:sz w:val="24"/>
          <w:szCs w:val="24"/>
          <w:lang w:val="ru-MD"/>
        </w:rPr>
        <w:t>ГНС</w:t>
      </w:r>
      <w:r w:rsidRPr="009F722D">
        <w:rPr>
          <w:rFonts w:asciiTheme="majorHAnsi" w:hAnsiTheme="majorHAnsi" w:cstheme="majorHAnsi"/>
          <w:i/>
          <w:sz w:val="24"/>
          <w:szCs w:val="24"/>
          <w:lang w:val="ru-MD"/>
        </w:rPr>
        <w:t xml:space="preserve"> предприняла повторные меры добровольного </w:t>
      </w:r>
      <w:r w:rsidR="009F722D" w:rsidRPr="009F722D">
        <w:rPr>
          <w:rFonts w:asciiTheme="majorHAnsi" w:hAnsiTheme="majorHAnsi" w:cstheme="majorHAnsi"/>
          <w:i/>
          <w:sz w:val="24"/>
          <w:szCs w:val="24"/>
          <w:lang w:val="ru-MD"/>
        </w:rPr>
        <w:t>выполн</w:t>
      </w:r>
      <w:r w:rsidRPr="009F722D">
        <w:rPr>
          <w:rFonts w:asciiTheme="majorHAnsi" w:hAnsiTheme="majorHAnsi" w:cstheme="majorHAnsi"/>
          <w:i/>
          <w:sz w:val="24"/>
          <w:szCs w:val="24"/>
          <w:lang w:val="ru-MD"/>
        </w:rPr>
        <w:t xml:space="preserve">ения. Таким образом, 15 адвокатских кабинетов представили 123 отчета IPC21, относящиеся к периоду деятельности 2021-2022 годов. По состоянию на 23.05.2023 сумма </w:t>
      </w:r>
      <w:r w:rsidR="009F722D" w:rsidRPr="009F722D">
        <w:rPr>
          <w:rFonts w:asciiTheme="majorHAnsi" w:hAnsiTheme="majorHAnsi" w:cstheme="majorHAnsi"/>
          <w:i/>
          <w:sz w:val="24"/>
          <w:szCs w:val="24"/>
          <w:lang w:val="ru-MD"/>
        </w:rPr>
        <w:t xml:space="preserve">начисленных </w:t>
      </w:r>
      <w:r w:rsidRPr="009F722D">
        <w:rPr>
          <w:rFonts w:asciiTheme="majorHAnsi" w:hAnsiTheme="majorHAnsi" w:cstheme="majorHAnsi"/>
          <w:i/>
          <w:sz w:val="24"/>
          <w:szCs w:val="24"/>
          <w:lang w:val="ru-MD"/>
        </w:rPr>
        <w:t>взносов в 2023 г</w:t>
      </w:r>
      <w:r w:rsidR="009F722D" w:rsidRPr="009F722D">
        <w:rPr>
          <w:rFonts w:asciiTheme="majorHAnsi" w:hAnsiTheme="majorHAnsi" w:cstheme="majorHAnsi"/>
          <w:i/>
          <w:sz w:val="24"/>
          <w:szCs w:val="24"/>
          <w:lang w:val="ru-MD"/>
        </w:rPr>
        <w:t>оду</w:t>
      </w:r>
      <w:r w:rsidRPr="009F722D">
        <w:rPr>
          <w:rFonts w:asciiTheme="majorHAnsi" w:hAnsiTheme="majorHAnsi" w:cstheme="majorHAnsi"/>
          <w:i/>
          <w:sz w:val="24"/>
          <w:szCs w:val="24"/>
          <w:lang w:val="ru-MD"/>
        </w:rPr>
        <w:t xml:space="preserve"> составляет 269,1 тыс. леев, а сумма </w:t>
      </w:r>
      <w:r w:rsidR="009F722D" w:rsidRPr="009F722D">
        <w:rPr>
          <w:rFonts w:asciiTheme="majorHAnsi" w:hAnsiTheme="majorHAnsi" w:cstheme="majorHAnsi"/>
          <w:i/>
          <w:sz w:val="24"/>
          <w:szCs w:val="24"/>
          <w:lang w:val="ru-MD"/>
        </w:rPr>
        <w:t>у</w:t>
      </w:r>
      <w:r w:rsidRPr="009F722D">
        <w:rPr>
          <w:rFonts w:asciiTheme="majorHAnsi" w:hAnsiTheme="majorHAnsi" w:cstheme="majorHAnsi"/>
          <w:i/>
          <w:sz w:val="24"/>
          <w:szCs w:val="24"/>
          <w:lang w:val="ru-MD"/>
        </w:rPr>
        <w:t xml:space="preserve">плаченных взносов – 206,4 тыс. леев, </w:t>
      </w:r>
      <w:r w:rsidR="009F722D" w:rsidRPr="009F722D">
        <w:rPr>
          <w:rFonts w:asciiTheme="majorHAnsi" w:hAnsiTheme="majorHAnsi" w:cstheme="majorHAnsi"/>
          <w:i/>
          <w:sz w:val="24"/>
          <w:szCs w:val="24"/>
          <w:lang w:val="ru-MD"/>
        </w:rPr>
        <w:t>продолжая</w:t>
      </w:r>
      <w:r w:rsidRPr="009F722D">
        <w:rPr>
          <w:rFonts w:asciiTheme="majorHAnsi" w:hAnsiTheme="majorHAnsi" w:cstheme="majorHAnsi"/>
          <w:i/>
          <w:sz w:val="24"/>
          <w:szCs w:val="24"/>
          <w:lang w:val="ru-MD"/>
        </w:rPr>
        <w:t xml:space="preserve"> регистрир</w:t>
      </w:r>
      <w:r w:rsidR="009F722D" w:rsidRPr="009F722D">
        <w:rPr>
          <w:rFonts w:asciiTheme="majorHAnsi" w:hAnsiTheme="majorHAnsi" w:cstheme="majorHAnsi"/>
          <w:i/>
          <w:sz w:val="24"/>
          <w:szCs w:val="24"/>
          <w:lang w:val="ru-MD"/>
        </w:rPr>
        <w:t>овать</w:t>
      </w:r>
      <w:r w:rsidRPr="009F722D">
        <w:rPr>
          <w:rFonts w:asciiTheme="majorHAnsi" w:hAnsiTheme="majorHAnsi" w:cstheme="majorHAnsi"/>
          <w:i/>
          <w:sz w:val="24"/>
          <w:szCs w:val="24"/>
          <w:lang w:val="ru-MD"/>
        </w:rPr>
        <w:t xml:space="preserve"> задолженность </w:t>
      </w:r>
      <w:r w:rsidR="009F722D" w:rsidRPr="009F722D">
        <w:rPr>
          <w:rFonts w:asciiTheme="majorHAnsi" w:hAnsiTheme="majorHAnsi" w:cstheme="majorHAnsi"/>
          <w:i/>
          <w:sz w:val="24"/>
          <w:szCs w:val="24"/>
          <w:lang w:val="ru-MD"/>
        </w:rPr>
        <w:t xml:space="preserve">перед </w:t>
      </w:r>
      <w:r w:rsidR="00B01C83" w:rsidRPr="009F722D">
        <w:rPr>
          <w:rFonts w:asciiTheme="majorHAnsi" w:hAnsiTheme="majorHAnsi" w:cstheme="majorHAnsi"/>
          <w:i/>
          <w:sz w:val="24"/>
          <w:szCs w:val="24"/>
          <w:lang w:val="ru-MD"/>
        </w:rPr>
        <w:t>БГСС</w:t>
      </w:r>
      <w:r w:rsidRPr="009F722D">
        <w:rPr>
          <w:rFonts w:asciiTheme="majorHAnsi" w:hAnsiTheme="majorHAnsi" w:cstheme="majorHAnsi"/>
          <w:i/>
          <w:sz w:val="24"/>
          <w:szCs w:val="24"/>
          <w:lang w:val="ru-MD"/>
        </w:rPr>
        <w:t xml:space="preserve"> в размере 53,4 тыс. леев</w:t>
      </w:r>
      <w:r w:rsidR="009A17DA" w:rsidRPr="009F722D">
        <w:rPr>
          <w:rFonts w:asciiTheme="majorHAnsi" w:hAnsiTheme="majorHAnsi" w:cstheme="majorHAnsi"/>
          <w:i/>
          <w:sz w:val="24"/>
          <w:szCs w:val="24"/>
          <w:lang w:val="ru-MD"/>
        </w:rPr>
        <w:t>.</w:t>
      </w:r>
      <w:r w:rsidR="005E7DC9" w:rsidRPr="009F722D">
        <w:rPr>
          <w:rFonts w:asciiTheme="majorHAnsi" w:hAnsiTheme="majorHAnsi" w:cstheme="majorHAnsi"/>
          <w:i/>
          <w:sz w:val="24"/>
          <w:szCs w:val="24"/>
          <w:lang w:val="ru-MD"/>
        </w:rPr>
        <w:t xml:space="preserve"> </w:t>
      </w:r>
    </w:p>
    <w:p w14:paraId="554AE45C" w14:textId="77777777" w:rsidR="009A17DA" w:rsidRDefault="009A17DA" w:rsidP="009A17DA">
      <w:pPr>
        <w:pStyle w:val="aa"/>
        <w:tabs>
          <w:tab w:val="left" w:pos="270"/>
        </w:tabs>
        <w:spacing w:line="276" w:lineRule="auto"/>
        <w:ind w:left="0"/>
        <w:jc w:val="both"/>
        <w:rPr>
          <w:rFonts w:asciiTheme="majorHAnsi" w:hAnsiTheme="majorHAnsi" w:cstheme="majorHAnsi"/>
          <w:i/>
          <w:sz w:val="24"/>
          <w:szCs w:val="24"/>
          <w:lang w:val="ro-MD"/>
        </w:rPr>
      </w:pPr>
    </w:p>
    <w:p w14:paraId="1EB33925" w14:textId="2A2FC7AB" w:rsidR="001F56F8" w:rsidRPr="005D1599" w:rsidRDefault="009C7CAE" w:rsidP="009C7CAE">
      <w:pPr>
        <w:pStyle w:val="aa"/>
        <w:numPr>
          <w:ilvl w:val="1"/>
          <w:numId w:val="2"/>
        </w:numPr>
        <w:tabs>
          <w:tab w:val="left" w:pos="270"/>
        </w:tabs>
        <w:spacing w:line="276" w:lineRule="auto"/>
        <w:ind w:left="0" w:firstLine="0"/>
        <w:jc w:val="both"/>
        <w:outlineLvl w:val="1"/>
        <w:rPr>
          <w:rFonts w:asciiTheme="majorHAnsi" w:hAnsiTheme="majorHAnsi" w:cstheme="majorHAnsi"/>
          <w:b/>
          <w:sz w:val="24"/>
          <w:szCs w:val="24"/>
          <w:lang w:val="ru-MD"/>
        </w:rPr>
      </w:pPr>
      <w:r w:rsidRPr="005D1599">
        <w:rPr>
          <w:rFonts w:asciiTheme="majorHAnsi" w:hAnsiTheme="majorHAnsi" w:cstheme="majorHAnsi"/>
          <w:b/>
          <w:sz w:val="24"/>
          <w:szCs w:val="24"/>
          <w:lang w:val="ru-MD"/>
        </w:rPr>
        <w:t xml:space="preserve">Незаконная выплата (2 625,8 тыс. леев) и частичный возврат (28,4%) сумм, предоставленных </w:t>
      </w:r>
      <w:r w:rsidR="008C08DA" w:rsidRPr="005D1599">
        <w:rPr>
          <w:rFonts w:asciiTheme="majorHAnsi" w:hAnsiTheme="majorHAnsi" w:cstheme="majorHAnsi"/>
          <w:b/>
          <w:sz w:val="24"/>
          <w:szCs w:val="24"/>
          <w:lang w:val="ru-MD"/>
        </w:rPr>
        <w:t>в качестве</w:t>
      </w:r>
      <w:r w:rsidRPr="005D1599">
        <w:rPr>
          <w:rFonts w:asciiTheme="majorHAnsi" w:hAnsiTheme="majorHAnsi" w:cstheme="majorHAnsi"/>
          <w:b/>
          <w:sz w:val="24"/>
          <w:szCs w:val="24"/>
          <w:lang w:val="ru-MD"/>
        </w:rPr>
        <w:t xml:space="preserve"> социальн</w:t>
      </w:r>
      <w:r w:rsidR="008C08DA" w:rsidRPr="005D1599">
        <w:rPr>
          <w:rFonts w:asciiTheme="majorHAnsi" w:hAnsiTheme="majorHAnsi" w:cstheme="majorHAnsi"/>
          <w:b/>
          <w:sz w:val="24"/>
          <w:szCs w:val="24"/>
          <w:lang w:val="ru-MD"/>
        </w:rPr>
        <w:t>ого пособия</w:t>
      </w:r>
      <w:r w:rsidRPr="005D1599">
        <w:rPr>
          <w:rFonts w:asciiTheme="majorHAnsi" w:hAnsiTheme="majorHAnsi" w:cstheme="majorHAnsi"/>
          <w:b/>
          <w:sz w:val="24"/>
          <w:szCs w:val="24"/>
          <w:lang w:val="ru-MD"/>
        </w:rPr>
        <w:t xml:space="preserve"> и по</w:t>
      </w:r>
      <w:r w:rsidR="008C08DA" w:rsidRPr="005D1599">
        <w:rPr>
          <w:rFonts w:asciiTheme="majorHAnsi" w:hAnsiTheme="majorHAnsi" w:cstheme="majorHAnsi"/>
          <w:b/>
          <w:sz w:val="24"/>
          <w:szCs w:val="24"/>
          <w:lang w:val="ru-MD"/>
        </w:rPr>
        <w:t>собия на</w:t>
      </w:r>
      <w:r w:rsidRPr="005D1599">
        <w:rPr>
          <w:rFonts w:asciiTheme="majorHAnsi" w:hAnsiTheme="majorHAnsi" w:cstheme="majorHAnsi"/>
          <w:b/>
          <w:sz w:val="24"/>
          <w:szCs w:val="24"/>
          <w:lang w:val="ru-MD"/>
        </w:rPr>
        <w:t xml:space="preserve"> холодный период года, напрямую влияют на показатели </w:t>
      </w:r>
      <w:r w:rsidR="00B01C83" w:rsidRPr="005D1599">
        <w:rPr>
          <w:rFonts w:asciiTheme="majorHAnsi" w:hAnsiTheme="majorHAnsi" w:cstheme="majorHAnsi"/>
          <w:b/>
          <w:sz w:val="24"/>
          <w:szCs w:val="24"/>
          <w:lang w:val="ru-MD"/>
        </w:rPr>
        <w:t>БГСС</w:t>
      </w:r>
      <w:r w:rsidRPr="005D1599">
        <w:rPr>
          <w:rFonts w:asciiTheme="majorHAnsi" w:hAnsiTheme="majorHAnsi" w:cstheme="majorHAnsi"/>
          <w:b/>
          <w:sz w:val="24"/>
          <w:szCs w:val="24"/>
          <w:lang w:val="ru-MD"/>
        </w:rPr>
        <w:t xml:space="preserve"> </w:t>
      </w:r>
      <w:r w:rsidR="005D1599" w:rsidRPr="005D1599">
        <w:rPr>
          <w:rFonts w:asciiTheme="majorHAnsi" w:hAnsiTheme="majorHAnsi" w:cstheme="majorHAnsi"/>
          <w:b/>
          <w:sz w:val="24"/>
          <w:szCs w:val="24"/>
          <w:lang w:val="ru-MD"/>
        </w:rPr>
        <w:t>за</w:t>
      </w:r>
      <w:r w:rsidRPr="005D1599">
        <w:rPr>
          <w:rFonts w:asciiTheme="majorHAnsi" w:hAnsiTheme="majorHAnsi" w:cstheme="majorHAnsi"/>
          <w:b/>
          <w:sz w:val="24"/>
          <w:szCs w:val="24"/>
          <w:lang w:val="ru-MD"/>
        </w:rPr>
        <w:t xml:space="preserve"> 2022 год, </w:t>
      </w:r>
      <w:r w:rsidR="005D1599" w:rsidRPr="005D1599">
        <w:rPr>
          <w:rFonts w:asciiTheme="majorHAnsi" w:hAnsiTheme="majorHAnsi" w:cstheme="majorHAnsi"/>
          <w:b/>
          <w:sz w:val="24"/>
          <w:szCs w:val="24"/>
          <w:lang w:val="ru-MD"/>
        </w:rPr>
        <w:t>и э</w:t>
      </w:r>
      <w:r w:rsidRPr="005D1599">
        <w:rPr>
          <w:rFonts w:asciiTheme="majorHAnsi" w:hAnsiTheme="majorHAnsi" w:cstheme="majorHAnsi"/>
          <w:b/>
          <w:sz w:val="24"/>
          <w:szCs w:val="24"/>
          <w:lang w:val="ru-MD"/>
        </w:rPr>
        <w:t>то обусловлено фрагментированным процессом предоставления, проверки и выплаты данного пособия, что по-прежнему сохраняет несогласованность данных на всех этапах и уровнях</w:t>
      </w:r>
      <w:r w:rsidR="001F56F8" w:rsidRPr="005D1599">
        <w:rPr>
          <w:rFonts w:asciiTheme="majorHAnsi" w:hAnsiTheme="majorHAnsi" w:cstheme="majorHAnsi"/>
          <w:b/>
          <w:sz w:val="24"/>
          <w:szCs w:val="24"/>
          <w:lang w:val="ru-MD"/>
        </w:rPr>
        <w:t>.</w:t>
      </w:r>
    </w:p>
    <w:p w14:paraId="5CA406B9" w14:textId="09E40BE7" w:rsidR="001F56F8" w:rsidRPr="005D1599" w:rsidRDefault="009C7CAE" w:rsidP="00250B37">
      <w:pPr>
        <w:pStyle w:val="a6"/>
        <w:shd w:val="clear" w:color="auto" w:fill="FFFFFF"/>
        <w:spacing w:line="276" w:lineRule="auto"/>
        <w:ind w:firstLine="0"/>
        <w:rPr>
          <w:rFonts w:asciiTheme="majorHAnsi" w:eastAsiaTheme="minorHAnsi" w:hAnsiTheme="majorHAnsi" w:cstheme="majorHAnsi"/>
          <w:lang w:val="ru-MD"/>
        </w:rPr>
      </w:pPr>
      <w:r w:rsidRPr="005D1599">
        <w:rPr>
          <w:rFonts w:asciiTheme="majorHAnsi" w:eastAsiaTheme="minorHAnsi" w:hAnsiTheme="majorHAnsi" w:cstheme="majorHAnsi"/>
          <w:iCs/>
          <w:lang w:val="ru-MD"/>
        </w:rPr>
        <w:t>Социальное пособие</w:t>
      </w:r>
      <w:r w:rsidR="00863CC5" w:rsidRPr="005D1599">
        <w:rPr>
          <w:rFonts w:asciiTheme="majorHAnsi" w:eastAsiaTheme="minorHAnsi" w:hAnsiTheme="majorHAnsi" w:cstheme="majorHAnsi"/>
          <w:lang w:val="ru-MD"/>
        </w:rPr>
        <w:t xml:space="preserve"> </w:t>
      </w:r>
      <w:r w:rsidRPr="005D1599">
        <w:rPr>
          <w:rFonts w:asciiTheme="majorHAnsi" w:eastAsiaTheme="minorHAnsi" w:hAnsiTheme="majorHAnsi" w:cstheme="majorHAnsi"/>
          <w:lang w:val="ru-MD"/>
        </w:rPr>
        <w:t>–</w:t>
      </w:r>
      <w:r w:rsidR="00863CC5" w:rsidRPr="005D1599">
        <w:rPr>
          <w:rFonts w:asciiTheme="majorHAnsi" w:eastAsiaTheme="minorHAnsi" w:hAnsiTheme="majorHAnsi" w:cstheme="majorHAnsi"/>
          <w:lang w:val="ru-MD"/>
        </w:rPr>
        <w:t xml:space="preserve"> </w:t>
      </w:r>
      <w:r w:rsidRPr="005D1599">
        <w:rPr>
          <w:rFonts w:asciiTheme="majorHAnsi" w:eastAsiaTheme="minorHAnsi" w:hAnsiTheme="majorHAnsi" w:cstheme="majorHAnsi"/>
          <w:lang w:val="ru-MD"/>
        </w:rPr>
        <w:t xml:space="preserve">это ежемесячная фиксированная денежная выплата, предоставляемая малоимущей семье, а пособие </w:t>
      </w:r>
      <w:r w:rsidRPr="005D1599">
        <w:rPr>
          <w:rFonts w:asciiTheme="majorHAnsi" w:eastAsiaTheme="minorHAnsi" w:hAnsiTheme="majorHAnsi" w:cstheme="majorHAnsi"/>
          <w:iCs/>
          <w:lang w:val="ru-MD"/>
        </w:rPr>
        <w:t>на холодный период года</w:t>
      </w:r>
      <w:r w:rsidRPr="005D1599">
        <w:rPr>
          <w:rFonts w:asciiTheme="majorHAnsi" w:eastAsiaTheme="minorHAnsi" w:hAnsiTheme="majorHAnsi" w:cstheme="majorHAnsi"/>
          <w:lang w:val="ru-MD"/>
        </w:rPr>
        <w:t>  предоставляется данному контингенту на периоды январь-март и ноябрь-декабрь</w:t>
      </w:r>
      <w:r w:rsidR="001F56F8" w:rsidRPr="005D1599">
        <w:rPr>
          <w:rFonts w:asciiTheme="majorHAnsi" w:eastAsiaTheme="minorHAnsi" w:hAnsiTheme="majorHAnsi" w:cstheme="majorHAnsi"/>
          <w:lang w:val="ru-MD"/>
        </w:rPr>
        <w:t xml:space="preserve">. </w:t>
      </w:r>
      <w:r w:rsidRPr="005D1599">
        <w:rPr>
          <w:rFonts w:asciiTheme="majorHAnsi" w:eastAsiaTheme="minorHAnsi" w:hAnsiTheme="majorHAnsi" w:cstheme="majorHAnsi"/>
          <w:lang w:val="ru-MD"/>
        </w:rPr>
        <w:t xml:space="preserve">Так, право на социальное пособие и/или пособие на холодный период года </w:t>
      </w:r>
      <w:r w:rsidR="007F315F" w:rsidRPr="005D1599">
        <w:rPr>
          <w:rFonts w:asciiTheme="majorHAnsi" w:eastAsiaTheme="minorHAnsi" w:hAnsiTheme="majorHAnsi" w:cstheme="majorHAnsi"/>
          <w:lang w:val="ru-MD"/>
        </w:rPr>
        <w:t>предоставляется территориальными структурами социальной помощи, а учет выплат обеспечивается Национальной кассой через MPay, проверка правильности и единообразия применения нормативной базы осуществляется Социальной инспекцией</w:t>
      </w:r>
      <w:r w:rsidR="001F56F8" w:rsidRPr="005D1599">
        <w:rPr>
          <w:rStyle w:val="a5"/>
          <w:rFonts w:asciiTheme="majorHAnsi" w:eastAsiaTheme="majorEastAsia" w:hAnsiTheme="majorHAnsi" w:cstheme="majorHAnsi"/>
          <w:lang w:val="ru-MD"/>
        </w:rPr>
        <w:footnoteReference w:id="43"/>
      </w:r>
      <w:r w:rsidR="001F56F8" w:rsidRPr="005D1599">
        <w:rPr>
          <w:rFonts w:asciiTheme="majorHAnsi" w:hAnsiTheme="majorHAnsi" w:cstheme="majorHAnsi"/>
          <w:lang w:val="ru-MD"/>
        </w:rPr>
        <w:t>.</w:t>
      </w:r>
    </w:p>
    <w:p w14:paraId="1BA2CF96" w14:textId="77777777" w:rsidR="001F56F8" w:rsidRPr="00653E85" w:rsidRDefault="001F56F8" w:rsidP="001F56F8">
      <w:pPr>
        <w:spacing w:line="276" w:lineRule="auto"/>
        <w:jc w:val="both"/>
        <w:rPr>
          <w:rFonts w:asciiTheme="majorHAnsi" w:hAnsiTheme="majorHAnsi" w:cstheme="majorHAnsi"/>
          <w:sz w:val="24"/>
          <w:szCs w:val="24"/>
          <w:lang w:val="ro-MD"/>
        </w:rPr>
      </w:pPr>
      <w:r w:rsidRPr="00653E85">
        <w:rPr>
          <w:noProof/>
          <w:lang w:val="ru-RU" w:eastAsia="ru-RU"/>
        </w:rPr>
        <w:drawing>
          <wp:inline distT="0" distB="0" distL="0" distR="0" wp14:anchorId="2AC5C400" wp14:editId="2629683B">
            <wp:extent cx="6080760" cy="3006969"/>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00261F1" w14:textId="07F66127" w:rsidR="001F56F8" w:rsidRPr="00863CC5" w:rsidRDefault="00B7373E" w:rsidP="001F56F8">
      <w:pPr>
        <w:spacing w:line="276" w:lineRule="auto"/>
        <w:jc w:val="both"/>
        <w:rPr>
          <w:rFonts w:asciiTheme="majorHAnsi" w:hAnsiTheme="majorHAnsi" w:cstheme="majorHAnsi"/>
          <w:i/>
          <w:sz w:val="20"/>
          <w:szCs w:val="20"/>
          <w:lang w:val="ru-MD"/>
        </w:rPr>
      </w:pPr>
      <w:r w:rsidRPr="00863CC5">
        <w:rPr>
          <w:rFonts w:asciiTheme="majorHAnsi" w:hAnsiTheme="majorHAnsi" w:cstheme="majorHAnsi"/>
          <w:i/>
          <w:sz w:val="20"/>
          <w:szCs w:val="20"/>
          <w:lang w:val="ru-MD"/>
        </w:rPr>
        <w:t>Рисунок №</w:t>
      </w:r>
      <w:r w:rsidR="008D1DF2" w:rsidRPr="00863CC5">
        <w:rPr>
          <w:rFonts w:asciiTheme="majorHAnsi" w:hAnsiTheme="majorHAnsi" w:cstheme="majorHAnsi"/>
          <w:i/>
          <w:sz w:val="20"/>
          <w:szCs w:val="20"/>
          <w:lang w:val="ru-MD"/>
        </w:rPr>
        <w:t>2</w:t>
      </w:r>
      <w:r w:rsidR="00C254F5" w:rsidRPr="00863CC5">
        <w:rPr>
          <w:rFonts w:asciiTheme="majorHAnsi" w:hAnsiTheme="majorHAnsi" w:cstheme="majorHAnsi"/>
          <w:i/>
          <w:sz w:val="20"/>
          <w:szCs w:val="20"/>
          <w:lang w:val="ru-MD"/>
        </w:rPr>
        <w:t>.</w:t>
      </w:r>
      <w:r w:rsidR="001F56F8" w:rsidRPr="00863CC5">
        <w:rPr>
          <w:rFonts w:asciiTheme="majorHAnsi" w:hAnsiTheme="majorHAnsi" w:cstheme="majorHAnsi"/>
          <w:i/>
          <w:sz w:val="20"/>
          <w:szCs w:val="20"/>
          <w:lang w:val="ru-MD"/>
        </w:rPr>
        <w:t xml:space="preserve"> </w:t>
      </w:r>
      <w:r w:rsidR="00C254F5" w:rsidRPr="00863CC5">
        <w:rPr>
          <w:rFonts w:asciiTheme="majorHAnsi" w:hAnsiTheme="majorHAnsi" w:cstheme="majorHAnsi"/>
          <w:i/>
          <w:sz w:val="20"/>
          <w:szCs w:val="20"/>
          <w:lang w:val="ru-MD"/>
        </w:rPr>
        <w:t>Процесс предоставления, проверки и выплаты социальнго пособия и пособия на холодный период года</w:t>
      </w:r>
      <w:r w:rsidR="00711DD9" w:rsidRPr="00863CC5">
        <w:rPr>
          <w:rFonts w:asciiTheme="majorHAnsi" w:hAnsiTheme="majorHAnsi" w:cstheme="majorHAnsi"/>
          <w:i/>
          <w:sz w:val="20"/>
          <w:szCs w:val="20"/>
          <w:lang w:val="ru-MD"/>
        </w:rPr>
        <w:t>.</w:t>
      </w:r>
    </w:p>
    <w:p w14:paraId="06743A17" w14:textId="586429C3" w:rsidR="001F56F8" w:rsidRPr="00863CC5" w:rsidRDefault="00C254F5" w:rsidP="001F56F8">
      <w:pPr>
        <w:spacing w:before="240" w:after="0" w:line="276" w:lineRule="auto"/>
        <w:jc w:val="both"/>
        <w:rPr>
          <w:rFonts w:asciiTheme="majorHAnsi" w:hAnsiTheme="majorHAnsi" w:cstheme="majorHAnsi"/>
          <w:sz w:val="24"/>
          <w:szCs w:val="24"/>
          <w:lang w:val="ru-MD"/>
        </w:rPr>
      </w:pPr>
      <w:r w:rsidRPr="00863CC5">
        <w:rPr>
          <w:rFonts w:asciiTheme="majorHAnsi" w:hAnsiTheme="majorHAnsi" w:cstheme="majorHAnsi"/>
          <w:sz w:val="24"/>
          <w:szCs w:val="24"/>
          <w:lang w:val="ru-MD"/>
        </w:rPr>
        <w:t xml:space="preserve">За последние пять лет (2018-2022) сохраняется тенденция роста удельного веса неправильно начисленных и выплаченных средств, который </w:t>
      </w:r>
      <w:r w:rsidR="005D1599" w:rsidRPr="00863CC5">
        <w:rPr>
          <w:rFonts w:asciiTheme="majorHAnsi" w:hAnsiTheme="majorHAnsi" w:cstheme="majorHAnsi"/>
          <w:sz w:val="24"/>
          <w:szCs w:val="24"/>
          <w:lang w:val="ru-MD"/>
        </w:rPr>
        <w:t>варьировал</w:t>
      </w:r>
      <w:r w:rsidRPr="00863CC5">
        <w:rPr>
          <w:rFonts w:asciiTheme="majorHAnsi" w:hAnsiTheme="majorHAnsi" w:cstheme="majorHAnsi"/>
          <w:sz w:val="24"/>
          <w:szCs w:val="24"/>
          <w:lang w:val="ru-MD"/>
        </w:rPr>
        <w:t xml:space="preserve"> от 16,2% до 31,7%, ситуация представлена в таблице ниже</w:t>
      </w:r>
      <w:r w:rsidR="001F56F8" w:rsidRPr="00863CC5">
        <w:rPr>
          <w:rFonts w:asciiTheme="majorHAnsi" w:hAnsiTheme="majorHAnsi" w:cstheme="majorHAnsi"/>
          <w:sz w:val="24"/>
          <w:szCs w:val="24"/>
          <w:lang w:val="ru-MD"/>
        </w:rPr>
        <w:t xml:space="preserve">. </w:t>
      </w:r>
    </w:p>
    <w:p w14:paraId="4A8BB202" w14:textId="77777777" w:rsidR="005178B8" w:rsidRPr="00653E85" w:rsidRDefault="005178B8" w:rsidP="001F56F8">
      <w:pPr>
        <w:spacing w:after="0" w:line="276" w:lineRule="auto"/>
        <w:ind w:firstLine="720"/>
        <w:jc w:val="right"/>
        <w:rPr>
          <w:rFonts w:asciiTheme="majorHAnsi" w:hAnsiTheme="majorHAnsi" w:cstheme="majorHAnsi"/>
          <w:b/>
          <w:sz w:val="24"/>
          <w:szCs w:val="24"/>
          <w:lang w:val="ro-MD"/>
        </w:rPr>
      </w:pPr>
    </w:p>
    <w:p w14:paraId="33E5282C" w14:textId="3F2DF42F" w:rsidR="001F56F8" w:rsidRPr="005D1599" w:rsidRDefault="00E66E5E" w:rsidP="001F56F8">
      <w:pPr>
        <w:spacing w:after="0" w:line="276" w:lineRule="auto"/>
        <w:ind w:firstLine="720"/>
        <w:jc w:val="right"/>
        <w:rPr>
          <w:rFonts w:asciiTheme="majorHAnsi" w:hAnsiTheme="majorHAnsi" w:cstheme="majorHAnsi"/>
          <w:b/>
          <w:sz w:val="24"/>
          <w:szCs w:val="24"/>
          <w:lang w:val="ru-MD"/>
        </w:rPr>
      </w:pPr>
      <w:r w:rsidRPr="005D1599">
        <w:rPr>
          <w:rFonts w:asciiTheme="majorHAnsi" w:hAnsiTheme="majorHAnsi" w:cstheme="majorHAnsi"/>
          <w:b/>
          <w:sz w:val="24"/>
          <w:szCs w:val="24"/>
          <w:lang w:val="ru-MD"/>
        </w:rPr>
        <w:t>Таблица №</w:t>
      </w:r>
      <w:r w:rsidR="008D1DF2" w:rsidRPr="005D1599">
        <w:rPr>
          <w:rFonts w:asciiTheme="majorHAnsi" w:hAnsiTheme="majorHAnsi" w:cstheme="majorHAnsi"/>
          <w:b/>
          <w:sz w:val="24"/>
          <w:szCs w:val="24"/>
          <w:lang w:val="ru-MD"/>
        </w:rPr>
        <w:t>11</w:t>
      </w:r>
    </w:p>
    <w:p w14:paraId="7942F314" w14:textId="052BA322" w:rsidR="001F56F8" w:rsidRPr="005D1599" w:rsidRDefault="00863CC5" w:rsidP="00863CC5">
      <w:pPr>
        <w:spacing w:after="0" w:line="276" w:lineRule="auto"/>
        <w:rPr>
          <w:rFonts w:asciiTheme="majorHAnsi" w:hAnsiTheme="majorHAnsi" w:cstheme="majorHAnsi"/>
          <w:b/>
          <w:sz w:val="24"/>
          <w:szCs w:val="24"/>
          <w:lang w:val="ru-MD"/>
        </w:rPr>
      </w:pPr>
      <w:r w:rsidRPr="005D1599">
        <w:rPr>
          <w:rFonts w:asciiTheme="majorHAnsi" w:hAnsiTheme="majorHAnsi" w:cstheme="majorHAnsi"/>
          <w:b/>
          <w:sz w:val="24"/>
          <w:szCs w:val="24"/>
          <w:lang w:val="ru-MD"/>
        </w:rPr>
        <w:t xml:space="preserve">Анализ нарушений, выявленных Социальной инспекцией при предоставлении СП и ПХПГ </w:t>
      </w:r>
    </w:p>
    <w:tbl>
      <w:tblPr>
        <w:tblW w:w="9400" w:type="dxa"/>
        <w:tblInd w:w="-10" w:type="dxa"/>
        <w:tblLook w:val="04A0" w:firstRow="1" w:lastRow="0" w:firstColumn="1" w:lastColumn="0" w:noHBand="0" w:noVBand="1"/>
      </w:tblPr>
      <w:tblGrid>
        <w:gridCol w:w="1819"/>
        <w:gridCol w:w="2312"/>
        <w:gridCol w:w="2957"/>
        <w:gridCol w:w="2312"/>
      </w:tblGrid>
      <w:tr w:rsidR="001F56F8" w:rsidRPr="00863CC5" w14:paraId="3C4AABC4" w14:textId="77777777" w:rsidTr="00E03E91">
        <w:trPr>
          <w:trHeight w:val="20"/>
        </w:trPr>
        <w:tc>
          <w:tcPr>
            <w:tcW w:w="1819" w:type="dxa"/>
            <w:tcBorders>
              <w:top w:val="single" w:sz="8" w:space="0" w:color="auto"/>
              <w:left w:val="single" w:sz="8" w:space="0" w:color="auto"/>
              <w:bottom w:val="nil"/>
              <w:right w:val="single" w:sz="8" w:space="0" w:color="auto"/>
            </w:tcBorders>
            <w:shd w:val="clear" w:color="auto" w:fill="auto"/>
            <w:vAlign w:val="center"/>
            <w:hideMark/>
          </w:tcPr>
          <w:p w14:paraId="187430F7" w14:textId="23FC6E1B" w:rsidR="001F56F8" w:rsidRPr="00863CC5" w:rsidRDefault="00863CC5" w:rsidP="00E03E91">
            <w:pPr>
              <w:spacing w:after="0" w:line="240" w:lineRule="auto"/>
              <w:jc w:val="center"/>
              <w:rPr>
                <w:rFonts w:ascii="Calibri Light" w:eastAsia="Times New Roman" w:hAnsi="Calibri Light" w:cs="Calibri Light"/>
                <w:b/>
                <w:bCs/>
                <w:color w:val="000000"/>
                <w:sz w:val="24"/>
                <w:szCs w:val="24"/>
                <w:lang w:val="ru-RU"/>
              </w:rPr>
            </w:pPr>
            <w:r>
              <w:rPr>
                <w:rFonts w:ascii="Calibri Light" w:eastAsia="Times New Roman" w:hAnsi="Calibri Light" w:cs="Calibri Light"/>
                <w:b/>
                <w:bCs/>
                <w:color w:val="000000"/>
                <w:sz w:val="24"/>
                <w:szCs w:val="24"/>
                <w:lang w:val="ru-RU"/>
              </w:rPr>
              <w:t>Год</w:t>
            </w:r>
          </w:p>
        </w:tc>
        <w:tc>
          <w:tcPr>
            <w:tcW w:w="2312" w:type="dxa"/>
            <w:tcBorders>
              <w:top w:val="single" w:sz="8" w:space="0" w:color="auto"/>
              <w:left w:val="nil"/>
              <w:bottom w:val="nil"/>
              <w:right w:val="single" w:sz="8" w:space="0" w:color="auto"/>
            </w:tcBorders>
            <w:shd w:val="clear" w:color="auto" w:fill="auto"/>
            <w:vAlign w:val="center"/>
            <w:hideMark/>
          </w:tcPr>
          <w:p w14:paraId="466B845F" w14:textId="31D3ED21" w:rsidR="00711DD9" w:rsidRPr="00653E85" w:rsidRDefault="00863CC5" w:rsidP="00E03E91">
            <w:pPr>
              <w:spacing w:after="0" w:line="240" w:lineRule="auto"/>
              <w:jc w:val="center"/>
              <w:rPr>
                <w:rFonts w:ascii="Calibri Light" w:eastAsia="Times New Roman" w:hAnsi="Calibri Light" w:cs="Calibri Light"/>
                <w:b/>
                <w:bCs/>
                <w:color w:val="000000"/>
                <w:sz w:val="24"/>
                <w:szCs w:val="24"/>
                <w:lang w:val="ro-MD"/>
              </w:rPr>
            </w:pPr>
            <w:r w:rsidRPr="00863CC5">
              <w:rPr>
                <w:rFonts w:ascii="Calibri Light" w:eastAsia="Times New Roman" w:hAnsi="Calibri Light" w:cs="Calibri Light"/>
                <w:b/>
                <w:bCs/>
                <w:color w:val="000000"/>
                <w:sz w:val="24"/>
                <w:szCs w:val="24"/>
                <w:lang w:val="ru-MD"/>
              </w:rPr>
              <w:t>Проверенная сумма</w:t>
            </w:r>
            <w:r w:rsidR="00A05222" w:rsidRPr="00653E85">
              <w:rPr>
                <w:rFonts w:ascii="Calibri Light" w:eastAsia="Times New Roman" w:hAnsi="Calibri Light" w:cs="Calibri Light"/>
                <w:b/>
                <w:bCs/>
                <w:color w:val="000000"/>
                <w:sz w:val="24"/>
                <w:szCs w:val="24"/>
                <w:lang w:val="ro-MD"/>
              </w:rPr>
              <w:t xml:space="preserve">, </w:t>
            </w:r>
          </w:p>
          <w:p w14:paraId="3C874062" w14:textId="6AEF176D" w:rsidR="001F56F8" w:rsidRPr="00653E85" w:rsidRDefault="00863CC5" w:rsidP="00863CC5">
            <w:pPr>
              <w:spacing w:after="0" w:line="240" w:lineRule="auto"/>
              <w:jc w:val="center"/>
              <w:rPr>
                <w:rFonts w:ascii="Calibri Light" w:eastAsia="Times New Roman" w:hAnsi="Calibri Light" w:cs="Calibri Light"/>
                <w:b/>
                <w:bCs/>
                <w:color w:val="000000"/>
                <w:sz w:val="24"/>
                <w:szCs w:val="24"/>
                <w:lang w:val="ro-MD"/>
              </w:rPr>
            </w:pPr>
            <w:r>
              <w:rPr>
                <w:rFonts w:ascii="Calibri Light" w:eastAsia="Times New Roman" w:hAnsi="Calibri Light" w:cs="Calibri Light"/>
                <w:b/>
                <w:bCs/>
                <w:color w:val="000000"/>
                <w:sz w:val="24"/>
                <w:szCs w:val="24"/>
                <w:lang w:val="ru-RU"/>
              </w:rPr>
              <w:t>тыс. леев</w:t>
            </w:r>
          </w:p>
        </w:tc>
        <w:tc>
          <w:tcPr>
            <w:tcW w:w="2957" w:type="dxa"/>
            <w:tcBorders>
              <w:top w:val="single" w:sz="8" w:space="0" w:color="auto"/>
              <w:left w:val="nil"/>
              <w:bottom w:val="nil"/>
              <w:right w:val="single" w:sz="8" w:space="0" w:color="auto"/>
            </w:tcBorders>
            <w:shd w:val="clear" w:color="auto" w:fill="auto"/>
            <w:vAlign w:val="center"/>
            <w:hideMark/>
          </w:tcPr>
          <w:p w14:paraId="2BBDC279" w14:textId="617791B7" w:rsidR="001F56F8" w:rsidRPr="00863CC5" w:rsidRDefault="00863CC5" w:rsidP="00863CC5">
            <w:pPr>
              <w:spacing w:after="0" w:line="240" w:lineRule="auto"/>
              <w:jc w:val="center"/>
              <w:rPr>
                <w:rFonts w:ascii="Calibri Light" w:eastAsia="Times New Roman" w:hAnsi="Calibri Light" w:cs="Calibri Light"/>
                <w:b/>
                <w:bCs/>
                <w:color w:val="000000"/>
                <w:sz w:val="24"/>
                <w:szCs w:val="24"/>
                <w:lang w:val="ru-RU"/>
              </w:rPr>
            </w:pPr>
            <w:r>
              <w:rPr>
                <w:rFonts w:asciiTheme="majorHAnsi" w:hAnsiTheme="majorHAnsi" w:cstheme="majorHAnsi"/>
                <w:b/>
                <w:sz w:val="24"/>
                <w:szCs w:val="24"/>
                <w:lang w:val="ru-MD"/>
              </w:rPr>
              <w:t>В</w:t>
            </w:r>
            <w:r w:rsidRPr="00EF6CE2">
              <w:rPr>
                <w:rFonts w:asciiTheme="majorHAnsi" w:hAnsiTheme="majorHAnsi" w:cstheme="majorHAnsi"/>
                <w:b/>
                <w:sz w:val="24"/>
                <w:szCs w:val="24"/>
                <w:lang w:val="ru-MD"/>
              </w:rPr>
              <w:t>ыявленн</w:t>
            </w:r>
            <w:r>
              <w:rPr>
                <w:rFonts w:asciiTheme="majorHAnsi" w:hAnsiTheme="majorHAnsi" w:cstheme="majorHAnsi"/>
                <w:b/>
                <w:sz w:val="24"/>
                <w:szCs w:val="24"/>
                <w:lang w:val="ru-MD"/>
              </w:rPr>
              <w:t>ая</w:t>
            </w:r>
            <w:r w:rsidRPr="00EF6CE2">
              <w:rPr>
                <w:rFonts w:asciiTheme="majorHAnsi" w:hAnsiTheme="majorHAnsi" w:cstheme="majorHAnsi"/>
                <w:b/>
                <w:sz w:val="24"/>
                <w:szCs w:val="24"/>
                <w:lang w:val="ru-MD"/>
              </w:rPr>
              <w:t xml:space="preserve"> </w:t>
            </w:r>
            <w:r>
              <w:rPr>
                <w:rFonts w:asciiTheme="majorHAnsi" w:hAnsiTheme="majorHAnsi" w:cstheme="majorHAnsi"/>
                <w:b/>
                <w:sz w:val="24"/>
                <w:szCs w:val="24"/>
                <w:lang w:val="ru-MD"/>
              </w:rPr>
              <w:t>с</w:t>
            </w:r>
            <w:r w:rsidRPr="00EF6CE2">
              <w:rPr>
                <w:rFonts w:asciiTheme="majorHAnsi" w:hAnsiTheme="majorHAnsi" w:cstheme="majorHAnsi"/>
                <w:b/>
                <w:sz w:val="24"/>
                <w:szCs w:val="24"/>
                <w:lang w:val="ru-MD"/>
              </w:rPr>
              <w:t xml:space="preserve">умма </w:t>
            </w:r>
            <w:r>
              <w:rPr>
                <w:rFonts w:asciiTheme="majorHAnsi" w:hAnsiTheme="majorHAnsi" w:cstheme="majorHAnsi"/>
                <w:b/>
                <w:sz w:val="24"/>
                <w:szCs w:val="24"/>
                <w:lang w:val="ru-MD"/>
              </w:rPr>
              <w:t xml:space="preserve">с </w:t>
            </w:r>
            <w:r w:rsidRPr="00EF6CE2">
              <w:rPr>
                <w:rFonts w:asciiTheme="majorHAnsi" w:hAnsiTheme="majorHAnsi" w:cstheme="majorHAnsi"/>
                <w:b/>
                <w:sz w:val="24"/>
                <w:szCs w:val="24"/>
                <w:lang w:val="ru-MD"/>
              </w:rPr>
              <w:t>нарушени</w:t>
            </w:r>
            <w:r>
              <w:rPr>
                <w:rFonts w:asciiTheme="majorHAnsi" w:hAnsiTheme="majorHAnsi" w:cstheme="majorHAnsi"/>
                <w:b/>
                <w:sz w:val="24"/>
                <w:szCs w:val="24"/>
                <w:lang w:val="ru-MD"/>
              </w:rPr>
              <w:t>ями</w:t>
            </w:r>
            <w:r w:rsidR="00A05222" w:rsidRPr="00653E85">
              <w:rPr>
                <w:rFonts w:ascii="Calibri Light" w:eastAsia="Times New Roman" w:hAnsi="Calibri Light" w:cs="Calibri Light"/>
                <w:b/>
                <w:bCs/>
                <w:color w:val="000000"/>
                <w:sz w:val="24"/>
                <w:szCs w:val="24"/>
                <w:lang w:val="ro-MD"/>
              </w:rPr>
              <w:t xml:space="preserve">, </w:t>
            </w:r>
            <w:r>
              <w:rPr>
                <w:rFonts w:ascii="Calibri Light" w:eastAsia="Times New Roman" w:hAnsi="Calibri Light" w:cs="Calibri Light"/>
                <w:b/>
                <w:bCs/>
                <w:color w:val="000000"/>
                <w:sz w:val="24"/>
                <w:szCs w:val="24"/>
                <w:lang w:val="ru-RU"/>
              </w:rPr>
              <w:t>тыс. леев</w:t>
            </w:r>
          </w:p>
        </w:tc>
        <w:tc>
          <w:tcPr>
            <w:tcW w:w="2312" w:type="dxa"/>
            <w:tcBorders>
              <w:top w:val="single" w:sz="8" w:space="0" w:color="auto"/>
              <w:left w:val="nil"/>
              <w:bottom w:val="nil"/>
              <w:right w:val="single" w:sz="8" w:space="0" w:color="auto"/>
            </w:tcBorders>
            <w:shd w:val="clear" w:color="auto" w:fill="auto"/>
            <w:vAlign w:val="center"/>
            <w:hideMark/>
          </w:tcPr>
          <w:p w14:paraId="29DA71C0" w14:textId="4D76CBF0" w:rsidR="001F56F8" w:rsidRPr="00653E85" w:rsidRDefault="00863CC5" w:rsidP="00711DD9">
            <w:pPr>
              <w:spacing w:after="0" w:line="240" w:lineRule="auto"/>
              <w:jc w:val="center"/>
              <w:rPr>
                <w:rFonts w:ascii="Calibri Light" w:eastAsia="Times New Roman" w:hAnsi="Calibri Light" w:cs="Calibri Light"/>
                <w:b/>
                <w:bCs/>
                <w:color w:val="000000"/>
                <w:sz w:val="24"/>
                <w:szCs w:val="24"/>
                <w:lang w:val="ro-MD"/>
              </w:rPr>
            </w:pPr>
            <w:r>
              <w:rPr>
                <w:rFonts w:ascii="Calibri Light" w:eastAsia="Times New Roman" w:hAnsi="Calibri Light" w:cs="Calibri Light"/>
                <w:b/>
                <w:bCs/>
                <w:color w:val="000000"/>
                <w:sz w:val="24"/>
                <w:szCs w:val="24"/>
                <w:lang w:val="ru-RU"/>
              </w:rPr>
              <w:t>Удельный вес</w:t>
            </w:r>
            <w:r w:rsidR="00711DD9" w:rsidRPr="00653E85">
              <w:rPr>
                <w:rFonts w:ascii="Calibri Light" w:eastAsia="Times New Roman" w:hAnsi="Calibri Light" w:cs="Calibri Light"/>
                <w:b/>
                <w:bCs/>
                <w:color w:val="000000"/>
                <w:sz w:val="24"/>
                <w:szCs w:val="24"/>
                <w:lang w:val="ro-MD"/>
              </w:rPr>
              <w:t>,</w:t>
            </w:r>
            <w:r w:rsidR="001F56F8" w:rsidRPr="00653E85">
              <w:rPr>
                <w:rFonts w:ascii="Calibri Light" w:eastAsia="Times New Roman" w:hAnsi="Calibri Light" w:cs="Calibri Light"/>
                <w:b/>
                <w:bCs/>
                <w:color w:val="000000"/>
                <w:sz w:val="24"/>
                <w:szCs w:val="24"/>
                <w:lang w:val="ro-MD"/>
              </w:rPr>
              <w:t xml:space="preserve"> %</w:t>
            </w:r>
          </w:p>
        </w:tc>
      </w:tr>
      <w:tr w:rsidR="001F56F8" w:rsidRPr="00863CC5" w14:paraId="0E79C0D5" w14:textId="77777777" w:rsidTr="00E03E91">
        <w:trPr>
          <w:trHeight w:val="20"/>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C4FF4" w14:textId="77777777" w:rsidR="001F56F8" w:rsidRPr="00653E85" w:rsidRDefault="001F56F8" w:rsidP="00E03E91">
            <w:pPr>
              <w:spacing w:after="0" w:line="240" w:lineRule="auto"/>
              <w:jc w:val="center"/>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2018</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14:paraId="4883FDA3" w14:textId="128E8A91"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8</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803,1</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14:paraId="0AA62053" w14:textId="298F1859"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1</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426,1</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14:paraId="2232B5EB"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16,2%</w:t>
            </w:r>
          </w:p>
        </w:tc>
      </w:tr>
      <w:tr w:rsidR="001F56F8" w:rsidRPr="00863CC5" w14:paraId="22D10098" w14:textId="77777777" w:rsidTr="00E03E91">
        <w:trPr>
          <w:trHeight w:val="20"/>
        </w:trPr>
        <w:tc>
          <w:tcPr>
            <w:tcW w:w="1819" w:type="dxa"/>
            <w:tcBorders>
              <w:top w:val="nil"/>
              <w:left w:val="single" w:sz="4" w:space="0" w:color="auto"/>
              <w:bottom w:val="single" w:sz="4" w:space="0" w:color="auto"/>
              <w:right w:val="single" w:sz="4" w:space="0" w:color="auto"/>
            </w:tcBorders>
            <w:shd w:val="clear" w:color="auto" w:fill="auto"/>
            <w:vAlign w:val="center"/>
            <w:hideMark/>
          </w:tcPr>
          <w:p w14:paraId="6FE7514A" w14:textId="77777777" w:rsidR="001F56F8" w:rsidRPr="00653E85" w:rsidRDefault="001F56F8" w:rsidP="00E03E91">
            <w:pPr>
              <w:spacing w:after="0" w:line="240" w:lineRule="auto"/>
              <w:jc w:val="center"/>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2019</w:t>
            </w:r>
          </w:p>
        </w:tc>
        <w:tc>
          <w:tcPr>
            <w:tcW w:w="2312" w:type="dxa"/>
            <w:tcBorders>
              <w:top w:val="nil"/>
              <w:left w:val="nil"/>
              <w:bottom w:val="single" w:sz="4" w:space="0" w:color="auto"/>
              <w:right w:val="single" w:sz="4" w:space="0" w:color="auto"/>
            </w:tcBorders>
            <w:shd w:val="clear" w:color="auto" w:fill="auto"/>
            <w:vAlign w:val="center"/>
            <w:hideMark/>
          </w:tcPr>
          <w:p w14:paraId="182680A4" w14:textId="5619C0D3"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6</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934,1</w:t>
            </w:r>
          </w:p>
        </w:tc>
        <w:tc>
          <w:tcPr>
            <w:tcW w:w="2957" w:type="dxa"/>
            <w:tcBorders>
              <w:top w:val="nil"/>
              <w:left w:val="nil"/>
              <w:bottom w:val="single" w:sz="4" w:space="0" w:color="auto"/>
              <w:right w:val="single" w:sz="4" w:space="0" w:color="auto"/>
            </w:tcBorders>
            <w:shd w:val="clear" w:color="auto" w:fill="auto"/>
            <w:vAlign w:val="center"/>
            <w:hideMark/>
          </w:tcPr>
          <w:p w14:paraId="1821D7B1" w14:textId="04DCD0C1"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198,9</w:t>
            </w:r>
          </w:p>
        </w:tc>
        <w:tc>
          <w:tcPr>
            <w:tcW w:w="2312" w:type="dxa"/>
            <w:tcBorders>
              <w:top w:val="nil"/>
              <w:left w:val="nil"/>
              <w:bottom w:val="single" w:sz="4" w:space="0" w:color="auto"/>
              <w:right w:val="single" w:sz="4" w:space="0" w:color="auto"/>
            </w:tcBorders>
            <w:shd w:val="clear" w:color="auto" w:fill="auto"/>
            <w:vAlign w:val="center"/>
            <w:hideMark/>
          </w:tcPr>
          <w:p w14:paraId="655C590C"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31,7%</w:t>
            </w:r>
          </w:p>
        </w:tc>
      </w:tr>
      <w:tr w:rsidR="001F56F8" w:rsidRPr="00863CC5" w14:paraId="1DBAC87C" w14:textId="77777777" w:rsidTr="00E03E91">
        <w:trPr>
          <w:trHeight w:val="20"/>
        </w:trPr>
        <w:tc>
          <w:tcPr>
            <w:tcW w:w="1819" w:type="dxa"/>
            <w:tcBorders>
              <w:top w:val="nil"/>
              <w:left w:val="single" w:sz="4" w:space="0" w:color="auto"/>
              <w:bottom w:val="single" w:sz="4" w:space="0" w:color="auto"/>
              <w:right w:val="single" w:sz="4" w:space="0" w:color="auto"/>
            </w:tcBorders>
            <w:shd w:val="clear" w:color="auto" w:fill="auto"/>
            <w:vAlign w:val="center"/>
            <w:hideMark/>
          </w:tcPr>
          <w:p w14:paraId="47109BE3" w14:textId="77777777" w:rsidR="001F56F8" w:rsidRPr="00653E85" w:rsidRDefault="001F56F8" w:rsidP="00E03E91">
            <w:pPr>
              <w:spacing w:after="0" w:line="240" w:lineRule="auto"/>
              <w:jc w:val="center"/>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2020</w:t>
            </w:r>
          </w:p>
        </w:tc>
        <w:tc>
          <w:tcPr>
            <w:tcW w:w="2312" w:type="dxa"/>
            <w:tcBorders>
              <w:top w:val="nil"/>
              <w:left w:val="nil"/>
              <w:bottom w:val="single" w:sz="4" w:space="0" w:color="auto"/>
              <w:right w:val="single" w:sz="4" w:space="0" w:color="auto"/>
            </w:tcBorders>
            <w:shd w:val="clear" w:color="auto" w:fill="auto"/>
            <w:vAlign w:val="center"/>
            <w:hideMark/>
          </w:tcPr>
          <w:p w14:paraId="6339370B" w14:textId="6FD8A4E0"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8</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304,7</w:t>
            </w:r>
          </w:p>
        </w:tc>
        <w:tc>
          <w:tcPr>
            <w:tcW w:w="2957" w:type="dxa"/>
            <w:tcBorders>
              <w:top w:val="nil"/>
              <w:left w:val="nil"/>
              <w:bottom w:val="single" w:sz="4" w:space="0" w:color="auto"/>
              <w:right w:val="single" w:sz="4" w:space="0" w:color="auto"/>
            </w:tcBorders>
            <w:shd w:val="clear" w:color="auto" w:fill="auto"/>
            <w:vAlign w:val="center"/>
            <w:hideMark/>
          </w:tcPr>
          <w:p w14:paraId="25018A33" w14:textId="2F2A35C0"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437,4</w:t>
            </w:r>
          </w:p>
        </w:tc>
        <w:tc>
          <w:tcPr>
            <w:tcW w:w="2312" w:type="dxa"/>
            <w:tcBorders>
              <w:top w:val="nil"/>
              <w:left w:val="nil"/>
              <w:bottom w:val="single" w:sz="4" w:space="0" w:color="auto"/>
              <w:right w:val="single" w:sz="4" w:space="0" w:color="auto"/>
            </w:tcBorders>
            <w:shd w:val="clear" w:color="auto" w:fill="auto"/>
            <w:vAlign w:val="center"/>
            <w:hideMark/>
          </w:tcPr>
          <w:p w14:paraId="471F7AE7"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29,3%</w:t>
            </w:r>
          </w:p>
        </w:tc>
      </w:tr>
      <w:tr w:rsidR="001F56F8" w:rsidRPr="00B7675F" w14:paraId="2484C433" w14:textId="77777777" w:rsidTr="00E03E91">
        <w:trPr>
          <w:trHeight w:val="20"/>
        </w:trPr>
        <w:tc>
          <w:tcPr>
            <w:tcW w:w="1819" w:type="dxa"/>
            <w:tcBorders>
              <w:top w:val="nil"/>
              <w:left w:val="single" w:sz="4" w:space="0" w:color="auto"/>
              <w:bottom w:val="single" w:sz="4" w:space="0" w:color="auto"/>
              <w:right w:val="single" w:sz="4" w:space="0" w:color="auto"/>
            </w:tcBorders>
            <w:shd w:val="clear" w:color="auto" w:fill="auto"/>
            <w:vAlign w:val="center"/>
            <w:hideMark/>
          </w:tcPr>
          <w:p w14:paraId="21AA0B59" w14:textId="77777777" w:rsidR="001F56F8" w:rsidRPr="00653E85" w:rsidRDefault="001F56F8" w:rsidP="00E03E91">
            <w:pPr>
              <w:spacing w:after="0" w:line="240" w:lineRule="auto"/>
              <w:jc w:val="center"/>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2021</w:t>
            </w:r>
          </w:p>
        </w:tc>
        <w:tc>
          <w:tcPr>
            <w:tcW w:w="2312" w:type="dxa"/>
            <w:tcBorders>
              <w:top w:val="nil"/>
              <w:left w:val="nil"/>
              <w:bottom w:val="single" w:sz="4" w:space="0" w:color="auto"/>
              <w:right w:val="single" w:sz="4" w:space="0" w:color="auto"/>
            </w:tcBorders>
            <w:shd w:val="clear" w:color="000000" w:fill="FFFFFF"/>
            <w:vAlign w:val="center"/>
            <w:hideMark/>
          </w:tcPr>
          <w:p w14:paraId="1382280E" w14:textId="7F313995"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10</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173,2</w:t>
            </w:r>
          </w:p>
        </w:tc>
        <w:tc>
          <w:tcPr>
            <w:tcW w:w="2957" w:type="dxa"/>
            <w:tcBorders>
              <w:top w:val="nil"/>
              <w:left w:val="nil"/>
              <w:bottom w:val="single" w:sz="4" w:space="0" w:color="auto"/>
              <w:right w:val="single" w:sz="4" w:space="0" w:color="auto"/>
            </w:tcBorders>
            <w:shd w:val="clear" w:color="000000" w:fill="FFFFFF"/>
            <w:vAlign w:val="center"/>
            <w:hideMark/>
          </w:tcPr>
          <w:p w14:paraId="034768F2" w14:textId="62745A49"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826,5</w:t>
            </w:r>
          </w:p>
        </w:tc>
        <w:tc>
          <w:tcPr>
            <w:tcW w:w="2312" w:type="dxa"/>
            <w:tcBorders>
              <w:top w:val="nil"/>
              <w:left w:val="nil"/>
              <w:bottom w:val="single" w:sz="4" w:space="0" w:color="auto"/>
              <w:right w:val="single" w:sz="4" w:space="0" w:color="auto"/>
            </w:tcBorders>
            <w:shd w:val="clear" w:color="auto" w:fill="auto"/>
            <w:vAlign w:val="center"/>
            <w:hideMark/>
          </w:tcPr>
          <w:p w14:paraId="6591C6CE"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27,8%</w:t>
            </w:r>
          </w:p>
        </w:tc>
      </w:tr>
      <w:tr w:rsidR="001F56F8" w:rsidRPr="00B7675F" w14:paraId="2D6C8E96" w14:textId="77777777" w:rsidTr="00E03E91">
        <w:trPr>
          <w:trHeight w:val="20"/>
        </w:trPr>
        <w:tc>
          <w:tcPr>
            <w:tcW w:w="1819" w:type="dxa"/>
            <w:tcBorders>
              <w:top w:val="nil"/>
              <w:left w:val="single" w:sz="4" w:space="0" w:color="auto"/>
              <w:bottom w:val="single" w:sz="4" w:space="0" w:color="auto"/>
              <w:right w:val="single" w:sz="4" w:space="0" w:color="auto"/>
            </w:tcBorders>
            <w:shd w:val="clear" w:color="auto" w:fill="auto"/>
            <w:vAlign w:val="center"/>
            <w:hideMark/>
          </w:tcPr>
          <w:p w14:paraId="1467B092" w14:textId="77777777" w:rsidR="001F56F8" w:rsidRPr="00653E85" w:rsidRDefault="001F56F8" w:rsidP="00E03E91">
            <w:pPr>
              <w:spacing w:after="0" w:line="240" w:lineRule="auto"/>
              <w:jc w:val="center"/>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2022</w:t>
            </w:r>
          </w:p>
        </w:tc>
        <w:tc>
          <w:tcPr>
            <w:tcW w:w="2312" w:type="dxa"/>
            <w:tcBorders>
              <w:top w:val="nil"/>
              <w:left w:val="nil"/>
              <w:bottom w:val="single" w:sz="4" w:space="0" w:color="auto"/>
              <w:right w:val="single" w:sz="4" w:space="0" w:color="auto"/>
            </w:tcBorders>
            <w:shd w:val="clear" w:color="auto" w:fill="auto"/>
            <w:noWrap/>
            <w:vAlign w:val="bottom"/>
            <w:hideMark/>
          </w:tcPr>
          <w:p w14:paraId="68ED94EC" w14:textId="6DB51B24"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10</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133,9</w:t>
            </w:r>
          </w:p>
        </w:tc>
        <w:tc>
          <w:tcPr>
            <w:tcW w:w="2957" w:type="dxa"/>
            <w:tcBorders>
              <w:top w:val="nil"/>
              <w:left w:val="nil"/>
              <w:bottom w:val="single" w:sz="4" w:space="0" w:color="auto"/>
              <w:right w:val="single" w:sz="4" w:space="0" w:color="auto"/>
            </w:tcBorders>
            <w:shd w:val="clear" w:color="auto" w:fill="auto"/>
            <w:noWrap/>
            <w:vAlign w:val="bottom"/>
            <w:hideMark/>
          </w:tcPr>
          <w:p w14:paraId="7D77114D" w14:textId="5705D5D9"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625,8</w:t>
            </w:r>
          </w:p>
        </w:tc>
        <w:tc>
          <w:tcPr>
            <w:tcW w:w="2312" w:type="dxa"/>
            <w:tcBorders>
              <w:top w:val="nil"/>
              <w:left w:val="nil"/>
              <w:bottom w:val="single" w:sz="4" w:space="0" w:color="auto"/>
              <w:right w:val="single" w:sz="4" w:space="0" w:color="auto"/>
            </w:tcBorders>
            <w:shd w:val="clear" w:color="auto" w:fill="auto"/>
            <w:vAlign w:val="center"/>
            <w:hideMark/>
          </w:tcPr>
          <w:p w14:paraId="5BDFA291"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25,9%</w:t>
            </w:r>
          </w:p>
        </w:tc>
      </w:tr>
    </w:tbl>
    <w:p w14:paraId="73C3CFB7" w14:textId="6417265F" w:rsidR="001F56F8" w:rsidRPr="00653E85" w:rsidRDefault="00863CC5" w:rsidP="001F56F8">
      <w:pPr>
        <w:spacing w:line="276" w:lineRule="auto"/>
        <w:jc w:val="both"/>
        <w:rPr>
          <w:rFonts w:asciiTheme="majorHAnsi" w:hAnsiTheme="majorHAnsi" w:cstheme="majorHAnsi"/>
          <w:i/>
          <w:sz w:val="20"/>
          <w:szCs w:val="20"/>
          <w:lang w:val="ro-MD"/>
        </w:rPr>
      </w:pPr>
      <w:r>
        <w:rPr>
          <w:rFonts w:asciiTheme="majorHAnsi" w:hAnsiTheme="majorHAnsi" w:cstheme="majorHAnsi"/>
          <w:i/>
          <w:sz w:val="20"/>
          <w:szCs w:val="20"/>
          <w:lang w:val="ro-MD"/>
        </w:rPr>
        <w:t>Источник</w:t>
      </w:r>
      <w:r w:rsidR="001F56F8" w:rsidRPr="00653E85">
        <w:rPr>
          <w:rFonts w:asciiTheme="majorHAnsi" w:hAnsiTheme="majorHAnsi" w:cstheme="majorHAnsi"/>
          <w:i/>
          <w:sz w:val="20"/>
          <w:szCs w:val="20"/>
          <w:lang w:val="ro-MD"/>
        </w:rPr>
        <w:t xml:space="preserve">: </w:t>
      </w:r>
      <w:r>
        <w:rPr>
          <w:rFonts w:asciiTheme="majorHAnsi" w:hAnsiTheme="majorHAnsi" w:cstheme="majorHAnsi"/>
          <w:i/>
          <w:sz w:val="20"/>
          <w:szCs w:val="20"/>
          <w:lang w:val="ru-RU"/>
        </w:rPr>
        <w:t>Информация</w:t>
      </w:r>
      <w:r w:rsidRPr="00863CC5">
        <w:rPr>
          <w:rFonts w:asciiTheme="majorHAnsi" w:hAnsiTheme="majorHAnsi" w:cstheme="majorHAnsi"/>
          <w:i/>
          <w:sz w:val="20"/>
          <w:szCs w:val="20"/>
          <w:lang w:val="ru-RU"/>
        </w:rPr>
        <w:t xml:space="preserve"> </w:t>
      </w:r>
      <w:r w:rsidRPr="00EF6CE2">
        <w:rPr>
          <w:rFonts w:asciiTheme="majorHAnsi" w:hAnsiTheme="majorHAnsi" w:cstheme="majorHAnsi"/>
          <w:i/>
          <w:sz w:val="20"/>
          <w:szCs w:val="20"/>
          <w:lang w:val="ru-MD"/>
        </w:rPr>
        <w:t>Социальной</w:t>
      </w:r>
      <w:r w:rsidRPr="00863CC5">
        <w:rPr>
          <w:rFonts w:asciiTheme="majorHAnsi" w:hAnsiTheme="majorHAnsi" w:cstheme="majorHAnsi"/>
          <w:i/>
          <w:sz w:val="20"/>
          <w:szCs w:val="20"/>
          <w:lang w:val="ru-RU"/>
        </w:rPr>
        <w:t xml:space="preserve"> </w:t>
      </w:r>
      <w:r w:rsidRPr="00EF6CE2">
        <w:rPr>
          <w:rFonts w:asciiTheme="majorHAnsi" w:hAnsiTheme="majorHAnsi" w:cstheme="majorHAnsi"/>
          <w:i/>
          <w:sz w:val="20"/>
          <w:szCs w:val="20"/>
          <w:lang w:val="ru-MD"/>
        </w:rPr>
        <w:t>инспекции</w:t>
      </w:r>
      <w:r w:rsidRPr="00863CC5">
        <w:rPr>
          <w:rFonts w:asciiTheme="majorHAnsi" w:hAnsiTheme="majorHAnsi" w:cstheme="majorHAnsi"/>
          <w:i/>
          <w:sz w:val="20"/>
          <w:szCs w:val="20"/>
          <w:lang w:val="ru-RU"/>
        </w:rPr>
        <w:t xml:space="preserve"> </w:t>
      </w:r>
      <w:r w:rsidRPr="00EF6CE2">
        <w:rPr>
          <w:rFonts w:asciiTheme="majorHAnsi" w:hAnsiTheme="majorHAnsi" w:cstheme="majorHAnsi"/>
          <w:i/>
          <w:sz w:val="20"/>
          <w:szCs w:val="20"/>
          <w:lang w:val="ru-MD"/>
        </w:rPr>
        <w:t>о</w:t>
      </w:r>
      <w:r w:rsidRPr="00863CC5">
        <w:rPr>
          <w:rFonts w:asciiTheme="majorHAnsi" w:hAnsiTheme="majorHAnsi" w:cstheme="majorHAnsi"/>
          <w:i/>
          <w:sz w:val="20"/>
          <w:szCs w:val="20"/>
          <w:lang w:val="ru-RU"/>
        </w:rPr>
        <w:t xml:space="preserve"> </w:t>
      </w:r>
      <w:r w:rsidRPr="00EF6CE2">
        <w:rPr>
          <w:rFonts w:asciiTheme="majorHAnsi" w:hAnsiTheme="majorHAnsi" w:cstheme="majorHAnsi"/>
          <w:i/>
          <w:sz w:val="20"/>
          <w:szCs w:val="20"/>
          <w:lang w:val="ru-MD"/>
        </w:rPr>
        <w:t>проведенных</w:t>
      </w:r>
      <w:r w:rsidRPr="00863CC5">
        <w:rPr>
          <w:rFonts w:asciiTheme="majorHAnsi" w:hAnsiTheme="majorHAnsi" w:cstheme="majorHAnsi"/>
          <w:i/>
          <w:sz w:val="20"/>
          <w:szCs w:val="20"/>
          <w:lang w:val="ru-RU"/>
        </w:rPr>
        <w:t xml:space="preserve"> </w:t>
      </w:r>
      <w:r w:rsidRPr="00EF6CE2">
        <w:rPr>
          <w:rFonts w:asciiTheme="majorHAnsi" w:hAnsiTheme="majorHAnsi" w:cstheme="majorHAnsi"/>
          <w:i/>
          <w:sz w:val="20"/>
          <w:szCs w:val="20"/>
          <w:lang w:val="ru-MD"/>
        </w:rPr>
        <w:t>инспекционных</w:t>
      </w:r>
      <w:r w:rsidRPr="00863CC5">
        <w:rPr>
          <w:rFonts w:asciiTheme="majorHAnsi" w:hAnsiTheme="majorHAnsi" w:cstheme="majorHAnsi"/>
          <w:i/>
          <w:sz w:val="20"/>
          <w:szCs w:val="20"/>
          <w:lang w:val="ru-RU"/>
        </w:rPr>
        <w:t xml:space="preserve"> </w:t>
      </w:r>
      <w:r w:rsidRPr="00EF6CE2">
        <w:rPr>
          <w:rFonts w:asciiTheme="majorHAnsi" w:hAnsiTheme="majorHAnsi" w:cstheme="majorHAnsi"/>
          <w:i/>
          <w:sz w:val="20"/>
          <w:szCs w:val="20"/>
          <w:lang w:val="ru-MD"/>
        </w:rPr>
        <w:t>миссиях</w:t>
      </w:r>
      <w:r w:rsidRPr="00863CC5">
        <w:rPr>
          <w:rFonts w:asciiTheme="majorHAnsi" w:hAnsiTheme="majorHAnsi" w:cstheme="majorHAnsi"/>
          <w:i/>
          <w:sz w:val="20"/>
          <w:szCs w:val="20"/>
          <w:lang w:val="ru-RU"/>
        </w:rPr>
        <w:t xml:space="preserve"> </w:t>
      </w:r>
      <w:r w:rsidRPr="00EF6CE2">
        <w:rPr>
          <w:rFonts w:asciiTheme="majorHAnsi" w:hAnsiTheme="majorHAnsi" w:cstheme="majorHAnsi"/>
          <w:i/>
          <w:sz w:val="20"/>
          <w:szCs w:val="20"/>
          <w:lang w:val="ru-MD"/>
        </w:rPr>
        <w:t>за</w:t>
      </w:r>
      <w:r w:rsidRPr="00863CC5">
        <w:rPr>
          <w:rFonts w:asciiTheme="majorHAnsi" w:hAnsiTheme="majorHAnsi" w:cstheme="majorHAnsi"/>
          <w:i/>
          <w:sz w:val="20"/>
          <w:szCs w:val="20"/>
          <w:lang w:val="ru-RU"/>
        </w:rPr>
        <w:t xml:space="preserve"> </w:t>
      </w:r>
      <w:r w:rsidR="001F56F8" w:rsidRPr="00653E85">
        <w:rPr>
          <w:rFonts w:asciiTheme="majorHAnsi" w:hAnsiTheme="majorHAnsi" w:cstheme="majorHAnsi"/>
          <w:i/>
          <w:sz w:val="20"/>
          <w:szCs w:val="20"/>
          <w:lang w:val="ro-MD"/>
        </w:rPr>
        <w:t>2018-2022</w:t>
      </w:r>
      <w:r>
        <w:rPr>
          <w:rFonts w:asciiTheme="majorHAnsi" w:hAnsiTheme="majorHAnsi" w:cstheme="majorHAnsi"/>
          <w:i/>
          <w:sz w:val="20"/>
          <w:szCs w:val="20"/>
          <w:lang w:val="ru-RU"/>
        </w:rPr>
        <w:t xml:space="preserve"> годы</w:t>
      </w:r>
      <w:r w:rsidR="00711DD9" w:rsidRPr="00653E85">
        <w:rPr>
          <w:rFonts w:asciiTheme="majorHAnsi" w:hAnsiTheme="majorHAnsi" w:cstheme="majorHAnsi"/>
          <w:i/>
          <w:sz w:val="20"/>
          <w:szCs w:val="20"/>
          <w:lang w:val="ro-MD"/>
        </w:rPr>
        <w:t>.</w:t>
      </w:r>
    </w:p>
    <w:p w14:paraId="3A049AF7" w14:textId="4FFF8086" w:rsidR="001F56F8" w:rsidRPr="00653E85" w:rsidRDefault="00E15346" w:rsidP="001F56F8">
      <w:pPr>
        <w:spacing w:line="276" w:lineRule="auto"/>
        <w:jc w:val="both"/>
        <w:rPr>
          <w:rFonts w:asciiTheme="majorHAnsi" w:hAnsiTheme="majorHAnsi" w:cstheme="majorHAnsi"/>
          <w:sz w:val="24"/>
          <w:szCs w:val="24"/>
          <w:lang w:val="ro-MD"/>
        </w:rPr>
      </w:pPr>
      <w:r w:rsidRPr="004B0D23">
        <w:rPr>
          <w:rFonts w:asciiTheme="majorHAnsi" w:hAnsiTheme="majorHAnsi" w:cstheme="majorHAnsi"/>
          <w:sz w:val="24"/>
          <w:szCs w:val="24"/>
          <w:lang w:val="ru-MD"/>
        </w:rPr>
        <w:t xml:space="preserve">Анализируя данные Социальной инспекции, было установлено, что </w:t>
      </w:r>
      <w:r w:rsidR="005D1599">
        <w:rPr>
          <w:rFonts w:asciiTheme="majorHAnsi" w:hAnsiTheme="majorHAnsi" w:cstheme="majorHAnsi"/>
          <w:sz w:val="24"/>
          <w:szCs w:val="24"/>
          <w:lang w:val="ru-MD"/>
        </w:rPr>
        <w:t xml:space="preserve">в 2022 году </w:t>
      </w:r>
      <w:r w:rsidRPr="004B0D23">
        <w:rPr>
          <w:rFonts w:asciiTheme="majorHAnsi" w:hAnsiTheme="majorHAnsi" w:cstheme="majorHAnsi"/>
          <w:sz w:val="24"/>
          <w:szCs w:val="24"/>
          <w:lang w:val="ru-MD"/>
        </w:rPr>
        <w:t xml:space="preserve">территориальным структурам социальной помощи было рекомендовано принять необходимые меры для возврата суммы в </w:t>
      </w:r>
      <w:r w:rsidR="005D1599" w:rsidRPr="00653E85">
        <w:rPr>
          <w:rFonts w:asciiTheme="majorHAnsi" w:hAnsiTheme="majorHAnsi" w:cstheme="majorHAnsi"/>
          <w:sz w:val="24"/>
          <w:szCs w:val="24"/>
          <w:lang w:val="ro-MD"/>
        </w:rPr>
        <w:t xml:space="preserve">2 468,6 </w:t>
      </w:r>
      <w:r w:rsidRPr="004B0D23">
        <w:rPr>
          <w:rFonts w:asciiTheme="majorHAnsi" w:hAnsiTheme="majorHAnsi" w:cstheme="majorHAnsi"/>
          <w:sz w:val="24"/>
          <w:szCs w:val="24"/>
          <w:lang w:val="ru-MD"/>
        </w:rPr>
        <w:t xml:space="preserve">тыс. леев. В зависимости от факторов, ответственных за совершение нарушений, отмечается, что из общей незаконно предоставленной суммы в размере </w:t>
      </w:r>
      <w:r w:rsidR="005D1599" w:rsidRPr="00653E85">
        <w:rPr>
          <w:rFonts w:asciiTheme="majorHAnsi" w:hAnsiTheme="majorHAnsi" w:cstheme="majorHAnsi"/>
          <w:sz w:val="24"/>
          <w:szCs w:val="24"/>
          <w:lang w:val="ro-MD"/>
        </w:rPr>
        <w:t>2 438,7</w:t>
      </w:r>
      <w:r w:rsidRPr="004B0D23">
        <w:rPr>
          <w:rFonts w:asciiTheme="majorHAnsi" w:hAnsiTheme="majorHAnsi" w:cstheme="majorHAnsi"/>
          <w:sz w:val="24"/>
          <w:szCs w:val="24"/>
          <w:lang w:val="ru-MD"/>
        </w:rPr>
        <w:t xml:space="preserve"> тыс. леев, </w:t>
      </w:r>
      <w:r w:rsidR="005D1599">
        <w:rPr>
          <w:rFonts w:asciiTheme="majorHAnsi" w:hAnsiTheme="majorHAnsi" w:cstheme="majorHAnsi"/>
          <w:sz w:val="24"/>
          <w:szCs w:val="24"/>
          <w:lang w:val="ru-MD"/>
        </w:rPr>
        <w:t>или 9</w:t>
      </w:r>
      <w:r w:rsidRPr="004B0D23">
        <w:rPr>
          <w:rFonts w:asciiTheme="majorHAnsi" w:hAnsiTheme="majorHAnsi" w:cstheme="majorHAnsi"/>
          <w:sz w:val="24"/>
          <w:szCs w:val="24"/>
          <w:lang w:val="ru-MD"/>
        </w:rPr>
        <w:t>8,</w:t>
      </w:r>
      <w:r w:rsidR="005D1599">
        <w:rPr>
          <w:rFonts w:asciiTheme="majorHAnsi" w:hAnsiTheme="majorHAnsi" w:cstheme="majorHAnsi"/>
          <w:sz w:val="24"/>
          <w:szCs w:val="24"/>
          <w:lang w:val="ru-MD"/>
        </w:rPr>
        <w:t>5</w:t>
      </w:r>
      <w:r w:rsidRPr="004B0D23">
        <w:rPr>
          <w:rFonts w:asciiTheme="majorHAnsi" w:hAnsiTheme="majorHAnsi" w:cstheme="majorHAnsi"/>
          <w:sz w:val="24"/>
          <w:szCs w:val="24"/>
          <w:lang w:val="ru-MD"/>
        </w:rPr>
        <w:t xml:space="preserve">% были </w:t>
      </w:r>
      <w:r w:rsidR="005D1599">
        <w:rPr>
          <w:rFonts w:asciiTheme="majorHAnsi" w:hAnsiTheme="majorHAnsi" w:cstheme="majorHAnsi"/>
          <w:sz w:val="24"/>
          <w:szCs w:val="24"/>
          <w:lang w:val="ru-MD"/>
        </w:rPr>
        <w:t>выплач</w:t>
      </w:r>
      <w:r w:rsidRPr="004B0D23">
        <w:rPr>
          <w:rFonts w:asciiTheme="majorHAnsi" w:hAnsiTheme="majorHAnsi" w:cstheme="majorHAnsi"/>
          <w:sz w:val="24"/>
          <w:szCs w:val="24"/>
          <w:lang w:val="ru-MD"/>
        </w:rPr>
        <w:t xml:space="preserve">ены по вине бенефициаров, </w:t>
      </w:r>
      <w:r w:rsidR="005D1599" w:rsidRPr="005D1599">
        <w:rPr>
          <w:rFonts w:asciiTheme="majorHAnsi" w:hAnsiTheme="majorHAnsi" w:cstheme="majorHAnsi"/>
          <w:sz w:val="24"/>
          <w:szCs w:val="24"/>
          <w:lang w:val="ru-MD"/>
        </w:rPr>
        <w:t>в результате представления неполных, неверных данных или из-за неинформирования об изменениях, произошедших в размере дохода и в семейном положении</w:t>
      </w:r>
      <w:r w:rsidR="005D1599">
        <w:rPr>
          <w:rFonts w:asciiTheme="majorHAnsi" w:hAnsiTheme="majorHAnsi" w:cstheme="majorHAnsi"/>
          <w:sz w:val="24"/>
          <w:szCs w:val="24"/>
          <w:lang w:val="ru-MD"/>
        </w:rPr>
        <w:t>. Остальные</w:t>
      </w:r>
      <w:r w:rsidR="005D1599" w:rsidRPr="005D1599">
        <w:rPr>
          <w:rFonts w:asciiTheme="majorHAnsi" w:hAnsiTheme="majorHAnsi" w:cstheme="majorHAnsi"/>
          <w:sz w:val="24"/>
          <w:szCs w:val="24"/>
          <w:lang w:val="ru-MD"/>
        </w:rPr>
        <w:t xml:space="preserve"> </w:t>
      </w:r>
      <w:r w:rsidR="005D1599" w:rsidRPr="004B0D23">
        <w:rPr>
          <w:rFonts w:asciiTheme="majorHAnsi" w:hAnsiTheme="majorHAnsi" w:cstheme="majorHAnsi"/>
          <w:sz w:val="24"/>
          <w:szCs w:val="24"/>
          <w:lang w:val="ru-MD"/>
        </w:rPr>
        <w:t xml:space="preserve">нарушения </w:t>
      </w:r>
      <w:r w:rsidR="005D1599">
        <w:rPr>
          <w:rFonts w:asciiTheme="majorHAnsi" w:hAnsiTheme="majorHAnsi" w:cstheme="majorHAnsi"/>
          <w:sz w:val="24"/>
          <w:szCs w:val="24"/>
          <w:lang w:val="ru-MD"/>
        </w:rPr>
        <w:t>(</w:t>
      </w:r>
      <w:r w:rsidRPr="004B0D23">
        <w:rPr>
          <w:rFonts w:asciiTheme="majorHAnsi" w:hAnsiTheme="majorHAnsi" w:cstheme="majorHAnsi"/>
          <w:sz w:val="24"/>
          <w:szCs w:val="24"/>
          <w:lang w:val="ru-MD"/>
        </w:rPr>
        <w:t>1</w:t>
      </w:r>
      <w:r w:rsidR="005D1599">
        <w:rPr>
          <w:rFonts w:asciiTheme="majorHAnsi" w:hAnsiTheme="majorHAnsi" w:cstheme="majorHAnsi"/>
          <w:sz w:val="24"/>
          <w:szCs w:val="24"/>
          <w:lang w:val="ru-MD"/>
        </w:rPr>
        <w:t>,</w:t>
      </w:r>
      <w:r w:rsidRPr="004B0D23">
        <w:rPr>
          <w:rFonts w:asciiTheme="majorHAnsi" w:hAnsiTheme="majorHAnsi" w:cstheme="majorHAnsi"/>
          <w:sz w:val="24"/>
          <w:szCs w:val="24"/>
          <w:lang w:val="ru-MD"/>
        </w:rPr>
        <w:t>5%</w:t>
      </w:r>
      <w:r w:rsidR="005D1599">
        <w:rPr>
          <w:rFonts w:asciiTheme="majorHAnsi" w:hAnsiTheme="majorHAnsi" w:cstheme="majorHAnsi"/>
          <w:sz w:val="24"/>
          <w:szCs w:val="24"/>
          <w:lang w:val="ru-MD"/>
        </w:rPr>
        <w:t>) являются</w:t>
      </w:r>
      <w:r w:rsidRPr="004B0D23">
        <w:rPr>
          <w:rFonts w:asciiTheme="majorHAnsi" w:hAnsiTheme="majorHAnsi" w:cstheme="majorHAnsi"/>
          <w:sz w:val="24"/>
          <w:szCs w:val="24"/>
          <w:lang w:val="ru-MD"/>
        </w:rPr>
        <w:t xml:space="preserve"> административного характера, большинство из которых допускаются ответственными работниками Управлений социальной помощи и защиты семьи в процессе </w:t>
      </w:r>
      <w:r>
        <w:rPr>
          <w:rFonts w:asciiTheme="majorHAnsi" w:hAnsiTheme="majorHAnsi" w:cstheme="majorHAnsi"/>
          <w:sz w:val="24"/>
          <w:szCs w:val="24"/>
          <w:lang w:val="ru-MD"/>
        </w:rPr>
        <w:t>назнач</w:t>
      </w:r>
      <w:r w:rsidRPr="004B0D23">
        <w:rPr>
          <w:rFonts w:asciiTheme="majorHAnsi" w:hAnsiTheme="majorHAnsi" w:cstheme="majorHAnsi"/>
          <w:sz w:val="24"/>
          <w:szCs w:val="24"/>
          <w:lang w:val="ru-MD"/>
        </w:rPr>
        <w:t>ения и выплаты СП и ПХПГ, и в меньшей мере допускаются местными публичными органами, которые их предоставили</w:t>
      </w:r>
      <w:r w:rsidR="001F56F8" w:rsidRPr="00653E85">
        <w:rPr>
          <w:rFonts w:asciiTheme="majorHAnsi" w:hAnsiTheme="majorHAnsi" w:cstheme="majorHAnsi"/>
          <w:sz w:val="24"/>
          <w:szCs w:val="24"/>
          <w:lang w:val="ro-MD"/>
        </w:rPr>
        <w:t>.</w:t>
      </w:r>
    </w:p>
    <w:p w14:paraId="5DB9B664" w14:textId="1911A6D3" w:rsidR="001F56F8" w:rsidRPr="00653E85" w:rsidRDefault="00E15346" w:rsidP="001F56F8">
      <w:pPr>
        <w:spacing w:after="0" w:line="276" w:lineRule="auto"/>
        <w:jc w:val="both"/>
        <w:rPr>
          <w:rFonts w:asciiTheme="majorHAnsi" w:hAnsiTheme="majorHAnsi" w:cstheme="majorHAnsi"/>
          <w:sz w:val="24"/>
          <w:szCs w:val="24"/>
          <w:lang w:val="ro-MD"/>
        </w:rPr>
      </w:pPr>
      <w:r w:rsidRPr="009D02F2">
        <w:rPr>
          <w:rFonts w:asciiTheme="majorHAnsi" w:hAnsiTheme="majorHAnsi" w:cstheme="majorHAnsi"/>
          <w:sz w:val="24"/>
          <w:szCs w:val="24"/>
          <w:lang w:val="ru-MD"/>
        </w:rPr>
        <w:t>В то же время, что касается возврата необоснованно полученных сумм по этим пособиям, отмечается низкий уровень их воз</w:t>
      </w:r>
      <w:r>
        <w:rPr>
          <w:rFonts w:asciiTheme="majorHAnsi" w:hAnsiTheme="majorHAnsi" w:cstheme="majorHAnsi"/>
          <w:sz w:val="24"/>
          <w:szCs w:val="24"/>
          <w:lang w:val="ru-MD"/>
        </w:rPr>
        <w:t>врата</w:t>
      </w:r>
      <w:r w:rsidR="003112F3">
        <w:rPr>
          <w:rFonts w:asciiTheme="majorHAnsi" w:hAnsiTheme="majorHAnsi" w:cstheme="majorHAnsi"/>
          <w:sz w:val="24"/>
          <w:szCs w:val="24"/>
          <w:lang w:val="ru-MD"/>
        </w:rPr>
        <w:t>, обусловленный</w:t>
      </w:r>
      <w:r w:rsidR="003112F3" w:rsidRPr="003112F3">
        <w:rPr>
          <w:rFonts w:asciiTheme="majorHAnsi" w:hAnsiTheme="majorHAnsi" w:cstheme="majorHAnsi"/>
          <w:sz w:val="24"/>
          <w:szCs w:val="24"/>
          <w:lang w:val="ru-MD"/>
        </w:rPr>
        <w:t>, в том числе, уязвим</w:t>
      </w:r>
      <w:r w:rsidR="003112F3">
        <w:rPr>
          <w:rFonts w:asciiTheme="majorHAnsi" w:hAnsiTheme="majorHAnsi" w:cstheme="majorHAnsi"/>
          <w:sz w:val="24"/>
          <w:szCs w:val="24"/>
          <w:lang w:val="ru-MD"/>
        </w:rPr>
        <w:t>остью</w:t>
      </w:r>
      <w:r w:rsidR="003112F3" w:rsidRPr="003112F3">
        <w:rPr>
          <w:rFonts w:asciiTheme="majorHAnsi" w:hAnsiTheme="majorHAnsi" w:cstheme="majorHAnsi"/>
          <w:sz w:val="24"/>
          <w:szCs w:val="24"/>
          <w:lang w:val="ru-MD"/>
        </w:rPr>
        <w:t xml:space="preserve"> </w:t>
      </w:r>
      <w:r w:rsidR="003112F3">
        <w:rPr>
          <w:rFonts w:asciiTheme="majorHAnsi" w:hAnsiTheme="majorHAnsi" w:cstheme="majorHAnsi"/>
          <w:sz w:val="24"/>
          <w:szCs w:val="24"/>
          <w:lang w:val="ru-MD"/>
        </w:rPr>
        <w:t xml:space="preserve">данной </w:t>
      </w:r>
      <w:r w:rsidR="003112F3" w:rsidRPr="003112F3">
        <w:rPr>
          <w:rFonts w:asciiTheme="majorHAnsi" w:hAnsiTheme="majorHAnsi" w:cstheme="majorHAnsi"/>
          <w:sz w:val="24"/>
          <w:szCs w:val="24"/>
          <w:lang w:val="ru-MD"/>
        </w:rPr>
        <w:t>категори</w:t>
      </w:r>
      <w:r w:rsidR="003112F3">
        <w:rPr>
          <w:rFonts w:asciiTheme="majorHAnsi" w:hAnsiTheme="majorHAnsi" w:cstheme="majorHAnsi"/>
          <w:sz w:val="24"/>
          <w:szCs w:val="24"/>
          <w:lang w:val="ru-MD"/>
        </w:rPr>
        <w:t>и</w:t>
      </w:r>
      <w:r w:rsidR="003112F3" w:rsidRPr="003112F3">
        <w:rPr>
          <w:rFonts w:asciiTheme="majorHAnsi" w:hAnsiTheme="majorHAnsi" w:cstheme="majorHAnsi"/>
          <w:sz w:val="24"/>
          <w:szCs w:val="24"/>
          <w:lang w:val="ru-MD"/>
        </w:rPr>
        <w:t xml:space="preserve"> бенефициаров</w:t>
      </w:r>
      <w:r w:rsidRPr="009D02F2">
        <w:rPr>
          <w:rFonts w:asciiTheme="majorHAnsi" w:hAnsiTheme="majorHAnsi" w:cstheme="majorHAnsi"/>
          <w:sz w:val="24"/>
          <w:szCs w:val="24"/>
          <w:lang w:val="ru-MD"/>
        </w:rPr>
        <w:t xml:space="preserve">. </w:t>
      </w:r>
      <w:r w:rsidRPr="004269AA">
        <w:rPr>
          <w:rFonts w:asciiTheme="majorHAnsi" w:hAnsiTheme="majorHAnsi" w:cstheme="majorHAnsi"/>
          <w:sz w:val="24"/>
          <w:szCs w:val="24"/>
          <w:lang w:val="ru-MD"/>
        </w:rPr>
        <w:t xml:space="preserve">Так, из общей суммы, </w:t>
      </w:r>
      <w:r>
        <w:rPr>
          <w:rFonts w:asciiTheme="majorHAnsi" w:hAnsiTheme="majorHAnsi" w:cstheme="majorHAnsi"/>
          <w:sz w:val="24"/>
          <w:szCs w:val="24"/>
          <w:lang w:val="ru-MD"/>
        </w:rPr>
        <w:t>подлежаще</w:t>
      </w:r>
      <w:r w:rsidRPr="004269AA">
        <w:rPr>
          <w:rFonts w:asciiTheme="majorHAnsi" w:hAnsiTheme="majorHAnsi" w:cstheme="majorHAnsi"/>
          <w:sz w:val="24"/>
          <w:szCs w:val="24"/>
          <w:lang w:val="ru-MD"/>
        </w:rPr>
        <w:t xml:space="preserve">й </w:t>
      </w:r>
      <w:r>
        <w:rPr>
          <w:rFonts w:asciiTheme="majorHAnsi" w:hAnsiTheme="majorHAnsi" w:cstheme="majorHAnsi"/>
          <w:sz w:val="24"/>
          <w:szCs w:val="24"/>
          <w:lang w:val="ru-MD"/>
        </w:rPr>
        <w:t>воз</w:t>
      </w:r>
      <w:r w:rsidR="003112F3">
        <w:rPr>
          <w:rFonts w:asciiTheme="majorHAnsi" w:hAnsiTheme="majorHAnsi" w:cstheme="majorHAnsi"/>
          <w:sz w:val="24"/>
          <w:szCs w:val="24"/>
          <w:lang w:val="ru-MD"/>
        </w:rPr>
        <w:t>врату</w:t>
      </w:r>
      <w:r w:rsidRPr="004269AA">
        <w:rPr>
          <w:rFonts w:asciiTheme="majorHAnsi" w:hAnsiTheme="majorHAnsi" w:cstheme="majorHAnsi"/>
          <w:sz w:val="24"/>
          <w:szCs w:val="24"/>
          <w:lang w:val="ru-MD"/>
        </w:rPr>
        <w:t xml:space="preserve"> в 202</w:t>
      </w:r>
      <w:r w:rsidR="003112F3">
        <w:rPr>
          <w:rFonts w:asciiTheme="majorHAnsi" w:hAnsiTheme="majorHAnsi" w:cstheme="majorHAnsi"/>
          <w:sz w:val="24"/>
          <w:szCs w:val="24"/>
          <w:lang w:val="ru-MD"/>
        </w:rPr>
        <w:t>2</w:t>
      </w:r>
      <w:r w:rsidRPr="004269AA">
        <w:rPr>
          <w:rFonts w:asciiTheme="majorHAnsi" w:hAnsiTheme="majorHAnsi" w:cstheme="majorHAnsi"/>
          <w:sz w:val="24"/>
          <w:szCs w:val="24"/>
          <w:lang w:val="ru-MD"/>
        </w:rPr>
        <w:t xml:space="preserve"> году, было возвращено </w:t>
      </w:r>
      <w:r w:rsidR="003112F3" w:rsidRPr="00653E85">
        <w:rPr>
          <w:rFonts w:asciiTheme="majorHAnsi" w:hAnsiTheme="majorHAnsi" w:cstheme="majorHAnsi"/>
          <w:sz w:val="24"/>
          <w:szCs w:val="24"/>
          <w:lang w:val="ro-MD"/>
        </w:rPr>
        <w:t xml:space="preserve">701,2 </w:t>
      </w:r>
      <w:r w:rsidRPr="004269AA">
        <w:rPr>
          <w:rFonts w:asciiTheme="majorHAnsi" w:hAnsiTheme="majorHAnsi" w:cstheme="majorHAnsi"/>
          <w:sz w:val="24"/>
          <w:szCs w:val="24"/>
          <w:lang w:val="ru-MD"/>
        </w:rPr>
        <w:t>тыс. леев, что составляет 2</w:t>
      </w:r>
      <w:r w:rsidR="003112F3">
        <w:rPr>
          <w:rFonts w:asciiTheme="majorHAnsi" w:hAnsiTheme="majorHAnsi" w:cstheme="majorHAnsi"/>
          <w:sz w:val="24"/>
          <w:szCs w:val="24"/>
          <w:lang w:val="ru-MD"/>
        </w:rPr>
        <w:t>8</w:t>
      </w:r>
      <w:r w:rsidRPr="004269AA">
        <w:rPr>
          <w:rFonts w:asciiTheme="majorHAnsi" w:hAnsiTheme="majorHAnsi" w:cstheme="majorHAnsi"/>
          <w:sz w:val="24"/>
          <w:szCs w:val="24"/>
          <w:lang w:val="ru-MD"/>
        </w:rPr>
        <w:t>,</w:t>
      </w:r>
      <w:r w:rsidR="003112F3">
        <w:rPr>
          <w:rFonts w:asciiTheme="majorHAnsi" w:hAnsiTheme="majorHAnsi" w:cstheme="majorHAnsi"/>
          <w:sz w:val="24"/>
          <w:szCs w:val="24"/>
          <w:lang w:val="ru-MD"/>
        </w:rPr>
        <w:t>4</w:t>
      </w:r>
      <w:r w:rsidRPr="004269AA">
        <w:rPr>
          <w:rFonts w:asciiTheme="majorHAnsi" w:hAnsiTheme="majorHAnsi" w:cstheme="majorHAnsi"/>
          <w:sz w:val="24"/>
          <w:szCs w:val="24"/>
          <w:lang w:val="ru-MD"/>
        </w:rPr>
        <w:t xml:space="preserve">%. </w:t>
      </w:r>
      <w:r>
        <w:rPr>
          <w:rFonts w:asciiTheme="majorHAnsi" w:hAnsiTheme="majorHAnsi" w:cstheme="majorHAnsi"/>
          <w:sz w:val="24"/>
          <w:szCs w:val="24"/>
          <w:lang w:val="ru-MD"/>
        </w:rPr>
        <w:t>Кроме того,</w:t>
      </w:r>
      <w:r w:rsidRPr="004269AA">
        <w:rPr>
          <w:rFonts w:asciiTheme="majorHAnsi" w:hAnsiTheme="majorHAnsi" w:cstheme="majorHAnsi"/>
          <w:sz w:val="24"/>
          <w:szCs w:val="24"/>
          <w:lang w:val="ru-MD"/>
        </w:rPr>
        <w:t xml:space="preserve"> в течение 202</w:t>
      </w:r>
      <w:r w:rsidR="003112F3">
        <w:rPr>
          <w:rFonts w:asciiTheme="majorHAnsi" w:hAnsiTheme="majorHAnsi" w:cstheme="majorHAnsi"/>
          <w:sz w:val="24"/>
          <w:szCs w:val="24"/>
          <w:lang w:val="ru-MD"/>
        </w:rPr>
        <w:t>2</w:t>
      </w:r>
      <w:r w:rsidRPr="004269AA">
        <w:rPr>
          <w:rFonts w:asciiTheme="majorHAnsi" w:hAnsiTheme="majorHAnsi" w:cstheme="majorHAnsi"/>
          <w:sz w:val="24"/>
          <w:szCs w:val="24"/>
          <w:lang w:val="ru-MD"/>
        </w:rPr>
        <w:t xml:space="preserve"> года были возвращены финансовые средства на общую сумму </w:t>
      </w:r>
      <w:r w:rsidR="003112F3" w:rsidRPr="00653E85">
        <w:rPr>
          <w:rFonts w:asciiTheme="majorHAnsi" w:hAnsiTheme="majorHAnsi" w:cstheme="majorHAnsi"/>
          <w:sz w:val="24"/>
          <w:szCs w:val="24"/>
          <w:lang w:val="ro-MD"/>
        </w:rPr>
        <w:t xml:space="preserve">5562,9 </w:t>
      </w:r>
      <w:r w:rsidRPr="004269AA">
        <w:rPr>
          <w:rFonts w:asciiTheme="majorHAnsi" w:hAnsiTheme="majorHAnsi" w:cstheme="majorHAnsi"/>
          <w:sz w:val="24"/>
          <w:szCs w:val="24"/>
          <w:lang w:val="ru-MD"/>
        </w:rPr>
        <w:t xml:space="preserve">тыс. леев в соответствии с рекомендациями, </w:t>
      </w:r>
      <w:r>
        <w:rPr>
          <w:rFonts w:asciiTheme="majorHAnsi" w:hAnsiTheme="majorHAnsi" w:cstheme="majorHAnsi"/>
          <w:sz w:val="24"/>
          <w:szCs w:val="24"/>
          <w:lang w:val="ru-MD"/>
        </w:rPr>
        <w:t>направленн</w:t>
      </w:r>
      <w:r w:rsidRPr="004269AA">
        <w:rPr>
          <w:rFonts w:asciiTheme="majorHAnsi" w:hAnsiTheme="majorHAnsi" w:cstheme="majorHAnsi"/>
          <w:sz w:val="24"/>
          <w:szCs w:val="24"/>
          <w:lang w:val="ru-MD"/>
        </w:rPr>
        <w:t>ыми в предыдущие годы (201</w:t>
      </w:r>
      <w:r w:rsidR="003112F3">
        <w:rPr>
          <w:rFonts w:asciiTheme="majorHAnsi" w:hAnsiTheme="majorHAnsi" w:cstheme="majorHAnsi"/>
          <w:sz w:val="24"/>
          <w:szCs w:val="24"/>
          <w:lang w:val="ru-MD"/>
        </w:rPr>
        <w:t>7</w:t>
      </w:r>
      <w:r w:rsidRPr="004269AA">
        <w:rPr>
          <w:rFonts w:asciiTheme="majorHAnsi" w:hAnsiTheme="majorHAnsi" w:cstheme="majorHAnsi"/>
          <w:sz w:val="24"/>
          <w:szCs w:val="24"/>
          <w:lang w:val="ru-MD"/>
        </w:rPr>
        <w:t>-202</w:t>
      </w:r>
      <w:r w:rsidR="003112F3">
        <w:rPr>
          <w:rFonts w:asciiTheme="majorHAnsi" w:hAnsiTheme="majorHAnsi" w:cstheme="majorHAnsi"/>
          <w:sz w:val="24"/>
          <w:szCs w:val="24"/>
          <w:lang w:val="ru-MD"/>
        </w:rPr>
        <w:t>1</w:t>
      </w:r>
      <w:r w:rsidRPr="004269AA">
        <w:rPr>
          <w:rFonts w:asciiTheme="majorHAnsi" w:hAnsiTheme="majorHAnsi" w:cstheme="majorHAnsi"/>
          <w:sz w:val="24"/>
          <w:szCs w:val="24"/>
          <w:lang w:val="ru-MD"/>
        </w:rPr>
        <w:t xml:space="preserve"> годы).</w:t>
      </w:r>
      <w:r>
        <w:rPr>
          <w:rFonts w:asciiTheme="majorHAnsi" w:hAnsiTheme="majorHAnsi" w:cstheme="majorHAnsi"/>
          <w:sz w:val="24"/>
          <w:szCs w:val="24"/>
          <w:lang w:val="ru-MD"/>
        </w:rPr>
        <w:t xml:space="preserve"> </w:t>
      </w:r>
      <w:r w:rsidRPr="009D02F2">
        <w:rPr>
          <w:rFonts w:asciiTheme="majorHAnsi" w:hAnsiTheme="majorHAnsi" w:cstheme="majorHAnsi"/>
          <w:sz w:val="24"/>
          <w:szCs w:val="24"/>
          <w:lang w:val="ru-MD"/>
        </w:rPr>
        <w:t xml:space="preserve">Таким образом, </w:t>
      </w:r>
      <w:r w:rsidR="003112F3">
        <w:rPr>
          <w:rFonts w:asciiTheme="majorHAnsi" w:hAnsiTheme="majorHAnsi" w:cstheme="majorHAnsi"/>
          <w:sz w:val="24"/>
          <w:szCs w:val="24"/>
          <w:lang w:val="ru-MD"/>
        </w:rPr>
        <w:t xml:space="preserve">за </w:t>
      </w:r>
      <w:r w:rsidR="003112F3" w:rsidRPr="00653E85">
        <w:rPr>
          <w:rFonts w:asciiTheme="majorHAnsi" w:hAnsiTheme="majorHAnsi" w:cstheme="majorHAnsi"/>
          <w:sz w:val="24"/>
          <w:szCs w:val="24"/>
          <w:lang w:val="ro-MD"/>
        </w:rPr>
        <w:t>2017-2022</w:t>
      </w:r>
      <w:r w:rsidRPr="009D02F2">
        <w:rPr>
          <w:rFonts w:asciiTheme="majorHAnsi" w:hAnsiTheme="majorHAnsi" w:cstheme="majorHAnsi"/>
          <w:sz w:val="24"/>
          <w:szCs w:val="24"/>
          <w:lang w:val="ru-MD"/>
        </w:rPr>
        <w:t xml:space="preserve"> год</w:t>
      </w:r>
      <w:r w:rsidR="003112F3">
        <w:rPr>
          <w:rFonts w:asciiTheme="majorHAnsi" w:hAnsiTheme="majorHAnsi" w:cstheme="majorHAnsi"/>
          <w:sz w:val="24"/>
          <w:szCs w:val="24"/>
          <w:lang w:val="ru-MD"/>
        </w:rPr>
        <w:t>ы</w:t>
      </w:r>
      <w:r w:rsidRPr="009D02F2">
        <w:rPr>
          <w:rFonts w:asciiTheme="majorHAnsi" w:hAnsiTheme="majorHAnsi" w:cstheme="majorHAnsi"/>
          <w:sz w:val="24"/>
          <w:szCs w:val="24"/>
          <w:lang w:val="ru-MD"/>
        </w:rPr>
        <w:t xml:space="preserve"> была возвращена сумма в размере </w:t>
      </w:r>
      <w:r w:rsidR="003112F3" w:rsidRPr="00653E85">
        <w:rPr>
          <w:rFonts w:asciiTheme="majorHAnsi" w:hAnsiTheme="majorHAnsi" w:cstheme="majorHAnsi"/>
          <w:sz w:val="24"/>
          <w:szCs w:val="24"/>
          <w:lang w:val="ro-MD"/>
        </w:rPr>
        <w:t>6 267,1</w:t>
      </w:r>
      <w:r w:rsidRPr="009D02F2">
        <w:rPr>
          <w:rFonts w:asciiTheme="majorHAnsi" w:hAnsiTheme="majorHAnsi" w:cstheme="majorHAnsi"/>
          <w:sz w:val="24"/>
          <w:szCs w:val="24"/>
          <w:lang w:val="ru-MD"/>
        </w:rPr>
        <w:t xml:space="preserve"> тыс. леев из общего объема </w:t>
      </w:r>
      <w:r w:rsidR="003112F3" w:rsidRPr="00653E85">
        <w:rPr>
          <w:rFonts w:asciiTheme="majorHAnsi" w:hAnsiTheme="majorHAnsi" w:cstheme="majorHAnsi"/>
          <w:sz w:val="24"/>
          <w:szCs w:val="24"/>
          <w:lang w:val="ro-MD"/>
        </w:rPr>
        <w:t>11 729,8</w:t>
      </w:r>
      <w:r w:rsidRPr="009D02F2">
        <w:rPr>
          <w:rFonts w:asciiTheme="majorHAnsi" w:hAnsiTheme="majorHAnsi" w:cstheme="majorHAnsi"/>
          <w:sz w:val="24"/>
          <w:szCs w:val="24"/>
          <w:lang w:val="ru-MD"/>
        </w:rPr>
        <w:t xml:space="preserve"> тыс. леев, </w:t>
      </w:r>
      <w:r>
        <w:rPr>
          <w:rFonts w:asciiTheme="majorHAnsi" w:hAnsiTheme="majorHAnsi" w:cstheme="majorHAnsi"/>
          <w:sz w:val="24"/>
          <w:szCs w:val="24"/>
          <w:lang w:val="ru-MD"/>
        </w:rPr>
        <w:t xml:space="preserve">подлежащих возврату </w:t>
      </w:r>
      <w:r w:rsidR="003112F3">
        <w:rPr>
          <w:rFonts w:asciiTheme="majorHAnsi" w:hAnsiTheme="majorHAnsi" w:cstheme="majorHAnsi"/>
          <w:sz w:val="24"/>
          <w:szCs w:val="24"/>
          <w:lang w:val="ru-MD"/>
        </w:rPr>
        <w:t>в</w:t>
      </w:r>
      <w:r>
        <w:rPr>
          <w:rFonts w:asciiTheme="majorHAnsi" w:hAnsiTheme="majorHAnsi" w:cstheme="majorHAnsi"/>
          <w:sz w:val="24"/>
          <w:szCs w:val="24"/>
          <w:lang w:val="ru-MD"/>
        </w:rPr>
        <w:t xml:space="preserve"> </w:t>
      </w:r>
      <w:r w:rsidRPr="004269AA">
        <w:rPr>
          <w:rFonts w:asciiTheme="majorHAnsi" w:hAnsiTheme="majorHAnsi" w:cstheme="majorHAnsi"/>
          <w:sz w:val="24"/>
          <w:szCs w:val="24"/>
          <w:lang w:val="ru-MD"/>
        </w:rPr>
        <w:t>201</w:t>
      </w:r>
      <w:r w:rsidR="003112F3">
        <w:rPr>
          <w:rFonts w:asciiTheme="majorHAnsi" w:hAnsiTheme="majorHAnsi" w:cstheme="majorHAnsi"/>
          <w:sz w:val="24"/>
          <w:szCs w:val="24"/>
          <w:lang w:val="ru-MD"/>
        </w:rPr>
        <w:t>7</w:t>
      </w:r>
      <w:r w:rsidRPr="004269AA">
        <w:rPr>
          <w:rFonts w:asciiTheme="majorHAnsi" w:hAnsiTheme="majorHAnsi" w:cstheme="majorHAnsi"/>
          <w:sz w:val="24"/>
          <w:szCs w:val="24"/>
          <w:lang w:val="ru-MD"/>
        </w:rPr>
        <w:t>-202</w:t>
      </w:r>
      <w:r w:rsidR="003112F3">
        <w:rPr>
          <w:rFonts w:asciiTheme="majorHAnsi" w:hAnsiTheme="majorHAnsi" w:cstheme="majorHAnsi"/>
          <w:sz w:val="24"/>
          <w:szCs w:val="24"/>
          <w:lang w:val="ru-MD"/>
        </w:rPr>
        <w:t>2</w:t>
      </w:r>
      <w:r w:rsidRPr="004269AA">
        <w:rPr>
          <w:rFonts w:asciiTheme="majorHAnsi" w:hAnsiTheme="majorHAnsi" w:cstheme="majorHAnsi"/>
          <w:sz w:val="24"/>
          <w:szCs w:val="24"/>
          <w:lang w:val="ru-MD"/>
        </w:rPr>
        <w:t xml:space="preserve"> год</w:t>
      </w:r>
      <w:r w:rsidR="003112F3">
        <w:rPr>
          <w:rFonts w:asciiTheme="majorHAnsi" w:hAnsiTheme="majorHAnsi" w:cstheme="majorHAnsi"/>
          <w:sz w:val="24"/>
          <w:szCs w:val="24"/>
          <w:lang w:val="ru-MD"/>
        </w:rPr>
        <w:t>ах</w:t>
      </w:r>
      <w:r>
        <w:rPr>
          <w:rFonts w:asciiTheme="majorHAnsi" w:hAnsiTheme="majorHAnsi" w:cstheme="majorHAnsi"/>
          <w:sz w:val="24"/>
          <w:szCs w:val="24"/>
          <w:lang w:val="ru-MD"/>
        </w:rPr>
        <w:t>,</w:t>
      </w:r>
      <w:r w:rsidRPr="009D02F2">
        <w:rPr>
          <w:rFonts w:asciiTheme="majorHAnsi" w:hAnsiTheme="majorHAnsi" w:cstheme="majorHAnsi"/>
          <w:sz w:val="24"/>
          <w:szCs w:val="24"/>
          <w:lang w:val="ru-MD"/>
        </w:rPr>
        <w:t xml:space="preserve"> что составляет </w:t>
      </w:r>
      <w:r w:rsidR="003112F3" w:rsidRPr="00653E85">
        <w:rPr>
          <w:rFonts w:asciiTheme="majorHAnsi" w:hAnsiTheme="majorHAnsi" w:cstheme="majorHAnsi"/>
          <w:sz w:val="24"/>
          <w:szCs w:val="24"/>
          <w:lang w:val="ro-MD"/>
        </w:rPr>
        <w:t>53,4</w:t>
      </w:r>
      <w:r w:rsidRPr="009D02F2">
        <w:rPr>
          <w:rFonts w:asciiTheme="majorHAnsi" w:hAnsiTheme="majorHAnsi" w:cstheme="majorHAnsi"/>
          <w:sz w:val="24"/>
          <w:szCs w:val="24"/>
          <w:lang w:val="ru-MD"/>
        </w:rPr>
        <w:t>%, ситуация представлена в таблице ниже</w:t>
      </w:r>
      <w:r w:rsidR="001F56F8" w:rsidRPr="00653E85">
        <w:rPr>
          <w:rFonts w:asciiTheme="majorHAnsi" w:hAnsiTheme="majorHAnsi" w:cstheme="majorHAnsi"/>
          <w:sz w:val="24"/>
          <w:szCs w:val="24"/>
          <w:lang w:val="ro-MD"/>
        </w:rPr>
        <w:t>.</w:t>
      </w:r>
      <w:r w:rsidR="001F56F8" w:rsidRPr="00653E85">
        <w:rPr>
          <w:rFonts w:asciiTheme="majorHAnsi" w:hAnsiTheme="majorHAnsi" w:cstheme="majorHAnsi"/>
          <w:sz w:val="24"/>
          <w:szCs w:val="24"/>
          <w:lang w:val="ro-MD"/>
        </w:rPr>
        <w:tab/>
      </w:r>
      <w:r w:rsidR="001F56F8" w:rsidRPr="00653E85">
        <w:rPr>
          <w:rFonts w:asciiTheme="majorHAnsi" w:hAnsiTheme="majorHAnsi" w:cstheme="majorHAnsi"/>
          <w:sz w:val="24"/>
          <w:szCs w:val="24"/>
          <w:lang w:val="ro-MD"/>
        </w:rPr>
        <w:tab/>
      </w:r>
    </w:p>
    <w:p w14:paraId="3897112A" w14:textId="5D8D6F26" w:rsidR="001F56F8" w:rsidRPr="00D40DBD" w:rsidRDefault="00336C93" w:rsidP="001F56F8">
      <w:pPr>
        <w:spacing w:after="0" w:line="276" w:lineRule="auto"/>
        <w:jc w:val="right"/>
        <w:rPr>
          <w:rFonts w:asciiTheme="majorHAnsi" w:hAnsiTheme="majorHAnsi" w:cstheme="majorHAnsi"/>
          <w:b/>
          <w:sz w:val="24"/>
          <w:szCs w:val="24"/>
          <w:lang w:val="ru-MD"/>
        </w:rPr>
      </w:pPr>
      <w:r w:rsidRPr="00D40DBD">
        <w:rPr>
          <w:rFonts w:asciiTheme="majorHAnsi" w:hAnsiTheme="majorHAnsi" w:cstheme="majorHAnsi"/>
          <w:b/>
          <w:sz w:val="24"/>
          <w:szCs w:val="24"/>
          <w:lang w:val="ru-MD"/>
        </w:rPr>
        <w:t>Таблица №</w:t>
      </w:r>
      <w:r w:rsidR="008D1DF2" w:rsidRPr="00D40DBD">
        <w:rPr>
          <w:rFonts w:asciiTheme="majorHAnsi" w:hAnsiTheme="majorHAnsi" w:cstheme="majorHAnsi"/>
          <w:b/>
          <w:sz w:val="24"/>
          <w:szCs w:val="24"/>
          <w:lang w:val="ru-MD"/>
        </w:rPr>
        <w:t>12</w:t>
      </w:r>
    </w:p>
    <w:p w14:paraId="167A553F" w14:textId="007178DA" w:rsidR="001F56F8" w:rsidRPr="00D40DBD" w:rsidRDefault="00E15346" w:rsidP="001F56F8">
      <w:pPr>
        <w:spacing w:after="0" w:line="276" w:lineRule="auto"/>
        <w:jc w:val="center"/>
        <w:rPr>
          <w:rFonts w:asciiTheme="majorHAnsi" w:hAnsiTheme="majorHAnsi" w:cstheme="majorHAnsi"/>
          <w:b/>
          <w:sz w:val="24"/>
          <w:szCs w:val="24"/>
          <w:lang w:val="ru-MD"/>
        </w:rPr>
      </w:pPr>
      <w:r w:rsidRPr="00D40DBD">
        <w:rPr>
          <w:rFonts w:asciiTheme="majorHAnsi" w:hAnsiTheme="majorHAnsi" w:cstheme="majorHAnsi"/>
          <w:b/>
          <w:sz w:val="24"/>
          <w:szCs w:val="24"/>
          <w:lang w:val="ru-MD"/>
        </w:rPr>
        <w:t>Анализ возвращенных в 2022 году сумм социального пособия и пособия на холодный период года, которые были незаконно выплачены в период 2017-2022 годов</w:t>
      </w:r>
      <w:r w:rsidR="00A05222" w:rsidRPr="00D40DBD">
        <w:rPr>
          <w:rFonts w:asciiTheme="majorHAnsi" w:hAnsiTheme="majorHAnsi" w:cstheme="majorHAnsi"/>
          <w:b/>
          <w:sz w:val="24"/>
          <w:szCs w:val="24"/>
          <w:lang w:val="ru-MD"/>
        </w:rPr>
        <w:t xml:space="preserve"> </w:t>
      </w:r>
      <w:r w:rsidR="001F56F8" w:rsidRPr="00D40DBD">
        <w:rPr>
          <w:rFonts w:asciiTheme="majorHAnsi" w:hAnsiTheme="majorHAnsi" w:cstheme="majorHAnsi"/>
          <w:b/>
          <w:sz w:val="24"/>
          <w:szCs w:val="24"/>
          <w:lang w:val="ru-MD"/>
        </w:rPr>
        <w:t xml:space="preserve"> </w:t>
      </w:r>
    </w:p>
    <w:tbl>
      <w:tblPr>
        <w:tblW w:w="9653" w:type="dxa"/>
        <w:tblInd w:w="-5" w:type="dxa"/>
        <w:tblLook w:val="04A0" w:firstRow="1" w:lastRow="0" w:firstColumn="1" w:lastColumn="0" w:noHBand="0" w:noVBand="1"/>
      </w:tblPr>
      <w:tblGrid>
        <w:gridCol w:w="1853"/>
        <w:gridCol w:w="2268"/>
        <w:gridCol w:w="1798"/>
        <w:gridCol w:w="2003"/>
        <w:gridCol w:w="2019"/>
      </w:tblGrid>
      <w:tr w:rsidR="001F56F8" w:rsidRPr="00E15346" w14:paraId="082A3375" w14:textId="77777777" w:rsidTr="00275CED">
        <w:trPr>
          <w:trHeight w:val="774"/>
        </w:trPr>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83AA4" w14:textId="708891F2" w:rsidR="001F56F8" w:rsidRPr="00E15346" w:rsidRDefault="00E15346" w:rsidP="00275CED">
            <w:pPr>
              <w:spacing w:after="0" w:line="240" w:lineRule="auto"/>
              <w:jc w:val="center"/>
              <w:rPr>
                <w:rFonts w:ascii="Calibri Light" w:eastAsia="Times New Roman" w:hAnsi="Calibri Light" w:cs="Calibri Light"/>
                <w:b/>
                <w:bCs/>
                <w:color w:val="000000"/>
                <w:sz w:val="24"/>
                <w:szCs w:val="24"/>
                <w:lang w:val="ru-RU"/>
              </w:rPr>
            </w:pPr>
            <w:r>
              <w:rPr>
                <w:rFonts w:ascii="Calibri Light" w:eastAsia="Times New Roman" w:hAnsi="Calibri Light" w:cs="Calibri Light"/>
                <w:b/>
                <w:bCs/>
                <w:color w:val="000000"/>
                <w:sz w:val="24"/>
                <w:szCs w:val="24"/>
                <w:lang w:val="ru-RU"/>
              </w:rPr>
              <w:t>Год</w:t>
            </w:r>
          </w:p>
          <w:p w14:paraId="6E251552" w14:textId="5C719183" w:rsidR="00275CED" w:rsidRPr="00653E85" w:rsidRDefault="00275CED" w:rsidP="00275CED">
            <w:pPr>
              <w:spacing w:after="0" w:line="240" w:lineRule="auto"/>
              <w:jc w:val="center"/>
              <w:rPr>
                <w:rFonts w:ascii="Calibri Light" w:eastAsia="Times New Roman" w:hAnsi="Calibri Light" w:cs="Calibri Light"/>
                <w:b/>
                <w:bCs/>
                <w:color w:val="000000"/>
                <w:sz w:val="24"/>
                <w:szCs w:val="24"/>
                <w:lang w:val="ro-MD"/>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FAFD6EA" w14:textId="67FFE4F5" w:rsidR="001F56F8" w:rsidRPr="00E15346" w:rsidRDefault="00E15346" w:rsidP="00E15346">
            <w:pPr>
              <w:spacing w:after="0" w:line="240" w:lineRule="auto"/>
              <w:jc w:val="center"/>
              <w:rPr>
                <w:rFonts w:ascii="Calibri Light" w:eastAsia="Times New Roman" w:hAnsi="Calibri Light" w:cs="Calibri Light"/>
                <w:b/>
                <w:bCs/>
                <w:color w:val="000000"/>
                <w:sz w:val="24"/>
                <w:szCs w:val="24"/>
                <w:lang w:val="ru-RU"/>
              </w:rPr>
            </w:pPr>
            <w:r w:rsidRPr="00E15346">
              <w:rPr>
                <w:rFonts w:ascii="Calibri Light" w:eastAsia="Times New Roman" w:hAnsi="Calibri Light" w:cs="Calibri Light"/>
                <w:b/>
                <w:bCs/>
                <w:color w:val="000000"/>
                <w:sz w:val="24"/>
                <w:szCs w:val="24"/>
                <w:lang w:val="ru-MD"/>
              </w:rPr>
              <w:t>Сумма, предложенная к возврату</w:t>
            </w:r>
            <w:r w:rsidR="00A05222" w:rsidRPr="00653E85">
              <w:rPr>
                <w:rFonts w:ascii="Calibri Light" w:eastAsia="Times New Roman" w:hAnsi="Calibri Light" w:cs="Calibri Light"/>
                <w:b/>
                <w:bCs/>
                <w:color w:val="000000"/>
                <w:sz w:val="24"/>
                <w:szCs w:val="24"/>
                <w:lang w:val="ro-MD"/>
              </w:rPr>
              <w:t xml:space="preserve">, </w:t>
            </w:r>
            <w:r>
              <w:rPr>
                <w:rFonts w:ascii="Calibri Light" w:eastAsia="Times New Roman" w:hAnsi="Calibri Light" w:cs="Calibri Light"/>
                <w:b/>
                <w:bCs/>
                <w:color w:val="000000"/>
                <w:sz w:val="24"/>
                <w:szCs w:val="24"/>
                <w:lang w:val="ru-RU"/>
              </w:rPr>
              <w:t>тыс. леев</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37D486AE" w14:textId="0D1F9651" w:rsidR="001F56F8" w:rsidRPr="00653E85" w:rsidRDefault="00E15346" w:rsidP="00275CED">
            <w:pPr>
              <w:spacing w:after="0" w:line="240" w:lineRule="auto"/>
              <w:jc w:val="center"/>
              <w:rPr>
                <w:rFonts w:ascii="Calibri Light" w:eastAsia="Times New Roman" w:hAnsi="Calibri Light" w:cs="Calibri Light"/>
                <w:b/>
                <w:bCs/>
                <w:color w:val="000000"/>
                <w:sz w:val="24"/>
                <w:szCs w:val="24"/>
                <w:lang w:val="ro-MD"/>
              </w:rPr>
            </w:pPr>
            <w:r>
              <w:rPr>
                <w:rFonts w:ascii="Calibri Light" w:eastAsia="Times New Roman" w:hAnsi="Calibri Light" w:cs="Calibri Light"/>
                <w:b/>
                <w:bCs/>
                <w:color w:val="000000"/>
                <w:sz w:val="24"/>
                <w:szCs w:val="24"/>
                <w:lang w:val="ru-RU"/>
              </w:rPr>
              <w:t>Всего возвращено</w:t>
            </w:r>
            <w:r w:rsidR="00A05222" w:rsidRPr="00653E85">
              <w:rPr>
                <w:rFonts w:ascii="Calibri Light" w:eastAsia="Times New Roman" w:hAnsi="Calibri Light" w:cs="Calibri Light"/>
                <w:b/>
                <w:bCs/>
                <w:color w:val="000000"/>
                <w:sz w:val="24"/>
                <w:szCs w:val="24"/>
                <w:lang w:val="ro-MD"/>
              </w:rPr>
              <w:t xml:space="preserve">, </w:t>
            </w:r>
            <w:r>
              <w:rPr>
                <w:rFonts w:ascii="Calibri Light" w:eastAsia="Times New Roman" w:hAnsi="Calibri Light" w:cs="Calibri Light"/>
                <w:b/>
                <w:bCs/>
                <w:color w:val="000000"/>
                <w:sz w:val="24"/>
                <w:szCs w:val="24"/>
                <w:lang w:val="ru-RU"/>
              </w:rPr>
              <w:t>тыс. леев</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14:paraId="56C33160" w14:textId="6AF99B74" w:rsidR="004301C6" w:rsidRPr="00653E85" w:rsidRDefault="00E15346" w:rsidP="00275CED">
            <w:pPr>
              <w:spacing w:after="0" w:line="240" w:lineRule="auto"/>
              <w:jc w:val="center"/>
              <w:rPr>
                <w:rFonts w:ascii="Calibri Light" w:eastAsia="Times New Roman" w:hAnsi="Calibri Light" w:cs="Calibri Light"/>
                <w:b/>
                <w:bCs/>
                <w:color w:val="000000"/>
                <w:sz w:val="24"/>
                <w:szCs w:val="24"/>
                <w:lang w:val="ro-MD"/>
              </w:rPr>
            </w:pPr>
            <w:r>
              <w:rPr>
                <w:rFonts w:ascii="Calibri Light" w:eastAsia="Times New Roman" w:hAnsi="Calibri Light" w:cs="Calibri Light"/>
                <w:b/>
                <w:bCs/>
                <w:color w:val="000000"/>
                <w:sz w:val="24"/>
                <w:szCs w:val="24"/>
                <w:lang w:val="ru-RU"/>
              </w:rPr>
              <w:t>Невозвращенный остаток</w:t>
            </w:r>
            <w:r w:rsidR="00A05222" w:rsidRPr="00653E85">
              <w:rPr>
                <w:rFonts w:ascii="Calibri Light" w:eastAsia="Times New Roman" w:hAnsi="Calibri Light" w:cs="Calibri Light"/>
                <w:b/>
                <w:bCs/>
                <w:color w:val="000000"/>
                <w:sz w:val="24"/>
                <w:szCs w:val="24"/>
                <w:lang w:val="ro-MD"/>
              </w:rPr>
              <w:t xml:space="preserve">, </w:t>
            </w:r>
          </w:p>
          <w:p w14:paraId="6F3F9979" w14:textId="13121BE4" w:rsidR="001F56F8" w:rsidRPr="00653E85" w:rsidRDefault="00D40DBD" w:rsidP="00275CED">
            <w:pPr>
              <w:spacing w:after="0" w:line="240" w:lineRule="auto"/>
              <w:jc w:val="center"/>
              <w:rPr>
                <w:rFonts w:ascii="Calibri Light" w:eastAsia="Times New Roman" w:hAnsi="Calibri Light" w:cs="Calibri Light"/>
                <w:b/>
                <w:bCs/>
                <w:color w:val="000000"/>
                <w:sz w:val="24"/>
                <w:szCs w:val="24"/>
                <w:lang w:val="ro-MD"/>
              </w:rPr>
            </w:pPr>
            <w:r>
              <w:rPr>
                <w:rFonts w:ascii="Calibri Light" w:eastAsia="Times New Roman" w:hAnsi="Calibri Light" w:cs="Calibri Light"/>
                <w:b/>
                <w:bCs/>
                <w:color w:val="000000"/>
                <w:sz w:val="24"/>
                <w:szCs w:val="24"/>
                <w:lang w:val="ru-RU"/>
              </w:rPr>
              <w:t>тыс. леев</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14:paraId="75EFB61B" w14:textId="592ED901" w:rsidR="001F56F8" w:rsidRPr="00653E85" w:rsidRDefault="00E15346" w:rsidP="00275CED">
            <w:pPr>
              <w:spacing w:after="0" w:line="240" w:lineRule="auto"/>
              <w:jc w:val="center"/>
              <w:rPr>
                <w:rFonts w:ascii="Calibri Light" w:eastAsia="Times New Roman" w:hAnsi="Calibri Light" w:cs="Calibri Light"/>
                <w:b/>
                <w:bCs/>
                <w:color w:val="000000"/>
                <w:sz w:val="24"/>
                <w:szCs w:val="24"/>
                <w:lang w:val="ro-MD"/>
              </w:rPr>
            </w:pPr>
            <w:r>
              <w:rPr>
                <w:rFonts w:ascii="Calibri Light" w:eastAsia="Times New Roman" w:hAnsi="Calibri Light" w:cs="Calibri Light"/>
                <w:b/>
                <w:bCs/>
                <w:color w:val="000000"/>
                <w:sz w:val="24"/>
                <w:szCs w:val="24"/>
                <w:lang w:val="ru-RU"/>
              </w:rPr>
              <w:t>Удельный вес возврата</w:t>
            </w:r>
            <w:r w:rsidR="00A05222" w:rsidRPr="00653E85">
              <w:rPr>
                <w:rFonts w:ascii="Calibri Light" w:eastAsia="Times New Roman" w:hAnsi="Calibri Light" w:cs="Calibri Light"/>
                <w:b/>
                <w:bCs/>
                <w:color w:val="000000"/>
                <w:sz w:val="24"/>
                <w:szCs w:val="24"/>
                <w:lang w:val="ro-MD"/>
              </w:rPr>
              <w:t>, %</w:t>
            </w:r>
          </w:p>
        </w:tc>
      </w:tr>
      <w:tr w:rsidR="001F56F8" w:rsidRPr="00E15346" w14:paraId="4E3F68E8" w14:textId="77777777" w:rsidTr="00E03E91">
        <w:trPr>
          <w:trHeight w:val="258"/>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5604B68A" w14:textId="77777777" w:rsidR="001F56F8" w:rsidRPr="00653E85" w:rsidRDefault="001F56F8" w:rsidP="00275CED">
            <w:pPr>
              <w:spacing w:after="0" w:line="240" w:lineRule="auto"/>
              <w:jc w:val="center"/>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2017</w:t>
            </w:r>
          </w:p>
        </w:tc>
        <w:tc>
          <w:tcPr>
            <w:tcW w:w="2268" w:type="dxa"/>
            <w:tcBorders>
              <w:top w:val="nil"/>
              <w:left w:val="nil"/>
              <w:bottom w:val="single" w:sz="4" w:space="0" w:color="auto"/>
              <w:right w:val="single" w:sz="4" w:space="0" w:color="auto"/>
            </w:tcBorders>
            <w:shd w:val="clear" w:color="auto" w:fill="auto"/>
            <w:noWrap/>
            <w:vAlign w:val="bottom"/>
            <w:hideMark/>
          </w:tcPr>
          <w:p w14:paraId="0DDBBE54" w14:textId="671E5634"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1</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448,7</w:t>
            </w:r>
          </w:p>
        </w:tc>
        <w:tc>
          <w:tcPr>
            <w:tcW w:w="1798" w:type="dxa"/>
            <w:tcBorders>
              <w:top w:val="nil"/>
              <w:left w:val="nil"/>
              <w:bottom w:val="single" w:sz="4" w:space="0" w:color="auto"/>
              <w:right w:val="single" w:sz="4" w:space="0" w:color="auto"/>
            </w:tcBorders>
            <w:shd w:val="clear" w:color="auto" w:fill="auto"/>
            <w:noWrap/>
            <w:vAlign w:val="bottom"/>
            <w:hideMark/>
          </w:tcPr>
          <w:p w14:paraId="42214919"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954,1</w:t>
            </w:r>
          </w:p>
        </w:tc>
        <w:tc>
          <w:tcPr>
            <w:tcW w:w="1715" w:type="dxa"/>
            <w:tcBorders>
              <w:top w:val="nil"/>
              <w:left w:val="nil"/>
              <w:bottom w:val="single" w:sz="4" w:space="0" w:color="auto"/>
              <w:right w:val="single" w:sz="4" w:space="0" w:color="auto"/>
            </w:tcBorders>
            <w:shd w:val="clear" w:color="auto" w:fill="auto"/>
            <w:noWrap/>
            <w:vAlign w:val="bottom"/>
            <w:hideMark/>
          </w:tcPr>
          <w:p w14:paraId="11FE20D9"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494,6</w:t>
            </w:r>
          </w:p>
        </w:tc>
        <w:tc>
          <w:tcPr>
            <w:tcW w:w="2019" w:type="dxa"/>
            <w:tcBorders>
              <w:top w:val="nil"/>
              <w:left w:val="nil"/>
              <w:bottom w:val="single" w:sz="4" w:space="0" w:color="auto"/>
              <w:right w:val="single" w:sz="4" w:space="0" w:color="auto"/>
            </w:tcBorders>
            <w:shd w:val="clear" w:color="auto" w:fill="auto"/>
            <w:noWrap/>
            <w:vAlign w:val="bottom"/>
            <w:hideMark/>
          </w:tcPr>
          <w:p w14:paraId="5D3ED35C"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65,9%</w:t>
            </w:r>
          </w:p>
        </w:tc>
      </w:tr>
      <w:tr w:rsidR="001F56F8" w:rsidRPr="00B7675F" w14:paraId="5FEC181B" w14:textId="77777777" w:rsidTr="00E03E91">
        <w:trPr>
          <w:trHeight w:val="258"/>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71A8691D" w14:textId="77777777" w:rsidR="001F56F8" w:rsidRPr="00653E85" w:rsidRDefault="001F56F8" w:rsidP="00275CED">
            <w:pPr>
              <w:spacing w:after="0" w:line="240" w:lineRule="auto"/>
              <w:jc w:val="center"/>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2018</w:t>
            </w:r>
          </w:p>
        </w:tc>
        <w:tc>
          <w:tcPr>
            <w:tcW w:w="2268" w:type="dxa"/>
            <w:tcBorders>
              <w:top w:val="nil"/>
              <w:left w:val="nil"/>
              <w:bottom w:val="single" w:sz="4" w:space="0" w:color="auto"/>
              <w:right w:val="single" w:sz="4" w:space="0" w:color="auto"/>
            </w:tcBorders>
            <w:shd w:val="clear" w:color="auto" w:fill="auto"/>
            <w:noWrap/>
            <w:vAlign w:val="bottom"/>
            <w:hideMark/>
          </w:tcPr>
          <w:p w14:paraId="64D57FC2" w14:textId="11DE04AD"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1</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239,8</w:t>
            </w:r>
          </w:p>
        </w:tc>
        <w:tc>
          <w:tcPr>
            <w:tcW w:w="1798" w:type="dxa"/>
            <w:tcBorders>
              <w:top w:val="nil"/>
              <w:left w:val="nil"/>
              <w:bottom w:val="single" w:sz="4" w:space="0" w:color="auto"/>
              <w:right w:val="single" w:sz="4" w:space="0" w:color="auto"/>
            </w:tcBorders>
            <w:shd w:val="clear" w:color="auto" w:fill="auto"/>
            <w:noWrap/>
            <w:vAlign w:val="bottom"/>
            <w:hideMark/>
          </w:tcPr>
          <w:p w14:paraId="6D9329FD"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837,9</w:t>
            </w:r>
          </w:p>
        </w:tc>
        <w:tc>
          <w:tcPr>
            <w:tcW w:w="1715" w:type="dxa"/>
            <w:tcBorders>
              <w:top w:val="nil"/>
              <w:left w:val="nil"/>
              <w:bottom w:val="single" w:sz="4" w:space="0" w:color="auto"/>
              <w:right w:val="single" w:sz="4" w:space="0" w:color="auto"/>
            </w:tcBorders>
            <w:shd w:val="clear" w:color="auto" w:fill="auto"/>
            <w:noWrap/>
            <w:vAlign w:val="bottom"/>
            <w:hideMark/>
          </w:tcPr>
          <w:p w14:paraId="41BEBA0F"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401,9</w:t>
            </w:r>
          </w:p>
        </w:tc>
        <w:tc>
          <w:tcPr>
            <w:tcW w:w="2019" w:type="dxa"/>
            <w:tcBorders>
              <w:top w:val="nil"/>
              <w:left w:val="nil"/>
              <w:bottom w:val="single" w:sz="4" w:space="0" w:color="auto"/>
              <w:right w:val="single" w:sz="4" w:space="0" w:color="auto"/>
            </w:tcBorders>
            <w:shd w:val="clear" w:color="auto" w:fill="auto"/>
            <w:noWrap/>
            <w:vAlign w:val="bottom"/>
            <w:hideMark/>
          </w:tcPr>
          <w:p w14:paraId="4CF4A1B2"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67,6%</w:t>
            </w:r>
          </w:p>
        </w:tc>
      </w:tr>
      <w:tr w:rsidR="001F56F8" w:rsidRPr="00B7675F" w14:paraId="104E0436" w14:textId="77777777" w:rsidTr="00E03E91">
        <w:trPr>
          <w:trHeight w:val="258"/>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7F65B9F8" w14:textId="77777777" w:rsidR="001F56F8" w:rsidRPr="00653E85" w:rsidRDefault="001F56F8" w:rsidP="00275CED">
            <w:pPr>
              <w:spacing w:after="0" w:line="240" w:lineRule="auto"/>
              <w:jc w:val="center"/>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2019</w:t>
            </w:r>
          </w:p>
        </w:tc>
        <w:tc>
          <w:tcPr>
            <w:tcW w:w="2268" w:type="dxa"/>
            <w:tcBorders>
              <w:top w:val="nil"/>
              <w:left w:val="nil"/>
              <w:bottom w:val="single" w:sz="4" w:space="0" w:color="auto"/>
              <w:right w:val="single" w:sz="4" w:space="0" w:color="auto"/>
            </w:tcBorders>
            <w:shd w:val="clear" w:color="auto" w:fill="auto"/>
            <w:noWrap/>
            <w:vAlign w:val="bottom"/>
            <w:hideMark/>
          </w:tcPr>
          <w:p w14:paraId="7C9C4A17" w14:textId="0D661706"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1</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986,0</w:t>
            </w:r>
          </w:p>
        </w:tc>
        <w:tc>
          <w:tcPr>
            <w:tcW w:w="1798" w:type="dxa"/>
            <w:tcBorders>
              <w:top w:val="nil"/>
              <w:left w:val="nil"/>
              <w:bottom w:val="single" w:sz="4" w:space="0" w:color="auto"/>
              <w:right w:val="single" w:sz="4" w:space="0" w:color="auto"/>
            </w:tcBorders>
            <w:shd w:val="clear" w:color="auto" w:fill="auto"/>
            <w:noWrap/>
            <w:vAlign w:val="bottom"/>
            <w:hideMark/>
          </w:tcPr>
          <w:p w14:paraId="12D33CE2" w14:textId="4D95397B"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1</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269,8</w:t>
            </w:r>
          </w:p>
        </w:tc>
        <w:tc>
          <w:tcPr>
            <w:tcW w:w="1715" w:type="dxa"/>
            <w:tcBorders>
              <w:top w:val="nil"/>
              <w:left w:val="nil"/>
              <w:bottom w:val="single" w:sz="4" w:space="0" w:color="auto"/>
              <w:right w:val="single" w:sz="4" w:space="0" w:color="auto"/>
            </w:tcBorders>
            <w:shd w:val="clear" w:color="auto" w:fill="auto"/>
            <w:noWrap/>
            <w:vAlign w:val="bottom"/>
            <w:hideMark/>
          </w:tcPr>
          <w:p w14:paraId="4CD36C90"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716,2</w:t>
            </w:r>
          </w:p>
        </w:tc>
        <w:tc>
          <w:tcPr>
            <w:tcW w:w="2019" w:type="dxa"/>
            <w:tcBorders>
              <w:top w:val="nil"/>
              <w:left w:val="nil"/>
              <w:bottom w:val="single" w:sz="4" w:space="0" w:color="auto"/>
              <w:right w:val="single" w:sz="4" w:space="0" w:color="auto"/>
            </w:tcBorders>
            <w:shd w:val="clear" w:color="auto" w:fill="auto"/>
            <w:noWrap/>
            <w:vAlign w:val="bottom"/>
            <w:hideMark/>
          </w:tcPr>
          <w:p w14:paraId="65F8AE92"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63,9%</w:t>
            </w:r>
          </w:p>
        </w:tc>
      </w:tr>
      <w:tr w:rsidR="001F56F8" w:rsidRPr="00B7675F" w14:paraId="6F84B9B8" w14:textId="77777777" w:rsidTr="00E03E91">
        <w:trPr>
          <w:trHeight w:val="258"/>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1C04580C" w14:textId="77777777" w:rsidR="001F56F8" w:rsidRPr="00653E85" w:rsidRDefault="001F56F8" w:rsidP="00275CED">
            <w:pPr>
              <w:spacing w:after="0" w:line="240" w:lineRule="auto"/>
              <w:jc w:val="center"/>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2020</w:t>
            </w:r>
          </w:p>
        </w:tc>
        <w:tc>
          <w:tcPr>
            <w:tcW w:w="2268" w:type="dxa"/>
            <w:tcBorders>
              <w:top w:val="nil"/>
              <w:left w:val="nil"/>
              <w:bottom w:val="single" w:sz="4" w:space="0" w:color="auto"/>
              <w:right w:val="single" w:sz="4" w:space="0" w:color="auto"/>
            </w:tcBorders>
            <w:shd w:val="clear" w:color="auto" w:fill="auto"/>
            <w:noWrap/>
            <w:vAlign w:val="bottom"/>
            <w:hideMark/>
          </w:tcPr>
          <w:p w14:paraId="6DB28253" w14:textId="208E012C"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199,6</w:t>
            </w:r>
          </w:p>
        </w:tc>
        <w:tc>
          <w:tcPr>
            <w:tcW w:w="1798" w:type="dxa"/>
            <w:tcBorders>
              <w:top w:val="nil"/>
              <w:left w:val="nil"/>
              <w:bottom w:val="single" w:sz="4" w:space="0" w:color="auto"/>
              <w:right w:val="single" w:sz="4" w:space="0" w:color="auto"/>
            </w:tcBorders>
            <w:shd w:val="clear" w:color="auto" w:fill="auto"/>
            <w:noWrap/>
            <w:vAlign w:val="bottom"/>
            <w:hideMark/>
          </w:tcPr>
          <w:p w14:paraId="743E8C4E" w14:textId="70CAF235"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1</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411,2</w:t>
            </w:r>
          </w:p>
        </w:tc>
        <w:tc>
          <w:tcPr>
            <w:tcW w:w="1715" w:type="dxa"/>
            <w:tcBorders>
              <w:top w:val="nil"/>
              <w:left w:val="nil"/>
              <w:bottom w:val="single" w:sz="4" w:space="0" w:color="auto"/>
              <w:right w:val="single" w:sz="4" w:space="0" w:color="auto"/>
            </w:tcBorders>
            <w:shd w:val="clear" w:color="auto" w:fill="auto"/>
            <w:noWrap/>
            <w:vAlign w:val="bottom"/>
            <w:hideMark/>
          </w:tcPr>
          <w:p w14:paraId="1E998ABE"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788,4</w:t>
            </w:r>
          </w:p>
        </w:tc>
        <w:tc>
          <w:tcPr>
            <w:tcW w:w="2019" w:type="dxa"/>
            <w:tcBorders>
              <w:top w:val="nil"/>
              <w:left w:val="nil"/>
              <w:bottom w:val="single" w:sz="4" w:space="0" w:color="auto"/>
              <w:right w:val="single" w:sz="4" w:space="0" w:color="auto"/>
            </w:tcBorders>
            <w:shd w:val="clear" w:color="auto" w:fill="auto"/>
            <w:noWrap/>
            <w:vAlign w:val="bottom"/>
            <w:hideMark/>
          </w:tcPr>
          <w:p w14:paraId="036C5EFD"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64,2%</w:t>
            </w:r>
          </w:p>
        </w:tc>
      </w:tr>
      <w:tr w:rsidR="001F56F8" w:rsidRPr="00B7675F" w14:paraId="5625905B" w14:textId="77777777" w:rsidTr="00E03E91">
        <w:trPr>
          <w:trHeight w:val="258"/>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51D5AF52" w14:textId="77777777" w:rsidR="001F56F8" w:rsidRPr="00653E85" w:rsidRDefault="001F56F8" w:rsidP="00275CED">
            <w:pPr>
              <w:spacing w:after="0" w:line="240" w:lineRule="auto"/>
              <w:jc w:val="center"/>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2021</w:t>
            </w:r>
          </w:p>
        </w:tc>
        <w:tc>
          <w:tcPr>
            <w:tcW w:w="2268" w:type="dxa"/>
            <w:tcBorders>
              <w:top w:val="nil"/>
              <w:left w:val="nil"/>
              <w:bottom w:val="single" w:sz="4" w:space="0" w:color="auto"/>
              <w:right w:val="single" w:sz="4" w:space="0" w:color="auto"/>
            </w:tcBorders>
            <w:shd w:val="clear" w:color="auto" w:fill="auto"/>
            <w:noWrap/>
            <w:vAlign w:val="bottom"/>
            <w:hideMark/>
          </w:tcPr>
          <w:p w14:paraId="0DB3B0C9" w14:textId="02CFAD1C"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387,7</w:t>
            </w:r>
          </w:p>
        </w:tc>
        <w:tc>
          <w:tcPr>
            <w:tcW w:w="1798" w:type="dxa"/>
            <w:tcBorders>
              <w:top w:val="nil"/>
              <w:left w:val="nil"/>
              <w:bottom w:val="single" w:sz="4" w:space="0" w:color="auto"/>
              <w:right w:val="single" w:sz="4" w:space="0" w:color="auto"/>
            </w:tcBorders>
            <w:shd w:val="clear" w:color="auto" w:fill="auto"/>
            <w:noWrap/>
            <w:vAlign w:val="bottom"/>
            <w:hideMark/>
          </w:tcPr>
          <w:p w14:paraId="4191DA3F" w14:textId="34BAC2E1"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1</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092,9</w:t>
            </w:r>
          </w:p>
        </w:tc>
        <w:tc>
          <w:tcPr>
            <w:tcW w:w="1715" w:type="dxa"/>
            <w:tcBorders>
              <w:top w:val="nil"/>
              <w:left w:val="nil"/>
              <w:bottom w:val="single" w:sz="4" w:space="0" w:color="auto"/>
              <w:right w:val="single" w:sz="4" w:space="0" w:color="auto"/>
            </w:tcBorders>
            <w:shd w:val="clear" w:color="auto" w:fill="auto"/>
            <w:noWrap/>
            <w:vAlign w:val="bottom"/>
            <w:hideMark/>
          </w:tcPr>
          <w:p w14:paraId="136E8AD1" w14:textId="6BA67078"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1</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294,8</w:t>
            </w:r>
          </w:p>
        </w:tc>
        <w:tc>
          <w:tcPr>
            <w:tcW w:w="2019" w:type="dxa"/>
            <w:tcBorders>
              <w:top w:val="nil"/>
              <w:left w:val="nil"/>
              <w:bottom w:val="single" w:sz="4" w:space="0" w:color="auto"/>
              <w:right w:val="single" w:sz="4" w:space="0" w:color="auto"/>
            </w:tcBorders>
            <w:shd w:val="clear" w:color="auto" w:fill="auto"/>
            <w:noWrap/>
            <w:vAlign w:val="bottom"/>
            <w:hideMark/>
          </w:tcPr>
          <w:p w14:paraId="12D024EF"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45,8%</w:t>
            </w:r>
          </w:p>
        </w:tc>
      </w:tr>
      <w:tr w:rsidR="001F56F8" w:rsidRPr="00B7675F" w14:paraId="29F33799" w14:textId="77777777" w:rsidTr="00E03E91">
        <w:trPr>
          <w:trHeight w:val="258"/>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7A1FE15A" w14:textId="77777777" w:rsidR="001F56F8" w:rsidRPr="00653E85" w:rsidRDefault="001F56F8" w:rsidP="00275CED">
            <w:pPr>
              <w:spacing w:after="0" w:line="240" w:lineRule="auto"/>
              <w:jc w:val="center"/>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2022</w:t>
            </w:r>
          </w:p>
        </w:tc>
        <w:tc>
          <w:tcPr>
            <w:tcW w:w="2268" w:type="dxa"/>
            <w:tcBorders>
              <w:top w:val="nil"/>
              <w:left w:val="nil"/>
              <w:bottom w:val="single" w:sz="4" w:space="0" w:color="auto"/>
              <w:right w:val="single" w:sz="4" w:space="0" w:color="auto"/>
            </w:tcBorders>
            <w:shd w:val="clear" w:color="auto" w:fill="auto"/>
            <w:noWrap/>
            <w:vAlign w:val="bottom"/>
            <w:hideMark/>
          </w:tcPr>
          <w:p w14:paraId="341521EC" w14:textId="7430C085"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468,0</w:t>
            </w:r>
          </w:p>
        </w:tc>
        <w:tc>
          <w:tcPr>
            <w:tcW w:w="1798" w:type="dxa"/>
            <w:tcBorders>
              <w:top w:val="nil"/>
              <w:left w:val="nil"/>
              <w:bottom w:val="single" w:sz="4" w:space="0" w:color="auto"/>
              <w:right w:val="single" w:sz="4" w:space="0" w:color="auto"/>
            </w:tcBorders>
            <w:shd w:val="clear" w:color="auto" w:fill="auto"/>
            <w:noWrap/>
            <w:vAlign w:val="bottom"/>
            <w:hideMark/>
          </w:tcPr>
          <w:p w14:paraId="29C327B0"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701,2</w:t>
            </w:r>
          </w:p>
        </w:tc>
        <w:tc>
          <w:tcPr>
            <w:tcW w:w="1715" w:type="dxa"/>
            <w:tcBorders>
              <w:top w:val="nil"/>
              <w:left w:val="nil"/>
              <w:bottom w:val="single" w:sz="4" w:space="0" w:color="auto"/>
              <w:right w:val="single" w:sz="4" w:space="0" w:color="auto"/>
            </w:tcBorders>
            <w:shd w:val="clear" w:color="auto" w:fill="auto"/>
            <w:noWrap/>
            <w:vAlign w:val="bottom"/>
            <w:hideMark/>
          </w:tcPr>
          <w:p w14:paraId="3ED65352" w14:textId="6B35946B"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1</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766,8</w:t>
            </w:r>
          </w:p>
        </w:tc>
        <w:tc>
          <w:tcPr>
            <w:tcW w:w="2019" w:type="dxa"/>
            <w:tcBorders>
              <w:top w:val="nil"/>
              <w:left w:val="nil"/>
              <w:bottom w:val="single" w:sz="4" w:space="0" w:color="auto"/>
              <w:right w:val="single" w:sz="4" w:space="0" w:color="auto"/>
            </w:tcBorders>
            <w:shd w:val="clear" w:color="auto" w:fill="auto"/>
            <w:noWrap/>
            <w:vAlign w:val="bottom"/>
            <w:hideMark/>
          </w:tcPr>
          <w:p w14:paraId="3F473619"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28,4%</w:t>
            </w:r>
          </w:p>
        </w:tc>
      </w:tr>
      <w:tr w:rsidR="001F56F8" w:rsidRPr="00B7675F" w14:paraId="54228716" w14:textId="77777777" w:rsidTr="00E03E91">
        <w:trPr>
          <w:trHeight w:val="258"/>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72A8AC3D" w14:textId="35A20A4D" w:rsidR="001F56F8" w:rsidRPr="0062715E" w:rsidRDefault="0062715E" w:rsidP="00E03E91">
            <w:pPr>
              <w:spacing w:after="0" w:line="240" w:lineRule="auto"/>
              <w:jc w:val="center"/>
              <w:rPr>
                <w:rFonts w:ascii="Calibri Light" w:eastAsia="Times New Roman" w:hAnsi="Calibri Light" w:cs="Calibri Light"/>
                <w:b/>
                <w:bCs/>
                <w:color w:val="000000"/>
                <w:sz w:val="24"/>
                <w:szCs w:val="24"/>
                <w:lang w:val="ru-RU"/>
              </w:rPr>
            </w:pPr>
            <w:r>
              <w:rPr>
                <w:rFonts w:ascii="Calibri Light" w:eastAsia="Times New Roman" w:hAnsi="Calibri Light" w:cs="Calibri Light"/>
                <w:b/>
                <w:bCs/>
                <w:color w:val="000000"/>
                <w:sz w:val="24"/>
                <w:szCs w:val="24"/>
                <w:lang w:val="ru-RU"/>
              </w:rPr>
              <w:t>Всего</w:t>
            </w:r>
          </w:p>
        </w:tc>
        <w:tc>
          <w:tcPr>
            <w:tcW w:w="2268" w:type="dxa"/>
            <w:tcBorders>
              <w:top w:val="nil"/>
              <w:left w:val="nil"/>
              <w:bottom w:val="single" w:sz="4" w:space="0" w:color="auto"/>
              <w:right w:val="single" w:sz="4" w:space="0" w:color="auto"/>
            </w:tcBorders>
            <w:shd w:val="clear" w:color="auto" w:fill="auto"/>
            <w:noWrap/>
            <w:vAlign w:val="bottom"/>
            <w:hideMark/>
          </w:tcPr>
          <w:p w14:paraId="4BE4A130" w14:textId="0D5694C0" w:rsidR="001F56F8" w:rsidRPr="00653E85" w:rsidRDefault="001F56F8" w:rsidP="00E03E91">
            <w:pPr>
              <w:spacing w:after="0" w:line="240" w:lineRule="auto"/>
              <w:jc w:val="right"/>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11</w:t>
            </w:r>
            <w:r w:rsidR="00275CED" w:rsidRPr="00653E85">
              <w:rPr>
                <w:rFonts w:ascii="Calibri Light" w:eastAsia="Times New Roman" w:hAnsi="Calibri Light" w:cs="Calibri Light"/>
                <w:b/>
                <w:bCs/>
                <w:color w:val="000000"/>
                <w:sz w:val="24"/>
                <w:szCs w:val="24"/>
                <w:lang w:val="ro-MD"/>
              </w:rPr>
              <w:t xml:space="preserve"> </w:t>
            </w:r>
            <w:r w:rsidRPr="00653E85">
              <w:rPr>
                <w:rFonts w:ascii="Calibri Light" w:eastAsia="Times New Roman" w:hAnsi="Calibri Light" w:cs="Calibri Light"/>
                <w:b/>
                <w:bCs/>
                <w:color w:val="000000"/>
                <w:sz w:val="24"/>
                <w:szCs w:val="24"/>
                <w:lang w:val="ro-MD"/>
              </w:rPr>
              <w:t>729,8</w:t>
            </w:r>
          </w:p>
        </w:tc>
        <w:tc>
          <w:tcPr>
            <w:tcW w:w="1798" w:type="dxa"/>
            <w:tcBorders>
              <w:top w:val="nil"/>
              <w:left w:val="nil"/>
              <w:bottom w:val="single" w:sz="4" w:space="0" w:color="auto"/>
              <w:right w:val="single" w:sz="4" w:space="0" w:color="auto"/>
            </w:tcBorders>
            <w:shd w:val="clear" w:color="auto" w:fill="auto"/>
            <w:noWrap/>
            <w:vAlign w:val="bottom"/>
            <w:hideMark/>
          </w:tcPr>
          <w:p w14:paraId="1D088030" w14:textId="7BD313AB" w:rsidR="001F56F8" w:rsidRPr="00653E85" w:rsidRDefault="001F56F8" w:rsidP="00E03E91">
            <w:pPr>
              <w:spacing w:after="0" w:line="240" w:lineRule="auto"/>
              <w:jc w:val="right"/>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6</w:t>
            </w:r>
            <w:r w:rsidR="00275CED" w:rsidRPr="00653E85">
              <w:rPr>
                <w:rFonts w:ascii="Calibri Light" w:eastAsia="Times New Roman" w:hAnsi="Calibri Light" w:cs="Calibri Light"/>
                <w:b/>
                <w:bCs/>
                <w:color w:val="000000"/>
                <w:sz w:val="24"/>
                <w:szCs w:val="24"/>
                <w:lang w:val="ro-MD"/>
              </w:rPr>
              <w:t xml:space="preserve"> </w:t>
            </w:r>
            <w:r w:rsidRPr="00653E85">
              <w:rPr>
                <w:rFonts w:ascii="Calibri Light" w:eastAsia="Times New Roman" w:hAnsi="Calibri Light" w:cs="Calibri Light"/>
                <w:b/>
                <w:bCs/>
                <w:color w:val="000000"/>
                <w:sz w:val="24"/>
                <w:szCs w:val="24"/>
                <w:lang w:val="ro-MD"/>
              </w:rPr>
              <w:t>267,1</w:t>
            </w:r>
          </w:p>
        </w:tc>
        <w:tc>
          <w:tcPr>
            <w:tcW w:w="1715" w:type="dxa"/>
            <w:tcBorders>
              <w:top w:val="nil"/>
              <w:left w:val="nil"/>
              <w:bottom w:val="single" w:sz="4" w:space="0" w:color="auto"/>
              <w:right w:val="single" w:sz="4" w:space="0" w:color="auto"/>
            </w:tcBorders>
            <w:shd w:val="clear" w:color="auto" w:fill="auto"/>
            <w:noWrap/>
            <w:vAlign w:val="bottom"/>
            <w:hideMark/>
          </w:tcPr>
          <w:p w14:paraId="6A2A6B6E" w14:textId="018BAB36" w:rsidR="001F56F8" w:rsidRPr="00653E85" w:rsidRDefault="001F56F8" w:rsidP="00E03E91">
            <w:pPr>
              <w:spacing w:after="0" w:line="240" w:lineRule="auto"/>
              <w:jc w:val="right"/>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5</w:t>
            </w:r>
            <w:r w:rsidR="00275CED" w:rsidRPr="00653E85">
              <w:rPr>
                <w:rFonts w:ascii="Calibri Light" w:eastAsia="Times New Roman" w:hAnsi="Calibri Light" w:cs="Calibri Light"/>
                <w:b/>
                <w:bCs/>
                <w:color w:val="000000"/>
                <w:sz w:val="24"/>
                <w:szCs w:val="24"/>
                <w:lang w:val="ro-MD"/>
              </w:rPr>
              <w:t xml:space="preserve"> </w:t>
            </w:r>
            <w:r w:rsidRPr="00653E85">
              <w:rPr>
                <w:rFonts w:ascii="Calibri Light" w:eastAsia="Times New Roman" w:hAnsi="Calibri Light" w:cs="Calibri Light"/>
                <w:b/>
                <w:bCs/>
                <w:color w:val="000000"/>
                <w:sz w:val="24"/>
                <w:szCs w:val="24"/>
                <w:lang w:val="ro-MD"/>
              </w:rPr>
              <w:t>462,7</w:t>
            </w:r>
          </w:p>
        </w:tc>
        <w:tc>
          <w:tcPr>
            <w:tcW w:w="2019" w:type="dxa"/>
            <w:tcBorders>
              <w:top w:val="nil"/>
              <w:left w:val="nil"/>
              <w:bottom w:val="single" w:sz="4" w:space="0" w:color="auto"/>
              <w:right w:val="single" w:sz="4" w:space="0" w:color="auto"/>
            </w:tcBorders>
            <w:shd w:val="clear" w:color="auto" w:fill="auto"/>
            <w:noWrap/>
            <w:vAlign w:val="bottom"/>
            <w:hideMark/>
          </w:tcPr>
          <w:p w14:paraId="78684B6D" w14:textId="77777777" w:rsidR="001F56F8" w:rsidRPr="00653E85" w:rsidRDefault="001F56F8" w:rsidP="00E03E91">
            <w:pPr>
              <w:spacing w:after="0" w:line="240" w:lineRule="auto"/>
              <w:jc w:val="right"/>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53,4%</w:t>
            </w:r>
          </w:p>
        </w:tc>
      </w:tr>
    </w:tbl>
    <w:p w14:paraId="1E7408D8" w14:textId="793FD83C" w:rsidR="001F56F8" w:rsidRPr="00653E85" w:rsidRDefault="00281F6D" w:rsidP="001F56F8">
      <w:pPr>
        <w:shd w:val="clear" w:color="auto" w:fill="FFFFFF"/>
        <w:spacing w:after="0" w:line="276" w:lineRule="auto"/>
        <w:jc w:val="both"/>
        <w:rPr>
          <w:rFonts w:asciiTheme="majorHAnsi" w:hAnsiTheme="majorHAnsi" w:cstheme="majorHAnsi"/>
          <w:i/>
          <w:sz w:val="20"/>
          <w:szCs w:val="20"/>
          <w:lang w:val="ro-MD"/>
        </w:rPr>
      </w:pPr>
      <w:r>
        <w:rPr>
          <w:rFonts w:asciiTheme="majorHAnsi" w:hAnsiTheme="majorHAnsi" w:cstheme="majorHAnsi"/>
          <w:i/>
          <w:sz w:val="20"/>
          <w:szCs w:val="20"/>
          <w:lang w:val="ro-MD"/>
        </w:rPr>
        <w:t>Источник</w:t>
      </w:r>
      <w:r w:rsidR="001F56F8" w:rsidRPr="00653E85">
        <w:rPr>
          <w:rFonts w:asciiTheme="majorHAnsi" w:hAnsiTheme="majorHAnsi" w:cstheme="majorHAnsi"/>
          <w:i/>
          <w:sz w:val="20"/>
          <w:szCs w:val="20"/>
          <w:lang w:val="ro-MD"/>
        </w:rPr>
        <w:t xml:space="preserve">: </w:t>
      </w:r>
      <w:r w:rsidR="00D40DBD" w:rsidRPr="00460A7F">
        <w:rPr>
          <w:rFonts w:asciiTheme="majorHAnsi" w:hAnsiTheme="majorHAnsi" w:cstheme="majorHAnsi"/>
          <w:i/>
          <w:sz w:val="20"/>
          <w:szCs w:val="20"/>
          <w:lang w:val="ru-MD"/>
        </w:rPr>
        <w:t>Разработано на основе информации, предоставленной Социальной инспекцией</w:t>
      </w:r>
      <w:r w:rsidR="004D6A3C" w:rsidRPr="00653E85">
        <w:rPr>
          <w:rFonts w:asciiTheme="majorHAnsi" w:hAnsiTheme="majorHAnsi" w:cstheme="majorHAnsi"/>
          <w:i/>
          <w:sz w:val="20"/>
          <w:szCs w:val="20"/>
          <w:lang w:val="ro-MD"/>
        </w:rPr>
        <w:t>.</w:t>
      </w:r>
    </w:p>
    <w:p w14:paraId="6EDC8115" w14:textId="77777777" w:rsidR="00275CED" w:rsidRPr="00653E85" w:rsidRDefault="00275CED" w:rsidP="001F56F8">
      <w:pPr>
        <w:shd w:val="clear" w:color="auto" w:fill="FFFFFF"/>
        <w:spacing w:after="0" w:line="276" w:lineRule="auto"/>
        <w:jc w:val="both"/>
        <w:rPr>
          <w:rFonts w:asciiTheme="majorHAnsi" w:hAnsiTheme="majorHAnsi" w:cstheme="majorHAnsi"/>
          <w:i/>
          <w:sz w:val="24"/>
          <w:szCs w:val="24"/>
          <w:lang w:val="ro-MD"/>
        </w:rPr>
      </w:pPr>
    </w:p>
    <w:p w14:paraId="6483F67F" w14:textId="3C1A82E1" w:rsidR="001F56F8" w:rsidRPr="00653E85" w:rsidRDefault="00D40DBD" w:rsidP="001F56F8">
      <w:pPr>
        <w:shd w:val="clear" w:color="auto" w:fill="FFFFFF"/>
        <w:spacing w:line="276" w:lineRule="auto"/>
        <w:jc w:val="both"/>
        <w:rPr>
          <w:rFonts w:asciiTheme="majorHAnsi" w:hAnsiTheme="majorHAnsi" w:cstheme="majorHAnsi"/>
          <w:sz w:val="24"/>
          <w:szCs w:val="24"/>
          <w:lang w:val="ro-MD"/>
        </w:rPr>
      </w:pPr>
      <w:r>
        <w:rPr>
          <w:rFonts w:asciiTheme="majorHAnsi" w:hAnsiTheme="majorHAnsi" w:cstheme="majorHAnsi"/>
          <w:sz w:val="24"/>
          <w:szCs w:val="24"/>
          <w:lang w:val="ru-MD"/>
        </w:rPr>
        <w:t xml:space="preserve">Для </w:t>
      </w:r>
      <w:r w:rsidRPr="00E753BC">
        <w:rPr>
          <w:rFonts w:asciiTheme="majorHAnsi" w:hAnsiTheme="majorHAnsi" w:cstheme="majorHAnsi"/>
          <w:sz w:val="24"/>
          <w:szCs w:val="24"/>
          <w:lang w:val="ru-MD"/>
        </w:rPr>
        <w:t>возврат</w:t>
      </w:r>
      <w:r>
        <w:rPr>
          <w:rFonts w:asciiTheme="majorHAnsi" w:hAnsiTheme="majorHAnsi" w:cstheme="majorHAnsi"/>
          <w:sz w:val="24"/>
          <w:szCs w:val="24"/>
          <w:lang w:val="ru-MD"/>
        </w:rPr>
        <w:t>а</w:t>
      </w:r>
      <w:r w:rsidRPr="00E753BC">
        <w:rPr>
          <w:rFonts w:asciiTheme="majorHAnsi" w:hAnsiTheme="majorHAnsi" w:cstheme="majorHAnsi"/>
          <w:sz w:val="24"/>
          <w:szCs w:val="24"/>
          <w:lang w:val="ru-MD"/>
        </w:rPr>
        <w:t xml:space="preserve"> незаконно полученных сумм, территориальная структура социального обеспечения составляет и представляет Национальной кассе социального страхования ходатайство о возврате сумм, а НКСС составляет и передает поставщику платежных услуг, через </w:t>
      </w:r>
      <w:r>
        <w:rPr>
          <w:rFonts w:asciiTheme="majorHAnsi" w:hAnsiTheme="majorHAnsi" w:cstheme="majorHAnsi"/>
          <w:sz w:val="24"/>
          <w:szCs w:val="24"/>
          <w:lang w:val="ru-MD"/>
        </w:rPr>
        <w:t>правитель</w:t>
      </w:r>
      <w:r w:rsidRPr="00E753BC">
        <w:rPr>
          <w:rFonts w:asciiTheme="majorHAnsi" w:hAnsiTheme="majorHAnsi" w:cstheme="majorHAnsi"/>
          <w:sz w:val="24"/>
          <w:szCs w:val="24"/>
          <w:lang w:val="ru-MD"/>
        </w:rPr>
        <w:t xml:space="preserve">ственную услугу электронных платежей (MPay), решение о возврате сумм. </w:t>
      </w:r>
      <w:r>
        <w:rPr>
          <w:rFonts w:asciiTheme="majorHAnsi" w:hAnsiTheme="majorHAnsi" w:cstheme="majorHAnsi"/>
          <w:sz w:val="24"/>
          <w:szCs w:val="24"/>
          <w:lang w:val="ru-MD"/>
        </w:rPr>
        <w:t>В случае е</w:t>
      </w:r>
      <w:r w:rsidRPr="00E753BC">
        <w:rPr>
          <w:rFonts w:asciiTheme="majorHAnsi" w:hAnsiTheme="majorHAnsi" w:cstheme="majorHAnsi"/>
          <w:sz w:val="24"/>
          <w:szCs w:val="24"/>
          <w:lang w:val="ru-MD"/>
        </w:rPr>
        <w:t>сли суммы не</w:t>
      </w:r>
      <w:r>
        <w:rPr>
          <w:rFonts w:asciiTheme="majorHAnsi" w:hAnsiTheme="majorHAnsi" w:cstheme="majorHAnsi"/>
          <w:sz w:val="24"/>
          <w:szCs w:val="24"/>
          <w:lang w:val="ru-MD"/>
        </w:rPr>
        <w:t>обоснова</w:t>
      </w:r>
      <w:r w:rsidRPr="00E753BC">
        <w:rPr>
          <w:rFonts w:asciiTheme="majorHAnsi" w:hAnsiTheme="majorHAnsi" w:cstheme="majorHAnsi"/>
          <w:sz w:val="24"/>
          <w:szCs w:val="24"/>
          <w:lang w:val="ru-MD"/>
        </w:rPr>
        <w:t>нных платежей не могут быть возвращены поставщиком платежных услуг, НКСС уведомляет об этом территориальную структуру социального обеспечения, которая принимает необходимые меры, согласно законодательству, для взыскания суммы с ее получателя</w:t>
      </w:r>
      <w:r w:rsidR="001F56F8" w:rsidRPr="00653E85">
        <w:rPr>
          <w:rFonts w:asciiTheme="majorHAnsi" w:hAnsiTheme="majorHAnsi" w:cstheme="majorHAnsi"/>
          <w:sz w:val="24"/>
          <w:szCs w:val="24"/>
          <w:lang w:val="ro-MD"/>
        </w:rPr>
        <w:t>.</w:t>
      </w:r>
    </w:p>
    <w:p w14:paraId="35945089" w14:textId="1392A751" w:rsidR="001F56F8" w:rsidRPr="000073F8" w:rsidRDefault="00C11144" w:rsidP="001F56F8">
      <w:pPr>
        <w:shd w:val="clear" w:color="auto" w:fill="FFFFFF"/>
        <w:spacing w:line="276" w:lineRule="auto"/>
        <w:jc w:val="both"/>
        <w:rPr>
          <w:rFonts w:asciiTheme="majorHAnsi" w:hAnsiTheme="majorHAnsi" w:cstheme="majorHAnsi"/>
          <w:sz w:val="24"/>
          <w:szCs w:val="24"/>
          <w:lang w:val="ru-MD"/>
        </w:rPr>
      </w:pPr>
      <w:r w:rsidRPr="000073F8">
        <w:rPr>
          <w:rFonts w:asciiTheme="majorHAnsi" w:hAnsiTheme="majorHAnsi" w:cstheme="majorHAnsi"/>
          <w:sz w:val="24"/>
          <w:szCs w:val="24"/>
          <w:lang w:val="ru-MD"/>
        </w:rPr>
        <w:t>Следует отметить, что в 2023 году в целях повышения эффективности механизма государственной инспекции и контроля в области социальной помощи, а также укрепления статуса Социальной инспекции, были внесены изменения в некоторые нормативные акты</w:t>
      </w:r>
      <w:r w:rsidRPr="000073F8">
        <w:rPr>
          <w:rStyle w:val="a5"/>
          <w:rFonts w:asciiTheme="majorHAnsi" w:hAnsiTheme="majorHAnsi" w:cstheme="majorHAnsi"/>
          <w:sz w:val="24"/>
          <w:szCs w:val="24"/>
          <w:lang w:val="ru-MD"/>
        </w:rPr>
        <w:footnoteReference w:id="44"/>
      </w:r>
      <w:r w:rsidRPr="000073F8">
        <w:rPr>
          <w:rFonts w:asciiTheme="majorHAnsi" w:hAnsiTheme="majorHAnsi" w:cstheme="majorHAnsi"/>
          <w:sz w:val="24"/>
          <w:szCs w:val="24"/>
          <w:lang w:val="ru-MD"/>
        </w:rPr>
        <w:t>, касающиеся: введени</w:t>
      </w:r>
      <w:r w:rsidR="000073F8" w:rsidRPr="000073F8">
        <w:rPr>
          <w:rFonts w:asciiTheme="majorHAnsi" w:hAnsiTheme="majorHAnsi" w:cstheme="majorHAnsi"/>
          <w:sz w:val="24"/>
          <w:szCs w:val="24"/>
          <w:lang w:val="ru-MD"/>
        </w:rPr>
        <w:t>я</w:t>
      </w:r>
      <w:r w:rsidRPr="000073F8">
        <w:rPr>
          <w:rFonts w:asciiTheme="majorHAnsi" w:hAnsiTheme="majorHAnsi" w:cstheme="majorHAnsi"/>
          <w:sz w:val="24"/>
          <w:szCs w:val="24"/>
          <w:lang w:val="ru-MD"/>
        </w:rPr>
        <w:t xml:space="preserve"> полномочий по установлению правонарушений в части, касающейся реализации правовых положений, регулирующих установление права и предоставление пособий социальной помощи и социальных услуг, составление протоколов о правонарушении и отправку, при необходимости, дела в суд или другой орган на рассмотрение; </w:t>
      </w:r>
      <w:r w:rsidR="000073F8" w:rsidRPr="000073F8">
        <w:rPr>
          <w:rFonts w:asciiTheme="majorHAnsi" w:hAnsiTheme="majorHAnsi" w:cstheme="majorHAnsi"/>
          <w:sz w:val="24"/>
          <w:szCs w:val="24"/>
          <w:lang w:val="ru-MD"/>
        </w:rPr>
        <w:t>назнач</w:t>
      </w:r>
      <w:r w:rsidRPr="000073F8">
        <w:rPr>
          <w:rFonts w:asciiTheme="majorHAnsi" w:hAnsiTheme="majorHAnsi" w:cstheme="majorHAnsi"/>
          <w:sz w:val="24"/>
          <w:szCs w:val="24"/>
          <w:lang w:val="ru-MD"/>
        </w:rPr>
        <w:t>ения мер органам публичного управления в ситуации, когда есть подозрения в мошенничестве, злоупотреблениях и халатности, обращени</w:t>
      </w:r>
      <w:r w:rsidR="000073F8" w:rsidRPr="000073F8">
        <w:rPr>
          <w:rFonts w:asciiTheme="majorHAnsi" w:hAnsiTheme="majorHAnsi" w:cstheme="majorHAnsi"/>
          <w:sz w:val="24"/>
          <w:szCs w:val="24"/>
          <w:lang w:val="ru-MD"/>
        </w:rPr>
        <w:t>я</w:t>
      </w:r>
      <w:r w:rsidRPr="000073F8">
        <w:rPr>
          <w:rFonts w:asciiTheme="majorHAnsi" w:hAnsiTheme="majorHAnsi" w:cstheme="majorHAnsi"/>
          <w:sz w:val="24"/>
          <w:szCs w:val="24"/>
          <w:lang w:val="ru-MD"/>
        </w:rPr>
        <w:t xml:space="preserve"> в </w:t>
      </w:r>
      <w:r w:rsidR="000073F8" w:rsidRPr="000073F8">
        <w:rPr>
          <w:rFonts w:asciiTheme="majorHAnsi" w:hAnsiTheme="majorHAnsi" w:cstheme="majorHAnsi"/>
          <w:sz w:val="24"/>
          <w:szCs w:val="24"/>
          <w:lang w:val="ru-MD"/>
        </w:rPr>
        <w:t xml:space="preserve">компетентные </w:t>
      </w:r>
      <w:r w:rsidRPr="000073F8">
        <w:rPr>
          <w:rFonts w:asciiTheme="majorHAnsi" w:hAnsiTheme="majorHAnsi" w:cstheme="majorHAnsi"/>
          <w:sz w:val="24"/>
          <w:szCs w:val="24"/>
          <w:lang w:val="ru-MD"/>
        </w:rPr>
        <w:t xml:space="preserve">органы по охране правовых норм; принятие </w:t>
      </w:r>
      <w:r w:rsidR="000073F8" w:rsidRPr="000073F8">
        <w:rPr>
          <w:rFonts w:asciiTheme="majorHAnsi" w:hAnsiTheme="majorHAnsi" w:cstheme="majorHAnsi"/>
          <w:sz w:val="24"/>
          <w:szCs w:val="24"/>
          <w:lang w:val="ru-MD"/>
        </w:rPr>
        <w:t>законн</w:t>
      </w:r>
      <w:r w:rsidRPr="000073F8">
        <w:rPr>
          <w:rFonts w:asciiTheme="majorHAnsi" w:hAnsiTheme="majorHAnsi" w:cstheme="majorHAnsi"/>
          <w:sz w:val="24"/>
          <w:szCs w:val="24"/>
          <w:lang w:val="ru-MD"/>
        </w:rPr>
        <w:t xml:space="preserve">ых мер по устранению выявленных недостатков, выявление юридической ответственности виновных и обращение в </w:t>
      </w:r>
      <w:r w:rsidR="000073F8" w:rsidRPr="000073F8">
        <w:rPr>
          <w:rFonts w:asciiTheme="majorHAnsi" w:hAnsiTheme="majorHAnsi" w:cstheme="majorHAnsi"/>
          <w:sz w:val="24"/>
          <w:szCs w:val="24"/>
          <w:lang w:val="ru-MD"/>
        </w:rPr>
        <w:t xml:space="preserve">компетентные </w:t>
      </w:r>
      <w:r w:rsidRPr="000073F8">
        <w:rPr>
          <w:rFonts w:asciiTheme="majorHAnsi" w:hAnsiTheme="majorHAnsi" w:cstheme="majorHAnsi"/>
          <w:sz w:val="24"/>
          <w:szCs w:val="24"/>
          <w:lang w:val="ru-MD"/>
        </w:rPr>
        <w:t>органы по охране правовых норм и др</w:t>
      </w:r>
      <w:r w:rsidR="001F56F8" w:rsidRPr="000073F8">
        <w:rPr>
          <w:rFonts w:asciiTheme="majorHAnsi" w:hAnsiTheme="majorHAnsi" w:cstheme="majorHAnsi"/>
          <w:sz w:val="24"/>
          <w:szCs w:val="24"/>
          <w:lang w:val="ru-MD"/>
        </w:rPr>
        <w:t>.</w:t>
      </w:r>
    </w:p>
    <w:p w14:paraId="69B41013" w14:textId="4D4EE419" w:rsidR="001F56F8" w:rsidRPr="00653E85" w:rsidRDefault="000073F8" w:rsidP="001F56F8">
      <w:pPr>
        <w:shd w:val="clear" w:color="auto" w:fill="FFFFFF"/>
        <w:spacing w:line="276" w:lineRule="auto"/>
        <w:jc w:val="both"/>
        <w:rPr>
          <w:rFonts w:asciiTheme="majorHAnsi" w:hAnsiTheme="majorHAnsi" w:cstheme="majorHAnsi"/>
          <w:sz w:val="24"/>
          <w:szCs w:val="24"/>
          <w:lang w:val="ro-MD"/>
        </w:rPr>
      </w:pPr>
      <w:r w:rsidRPr="002927D2">
        <w:rPr>
          <w:rFonts w:asciiTheme="majorHAnsi" w:hAnsiTheme="majorHAnsi" w:cstheme="majorHAnsi"/>
          <w:sz w:val="24"/>
          <w:szCs w:val="24"/>
          <w:lang w:val="ru-MD"/>
        </w:rPr>
        <w:t xml:space="preserve">В этих условиях аудит отмечает, что, хотя средства на расходы на СП и ПХПГ перечисляются из ГБ, фрагментированный процесс предоставления, проверки и </w:t>
      </w:r>
      <w:r>
        <w:rPr>
          <w:rFonts w:asciiTheme="majorHAnsi" w:hAnsiTheme="majorHAnsi" w:cstheme="majorHAnsi"/>
          <w:sz w:val="24"/>
          <w:szCs w:val="24"/>
          <w:lang w:val="ru-MD"/>
        </w:rPr>
        <w:t>вы</w:t>
      </w:r>
      <w:r w:rsidRPr="002927D2">
        <w:rPr>
          <w:rFonts w:asciiTheme="majorHAnsi" w:hAnsiTheme="majorHAnsi" w:cstheme="majorHAnsi"/>
          <w:sz w:val="24"/>
          <w:szCs w:val="24"/>
          <w:lang w:val="ru-MD"/>
        </w:rPr>
        <w:t xml:space="preserve">платы СП и ПХПГ, в корреляции с низким уровнем возврата незаконных </w:t>
      </w:r>
      <w:r>
        <w:rPr>
          <w:rFonts w:asciiTheme="majorHAnsi" w:hAnsiTheme="majorHAnsi" w:cstheme="majorHAnsi"/>
          <w:sz w:val="24"/>
          <w:szCs w:val="24"/>
          <w:lang w:val="ru-MD"/>
        </w:rPr>
        <w:t>выплат</w:t>
      </w:r>
      <w:r w:rsidRPr="002927D2">
        <w:rPr>
          <w:rFonts w:asciiTheme="majorHAnsi" w:hAnsiTheme="majorHAnsi" w:cstheme="majorHAnsi"/>
          <w:sz w:val="24"/>
          <w:szCs w:val="24"/>
          <w:lang w:val="ru-MD"/>
        </w:rPr>
        <w:t>, напрямую влияет на показатели БГСС</w:t>
      </w:r>
      <w:r w:rsidR="001F56F8" w:rsidRPr="00653E85">
        <w:rPr>
          <w:rFonts w:asciiTheme="majorHAnsi" w:hAnsiTheme="majorHAnsi" w:cstheme="majorHAnsi"/>
          <w:sz w:val="24"/>
          <w:szCs w:val="24"/>
          <w:lang w:val="ro-MD"/>
        </w:rPr>
        <w:t xml:space="preserve">. </w:t>
      </w:r>
    </w:p>
    <w:p w14:paraId="031AD72A" w14:textId="1E8B0AEB" w:rsidR="00683C4B" w:rsidRPr="00653E85" w:rsidRDefault="00815BF5" w:rsidP="00BA754F">
      <w:pPr>
        <w:pStyle w:val="2"/>
        <w:numPr>
          <w:ilvl w:val="1"/>
          <w:numId w:val="2"/>
        </w:numPr>
        <w:shd w:val="clear" w:color="auto" w:fill="FFFFFF" w:themeFill="background1"/>
        <w:spacing w:after="240" w:line="276" w:lineRule="auto"/>
        <w:ind w:left="0" w:firstLine="0"/>
        <w:jc w:val="both"/>
        <w:rPr>
          <w:rFonts w:cstheme="majorHAnsi"/>
          <w:b/>
          <w:color w:val="000000" w:themeColor="text1"/>
          <w:sz w:val="24"/>
          <w:lang w:val="ro-MD"/>
        </w:rPr>
      </w:pPr>
      <w:r w:rsidRPr="00815BF5">
        <w:rPr>
          <w:rFonts w:cstheme="majorHAnsi"/>
          <w:b/>
          <w:color w:val="000000" w:themeColor="text1"/>
          <w:sz w:val="24"/>
          <w:lang w:val="ru-MD"/>
        </w:rPr>
        <w:t>Пенсии по возрасту</w:t>
      </w:r>
      <w:r w:rsidR="00E8305D">
        <w:rPr>
          <w:rFonts w:cstheme="majorHAnsi"/>
          <w:b/>
          <w:color w:val="000000" w:themeColor="text1"/>
          <w:sz w:val="24"/>
          <w:lang w:val="ru-MD"/>
        </w:rPr>
        <w:t>, ограниченным возможностям, потере кормильца и досрочной пенсии</w:t>
      </w:r>
      <w:r w:rsidRPr="00815BF5">
        <w:rPr>
          <w:rFonts w:cstheme="majorHAnsi"/>
          <w:b/>
          <w:color w:val="000000" w:themeColor="text1"/>
          <w:sz w:val="24"/>
          <w:lang w:val="ru-MD"/>
        </w:rPr>
        <w:t xml:space="preserve"> были установлены в соответствии с законодательной базой.  Вместе с тем, несвоевременное поступление информации о смерти получателей обуславливает необоснованные расходы, которые оцениваются в размере </w:t>
      </w:r>
      <w:r w:rsidR="00E8305D" w:rsidRPr="00653E85">
        <w:rPr>
          <w:rFonts w:cstheme="majorHAnsi"/>
          <w:b/>
          <w:color w:val="000000" w:themeColor="text1"/>
          <w:sz w:val="24"/>
          <w:lang w:val="ro-MD"/>
        </w:rPr>
        <w:t xml:space="preserve">1 167,0 </w:t>
      </w:r>
      <w:r w:rsidR="00825FBE">
        <w:rPr>
          <w:rFonts w:cstheme="majorHAnsi"/>
          <w:b/>
          <w:color w:val="000000" w:themeColor="text1"/>
          <w:sz w:val="24"/>
          <w:lang w:val="ru-MD"/>
        </w:rPr>
        <w:t>тыс</w:t>
      </w:r>
      <w:r w:rsidRPr="00815BF5">
        <w:rPr>
          <w:rFonts w:cstheme="majorHAnsi"/>
          <w:b/>
          <w:color w:val="000000" w:themeColor="text1"/>
          <w:sz w:val="24"/>
          <w:lang w:val="ru-MD"/>
        </w:rPr>
        <w:t>. леев</w:t>
      </w:r>
      <w:r w:rsidR="004D6A3C" w:rsidRPr="00653E85">
        <w:rPr>
          <w:rFonts w:cstheme="majorHAnsi"/>
          <w:b/>
          <w:color w:val="000000" w:themeColor="text1"/>
          <w:sz w:val="24"/>
          <w:lang w:val="ro-MD"/>
        </w:rPr>
        <w:t>.</w:t>
      </w:r>
    </w:p>
    <w:p w14:paraId="4CA015F8" w14:textId="754FC1EC" w:rsidR="00BA754F" w:rsidRPr="000122D2" w:rsidRDefault="00E8305D" w:rsidP="00BA754F">
      <w:pPr>
        <w:spacing w:line="276" w:lineRule="auto"/>
        <w:jc w:val="both"/>
        <w:rPr>
          <w:rFonts w:asciiTheme="majorHAnsi" w:hAnsiTheme="majorHAnsi" w:cstheme="majorHAnsi"/>
          <w:sz w:val="24"/>
          <w:lang w:val="ru-MD"/>
        </w:rPr>
      </w:pPr>
      <w:r w:rsidRPr="009D64C3">
        <w:rPr>
          <w:rFonts w:asciiTheme="majorHAnsi" w:hAnsiTheme="majorHAnsi" w:cstheme="majorHAnsi"/>
          <w:sz w:val="24"/>
          <w:lang w:val="ru-MD"/>
        </w:rPr>
        <w:t xml:space="preserve">Для получения уверенности в отношении учета, отчетности и исполнения финансовых средств </w:t>
      </w:r>
      <w:r w:rsidR="000122D2" w:rsidRPr="009D64C3">
        <w:rPr>
          <w:rFonts w:asciiTheme="majorHAnsi" w:hAnsiTheme="majorHAnsi" w:cstheme="majorHAnsi"/>
          <w:sz w:val="24"/>
          <w:lang w:val="ru-MD"/>
        </w:rPr>
        <w:t>на</w:t>
      </w:r>
      <w:r w:rsidRPr="009D64C3">
        <w:rPr>
          <w:rFonts w:asciiTheme="majorHAnsi" w:hAnsiTheme="majorHAnsi" w:cstheme="majorHAnsi"/>
          <w:sz w:val="24"/>
          <w:lang w:val="ru-MD"/>
        </w:rPr>
        <w:t xml:space="preserve"> выплат</w:t>
      </w:r>
      <w:r w:rsidR="000122D2" w:rsidRPr="009D64C3">
        <w:rPr>
          <w:rFonts w:asciiTheme="majorHAnsi" w:hAnsiTheme="majorHAnsi" w:cstheme="majorHAnsi"/>
          <w:sz w:val="24"/>
          <w:lang w:val="ru-MD"/>
        </w:rPr>
        <w:t>у</w:t>
      </w:r>
      <w:r w:rsidRPr="009D64C3">
        <w:rPr>
          <w:rFonts w:asciiTheme="majorHAnsi" w:hAnsiTheme="majorHAnsi" w:cstheme="majorHAnsi"/>
          <w:sz w:val="24"/>
          <w:lang w:val="ru-MD"/>
        </w:rPr>
        <w:t xml:space="preserve"> пенсий социально</w:t>
      </w:r>
      <w:r w:rsidR="000122D2" w:rsidRPr="009D64C3">
        <w:rPr>
          <w:rFonts w:asciiTheme="majorHAnsi" w:hAnsiTheme="majorHAnsi" w:cstheme="majorHAnsi"/>
          <w:sz w:val="24"/>
          <w:lang w:val="ru-MD"/>
        </w:rPr>
        <w:t>го</w:t>
      </w:r>
      <w:r w:rsidRPr="009D64C3">
        <w:rPr>
          <w:rFonts w:asciiTheme="majorHAnsi" w:hAnsiTheme="majorHAnsi" w:cstheme="majorHAnsi"/>
          <w:sz w:val="24"/>
          <w:lang w:val="ru-MD"/>
        </w:rPr>
        <w:t xml:space="preserve"> </w:t>
      </w:r>
      <w:r w:rsidR="000122D2" w:rsidRPr="009D64C3">
        <w:rPr>
          <w:rFonts w:asciiTheme="majorHAnsi" w:hAnsiTheme="majorHAnsi" w:cstheme="majorHAnsi"/>
          <w:sz w:val="24"/>
          <w:lang w:val="ru-MD"/>
        </w:rPr>
        <w:t>страхования,</w:t>
      </w:r>
      <w:r w:rsidRPr="009D64C3">
        <w:rPr>
          <w:rFonts w:asciiTheme="majorHAnsi" w:hAnsiTheme="majorHAnsi" w:cstheme="majorHAnsi"/>
          <w:sz w:val="24"/>
          <w:lang w:val="ru-MD"/>
        </w:rPr>
        <w:t xml:space="preserve"> аудит про</w:t>
      </w:r>
      <w:r w:rsidR="000122D2" w:rsidRPr="009D64C3">
        <w:rPr>
          <w:rFonts w:asciiTheme="majorHAnsi" w:hAnsiTheme="majorHAnsi" w:cstheme="majorHAnsi"/>
          <w:sz w:val="24"/>
          <w:lang w:val="ru-MD"/>
        </w:rPr>
        <w:t>аудирова</w:t>
      </w:r>
      <w:r w:rsidRPr="009D64C3">
        <w:rPr>
          <w:rFonts w:asciiTheme="majorHAnsi" w:hAnsiTheme="majorHAnsi" w:cstheme="majorHAnsi"/>
          <w:sz w:val="24"/>
          <w:lang w:val="ru-MD"/>
        </w:rPr>
        <w:t>л следующие виды пенсий</w:t>
      </w:r>
      <w:r w:rsidR="005532BE" w:rsidRPr="000122D2">
        <w:rPr>
          <w:rFonts w:asciiTheme="majorHAnsi" w:hAnsiTheme="majorHAnsi" w:cstheme="majorHAnsi"/>
          <w:sz w:val="24"/>
          <w:lang w:val="ru-MD"/>
        </w:rPr>
        <w:t>.</w:t>
      </w:r>
    </w:p>
    <w:p w14:paraId="37BD0B6C" w14:textId="3FCB187C" w:rsidR="00683C4B" w:rsidRPr="00653E85" w:rsidRDefault="007E030A" w:rsidP="007E030A">
      <w:pPr>
        <w:pStyle w:val="aa"/>
        <w:numPr>
          <w:ilvl w:val="0"/>
          <w:numId w:val="4"/>
        </w:numPr>
        <w:autoSpaceDE w:val="0"/>
        <w:autoSpaceDN w:val="0"/>
        <w:adjustRightInd w:val="0"/>
        <w:spacing w:after="0" w:line="276" w:lineRule="auto"/>
        <w:ind w:left="0" w:firstLine="360"/>
        <w:jc w:val="both"/>
        <w:rPr>
          <w:rFonts w:asciiTheme="majorHAnsi" w:eastAsia="Calibri" w:hAnsiTheme="majorHAnsi" w:cstheme="majorHAnsi"/>
          <w:sz w:val="24"/>
          <w:szCs w:val="24"/>
          <w:lang w:val="ro-MD"/>
        </w:rPr>
      </w:pPr>
      <w:r w:rsidRPr="009D64C3">
        <w:rPr>
          <w:rFonts w:asciiTheme="majorHAnsi" w:eastAsia="Calibri" w:hAnsiTheme="majorHAnsi" w:cstheme="majorHAnsi"/>
          <w:b/>
          <w:i/>
          <w:sz w:val="24"/>
          <w:szCs w:val="24"/>
          <w:lang w:val="ru-MD"/>
        </w:rPr>
        <w:t xml:space="preserve">Пенсии по возрасту </w:t>
      </w:r>
      <w:r w:rsidRPr="009D64C3">
        <w:rPr>
          <w:rFonts w:asciiTheme="majorHAnsi" w:eastAsia="Calibri" w:hAnsiTheme="majorHAnsi" w:cstheme="majorHAnsi"/>
          <w:sz w:val="24"/>
          <w:szCs w:val="24"/>
          <w:lang w:val="ru-MD"/>
        </w:rPr>
        <w:t xml:space="preserve"> представляют собой</w:t>
      </w:r>
      <w:r w:rsidR="00AF0A19" w:rsidRPr="009D64C3">
        <w:rPr>
          <w:rFonts w:asciiTheme="majorHAnsi" w:eastAsia="Calibri" w:hAnsiTheme="majorHAnsi" w:cstheme="majorHAnsi"/>
          <w:sz w:val="24"/>
          <w:szCs w:val="24"/>
          <w:lang w:val="ru-MD"/>
        </w:rPr>
        <w:t xml:space="preserve"> </w:t>
      </w:r>
      <w:r w:rsidRPr="009D64C3">
        <w:rPr>
          <w:rFonts w:asciiTheme="majorHAnsi" w:eastAsia="Calibri" w:hAnsiTheme="majorHAnsi" w:cstheme="majorHAnsi"/>
          <w:sz w:val="24"/>
          <w:szCs w:val="24"/>
          <w:lang w:val="ru-MD"/>
        </w:rPr>
        <w:t xml:space="preserve">показатель с наибольшим количеством бенефициаров БГСС (526 027 лиц), а также </w:t>
      </w:r>
      <w:r w:rsidR="009D64C3">
        <w:rPr>
          <w:rFonts w:asciiTheme="majorHAnsi" w:eastAsia="Calibri" w:hAnsiTheme="majorHAnsi" w:cstheme="majorHAnsi"/>
          <w:sz w:val="24"/>
          <w:szCs w:val="24"/>
          <w:lang w:val="ru-MD"/>
        </w:rPr>
        <w:t xml:space="preserve">с </w:t>
      </w:r>
      <w:r w:rsidRPr="009D64C3">
        <w:rPr>
          <w:rFonts w:asciiTheme="majorHAnsi" w:eastAsia="Calibri" w:hAnsiTheme="majorHAnsi" w:cstheme="majorHAnsi"/>
          <w:sz w:val="24"/>
          <w:szCs w:val="24"/>
          <w:lang w:val="ru-MD"/>
        </w:rPr>
        <w:t>наиболее значительными расходами</w:t>
      </w:r>
      <w:r w:rsidR="00AF0A19" w:rsidRPr="009D64C3">
        <w:rPr>
          <w:rFonts w:asciiTheme="majorHAnsi" w:eastAsia="Calibri" w:hAnsiTheme="majorHAnsi" w:cstheme="majorHAnsi"/>
          <w:sz w:val="24"/>
          <w:szCs w:val="24"/>
          <w:lang w:val="ru-MD"/>
        </w:rPr>
        <w:t xml:space="preserve">. </w:t>
      </w:r>
      <w:r w:rsidR="000F0F7C" w:rsidRPr="009D64C3">
        <w:rPr>
          <w:rFonts w:asciiTheme="majorHAnsi" w:eastAsia="Calibri" w:hAnsiTheme="majorHAnsi" w:cstheme="majorHAnsi"/>
          <w:sz w:val="24"/>
          <w:szCs w:val="24"/>
          <w:lang w:val="ru-MD"/>
        </w:rPr>
        <w:t>В 202</w:t>
      </w:r>
      <w:r w:rsidRPr="009D64C3">
        <w:rPr>
          <w:rFonts w:asciiTheme="majorHAnsi" w:eastAsia="Calibri" w:hAnsiTheme="majorHAnsi" w:cstheme="majorHAnsi"/>
          <w:sz w:val="24"/>
          <w:szCs w:val="24"/>
          <w:lang w:val="ru-MD"/>
        </w:rPr>
        <w:t>2</w:t>
      </w:r>
      <w:r w:rsidR="000F0F7C" w:rsidRPr="009D64C3">
        <w:rPr>
          <w:rFonts w:asciiTheme="majorHAnsi" w:eastAsia="Calibri" w:hAnsiTheme="majorHAnsi" w:cstheme="majorHAnsi"/>
          <w:sz w:val="24"/>
          <w:szCs w:val="24"/>
          <w:lang w:val="ru-MD"/>
        </w:rPr>
        <w:t xml:space="preserve"> году расходы на выплату пенсий по возрасту составили </w:t>
      </w:r>
      <w:r w:rsidRPr="009D64C3">
        <w:rPr>
          <w:rFonts w:asciiTheme="majorHAnsi" w:hAnsiTheme="majorHAnsi" w:cstheme="majorHAnsi"/>
          <w:bCs/>
          <w:color w:val="000000"/>
          <w:sz w:val="24"/>
          <w:szCs w:val="24"/>
          <w:lang w:val="ru-MD"/>
        </w:rPr>
        <w:t>16 631,0</w:t>
      </w:r>
      <w:r w:rsidR="000F0F7C" w:rsidRPr="009D64C3">
        <w:rPr>
          <w:rFonts w:asciiTheme="majorHAnsi" w:eastAsia="Calibri" w:hAnsiTheme="majorHAnsi" w:cstheme="majorHAnsi"/>
          <w:sz w:val="24"/>
          <w:szCs w:val="24"/>
          <w:lang w:val="ru-MD"/>
        </w:rPr>
        <w:t xml:space="preserve"> млн. леев, или </w:t>
      </w:r>
      <w:r w:rsidRPr="009D64C3">
        <w:rPr>
          <w:rFonts w:asciiTheme="majorHAnsi" w:eastAsia="Calibri" w:hAnsiTheme="majorHAnsi" w:cstheme="majorHAnsi"/>
          <w:sz w:val="24"/>
          <w:szCs w:val="24"/>
          <w:lang w:val="ru-MD"/>
        </w:rPr>
        <w:t>4</w:t>
      </w:r>
      <w:r w:rsidR="000F0F7C" w:rsidRPr="009D64C3">
        <w:rPr>
          <w:rFonts w:asciiTheme="majorHAnsi" w:eastAsia="Calibri" w:hAnsiTheme="majorHAnsi" w:cstheme="majorHAnsi"/>
          <w:sz w:val="24"/>
          <w:szCs w:val="24"/>
          <w:lang w:val="ru-MD"/>
        </w:rPr>
        <w:t>9</w:t>
      </w:r>
      <w:r w:rsidRPr="009D64C3">
        <w:rPr>
          <w:rFonts w:asciiTheme="majorHAnsi" w:eastAsia="Calibri" w:hAnsiTheme="majorHAnsi" w:cstheme="majorHAnsi"/>
          <w:sz w:val="24"/>
          <w:szCs w:val="24"/>
          <w:lang w:val="ru-MD"/>
        </w:rPr>
        <w:t>,3</w:t>
      </w:r>
      <w:r w:rsidR="000F0F7C" w:rsidRPr="009D64C3">
        <w:rPr>
          <w:rFonts w:asciiTheme="majorHAnsi" w:eastAsia="Calibri" w:hAnsiTheme="majorHAnsi" w:cstheme="majorHAnsi"/>
          <w:sz w:val="24"/>
          <w:szCs w:val="24"/>
          <w:lang w:val="ru-MD"/>
        </w:rPr>
        <w:t>% от общего</w:t>
      </w:r>
      <w:r w:rsidR="000F0F7C" w:rsidRPr="00EF6CE2">
        <w:rPr>
          <w:rFonts w:asciiTheme="majorHAnsi" w:eastAsia="Calibri" w:hAnsiTheme="majorHAnsi" w:cstheme="majorHAnsi"/>
          <w:sz w:val="24"/>
          <w:szCs w:val="24"/>
          <w:lang w:val="ru-MD"/>
        </w:rPr>
        <w:t xml:space="preserve"> объема расходов </w:t>
      </w:r>
      <w:r>
        <w:rPr>
          <w:rFonts w:asciiTheme="majorHAnsi" w:eastAsia="Calibri" w:hAnsiTheme="majorHAnsi" w:cstheme="majorHAnsi"/>
          <w:sz w:val="24"/>
          <w:szCs w:val="24"/>
          <w:lang w:val="ru-MD"/>
        </w:rPr>
        <w:t>БГСС</w:t>
      </w:r>
      <w:r w:rsidR="000F0F7C" w:rsidRPr="00EF6CE2">
        <w:rPr>
          <w:rFonts w:asciiTheme="majorHAnsi" w:eastAsia="Calibri" w:hAnsiTheme="majorHAnsi" w:cstheme="majorHAnsi"/>
          <w:sz w:val="24"/>
          <w:szCs w:val="24"/>
          <w:lang w:val="ru-MD"/>
        </w:rPr>
        <w:t xml:space="preserve">. По сравнению с предыдущим годом, эти расходы увеличились на </w:t>
      </w:r>
      <w:r w:rsidRPr="00653E85">
        <w:rPr>
          <w:rFonts w:asciiTheme="majorHAnsi" w:eastAsia="Calibri" w:hAnsiTheme="majorHAnsi" w:cstheme="majorHAnsi"/>
          <w:sz w:val="24"/>
          <w:szCs w:val="24"/>
          <w:lang w:val="ro-MD"/>
        </w:rPr>
        <w:t>3 537,6</w:t>
      </w:r>
      <w:r w:rsidR="000F0F7C" w:rsidRPr="00EF6CE2">
        <w:rPr>
          <w:rFonts w:asciiTheme="majorHAnsi" w:eastAsia="Calibri" w:hAnsiTheme="majorHAnsi" w:cstheme="majorHAnsi"/>
          <w:sz w:val="24"/>
          <w:szCs w:val="24"/>
          <w:lang w:val="ru-MD"/>
        </w:rPr>
        <w:t xml:space="preserve"> млн. леев, или на </w:t>
      </w:r>
      <w:r>
        <w:rPr>
          <w:rFonts w:asciiTheme="majorHAnsi" w:eastAsia="Calibri" w:hAnsiTheme="majorHAnsi" w:cstheme="majorHAnsi"/>
          <w:sz w:val="24"/>
          <w:szCs w:val="24"/>
          <w:lang w:val="ru-MD"/>
        </w:rPr>
        <w:t>2</w:t>
      </w:r>
      <w:r w:rsidR="000F0F7C" w:rsidRPr="00EF6CE2">
        <w:rPr>
          <w:rFonts w:asciiTheme="majorHAnsi" w:eastAsia="Calibri" w:hAnsiTheme="majorHAnsi" w:cstheme="majorHAnsi"/>
          <w:sz w:val="24"/>
          <w:szCs w:val="24"/>
          <w:lang w:val="ru-MD"/>
        </w:rPr>
        <w:t xml:space="preserve">7%, </w:t>
      </w:r>
      <w:r w:rsidRPr="007E030A">
        <w:rPr>
          <w:rFonts w:asciiTheme="majorHAnsi" w:eastAsia="Calibri" w:hAnsiTheme="majorHAnsi" w:cstheme="majorHAnsi"/>
          <w:sz w:val="24"/>
          <w:szCs w:val="24"/>
          <w:lang w:val="ru-MD"/>
        </w:rPr>
        <w:t>этот рост произошел в результате мер, предусмотренных законодательством в области пенсий</w:t>
      </w:r>
      <w:r w:rsidRPr="00653E85">
        <w:rPr>
          <w:rStyle w:val="a5"/>
          <w:rFonts w:asciiTheme="majorHAnsi" w:eastAsia="Calibri" w:hAnsiTheme="majorHAnsi" w:cstheme="majorHAnsi"/>
          <w:sz w:val="24"/>
          <w:szCs w:val="24"/>
          <w:lang w:val="ro-MD"/>
        </w:rPr>
        <w:footnoteReference w:id="45"/>
      </w:r>
      <w:r w:rsidR="000F0F7C" w:rsidRPr="00EF6CE2">
        <w:rPr>
          <w:rFonts w:asciiTheme="majorHAnsi" w:eastAsia="Calibri" w:hAnsiTheme="majorHAnsi" w:cstheme="majorHAnsi"/>
          <w:sz w:val="24"/>
          <w:szCs w:val="24"/>
          <w:lang w:val="ru-MD"/>
        </w:rPr>
        <w:t xml:space="preserve">. </w:t>
      </w:r>
      <w:r w:rsidRPr="007E030A">
        <w:rPr>
          <w:rFonts w:asciiTheme="majorHAnsi" w:eastAsia="Calibri" w:hAnsiTheme="majorHAnsi" w:cstheme="majorHAnsi"/>
          <w:sz w:val="24"/>
          <w:szCs w:val="24"/>
          <w:lang w:val="ru-MD"/>
        </w:rPr>
        <w:t xml:space="preserve">Расходы на пенсии по возрасту составляют основную долю в общих фактических расходах на пенсии  социального страхования, </w:t>
      </w:r>
      <w:r w:rsidR="00FD764E">
        <w:rPr>
          <w:rFonts w:asciiTheme="majorHAnsi" w:eastAsia="Calibri" w:hAnsiTheme="majorHAnsi" w:cstheme="majorHAnsi"/>
          <w:sz w:val="24"/>
          <w:szCs w:val="24"/>
          <w:lang w:val="ru-MD"/>
        </w:rPr>
        <w:t xml:space="preserve">и </w:t>
      </w:r>
      <w:r w:rsidRPr="007E030A">
        <w:rPr>
          <w:rFonts w:asciiTheme="majorHAnsi" w:eastAsia="Calibri" w:hAnsiTheme="majorHAnsi" w:cstheme="majorHAnsi"/>
          <w:sz w:val="24"/>
          <w:szCs w:val="24"/>
          <w:lang w:val="ru-MD"/>
        </w:rPr>
        <w:t>составля</w:t>
      </w:r>
      <w:r w:rsidR="00FD764E">
        <w:rPr>
          <w:rFonts w:asciiTheme="majorHAnsi" w:eastAsia="Calibri" w:hAnsiTheme="majorHAnsi" w:cstheme="majorHAnsi"/>
          <w:sz w:val="24"/>
          <w:szCs w:val="24"/>
          <w:lang w:val="ru-MD"/>
        </w:rPr>
        <w:t>ют</w:t>
      </w:r>
      <w:r w:rsidRPr="007E030A">
        <w:rPr>
          <w:rFonts w:asciiTheme="majorHAnsi" w:eastAsia="Calibri" w:hAnsiTheme="majorHAnsi" w:cstheme="majorHAnsi"/>
          <w:sz w:val="24"/>
          <w:szCs w:val="24"/>
          <w:lang w:val="ru-MD"/>
        </w:rPr>
        <w:t xml:space="preserve"> около 86,6%</w:t>
      </w:r>
      <w:r w:rsidR="00683C4B" w:rsidRPr="00653E85">
        <w:rPr>
          <w:rFonts w:asciiTheme="majorHAnsi" w:eastAsia="Calibri" w:hAnsiTheme="majorHAnsi" w:cstheme="majorHAnsi"/>
          <w:sz w:val="24"/>
          <w:szCs w:val="24"/>
          <w:lang w:val="ro-MD"/>
        </w:rPr>
        <w:t>.</w:t>
      </w:r>
    </w:p>
    <w:p w14:paraId="4E08A35E" w14:textId="46FA1D3D" w:rsidR="00683C4B" w:rsidRPr="009D64C3" w:rsidRDefault="006B3173" w:rsidP="00BA754F">
      <w:pPr>
        <w:autoSpaceDE w:val="0"/>
        <w:autoSpaceDN w:val="0"/>
        <w:adjustRightInd w:val="0"/>
        <w:spacing w:line="276" w:lineRule="auto"/>
        <w:jc w:val="both"/>
        <w:rPr>
          <w:rFonts w:asciiTheme="majorHAnsi" w:eastAsia="Calibri" w:hAnsiTheme="majorHAnsi" w:cstheme="majorHAnsi"/>
          <w:sz w:val="24"/>
          <w:szCs w:val="24"/>
          <w:lang w:val="ru-MD"/>
        </w:rPr>
      </w:pPr>
      <w:r w:rsidRPr="009D64C3">
        <w:rPr>
          <w:rFonts w:asciiTheme="majorHAnsi" w:eastAsia="Calibri" w:hAnsiTheme="majorHAnsi" w:cstheme="majorHAnsi"/>
          <w:sz w:val="24"/>
          <w:szCs w:val="24"/>
          <w:lang w:val="ru-MD"/>
        </w:rPr>
        <w:t xml:space="preserve">Количество получателей пенсий по </w:t>
      </w:r>
      <w:r w:rsidR="009D64C3" w:rsidRPr="009D64C3">
        <w:rPr>
          <w:rFonts w:asciiTheme="majorHAnsi" w:eastAsia="Calibri" w:hAnsiTheme="majorHAnsi" w:cstheme="majorHAnsi"/>
          <w:sz w:val="24"/>
          <w:szCs w:val="24"/>
          <w:lang w:val="ru-MD"/>
        </w:rPr>
        <w:t>возрасту</w:t>
      </w:r>
      <w:r w:rsidRPr="009D64C3">
        <w:rPr>
          <w:rFonts w:asciiTheme="majorHAnsi" w:eastAsia="Calibri" w:hAnsiTheme="majorHAnsi" w:cstheme="majorHAnsi"/>
          <w:sz w:val="24"/>
          <w:szCs w:val="24"/>
          <w:lang w:val="ru-MD"/>
        </w:rPr>
        <w:t xml:space="preserve"> увеличилось </w:t>
      </w:r>
      <w:r w:rsidR="009D64C3" w:rsidRPr="009D64C3">
        <w:rPr>
          <w:rFonts w:asciiTheme="majorHAnsi" w:eastAsia="Calibri" w:hAnsiTheme="majorHAnsi" w:cstheme="majorHAnsi"/>
          <w:sz w:val="24"/>
          <w:szCs w:val="24"/>
          <w:lang w:val="ru-MD"/>
        </w:rPr>
        <w:t>на</w:t>
      </w:r>
      <w:r w:rsidRPr="009D64C3">
        <w:rPr>
          <w:rFonts w:asciiTheme="majorHAnsi" w:eastAsia="Calibri" w:hAnsiTheme="majorHAnsi" w:cstheme="majorHAnsi"/>
          <w:sz w:val="24"/>
          <w:szCs w:val="24"/>
          <w:lang w:val="ru-MD"/>
        </w:rPr>
        <w:t xml:space="preserve"> кон</w:t>
      </w:r>
      <w:r w:rsidR="009D64C3" w:rsidRPr="009D64C3">
        <w:rPr>
          <w:rFonts w:asciiTheme="majorHAnsi" w:eastAsia="Calibri" w:hAnsiTheme="majorHAnsi" w:cstheme="majorHAnsi"/>
          <w:sz w:val="24"/>
          <w:szCs w:val="24"/>
          <w:lang w:val="ru-MD"/>
        </w:rPr>
        <w:t>е</w:t>
      </w:r>
      <w:r w:rsidRPr="009D64C3">
        <w:rPr>
          <w:rFonts w:asciiTheme="majorHAnsi" w:eastAsia="Calibri" w:hAnsiTheme="majorHAnsi" w:cstheme="majorHAnsi"/>
          <w:sz w:val="24"/>
          <w:szCs w:val="24"/>
          <w:lang w:val="ru-MD"/>
        </w:rPr>
        <w:t>ц пр</w:t>
      </w:r>
      <w:r w:rsidR="009D64C3">
        <w:rPr>
          <w:rFonts w:asciiTheme="majorHAnsi" w:eastAsia="Calibri" w:hAnsiTheme="majorHAnsi" w:cstheme="majorHAnsi"/>
          <w:sz w:val="24"/>
          <w:szCs w:val="24"/>
          <w:lang w:val="ru-MD"/>
        </w:rPr>
        <w:t>о</w:t>
      </w:r>
      <w:r w:rsidR="009D64C3" w:rsidRPr="009D64C3">
        <w:rPr>
          <w:rFonts w:asciiTheme="majorHAnsi" w:eastAsia="Calibri" w:hAnsiTheme="majorHAnsi" w:cstheme="majorHAnsi"/>
          <w:sz w:val="24"/>
          <w:szCs w:val="24"/>
          <w:lang w:val="ru-MD"/>
        </w:rPr>
        <w:t>аудирова</w:t>
      </w:r>
      <w:r w:rsidRPr="009D64C3">
        <w:rPr>
          <w:rFonts w:asciiTheme="majorHAnsi" w:eastAsia="Calibri" w:hAnsiTheme="majorHAnsi" w:cstheme="majorHAnsi"/>
          <w:sz w:val="24"/>
          <w:szCs w:val="24"/>
          <w:lang w:val="ru-MD"/>
        </w:rPr>
        <w:t>нного года</w:t>
      </w:r>
      <w:r w:rsidR="009D64C3" w:rsidRPr="009D64C3">
        <w:rPr>
          <w:rFonts w:asciiTheme="majorHAnsi" w:eastAsia="Calibri" w:hAnsiTheme="majorHAnsi" w:cstheme="majorHAnsi"/>
          <w:sz w:val="24"/>
          <w:szCs w:val="24"/>
          <w:lang w:val="ru-MD"/>
        </w:rPr>
        <w:t>,</w:t>
      </w:r>
      <w:r w:rsidRPr="009D64C3">
        <w:rPr>
          <w:rFonts w:asciiTheme="majorHAnsi" w:eastAsia="Calibri" w:hAnsiTheme="majorHAnsi" w:cstheme="majorHAnsi"/>
          <w:sz w:val="24"/>
          <w:szCs w:val="24"/>
          <w:lang w:val="ru-MD"/>
        </w:rPr>
        <w:t xml:space="preserve"> по сравнению с его началом</w:t>
      </w:r>
      <w:r w:rsidR="009D64C3" w:rsidRPr="009D64C3">
        <w:rPr>
          <w:rFonts w:asciiTheme="majorHAnsi" w:eastAsia="Calibri" w:hAnsiTheme="majorHAnsi" w:cstheme="majorHAnsi"/>
          <w:sz w:val="24"/>
          <w:szCs w:val="24"/>
          <w:lang w:val="ru-MD"/>
        </w:rPr>
        <w:t>,</w:t>
      </w:r>
      <w:r w:rsidRPr="009D64C3">
        <w:rPr>
          <w:rFonts w:asciiTheme="majorHAnsi" w:eastAsia="Calibri" w:hAnsiTheme="majorHAnsi" w:cstheme="majorHAnsi"/>
          <w:sz w:val="24"/>
          <w:szCs w:val="24"/>
          <w:lang w:val="ru-MD"/>
        </w:rPr>
        <w:t xml:space="preserve"> на 5 090 человек. Средняя пенсия в результате мер, </w:t>
      </w:r>
      <w:r w:rsidR="009D64C3" w:rsidRPr="009D64C3">
        <w:rPr>
          <w:rFonts w:asciiTheme="majorHAnsi" w:eastAsia="Calibri" w:hAnsiTheme="majorHAnsi" w:cstheme="majorHAnsi"/>
          <w:sz w:val="24"/>
          <w:szCs w:val="24"/>
          <w:lang w:val="ru-MD"/>
        </w:rPr>
        <w:t>пред</w:t>
      </w:r>
      <w:r w:rsidRPr="009D64C3">
        <w:rPr>
          <w:rFonts w:asciiTheme="majorHAnsi" w:eastAsia="Calibri" w:hAnsiTheme="majorHAnsi" w:cstheme="majorHAnsi"/>
          <w:sz w:val="24"/>
          <w:szCs w:val="24"/>
          <w:lang w:val="ru-MD"/>
        </w:rPr>
        <w:t xml:space="preserve">принятых в течение </w:t>
      </w:r>
      <w:r w:rsidR="009D64C3" w:rsidRPr="009D64C3">
        <w:rPr>
          <w:rFonts w:asciiTheme="majorHAnsi" w:eastAsia="Calibri" w:hAnsiTheme="majorHAnsi" w:cstheme="majorHAnsi"/>
          <w:sz w:val="24"/>
          <w:szCs w:val="24"/>
          <w:lang w:val="ru-MD"/>
        </w:rPr>
        <w:t xml:space="preserve">отчетного </w:t>
      </w:r>
      <w:r w:rsidRPr="009D64C3">
        <w:rPr>
          <w:rFonts w:asciiTheme="majorHAnsi" w:eastAsia="Calibri" w:hAnsiTheme="majorHAnsi" w:cstheme="majorHAnsi"/>
          <w:sz w:val="24"/>
          <w:szCs w:val="24"/>
          <w:lang w:val="ru-MD"/>
        </w:rPr>
        <w:t>года, увеличилась на 22,0% (569,62 ле</w:t>
      </w:r>
      <w:r w:rsidR="009D64C3" w:rsidRPr="009D64C3">
        <w:rPr>
          <w:rFonts w:asciiTheme="majorHAnsi" w:eastAsia="Calibri" w:hAnsiTheme="majorHAnsi" w:cstheme="majorHAnsi"/>
          <w:sz w:val="24"/>
          <w:szCs w:val="24"/>
          <w:lang w:val="ru-MD"/>
        </w:rPr>
        <w:t>ев</w:t>
      </w:r>
      <w:r w:rsidRPr="009D64C3">
        <w:rPr>
          <w:rFonts w:asciiTheme="majorHAnsi" w:eastAsia="Calibri" w:hAnsiTheme="majorHAnsi" w:cstheme="majorHAnsi"/>
          <w:sz w:val="24"/>
          <w:szCs w:val="24"/>
          <w:lang w:val="ru-MD"/>
        </w:rPr>
        <w:t xml:space="preserve">), а по состоянию на 01.01.2023 составила 3 164,93 </w:t>
      </w:r>
      <w:r w:rsidR="009D64C3" w:rsidRPr="009D64C3">
        <w:rPr>
          <w:rFonts w:asciiTheme="majorHAnsi" w:eastAsia="Calibri" w:hAnsiTheme="majorHAnsi" w:cstheme="majorHAnsi"/>
          <w:sz w:val="24"/>
          <w:szCs w:val="24"/>
          <w:lang w:val="ru-MD"/>
        </w:rPr>
        <w:t>л</w:t>
      </w:r>
      <w:r w:rsidRPr="009D64C3">
        <w:rPr>
          <w:rFonts w:asciiTheme="majorHAnsi" w:eastAsia="Calibri" w:hAnsiTheme="majorHAnsi" w:cstheme="majorHAnsi"/>
          <w:sz w:val="24"/>
          <w:szCs w:val="24"/>
          <w:lang w:val="ru-MD"/>
        </w:rPr>
        <w:t>е</w:t>
      </w:r>
      <w:r w:rsidR="009D64C3" w:rsidRPr="009D64C3">
        <w:rPr>
          <w:rFonts w:asciiTheme="majorHAnsi" w:eastAsia="Calibri" w:hAnsiTheme="majorHAnsi" w:cstheme="majorHAnsi"/>
          <w:sz w:val="24"/>
          <w:szCs w:val="24"/>
          <w:lang w:val="ru-MD"/>
        </w:rPr>
        <w:t>ев</w:t>
      </w:r>
      <w:r w:rsidRPr="009D64C3">
        <w:rPr>
          <w:rFonts w:asciiTheme="majorHAnsi" w:eastAsia="Calibri" w:hAnsiTheme="majorHAnsi" w:cstheme="majorHAnsi"/>
          <w:sz w:val="24"/>
          <w:szCs w:val="24"/>
          <w:lang w:val="ru-MD"/>
        </w:rPr>
        <w:t xml:space="preserve">. </w:t>
      </w:r>
      <w:r w:rsidR="009D64C3" w:rsidRPr="009D64C3">
        <w:rPr>
          <w:rFonts w:asciiTheme="majorHAnsi" w:eastAsia="Calibri" w:hAnsiTheme="majorHAnsi" w:cstheme="majorHAnsi"/>
          <w:sz w:val="24"/>
          <w:szCs w:val="24"/>
          <w:lang w:val="ru-MD"/>
        </w:rPr>
        <w:t>Свыш</w:t>
      </w:r>
      <w:r w:rsidRPr="009D64C3">
        <w:rPr>
          <w:rFonts w:asciiTheme="majorHAnsi" w:eastAsia="Calibri" w:hAnsiTheme="majorHAnsi" w:cstheme="majorHAnsi"/>
          <w:sz w:val="24"/>
          <w:szCs w:val="24"/>
          <w:lang w:val="ru-MD"/>
        </w:rPr>
        <w:t>е 581 тыс. пенсионеров, пенсии которых были установлены до 1 октября 2022 года и ежемесячная сумма которых не превышала 5 000 леев, получили единовременную финансовую поддержку в размере 1 500 леев</w:t>
      </w:r>
      <w:r w:rsidR="00683C4B" w:rsidRPr="009D64C3">
        <w:rPr>
          <w:rFonts w:asciiTheme="majorHAnsi" w:eastAsia="Times New Roman" w:hAnsiTheme="majorHAnsi" w:cstheme="majorHAnsi"/>
          <w:color w:val="000000" w:themeColor="text1"/>
          <w:sz w:val="24"/>
          <w:szCs w:val="24"/>
          <w:lang w:val="ru-MD"/>
        </w:rPr>
        <w:t>.</w:t>
      </w:r>
    </w:p>
    <w:p w14:paraId="20F70D13" w14:textId="4A7E2AE3" w:rsidR="00503A10" w:rsidRPr="00695A1A" w:rsidRDefault="006B3173" w:rsidP="006B3173">
      <w:pPr>
        <w:pStyle w:val="aa"/>
        <w:numPr>
          <w:ilvl w:val="0"/>
          <w:numId w:val="4"/>
        </w:numPr>
        <w:spacing w:line="276" w:lineRule="auto"/>
        <w:ind w:left="0" w:firstLine="0"/>
        <w:contextualSpacing w:val="0"/>
        <w:jc w:val="both"/>
        <w:rPr>
          <w:rFonts w:asciiTheme="majorHAnsi" w:hAnsiTheme="majorHAnsi" w:cstheme="majorHAnsi"/>
          <w:sz w:val="24"/>
          <w:szCs w:val="24"/>
          <w:lang w:val="ru-MD"/>
        </w:rPr>
      </w:pPr>
      <w:r w:rsidRPr="00695A1A">
        <w:rPr>
          <w:rFonts w:asciiTheme="majorHAnsi" w:hAnsiTheme="majorHAnsi" w:cstheme="majorHAnsi"/>
          <w:sz w:val="24"/>
          <w:szCs w:val="24"/>
          <w:lang w:val="ru-MD"/>
        </w:rPr>
        <w:t xml:space="preserve">В 2022 году на расходы по выплате </w:t>
      </w:r>
      <w:r w:rsidRPr="00695A1A">
        <w:rPr>
          <w:rFonts w:asciiTheme="majorHAnsi" w:hAnsiTheme="majorHAnsi" w:cstheme="majorHAnsi"/>
          <w:b/>
          <w:i/>
          <w:sz w:val="24"/>
          <w:szCs w:val="24"/>
          <w:lang w:val="ru-MD"/>
        </w:rPr>
        <w:t xml:space="preserve">пенсий по </w:t>
      </w:r>
      <w:r w:rsidR="00C070F9" w:rsidRPr="00695A1A">
        <w:rPr>
          <w:rFonts w:asciiTheme="majorHAnsi" w:hAnsiTheme="majorHAnsi" w:cstheme="majorHAnsi"/>
          <w:b/>
          <w:i/>
          <w:sz w:val="24"/>
          <w:szCs w:val="24"/>
          <w:lang w:val="ru-MD"/>
        </w:rPr>
        <w:t>ограниченным возможностям</w:t>
      </w:r>
      <w:r w:rsidRPr="00695A1A">
        <w:rPr>
          <w:rFonts w:asciiTheme="majorHAnsi" w:hAnsiTheme="majorHAnsi" w:cstheme="majorHAnsi"/>
          <w:sz w:val="24"/>
          <w:szCs w:val="24"/>
          <w:lang w:val="ru-MD"/>
        </w:rPr>
        <w:t xml:space="preserve"> изначально были предусмотрены финансовые средства в размере 2 273,8 млн. </w:t>
      </w:r>
      <w:r w:rsidR="00695A1A" w:rsidRPr="00695A1A">
        <w:rPr>
          <w:rFonts w:asciiTheme="majorHAnsi" w:hAnsiTheme="majorHAnsi" w:cstheme="majorHAnsi"/>
          <w:sz w:val="24"/>
          <w:szCs w:val="24"/>
          <w:lang w:val="ru-MD"/>
        </w:rPr>
        <w:t>леев</w:t>
      </w:r>
      <w:r w:rsidRPr="00695A1A">
        <w:rPr>
          <w:rFonts w:asciiTheme="majorHAnsi" w:hAnsiTheme="majorHAnsi" w:cstheme="majorHAnsi"/>
          <w:sz w:val="24"/>
          <w:szCs w:val="24"/>
          <w:lang w:val="ru-MD"/>
        </w:rPr>
        <w:t>, которые в течение года были уточнены путем увеличения до 2 278,7 млн. ле</w:t>
      </w:r>
      <w:r w:rsidR="00695A1A" w:rsidRPr="00695A1A">
        <w:rPr>
          <w:rFonts w:asciiTheme="majorHAnsi" w:hAnsiTheme="majorHAnsi" w:cstheme="majorHAnsi"/>
          <w:sz w:val="24"/>
          <w:szCs w:val="24"/>
          <w:lang w:val="ru-MD"/>
        </w:rPr>
        <w:t>ев</w:t>
      </w:r>
      <w:r w:rsidRPr="00695A1A">
        <w:rPr>
          <w:rFonts w:asciiTheme="majorHAnsi" w:hAnsiTheme="majorHAnsi" w:cstheme="majorHAnsi"/>
          <w:sz w:val="24"/>
          <w:szCs w:val="24"/>
          <w:lang w:val="ru-MD"/>
        </w:rPr>
        <w:t xml:space="preserve">. Фактические расходы были </w:t>
      </w:r>
      <w:r w:rsidR="00695A1A" w:rsidRPr="00695A1A">
        <w:rPr>
          <w:rFonts w:asciiTheme="majorHAnsi" w:hAnsiTheme="majorHAnsi" w:cstheme="majorHAnsi"/>
          <w:sz w:val="24"/>
          <w:szCs w:val="24"/>
          <w:lang w:val="ru-MD"/>
        </w:rPr>
        <w:t>ис</w:t>
      </w:r>
      <w:r w:rsidRPr="00695A1A">
        <w:rPr>
          <w:rFonts w:asciiTheme="majorHAnsi" w:hAnsiTheme="majorHAnsi" w:cstheme="majorHAnsi"/>
          <w:sz w:val="24"/>
          <w:szCs w:val="24"/>
          <w:lang w:val="ru-MD"/>
        </w:rPr>
        <w:t>полнены в размере 2 256,7 млн. ле</w:t>
      </w:r>
      <w:r w:rsidR="00695A1A" w:rsidRPr="00695A1A">
        <w:rPr>
          <w:rFonts w:asciiTheme="majorHAnsi" w:hAnsiTheme="majorHAnsi" w:cstheme="majorHAnsi"/>
          <w:sz w:val="24"/>
          <w:szCs w:val="24"/>
          <w:lang w:val="ru-MD"/>
        </w:rPr>
        <w:t>ев</w:t>
      </w:r>
      <w:r w:rsidRPr="00695A1A">
        <w:rPr>
          <w:rFonts w:asciiTheme="majorHAnsi" w:hAnsiTheme="majorHAnsi" w:cstheme="majorHAnsi"/>
          <w:sz w:val="24"/>
          <w:szCs w:val="24"/>
          <w:lang w:val="ru-MD"/>
        </w:rPr>
        <w:t xml:space="preserve">, или 6,7% от общего объема расходов </w:t>
      </w:r>
      <w:r w:rsidR="00695A1A" w:rsidRPr="00695A1A">
        <w:rPr>
          <w:rFonts w:asciiTheme="majorHAnsi" w:hAnsiTheme="majorHAnsi" w:cstheme="majorHAnsi"/>
          <w:sz w:val="24"/>
          <w:szCs w:val="24"/>
          <w:lang w:val="ru-MD"/>
        </w:rPr>
        <w:t>БГСС</w:t>
      </w:r>
      <w:r w:rsidRPr="00695A1A">
        <w:rPr>
          <w:rFonts w:asciiTheme="majorHAnsi" w:hAnsiTheme="majorHAnsi" w:cstheme="majorHAnsi"/>
          <w:sz w:val="24"/>
          <w:szCs w:val="24"/>
          <w:lang w:val="ru-MD"/>
        </w:rPr>
        <w:t>. По сравнению с предыдущим годом</w:t>
      </w:r>
      <w:r w:rsidR="00695A1A" w:rsidRPr="00695A1A">
        <w:rPr>
          <w:rFonts w:asciiTheme="majorHAnsi" w:hAnsiTheme="majorHAnsi" w:cstheme="majorHAnsi"/>
          <w:sz w:val="24"/>
          <w:szCs w:val="24"/>
          <w:lang w:val="ru-MD"/>
        </w:rPr>
        <w:t>,</w:t>
      </w:r>
      <w:r w:rsidRPr="00695A1A">
        <w:rPr>
          <w:rFonts w:asciiTheme="majorHAnsi" w:hAnsiTheme="majorHAnsi" w:cstheme="majorHAnsi"/>
          <w:sz w:val="24"/>
          <w:szCs w:val="24"/>
          <w:lang w:val="ru-MD"/>
        </w:rPr>
        <w:t xml:space="preserve"> эти расходы увеличились на 235,9 млн. ле</w:t>
      </w:r>
      <w:r w:rsidR="00695A1A" w:rsidRPr="00695A1A">
        <w:rPr>
          <w:rFonts w:asciiTheme="majorHAnsi" w:hAnsiTheme="majorHAnsi" w:cstheme="majorHAnsi"/>
          <w:sz w:val="24"/>
          <w:szCs w:val="24"/>
          <w:lang w:val="ru-MD"/>
        </w:rPr>
        <w:t>ев</w:t>
      </w:r>
      <w:r w:rsidRPr="00695A1A">
        <w:rPr>
          <w:rFonts w:asciiTheme="majorHAnsi" w:hAnsiTheme="majorHAnsi" w:cstheme="majorHAnsi"/>
          <w:sz w:val="24"/>
          <w:szCs w:val="24"/>
          <w:lang w:val="ru-MD"/>
        </w:rPr>
        <w:t xml:space="preserve">, или на 11,7%. Число получателей на 1 января 2023 года составило 102 225 человек, что на 8 631 человек меньше, чем в предыдущем году. Средняя пенсия по </w:t>
      </w:r>
      <w:r w:rsidR="00695A1A" w:rsidRPr="00695A1A">
        <w:rPr>
          <w:rFonts w:asciiTheme="majorHAnsi" w:hAnsiTheme="majorHAnsi" w:cstheme="majorHAnsi"/>
          <w:sz w:val="24"/>
          <w:szCs w:val="24"/>
          <w:lang w:val="ru-MD"/>
        </w:rPr>
        <w:t>ограниченным возможностям</w:t>
      </w:r>
      <w:r w:rsidRPr="00695A1A">
        <w:rPr>
          <w:rFonts w:asciiTheme="majorHAnsi" w:hAnsiTheme="majorHAnsi" w:cstheme="majorHAnsi"/>
          <w:sz w:val="24"/>
          <w:szCs w:val="24"/>
          <w:lang w:val="ru-MD"/>
        </w:rPr>
        <w:t xml:space="preserve"> </w:t>
      </w:r>
      <w:r w:rsidR="00695A1A" w:rsidRPr="00695A1A">
        <w:rPr>
          <w:rFonts w:asciiTheme="majorHAnsi" w:hAnsiTheme="majorHAnsi" w:cstheme="majorHAnsi"/>
          <w:sz w:val="24"/>
          <w:szCs w:val="24"/>
          <w:lang w:val="ru-MD"/>
        </w:rPr>
        <w:t xml:space="preserve">на </w:t>
      </w:r>
      <w:r w:rsidRPr="00695A1A">
        <w:rPr>
          <w:rFonts w:asciiTheme="majorHAnsi" w:hAnsiTheme="majorHAnsi" w:cstheme="majorHAnsi"/>
          <w:sz w:val="24"/>
          <w:szCs w:val="24"/>
          <w:lang w:val="ru-MD"/>
        </w:rPr>
        <w:t>1 января 2023 года составила 2 104,28 ле</w:t>
      </w:r>
      <w:r w:rsidR="00695A1A" w:rsidRPr="00695A1A">
        <w:rPr>
          <w:rFonts w:asciiTheme="majorHAnsi" w:hAnsiTheme="majorHAnsi" w:cstheme="majorHAnsi"/>
          <w:sz w:val="24"/>
          <w:szCs w:val="24"/>
          <w:lang w:val="ru-MD"/>
        </w:rPr>
        <w:t>ев</w:t>
      </w:r>
      <w:r w:rsidRPr="00695A1A">
        <w:rPr>
          <w:rFonts w:asciiTheme="majorHAnsi" w:hAnsiTheme="majorHAnsi" w:cstheme="majorHAnsi"/>
          <w:sz w:val="24"/>
          <w:szCs w:val="24"/>
          <w:lang w:val="ru-MD"/>
        </w:rPr>
        <w:t>, что на 21,2% больше, чем в 2021 году</w:t>
      </w:r>
      <w:r w:rsidR="00503A10" w:rsidRPr="00695A1A">
        <w:rPr>
          <w:rFonts w:asciiTheme="majorHAnsi" w:hAnsiTheme="majorHAnsi" w:cstheme="majorHAnsi"/>
          <w:sz w:val="24"/>
          <w:szCs w:val="24"/>
          <w:lang w:val="ru-MD"/>
        </w:rPr>
        <w:t>.</w:t>
      </w:r>
    </w:p>
    <w:p w14:paraId="19CB30E6" w14:textId="4E1E7884" w:rsidR="00503A10" w:rsidRPr="00695A1A" w:rsidRDefault="006B3173" w:rsidP="006B3173">
      <w:pPr>
        <w:pStyle w:val="aa"/>
        <w:numPr>
          <w:ilvl w:val="0"/>
          <w:numId w:val="4"/>
        </w:numPr>
        <w:spacing w:line="276" w:lineRule="auto"/>
        <w:ind w:left="0" w:firstLine="0"/>
        <w:contextualSpacing w:val="0"/>
        <w:jc w:val="both"/>
        <w:rPr>
          <w:rFonts w:asciiTheme="majorHAnsi" w:hAnsiTheme="majorHAnsi" w:cstheme="majorHAnsi"/>
          <w:sz w:val="24"/>
          <w:szCs w:val="24"/>
          <w:lang w:val="ru-MD"/>
        </w:rPr>
      </w:pPr>
      <w:r w:rsidRPr="00695A1A">
        <w:rPr>
          <w:rFonts w:asciiTheme="majorHAnsi" w:hAnsiTheme="majorHAnsi" w:cstheme="majorHAnsi"/>
          <w:b/>
          <w:i/>
          <w:sz w:val="24"/>
          <w:szCs w:val="24"/>
          <w:shd w:val="clear" w:color="auto" w:fill="FFFFFF"/>
          <w:lang w:val="ru-MD"/>
        </w:rPr>
        <w:t xml:space="preserve">Пенсия по случаю потери кормильца </w:t>
      </w:r>
      <w:r w:rsidRPr="00695A1A">
        <w:rPr>
          <w:rFonts w:asciiTheme="majorHAnsi" w:hAnsiTheme="majorHAnsi" w:cstheme="majorHAnsi"/>
          <w:sz w:val="24"/>
          <w:szCs w:val="24"/>
          <w:shd w:val="clear" w:color="auto" w:fill="FFFFFF"/>
          <w:lang w:val="ru-MD"/>
        </w:rPr>
        <w:t>- это пособие, которым пользуются 11 573 человека. В 2022 году расходы на выплату пенсий по случаю потери кормильца составили 303,7 млн.</w:t>
      </w:r>
      <w:r w:rsidR="00695A1A" w:rsidRPr="00695A1A">
        <w:rPr>
          <w:rFonts w:asciiTheme="majorHAnsi" w:hAnsiTheme="majorHAnsi" w:cstheme="majorHAnsi"/>
          <w:sz w:val="24"/>
          <w:szCs w:val="24"/>
          <w:shd w:val="clear" w:color="auto" w:fill="FFFFFF"/>
          <w:lang w:val="ru-MD"/>
        </w:rPr>
        <w:t xml:space="preserve"> </w:t>
      </w:r>
      <w:r w:rsidRPr="00695A1A">
        <w:rPr>
          <w:rFonts w:asciiTheme="majorHAnsi" w:hAnsiTheme="majorHAnsi" w:cstheme="majorHAnsi"/>
          <w:sz w:val="24"/>
          <w:szCs w:val="24"/>
          <w:shd w:val="clear" w:color="auto" w:fill="FFFFFF"/>
          <w:lang w:val="ru-MD"/>
        </w:rPr>
        <w:t>ле</w:t>
      </w:r>
      <w:r w:rsidR="00695A1A" w:rsidRPr="00695A1A">
        <w:rPr>
          <w:rFonts w:asciiTheme="majorHAnsi" w:hAnsiTheme="majorHAnsi" w:cstheme="majorHAnsi"/>
          <w:sz w:val="24"/>
          <w:szCs w:val="24"/>
          <w:shd w:val="clear" w:color="auto" w:fill="FFFFFF"/>
          <w:lang w:val="ru-MD"/>
        </w:rPr>
        <w:t>ев</w:t>
      </w:r>
      <w:r w:rsidRPr="00695A1A">
        <w:rPr>
          <w:rFonts w:asciiTheme="majorHAnsi" w:hAnsiTheme="majorHAnsi" w:cstheme="majorHAnsi"/>
          <w:sz w:val="24"/>
          <w:szCs w:val="24"/>
          <w:shd w:val="clear" w:color="auto" w:fill="FFFFFF"/>
          <w:lang w:val="ru-MD"/>
        </w:rPr>
        <w:t xml:space="preserve">, или 0,9% от общего объема расходов </w:t>
      </w:r>
      <w:r w:rsidR="00695A1A" w:rsidRPr="00695A1A">
        <w:rPr>
          <w:rFonts w:asciiTheme="majorHAnsi" w:hAnsiTheme="majorHAnsi" w:cstheme="majorHAnsi"/>
          <w:sz w:val="24"/>
          <w:szCs w:val="24"/>
          <w:shd w:val="clear" w:color="auto" w:fill="FFFFFF"/>
          <w:lang w:val="ru-MD"/>
        </w:rPr>
        <w:t>БГСС</w:t>
      </w:r>
      <w:r w:rsidRPr="00695A1A">
        <w:rPr>
          <w:rFonts w:asciiTheme="majorHAnsi" w:hAnsiTheme="majorHAnsi" w:cstheme="majorHAnsi"/>
          <w:sz w:val="24"/>
          <w:szCs w:val="24"/>
          <w:shd w:val="clear" w:color="auto" w:fill="FFFFFF"/>
          <w:lang w:val="ru-MD"/>
        </w:rPr>
        <w:t>. По сравнению с предыдущим годом</w:t>
      </w:r>
      <w:r w:rsidR="00695A1A" w:rsidRPr="00695A1A">
        <w:rPr>
          <w:rFonts w:asciiTheme="majorHAnsi" w:hAnsiTheme="majorHAnsi" w:cstheme="majorHAnsi"/>
          <w:sz w:val="24"/>
          <w:szCs w:val="24"/>
          <w:shd w:val="clear" w:color="auto" w:fill="FFFFFF"/>
          <w:lang w:val="ru-MD"/>
        </w:rPr>
        <w:t>,</w:t>
      </w:r>
      <w:r w:rsidRPr="00695A1A">
        <w:rPr>
          <w:rFonts w:asciiTheme="majorHAnsi" w:hAnsiTheme="majorHAnsi" w:cstheme="majorHAnsi"/>
          <w:sz w:val="24"/>
          <w:szCs w:val="24"/>
          <w:shd w:val="clear" w:color="auto" w:fill="FFFFFF"/>
          <w:lang w:val="ru-MD"/>
        </w:rPr>
        <w:t xml:space="preserve"> эти расходы выросли на 80,8 млн. леев, или на 73,4%, это увеличение прои</w:t>
      </w:r>
      <w:r w:rsidR="00695A1A" w:rsidRPr="00695A1A">
        <w:rPr>
          <w:rFonts w:asciiTheme="majorHAnsi" w:hAnsiTheme="majorHAnsi" w:cstheme="majorHAnsi"/>
          <w:sz w:val="24"/>
          <w:szCs w:val="24"/>
          <w:shd w:val="clear" w:color="auto" w:fill="FFFFFF"/>
          <w:lang w:val="ru-MD"/>
        </w:rPr>
        <w:t>зошло</w:t>
      </w:r>
      <w:r w:rsidRPr="00695A1A">
        <w:rPr>
          <w:rFonts w:asciiTheme="majorHAnsi" w:hAnsiTheme="majorHAnsi" w:cstheme="majorHAnsi"/>
          <w:sz w:val="24"/>
          <w:szCs w:val="24"/>
          <w:shd w:val="clear" w:color="auto" w:fill="FFFFFF"/>
          <w:lang w:val="ru-MD"/>
        </w:rPr>
        <w:t xml:space="preserve"> в результате мер, предусмотренных законодательством в области государственных пенсий, и </w:t>
      </w:r>
      <w:r w:rsidR="00695A1A">
        <w:rPr>
          <w:rFonts w:asciiTheme="majorHAnsi" w:hAnsiTheme="majorHAnsi" w:cstheme="majorHAnsi"/>
          <w:sz w:val="24"/>
          <w:szCs w:val="24"/>
          <w:shd w:val="clear" w:color="auto" w:fill="FFFFFF"/>
          <w:lang w:val="ru-MD"/>
        </w:rPr>
        <w:t>провед</w:t>
      </w:r>
      <w:r w:rsidRPr="00695A1A">
        <w:rPr>
          <w:rFonts w:asciiTheme="majorHAnsi" w:hAnsiTheme="majorHAnsi" w:cstheme="majorHAnsi"/>
          <w:sz w:val="24"/>
          <w:szCs w:val="24"/>
          <w:shd w:val="clear" w:color="auto" w:fill="FFFFFF"/>
          <w:lang w:val="ru-MD"/>
        </w:rPr>
        <w:t>ения их индексации в течение 2022 года</w:t>
      </w:r>
      <w:r w:rsidR="00503A10" w:rsidRPr="00695A1A">
        <w:rPr>
          <w:rFonts w:asciiTheme="majorHAnsi" w:hAnsiTheme="majorHAnsi" w:cstheme="majorHAnsi"/>
          <w:sz w:val="24"/>
          <w:szCs w:val="24"/>
          <w:lang w:val="ru-MD"/>
        </w:rPr>
        <w:t>.</w:t>
      </w:r>
    </w:p>
    <w:p w14:paraId="765ABB5C" w14:textId="21C9BDCA" w:rsidR="006F7D98" w:rsidRPr="004C5D7E" w:rsidRDefault="006B3173" w:rsidP="006B3173">
      <w:pPr>
        <w:pStyle w:val="aa"/>
        <w:numPr>
          <w:ilvl w:val="0"/>
          <w:numId w:val="4"/>
        </w:numPr>
        <w:tabs>
          <w:tab w:val="left" w:pos="360"/>
          <w:tab w:val="left" w:pos="450"/>
        </w:tabs>
        <w:spacing w:after="0" w:line="276" w:lineRule="auto"/>
        <w:ind w:left="0" w:firstLine="0"/>
        <w:contextualSpacing w:val="0"/>
        <w:jc w:val="both"/>
        <w:rPr>
          <w:rFonts w:asciiTheme="majorHAnsi" w:hAnsiTheme="majorHAnsi" w:cstheme="majorHAnsi"/>
          <w:b/>
          <w:i/>
          <w:sz w:val="24"/>
          <w:szCs w:val="24"/>
          <w:lang w:val="ru-MD"/>
        </w:rPr>
      </w:pPr>
      <w:r w:rsidRPr="004C5D7E">
        <w:rPr>
          <w:rFonts w:asciiTheme="majorHAnsi" w:hAnsiTheme="majorHAnsi" w:cstheme="majorHAnsi"/>
          <w:sz w:val="24"/>
          <w:szCs w:val="24"/>
          <w:lang w:val="ru-MD"/>
        </w:rPr>
        <w:t xml:space="preserve">С 1 января 2022 года была создана новая пенсионная категория, </w:t>
      </w:r>
      <w:r w:rsidRPr="004C5D7E">
        <w:rPr>
          <w:rFonts w:asciiTheme="majorHAnsi" w:hAnsiTheme="majorHAnsi" w:cstheme="majorHAnsi"/>
          <w:b/>
          <w:i/>
          <w:sz w:val="24"/>
          <w:szCs w:val="24"/>
          <w:lang w:val="ru-MD"/>
        </w:rPr>
        <w:t>досрочная пенсия за долгую карьеру</w:t>
      </w:r>
      <w:r w:rsidR="004C5D7E" w:rsidRPr="004C5D7E">
        <w:rPr>
          <w:rStyle w:val="a5"/>
          <w:rFonts w:asciiTheme="majorHAnsi" w:hAnsiTheme="majorHAnsi" w:cstheme="majorHAnsi"/>
          <w:b/>
          <w:i/>
          <w:sz w:val="24"/>
          <w:szCs w:val="24"/>
          <w:lang w:val="ru-MD"/>
        </w:rPr>
        <w:footnoteReference w:id="46"/>
      </w:r>
      <w:r w:rsidRPr="004C5D7E">
        <w:rPr>
          <w:rFonts w:asciiTheme="majorHAnsi" w:hAnsiTheme="majorHAnsi" w:cstheme="majorHAnsi"/>
          <w:sz w:val="24"/>
          <w:szCs w:val="24"/>
          <w:lang w:val="ru-MD"/>
        </w:rPr>
        <w:t xml:space="preserve">. Этот тип </w:t>
      </w:r>
      <w:r w:rsidR="004C5D7E" w:rsidRPr="004C5D7E">
        <w:rPr>
          <w:rFonts w:asciiTheme="majorHAnsi" w:hAnsiTheme="majorHAnsi" w:cstheme="majorHAnsi"/>
          <w:sz w:val="24"/>
          <w:szCs w:val="24"/>
          <w:lang w:val="ru-MD"/>
        </w:rPr>
        <w:t>выплаты</w:t>
      </w:r>
      <w:r w:rsidRPr="004C5D7E">
        <w:rPr>
          <w:rFonts w:asciiTheme="majorHAnsi" w:hAnsiTheme="majorHAnsi" w:cstheme="majorHAnsi"/>
          <w:sz w:val="24"/>
          <w:szCs w:val="24"/>
          <w:lang w:val="ru-MD"/>
        </w:rPr>
        <w:t xml:space="preserve"> предоставляется лицам, </w:t>
      </w:r>
      <w:r w:rsidR="004C5D7E" w:rsidRPr="004C5D7E">
        <w:rPr>
          <w:rFonts w:asciiTheme="majorHAnsi" w:hAnsiTheme="majorHAnsi" w:cstheme="majorHAnsi"/>
          <w:sz w:val="24"/>
          <w:szCs w:val="24"/>
          <w:lang w:val="ru-MD"/>
        </w:rPr>
        <w:t>реализующ</w:t>
      </w:r>
      <w:r w:rsidRPr="004C5D7E">
        <w:rPr>
          <w:rFonts w:asciiTheme="majorHAnsi" w:hAnsiTheme="majorHAnsi" w:cstheme="majorHAnsi"/>
          <w:sz w:val="24"/>
          <w:szCs w:val="24"/>
          <w:lang w:val="ru-MD"/>
        </w:rPr>
        <w:t xml:space="preserve">им </w:t>
      </w:r>
      <w:r w:rsidR="004C5D7E" w:rsidRPr="004C5D7E">
        <w:rPr>
          <w:rFonts w:asciiTheme="majorHAnsi" w:hAnsiTheme="majorHAnsi" w:cstheme="majorHAnsi"/>
          <w:sz w:val="24"/>
          <w:szCs w:val="24"/>
          <w:lang w:val="ru-MD"/>
        </w:rPr>
        <w:t>страховой стаж</w:t>
      </w:r>
      <w:r w:rsidRPr="004C5D7E">
        <w:rPr>
          <w:rFonts w:asciiTheme="majorHAnsi" w:hAnsiTheme="majorHAnsi" w:cstheme="majorHAnsi"/>
          <w:sz w:val="24"/>
          <w:szCs w:val="24"/>
          <w:lang w:val="ru-MD"/>
        </w:rPr>
        <w:t xml:space="preserve"> на 5 лет для мужчин и на 3 года для женщин </w:t>
      </w:r>
      <w:r w:rsidR="004C5D7E" w:rsidRPr="004C5D7E">
        <w:rPr>
          <w:rFonts w:asciiTheme="majorHAnsi" w:hAnsiTheme="majorHAnsi" w:cstheme="majorHAnsi"/>
          <w:sz w:val="24"/>
          <w:szCs w:val="24"/>
          <w:lang w:val="ru-MD"/>
        </w:rPr>
        <w:t>боль</w:t>
      </w:r>
      <w:r w:rsidRPr="004C5D7E">
        <w:rPr>
          <w:rFonts w:asciiTheme="majorHAnsi" w:hAnsiTheme="majorHAnsi" w:cstheme="majorHAnsi"/>
          <w:sz w:val="24"/>
          <w:szCs w:val="24"/>
          <w:lang w:val="ru-MD"/>
        </w:rPr>
        <w:t>ше, чем предусмотрено действующим законодательством</w:t>
      </w:r>
      <w:r w:rsidR="004C5D7E" w:rsidRPr="004C5D7E">
        <w:rPr>
          <w:rStyle w:val="a5"/>
          <w:rFonts w:cstheme="majorHAnsi"/>
          <w:sz w:val="24"/>
          <w:szCs w:val="24"/>
          <w:lang w:val="ru-MD"/>
        </w:rPr>
        <w:footnoteReference w:id="47"/>
      </w:r>
      <w:r w:rsidRPr="004C5D7E">
        <w:rPr>
          <w:rFonts w:asciiTheme="majorHAnsi" w:hAnsiTheme="majorHAnsi" w:cstheme="majorHAnsi"/>
          <w:sz w:val="24"/>
          <w:szCs w:val="24"/>
          <w:lang w:val="ru-MD"/>
        </w:rPr>
        <w:t xml:space="preserve">. </w:t>
      </w:r>
      <w:r w:rsidR="004C5D7E" w:rsidRPr="004C5D7E">
        <w:rPr>
          <w:rFonts w:asciiTheme="majorHAnsi" w:hAnsiTheme="majorHAnsi" w:cstheme="majorHAnsi"/>
          <w:sz w:val="24"/>
          <w:szCs w:val="24"/>
          <w:lang w:val="ru-MD"/>
        </w:rPr>
        <w:t>П</w:t>
      </w:r>
      <w:r w:rsidRPr="004C5D7E">
        <w:rPr>
          <w:rFonts w:asciiTheme="majorHAnsi" w:hAnsiTheme="majorHAnsi" w:cstheme="majorHAnsi"/>
          <w:sz w:val="24"/>
          <w:szCs w:val="24"/>
          <w:lang w:val="ru-MD"/>
        </w:rPr>
        <w:t xml:space="preserve">равом досрочного выхода на пенсию </w:t>
      </w:r>
      <w:r w:rsidR="004C5D7E" w:rsidRPr="004C5D7E">
        <w:rPr>
          <w:rFonts w:asciiTheme="majorHAnsi" w:hAnsiTheme="majorHAnsi" w:cstheme="majorHAnsi"/>
          <w:sz w:val="24"/>
          <w:szCs w:val="24"/>
          <w:lang w:val="ru-MD"/>
        </w:rPr>
        <w:t>з</w:t>
      </w:r>
      <w:r w:rsidRPr="004C5D7E">
        <w:rPr>
          <w:rFonts w:asciiTheme="majorHAnsi" w:hAnsiTheme="majorHAnsi" w:cstheme="majorHAnsi"/>
          <w:sz w:val="24"/>
          <w:szCs w:val="24"/>
          <w:lang w:val="ru-MD"/>
        </w:rPr>
        <w:t xml:space="preserve">а долгую карьеру в течение 2022 года было </w:t>
      </w:r>
      <w:r w:rsidR="004C5D7E" w:rsidRPr="004C5D7E">
        <w:rPr>
          <w:rFonts w:asciiTheme="majorHAnsi" w:hAnsiTheme="majorHAnsi" w:cstheme="majorHAnsi"/>
          <w:sz w:val="24"/>
          <w:szCs w:val="24"/>
          <w:lang w:val="ru-MD"/>
        </w:rPr>
        <w:t>обеспече</w:t>
      </w:r>
      <w:r w:rsidRPr="004C5D7E">
        <w:rPr>
          <w:rFonts w:asciiTheme="majorHAnsi" w:hAnsiTheme="majorHAnsi" w:cstheme="majorHAnsi"/>
          <w:sz w:val="24"/>
          <w:szCs w:val="24"/>
          <w:lang w:val="ru-MD"/>
        </w:rPr>
        <w:t xml:space="preserve">но более 4 800 бенефициаров, при этом фактические расходы на выплату </w:t>
      </w:r>
      <w:r w:rsidR="004C5D7E" w:rsidRPr="004C5D7E">
        <w:rPr>
          <w:rFonts w:asciiTheme="majorHAnsi" w:hAnsiTheme="majorHAnsi" w:cstheme="majorHAnsi"/>
          <w:sz w:val="24"/>
          <w:szCs w:val="24"/>
          <w:lang w:val="ru-MD"/>
        </w:rPr>
        <w:t>пенсии</w:t>
      </w:r>
      <w:r w:rsidRPr="004C5D7E">
        <w:rPr>
          <w:rFonts w:asciiTheme="majorHAnsi" w:hAnsiTheme="majorHAnsi" w:cstheme="majorHAnsi"/>
          <w:sz w:val="24"/>
          <w:szCs w:val="24"/>
          <w:lang w:val="ru-MD"/>
        </w:rPr>
        <w:t xml:space="preserve"> составили 297,1 млн. леев, или 1,5% от всех пенсий социально</w:t>
      </w:r>
      <w:r w:rsidR="004C5D7E" w:rsidRPr="004C5D7E">
        <w:rPr>
          <w:rFonts w:asciiTheme="majorHAnsi" w:hAnsiTheme="majorHAnsi" w:cstheme="majorHAnsi"/>
          <w:sz w:val="24"/>
          <w:szCs w:val="24"/>
          <w:lang w:val="ru-MD"/>
        </w:rPr>
        <w:t>го страхования.</w:t>
      </w:r>
    </w:p>
    <w:p w14:paraId="605EBA10" w14:textId="540A6B90" w:rsidR="001C1A48" w:rsidRPr="00FB328F" w:rsidRDefault="006B3173" w:rsidP="00683C4B">
      <w:pPr>
        <w:spacing w:before="240" w:after="0" w:line="276" w:lineRule="auto"/>
        <w:jc w:val="both"/>
        <w:rPr>
          <w:rFonts w:asciiTheme="majorHAnsi" w:hAnsiTheme="majorHAnsi" w:cstheme="majorHAnsi"/>
          <w:sz w:val="24"/>
          <w:szCs w:val="24"/>
          <w:lang w:val="ru-MD"/>
        </w:rPr>
      </w:pPr>
      <w:r w:rsidRPr="00FB328F">
        <w:rPr>
          <w:rFonts w:asciiTheme="majorHAnsi" w:eastAsia="Calibri" w:hAnsiTheme="majorHAnsi" w:cstheme="majorHAnsi"/>
          <w:sz w:val="24"/>
          <w:szCs w:val="24"/>
          <w:lang w:val="ru-MD"/>
        </w:rPr>
        <w:t xml:space="preserve">Для начисления пенсий, Информационная система </w:t>
      </w:r>
      <w:r w:rsidRPr="00FB328F">
        <w:rPr>
          <w:rFonts w:asciiTheme="majorHAnsi" w:hAnsiTheme="majorHAnsi" w:cstheme="majorHAnsi"/>
          <w:sz w:val="24"/>
          <w:szCs w:val="24"/>
          <w:lang w:val="ru-MD"/>
        </w:rPr>
        <w:t>„</w:t>
      </w:r>
      <w:r w:rsidRPr="00FB328F">
        <w:rPr>
          <w:rFonts w:asciiTheme="majorHAnsi" w:eastAsia="Calibri" w:hAnsiTheme="majorHAnsi" w:cstheme="majorHAnsi"/>
          <w:sz w:val="24"/>
          <w:szCs w:val="24"/>
          <w:lang w:val="ru-MD"/>
        </w:rPr>
        <w:t>Социальная защита</w:t>
      </w:r>
      <w:r w:rsidRPr="00FB328F">
        <w:rPr>
          <w:rFonts w:asciiTheme="majorHAnsi" w:hAnsiTheme="majorHAnsi" w:cstheme="majorHAnsi"/>
          <w:sz w:val="24"/>
          <w:szCs w:val="24"/>
          <w:lang w:val="ru-MD"/>
        </w:rPr>
        <w:t>”</w:t>
      </w:r>
      <w:r w:rsidRPr="00FB328F">
        <w:rPr>
          <w:rFonts w:asciiTheme="majorHAnsi" w:eastAsia="Calibri" w:hAnsiTheme="majorHAnsi" w:cstheme="majorHAnsi"/>
          <w:sz w:val="24"/>
          <w:szCs w:val="24"/>
          <w:lang w:val="ru-MD"/>
        </w:rPr>
        <w:t xml:space="preserve"> генерирует и осуществляет расчеты исходя из данных, введенных специалистами при установлении/перерасчете пенсий. Так, была подтверждена правильность регистрации данных в ИС, и в результате сопоставления данных из документов, приложенных к делу получателя, не были выявлены расхождения в точности расчетов. Кроме того, при проверке правильности установления/перерасчета пенсий по возрасту, ограничению возможностей,</w:t>
      </w:r>
      <w:r w:rsidR="00E740D3" w:rsidRPr="00FB328F">
        <w:rPr>
          <w:rFonts w:asciiTheme="majorHAnsi" w:eastAsia="Calibri" w:hAnsiTheme="majorHAnsi" w:cstheme="majorHAnsi"/>
          <w:sz w:val="24"/>
          <w:szCs w:val="24"/>
          <w:lang w:val="ru-MD"/>
        </w:rPr>
        <w:t xml:space="preserve"> потере кормильца и досрочной пенсии,</w:t>
      </w:r>
      <w:r w:rsidRPr="00FB328F">
        <w:rPr>
          <w:rFonts w:asciiTheme="majorHAnsi" w:eastAsia="Calibri" w:hAnsiTheme="majorHAnsi" w:cstheme="majorHAnsi"/>
          <w:sz w:val="24"/>
          <w:szCs w:val="24"/>
          <w:lang w:val="ru-MD"/>
        </w:rPr>
        <w:t xml:space="preserve"> а также регистрации/отчетности связанных с ними расходов, ошибок не выявлено. Что касается правильности и полноты данных, зарегистрированных в бухгалтерском учете, аудит не выявил расхождений, суммы отражены в соответствующем периоде по составным элементам (для покрытия разницы до минимальной пенсии, связанной с нестраховыми периодами, включенными в страховой стаж), зарегистрированы отдельно на предусмотренных в этом отношении счетах и в зависимости от источника финансирования (БГСС/ГБ)</w:t>
      </w:r>
      <w:r w:rsidR="00683C4B" w:rsidRPr="00FB328F">
        <w:rPr>
          <w:rFonts w:asciiTheme="majorHAnsi" w:hAnsiTheme="majorHAnsi" w:cstheme="majorHAnsi"/>
          <w:sz w:val="24"/>
          <w:szCs w:val="24"/>
          <w:lang w:val="ru-MD"/>
        </w:rPr>
        <w:t>.</w:t>
      </w:r>
      <w:r w:rsidR="0002197A" w:rsidRPr="00FB328F">
        <w:rPr>
          <w:rFonts w:asciiTheme="majorHAnsi" w:hAnsiTheme="majorHAnsi" w:cstheme="majorHAnsi"/>
          <w:sz w:val="24"/>
          <w:szCs w:val="24"/>
          <w:lang w:val="ru-MD"/>
        </w:rPr>
        <w:t xml:space="preserve"> </w:t>
      </w:r>
    </w:p>
    <w:p w14:paraId="08334D2C" w14:textId="022B905F" w:rsidR="001C1A48" w:rsidRPr="00FB328F" w:rsidRDefault="00667142" w:rsidP="00667142">
      <w:pPr>
        <w:pStyle w:val="aa"/>
        <w:numPr>
          <w:ilvl w:val="2"/>
          <w:numId w:val="2"/>
        </w:numPr>
        <w:tabs>
          <w:tab w:val="left" w:pos="1080"/>
        </w:tabs>
        <w:spacing w:before="240" w:after="0" w:line="276" w:lineRule="auto"/>
        <w:ind w:left="0" w:firstLine="360"/>
        <w:jc w:val="both"/>
        <w:outlineLvl w:val="2"/>
        <w:rPr>
          <w:rFonts w:asciiTheme="majorHAnsi" w:hAnsiTheme="majorHAnsi" w:cstheme="majorHAnsi"/>
          <w:b/>
          <w:sz w:val="24"/>
          <w:szCs w:val="24"/>
          <w:lang w:val="ru-MD"/>
        </w:rPr>
      </w:pPr>
      <w:r w:rsidRPr="00FB328F">
        <w:rPr>
          <w:rFonts w:asciiTheme="majorHAnsi" w:hAnsiTheme="majorHAnsi" w:cstheme="majorHAnsi"/>
          <w:b/>
          <w:sz w:val="24"/>
          <w:szCs w:val="24"/>
          <w:lang w:val="ru-MD"/>
        </w:rPr>
        <w:t>На прекращение выплаты в случае смерти получателей пенсий влияет несвоевременное поступление информации о смерти бенефициаров, что обусловило необоснованные расходы в размере 1 167,0 тыс. леев</w:t>
      </w:r>
      <w:r w:rsidR="004D7379" w:rsidRPr="00FB328F">
        <w:rPr>
          <w:rFonts w:asciiTheme="majorHAnsi" w:hAnsiTheme="majorHAnsi" w:cstheme="majorHAnsi"/>
          <w:b/>
          <w:sz w:val="24"/>
          <w:szCs w:val="24"/>
          <w:lang w:val="ru-MD"/>
        </w:rPr>
        <w:t>.</w:t>
      </w:r>
    </w:p>
    <w:p w14:paraId="0F463463" w14:textId="7702645C" w:rsidR="00683C4B" w:rsidRPr="00FB328F" w:rsidRDefault="00667142" w:rsidP="00683C4B">
      <w:pPr>
        <w:spacing w:before="240" w:after="0" w:line="276" w:lineRule="auto"/>
        <w:jc w:val="both"/>
        <w:rPr>
          <w:rFonts w:asciiTheme="majorHAnsi" w:hAnsiTheme="majorHAnsi" w:cstheme="majorHAnsi"/>
          <w:sz w:val="24"/>
          <w:szCs w:val="24"/>
          <w:lang w:val="ru-MD"/>
        </w:rPr>
      </w:pPr>
      <w:r w:rsidRPr="00FB328F">
        <w:rPr>
          <w:rFonts w:asciiTheme="majorHAnsi" w:hAnsiTheme="majorHAnsi" w:cstheme="majorHAnsi"/>
          <w:sz w:val="24"/>
          <w:szCs w:val="24"/>
          <w:lang w:val="ru-MD"/>
        </w:rPr>
        <w:t>Аудит обратил внимание на прекращение выплаты в случае смерти получателей этих видов пособий. Так, хотя законодательная база предусматривает, что пенсия выплачивается в том числе за месяц, когда наступила смерть получателя</w:t>
      </w:r>
      <w:r w:rsidRPr="00FB328F">
        <w:rPr>
          <w:rFonts w:asciiTheme="majorHAnsi" w:hAnsiTheme="majorHAnsi" w:cstheme="majorHAnsi"/>
          <w:sz w:val="24"/>
          <w:szCs w:val="24"/>
          <w:vertAlign w:val="superscript"/>
          <w:lang w:val="ru-MD"/>
        </w:rPr>
        <w:footnoteReference w:id="48"/>
      </w:r>
      <w:r w:rsidRPr="00FB328F">
        <w:rPr>
          <w:rFonts w:asciiTheme="majorHAnsi" w:hAnsiTheme="majorHAnsi" w:cstheme="majorHAnsi"/>
          <w:sz w:val="24"/>
          <w:szCs w:val="24"/>
          <w:lang w:val="ru-MD"/>
        </w:rPr>
        <w:t xml:space="preserve">, было установлено, что в случае 115 умерших получателей (43,0%), из 270 проверенных, пенсия выплачивалась и после даты смерти, на протяжении от одного месяца до </w:t>
      </w:r>
      <w:r w:rsidR="00FE7AEA" w:rsidRPr="00FB328F">
        <w:rPr>
          <w:rFonts w:asciiTheme="majorHAnsi" w:hAnsiTheme="majorHAnsi" w:cstheme="majorHAnsi"/>
          <w:sz w:val="24"/>
          <w:szCs w:val="24"/>
          <w:lang w:val="ru-MD"/>
        </w:rPr>
        <w:t>6</w:t>
      </w:r>
      <w:r w:rsidRPr="00FB328F">
        <w:rPr>
          <w:rFonts w:asciiTheme="majorHAnsi" w:hAnsiTheme="majorHAnsi" w:cstheme="majorHAnsi"/>
          <w:sz w:val="24"/>
          <w:szCs w:val="24"/>
          <w:lang w:val="ru-MD"/>
        </w:rPr>
        <w:t xml:space="preserve"> месяцев</w:t>
      </w:r>
      <w:r w:rsidR="00683C4B" w:rsidRPr="00FB328F">
        <w:rPr>
          <w:rFonts w:asciiTheme="majorHAnsi" w:hAnsiTheme="majorHAnsi" w:cstheme="majorHAnsi"/>
          <w:sz w:val="24"/>
          <w:szCs w:val="24"/>
          <w:lang w:val="ru-MD"/>
        </w:rPr>
        <w:t xml:space="preserve">. </w:t>
      </w:r>
      <w:r w:rsidR="00FE7AEA" w:rsidRPr="00FB328F">
        <w:rPr>
          <w:rFonts w:asciiTheme="majorHAnsi" w:hAnsiTheme="majorHAnsi" w:cstheme="majorHAnsi"/>
          <w:sz w:val="24"/>
          <w:szCs w:val="24"/>
          <w:lang w:val="ru-MD"/>
        </w:rPr>
        <w:t>Из всех необоснованно выплаченных сумм в размере 1 167</w:t>
      </w:r>
      <w:r w:rsidR="00FE7AEA" w:rsidRPr="00FB328F">
        <w:rPr>
          <w:rFonts w:asciiTheme="majorHAnsi" w:hAnsiTheme="majorHAnsi" w:cstheme="majorHAnsi"/>
          <w:color w:val="000000" w:themeColor="text1"/>
          <w:sz w:val="24"/>
          <w:szCs w:val="24"/>
          <w:lang w:val="ru-MD"/>
        </w:rPr>
        <w:t>,0</w:t>
      </w:r>
      <w:r w:rsidR="00FE7AEA" w:rsidRPr="00FB328F">
        <w:rPr>
          <w:rFonts w:asciiTheme="majorHAnsi" w:hAnsiTheme="majorHAnsi" w:cstheme="majorHAnsi"/>
          <w:sz w:val="24"/>
          <w:szCs w:val="24"/>
          <w:lang w:val="ru-MD"/>
        </w:rPr>
        <w:t xml:space="preserve"> тыс. леев, </w:t>
      </w:r>
      <w:r w:rsidR="00FE7AEA" w:rsidRPr="00FB328F">
        <w:rPr>
          <w:rFonts w:asciiTheme="majorHAnsi" w:hAnsiTheme="majorHAnsi" w:cstheme="majorHAnsi"/>
          <w:color w:val="000000" w:themeColor="text1"/>
          <w:sz w:val="24"/>
          <w:szCs w:val="24"/>
          <w:lang w:val="ru-MD"/>
        </w:rPr>
        <w:t>81,9%</w:t>
      </w:r>
      <w:r w:rsidR="00FE7AEA" w:rsidRPr="00FB328F">
        <w:rPr>
          <w:rFonts w:asciiTheme="majorHAnsi" w:hAnsiTheme="majorHAnsi" w:cstheme="majorHAnsi"/>
          <w:sz w:val="24"/>
          <w:szCs w:val="24"/>
          <w:lang w:val="ru-MD"/>
        </w:rPr>
        <w:t xml:space="preserve"> (или </w:t>
      </w:r>
      <w:r w:rsidR="00FE7AEA" w:rsidRPr="00FB328F">
        <w:rPr>
          <w:rFonts w:asciiTheme="majorHAnsi" w:hAnsiTheme="majorHAnsi" w:cstheme="majorHAnsi"/>
          <w:color w:val="000000" w:themeColor="text1"/>
          <w:sz w:val="24"/>
          <w:szCs w:val="24"/>
          <w:lang w:val="ru-MD"/>
        </w:rPr>
        <w:t xml:space="preserve">956,0 </w:t>
      </w:r>
      <w:r w:rsidR="00FE7AEA" w:rsidRPr="00FB328F">
        <w:rPr>
          <w:rFonts w:asciiTheme="majorHAnsi" w:hAnsiTheme="majorHAnsi" w:cstheme="majorHAnsi"/>
          <w:sz w:val="24"/>
          <w:szCs w:val="24"/>
          <w:lang w:val="ru-MD"/>
        </w:rPr>
        <w:t xml:space="preserve">тыс. леев) были добровольно возвращены родственниками умерших лиц, а </w:t>
      </w:r>
      <w:r w:rsidR="00FE7AEA" w:rsidRPr="00FB328F">
        <w:rPr>
          <w:rFonts w:asciiTheme="majorHAnsi" w:hAnsiTheme="majorHAnsi" w:cstheme="majorHAnsi"/>
          <w:color w:val="000000" w:themeColor="text1"/>
          <w:sz w:val="24"/>
          <w:szCs w:val="24"/>
          <w:lang w:val="ru-MD"/>
        </w:rPr>
        <w:t>18,1</w:t>
      </w:r>
      <w:r w:rsidR="00FE7AEA" w:rsidRPr="00FB328F">
        <w:rPr>
          <w:rFonts w:asciiTheme="majorHAnsi" w:hAnsiTheme="majorHAnsi" w:cstheme="majorHAnsi"/>
          <w:sz w:val="24"/>
          <w:szCs w:val="24"/>
          <w:lang w:val="ru-MD"/>
        </w:rPr>
        <w:t>% (</w:t>
      </w:r>
      <w:r w:rsidR="00FE7AEA" w:rsidRPr="00FB328F">
        <w:rPr>
          <w:rFonts w:asciiTheme="majorHAnsi" w:hAnsiTheme="majorHAnsi" w:cstheme="majorHAnsi"/>
          <w:color w:val="000000" w:themeColor="text1"/>
          <w:sz w:val="24"/>
          <w:szCs w:val="24"/>
          <w:lang w:val="ru-MD"/>
        </w:rPr>
        <w:t xml:space="preserve">211,0 </w:t>
      </w:r>
      <w:r w:rsidR="00FE7AEA" w:rsidRPr="00FB328F">
        <w:rPr>
          <w:rFonts w:asciiTheme="majorHAnsi" w:hAnsiTheme="majorHAnsi" w:cstheme="majorHAnsi"/>
          <w:sz w:val="24"/>
          <w:szCs w:val="24"/>
          <w:lang w:val="ru-MD"/>
        </w:rPr>
        <w:t>тыс. леев) не были возвращены, при этом, у субъекта нет рычагов для возврата этих сумм. Необоснованная выплата пенсии устанавливается в основном в случае смерти получателя после 25-го числа месяца, учитывая, что платежные ведомости формируются в последние дни месяца на следующий месяц</w:t>
      </w:r>
      <w:r w:rsidR="00683C4B" w:rsidRPr="00FB328F">
        <w:rPr>
          <w:rFonts w:asciiTheme="majorHAnsi" w:hAnsiTheme="majorHAnsi" w:cstheme="majorHAnsi"/>
          <w:sz w:val="24"/>
          <w:szCs w:val="24"/>
          <w:lang w:val="ru-MD"/>
        </w:rPr>
        <w:t xml:space="preserve">. </w:t>
      </w:r>
    </w:p>
    <w:p w14:paraId="135485CC" w14:textId="27DCFF7D" w:rsidR="00683C4B" w:rsidRPr="00FB328F" w:rsidRDefault="004B7155" w:rsidP="00683C4B">
      <w:pPr>
        <w:spacing w:before="240" w:after="0" w:line="276" w:lineRule="auto"/>
        <w:jc w:val="both"/>
        <w:rPr>
          <w:rFonts w:asciiTheme="majorHAnsi" w:hAnsiTheme="majorHAnsi" w:cstheme="majorHAnsi"/>
          <w:sz w:val="24"/>
          <w:szCs w:val="24"/>
          <w:shd w:val="clear" w:color="auto" w:fill="FFFFFF"/>
          <w:lang w:val="ru-MD"/>
        </w:rPr>
      </w:pPr>
      <w:r w:rsidRPr="00FB328F">
        <w:rPr>
          <w:rFonts w:asciiTheme="majorHAnsi" w:hAnsiTheme="majorHAnsi" w:cstheme="majorHAnsi"/>
          <w:sz w:val="24"/>
          <w:szCs w:val="24"/>
          <w:lang w:val="ru-MD"/>
        </w:rPr>
        <w:t>В соответствии с Соглашением, заключенным между НКСС и АЭУ</w:t>
      </w:r>
      <w:r w:rsidRPr="00FB328F">
        <w:rPr>
          <w:rFonts w:asciiTheme="majorHAnsi" w:hAnsiTheme="majorHAnsi" w:cstheme="majorHAnsi"/>
          <w:sz w:val="24"/>
          <w:szCs w:val="24"/>
          <w:vertAlign w:val="superscript"/>
          <w:lang w:val="ru-MD"/>
        </w:rPr>
        <w:footnoteReference w:id="49"/>
      </w:r>
      <w:r w:rsidRPr="00FB328F">
        <w:rPr>
          <w:rFonts w:asciiTheme="majorHAnsi" w:hAnsiTheme="majorHAnsi" w:cstheme="majorHAnsi"/>
          <w:sz w:val="24"/>
          <w:szCs w:val="24"/>
          <w:lang w:val="ru-MD"/>
        </w:rPr>
        <w:t>, последнее обеспечивает, через платформу M-Conect, подключение между НКСС и АПУ. Таким образом, в автоматическом режиме принимаются все данные об умерших физических лицах, поступившие в тот день, взятые из Государственного регистра населения (в ведении Агентства публичных услуг). Данные загружаются в ИС „Социальная защита”, после чего, в автоматизированном режиме, программа анализирует все виды социальных пособий и, в случае обнаружения активных решений о выплате, запускает блокирование платежа. Обмен данными должен проводиться ежедневно (24 часа из 24 часов, 7 дней в неделю), чтобы избежать необоснованые выплаты социальных пособий</w:t>
      </w:r>
      <w:r w:rsidR="00683C4B" w:rsidRPr="00FB328F">
        <w:rPr>
          <w:rFonts w:asciiTheme="majorHAnsi" w:eastAsia="Calibri" w:hAnsiTheme="majorHAnsi" w:cstheme="majorHAnsi"/>
          <w:noProof/>
          <w:sz w:val="24"/>
          <w:szCs w:val="24"/>
          <w:lang w:val="ru-MD"/>
        </w:rPr>
        <w:t xml:space="preserve">. </w:t>
      </w:r>
    </w:p>
    <w:p w14:paraId="2C9D9E10" w14:textId="77777777" w:rsidR="00683C4B" w:rsidRPr="00FB328F" w:rsidRDefault="00683C4B" w:rsidP="00683C4B">
      <w:pPr>
        <w:pStyle w:val="a6"/>
        <w:shd w:val="clear" w:color="auto" w:fill="FFFFFF" w:themeFill="background1"/>
        <w:spacing w:after="240" w:line="276" w:lineRule="auto"/>
        <w:ind w:firstLine="0"/>
        <w:rPr>
          <w:rFonts w:asciiTheme="majorHAnsi" w:eastAsia="Calibri" w:hAnsiTheme="majorHAnsi" w:cstheme="majorHAnsi"/>
          <w:noProof/>
          <w:lang w:val="ru-MD"/>
        </w:rPr>
      </w:pPr>
      <w:r w:rsidRPr="00FB328F">
        <w:rPr>
          <w:noProof/>
          <w:lang w:val="ru-RU" w:eastAsia="ru-RU"/>
        </w:rPr>
        <w:drawing>
          <wp:inline distT="0" distB="0" distL="0" distR="0" wp14:anchorId="0C3480C4" wp14:editId="152B8597">
            <wp:extent cx="5935980" cy="1356360"/>
            <wp:effectExtent l="19050" t="0" r="2667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5C58544" w14:textId="26443133" w:rsidR="00683C4B" w:rsidRPr="00FB328F" w:rsidRDefault="00B7373E" w:rsidP="00683C4B">
      <w:pPr>
        <w:shd w:val="clear" w:color="auto" w:fill="FFFFFF" w:themeFill="background1"/>
        <w:spacing w:line="276" w:lineRule="auto"/>
        <w:jc w:val="center"/>
        <w:rPr>
          <w:rFonts w:asciiTheme="majorHAnsi" w:hAnsiTheme="majorHAnsi"/>
          <w:i/>
          <w:sz w:val="20"/>
          <w:szCs w:val="20"/>
          <w:lang w:val="ru-MD"/>
        </w:rPr>
      </w:pPr>
      <w:r w:rsidRPr="00FB328F">
        <w:rPr>
          <w:rFonts w:asciiTheme="majorHAnsi" w:hAnsiTheme="majorHAnsi"/>
          <w:i/>
          <w:sz w:val="20"/>
          <w:szCs w:val="20"/>
          <w:lang w:val="ru-MD"/>
        </w:rPr>
        <w:t>Рисунок №</w:t>
      </w:r>
      <w:r w:rsidR="008D1DF2" w:rsidRPr="00FB328F">
        <w:rPr>
          <w:rFonts w:asciiTheme="majorHAnsi" w:hAnsiTheme="majorHAnsi"/>
          <w:i/>
          <w:sz w:val="20"/>
          <w:szCs w:val="20"/>
          <w:lang w:val="ru-MD"/>
        </w:rPr>
        <w:t>3</w:t>
      </w:r>
      <w:r w:rsidR="00B720F4" w:rsidRPr="00FB328F">
        <w:rPr>
          <w:rFonts w:asciiTheme="majorHAnsi" w:hAnsiTheme="majorHAnsi"/>
          <w:i/>
          <w:sz w:val="20"/>
          <w:szCs w:val="20"/>
          <w:lang w:val="ru-MD"/>
        </w:rPr>
        <w:t>.</w:t>
      </w:r>
      <w:r w:rsidR="00683C4B" w:rsidRPr="00FB328F">
        <w:rPr>
          <w:rFonts w:asciiTheme="majorHAnsi" w:hAnsiTheme="majorHAnsi"/>
          <w:i/>
          <w:sz w:val="20"/>
          <w:szCs w:val="20"/>
          <w:lang w:val="ru-MD"/>
        </w:rPr>
        <w:t xml:space="preserve"> </w:t>
      </w:r>
      <w:r w:rsidR="00B720F4" w:rsidRPr="00FB328F">
        <w:rPr>
          <w:rFonts w:asciiTheme="majorHAnsi" w:hAnsiTheme="majorHAnsi"/>
          <w:i/>
          <w:sz w:val="20"/>
          <w:szCs w:val="20"/>
          <w:lang w:val="ru-MD"/>
        </w:rPr>
        <w:t>Процесс получения информации с данными о смерти получателей</w:t>
      </w:r>
      <w:r w:rsidR="006A3B64" w:rsidRPr="00FB328F">
        <w:rPr>
          <w:rFonts w:asciiTheme="majorHAnsi" w:hAnsiTheme="majorHAnsi"/>
          <w:i/>
          <w:sz w:val="20"/>
          <w:szCs w:val="20"/>
          <w:lang w:val="ru-MD"/>
        </w:rPr>
        <w:t>.</w:t>
      </w:r>
    </w:p>
    <w:p w14:paraId="75964942" w14:textId="282B0818" w:rsidR="00683C4B" w:rsidRPr="00FB328F" w:rsidRDefault="0004024F" w:rsidP="00683C4B">
      <w:pPr>
        <w:pStyle w:val="a6"/>
        <w:shd w:val="clear" w:color="auto" w:fill="FFFFFF" w:themeFill="background1"/>
        <w:spacing w:after="240" w:line="276" w:lineRule="auto"/>
        <w:ind w:firstLine="0"/>
        <w:rPr>
          <w:rFonts w:asciiTheme="majorHAnsi" w:eastAsia="Calibri" w:hAnsiTheme="majorHAnsi" w:cstheme="majorHAnsi"/>
          <w:noProof/>
          <w:lang w:val="ru-MD"/>
        </w:rPr>
      </w:pPr>
      <w:r w:rsidRPr="00FB328F">
        <w:rPr>
          <w:rFonts w:asciiTheme="majorHAnsi" w:eastAsia="Calibri" w:hAnsiTheme="majorHAnsi" w:cstheme="majorHAnsi"/>
          <w:noProof/>
          <w:lang w:val="ru-MD"/>
        </w:rPr>
        <w:t xml:space="preserve">В этой связи НКСС сообщила, что обмен данными происходит ежедневно, а в большинстве случаев прекращение выплаты пособия происходит тогда, когда родственники обращаются за помощью </w:t>
      </w:r>
      <w:r w:rsidR="00FB1059" w:rsidRPr="00FB328F">
        <w:rPr>
          <w:rFonts w:asciiTheme="majorHAnsi" w:eastAsia="Calibri" w:hAnsiTheme="majorHAnsi" w:cstheme="majorHAnsi"/>
          <w:noProof/>
          <w:lang w:val="ru-MD"/>
        </w:rPr>
        <w:t>по</w:t>
      </w:r>
      <w:r w:rsidRPr="00FB328F">
        <w:rPr>
          <w:rFonts w:asciiTheme="majorHAnsi" w:eastAsia="Calibri" w:hAnsiTheme="majorHAnsi" w:cstheme="majorHAnsi"/>
          <w:noProof/>
          <w:lang w:val="ru-MD"/>
        </w:rPr>
        <w:t xml:space="preserve"> случа</w:t>
      </w:r>
      <w:r w:rsidR="00FB1059" w:rsidRPr="00FB328F">
        <w:rPr>
          <w:rFonts w:asciiTheme="majorHAnsi" w:eastAsia="Calibri" w:hAnsiTheme="majorHAnsi" w:cstheme="majorHAnsi"/>
          <w:noProof/>
          <w:lang w:val="ru-MD"/>
        </w:rPr>
        <w:t>ю</w:t>
      </w:r>
      <w:r w:rsidRPr="00FB328F">
        <w:rPr>
          <w:rFonts w:asciiTheme="majorHAnsi" w:eastAsia="Calibri" w:hAnsiTheme="majorHAnsi" w:cstheme="majorHAnsi"/>
          <w:noProof/>
          <w:lang w:val="ru-MD"/>
        </w:rPr>
        <w:t xml:space="preserve"> смерти</w:t>
      </w:r>
      <w:r w:rsidR="00FB1059" w:rsidRPr="00FB328F">
        <w:rPr>
          <w:rFonts w:asciiTheme="majorHAnsi" w:eastAsia="Calibri" w:hAnsiTheme="majorHAnsi" w:cstheme="majorHAnsi"/>
          <w:noProof/>
          <w:lang w:val="ru-MD"/>
        </w:rPr>
        <w:t>.</w:t>
      </w:r>
      <w:r w:rsidRPr="00FB328F">
        <w:rPr>
          <w:rFonts w:asciiTheme="majorHAnsi" w:eastAsia="Calibri" w:hAnsiTheme="majorHAnsi" w:cstheme="majorHAnsi"/>
          <w:noProof/>
          <w:lang w:val="ru-MD"/>
        </w:rPr>
        <w:t xml:space="preserve"> </w:t>
      </w:r>
      <w:r w:rsidR="00FB1059" w:rsidRPr="00FB328F">
        <w:rPr>
          <w:rFonts w:asciiTheme="majorHAnsi" w:eastAsia="Calibri" w:hAnsiTheme="majorHAnsi" w:cstheme="majorHAnsi"/>
          <w:noProof/>
          <w:lang w:val="ru-MD"/>
        </w:rPr>
        <w:t>Нео</w:t>
      </w:r>
      <w:r w:rsidR="00BE0139" w:rsidRPr="00FB328F">
        <w:rPr>
          <w:rFonts w:asciiTheme="majorHAnsi" w:eastAsia="Calibri" w:hAnsiTheme="majorHAnsi" w:cstheme="majorHAnsi"/>
          <w:noProof/>
          <w:lang w:val="ru-MD"/>
        </w:rPr>
        <w:t>боснов</w:t>
      </w:r>
      <w:r w:rsidR="00FB1059" w:rsidRPr="00FB328F">
        <w:rPr>
          <w:rFonts w:asciiTheme="majorHAnsi" w:eastAsia="Calibri" w:hAnsiTheme="majorHAnsi" w:cstheme="majorHAnsi"/>
          <w:noProof/>
          <w:lang w:val="ru-MD"/>
        </w:rPr>
        <w:t>анная выплата пенсии обусловлена двумя основными причинами</w:t>
      </w:r>
      <w:r w:rsidR="00683C4B" w:rsidRPr="00FB328F">
        <w:rPr>
          <w:rFonts w:asciiTheme="majorHAnsi" w:hAnsiTheme="majorHAnsi" w:cstheme="majorHAnsi"/>
          <w:lang w:val="ru-MD"/>
        </w:rPr>
        <w:t>:</w:t>
      </w:r>
    </w:p>
    <w:p w14:paraId="218554BA" w14:textId="3224B180" w:rsidR="00683C4B" w:rsidRPr="00FB328F" w:rsidRDefault="00B913EB" w:rsidP="00BE0139">
      <w:pPr>
        <w:pStyle w:val="a6"/>
        <w:numPr>
          <w:ilvl w:val="0"/>
          <w:numId w:val="7"/>
        </w:numPr>
        <w:shd w:val="clear" w:color="auto" w:fill="FFFFFF" w:themeFill="background1"/>
        <w:tabs>
          <w:tab w:val="left" w:pos="360"/>
        </w:tabs>
        <w:spacing w:line="276" w:lineRule="auto"/>
        <w:ind w:left="0" w:firstLine="0"/>
        <w:rPr>
          <w:rFonts w:asciiTheme="majorHAnsi" w:hAnsiTheme="majorHAnsi" w:cstheme="majorHAnsi"/>
          <w:b/>
          <w:lang w:val="ru-MD"/>
        </w:rPr>
      </w:pPr>
      <w:r w:rsidRPr="00FB328F">
        <w:rPr>
          <w:rFonts w:asciiTheme="majorHAnsi" w:hAnsiTheme="majorHAnsi" w:cstheme="majorHAnsi"/>
          <w:b/>
          <w:lang w:val="ru-MD"/>
        </w:rPr>
        <w:t>Несвоевременное внесение информации о смерти, регистраторами АПУ, в Государственный регистр населения</w:t>
      </w:r>
      <w:r w:rsidR="00683C4B" w:rsidRPr="00FB328F">
        <w:rPr>
          <w:rFonts w:asciiTheme="majorHAnsi" w:hAnsiTheme="majorHAnsi" w:cstheme="majorHAnsi"/>
          <w:b/>
          <w:lang w:val="ru-MD"/>
        </w:rPr>
        <w:t>.</w:t>
      </w:r>
    </w:p>
    <w:p w14:paraId="13101ED7" w14:textId="0FC4A1FD" w:rsidR="00683C4B" w:rsidRPr="00FB328F" w:rsidRDefault="00B913EB" w:rsidP="00683C4B">
      <w:pPr>
        <w:pStyle w:val="a6"/>
        <w:shd w:val="clear" w:color="auto" w:fill="FFFFFF" w:themeFill="background1"/>
        <w:spacing w:after="240" w:line="276" w:lineRule="auto"/>
        <w:ind w:firstLine="0"/>
        <w:rPr>
          <w:rFonts w:asciiTheme="majorHAnsi" w:hAnsiTheme="majorHAnsi" w:cstheme="majorHAnsi"/>
          <w:lang w:val="ru-MD"/>
        </w:rPr>
      </w:pPr>
      <w:r w:rsidRPr="00FB328F">
        <w:rPr>
          <w:rFonts w:asciiTheme="majorHAnsi" w:hAnsiTheme="majorHAnsi" w:cstheme="majorHAnsi"/>
          <w:lang w:val="ru-MD"/>
        </w:rPr>
        <w:t>В этом контексте аудитор запросил у АПУ данные о смерти бенефициаров и периоде внесения информации в Государственный регистр населения. Так, в случае 115 пенсионеров были установлены расхождения между датой смерти и датой регистрации в АПУ, от 1 дня до 366 дней</w:t>
      </w:r>
      <w:r w:rsidR="00BE0139" w:rsidRPr="00FB328F">
        <w:rPr>
          <w:rFonts w:asciiTheme="majorHAnsi" w:hAnsiTheme="majorHAnsi" w:cstheme="majorHAnsi"/>
          <w:lang w:val="ru-MD"/>
        </w:rPr>
        <w:t>.</w:t>
      </w:r>
      <w:r w:rsidR="00683C4B" w:rsidRPr="00FB328F">
        <w:rPr>
          <w:rFonts w:asciiTheme="majorHAnsi" w:hAnsiTheme="majorHAnsi" w:cstheme="majorHAnsi"/>
          <w:lang w:val="ru-MD"/>
        </w:rPr>
        <w:t xml:space="preserve"> </w:t>
      </w:r>
      <w:r w:rsidRPr="00FB328F">
        <w:rPr>
          <w:rFonts w:asciiTheme="majorHAnsi" w:hAnsiTheme="majorHAnsi" w:cstheme="majorHAnsi"/>
          <w:lang w:val="ru-MD"/>
        </w:rPr>
        <w:t>Согласно объяснениям учреждений, расхождения в значительной степени были обусловлены смертью за рубежом, а документы были составлены в процедуре перерегистрации (5 случаев), в других случаях факты смерти произошли и/или зарегистрированы на левом берегу Днестра (2 случая), а также случаи, когда факты смерти не были заявлены и не составлялись акты о смерти (3 случая). Среди причин, по которым дата возникновения факта смерти не совпадает с датой регистрации акта о смерти, было также упомянуто и несоблюдение предусмотренных сроков субъектами декларирования, поскольку процедура регистрации смерти, из офиса, органами гражданского состояния, не регулируется законом в этом отношении (28 случаев, выявленных аудитом)</w:t>
      </w:r>
      <w:r w:rsidR="00EF4A05" w:rsidRPr="00FB328F">
        <w:rPr>
          <w:rFonts w:asciiTheme="majorHAnsi" w:hAnsiTheme="majorHAnsi" w:cstheme="majorHAnsi"/>
          <w:lang w:val="ru-MD"/>
        </w:rPr>
        <w:t>.</w:t>
      </w:r>
    </w:p>
    <w:p w14:paraId="6C7BEB94" w14:textId="1B474EEF" w:rsidR="00683C4B" w:rsidRPr="00FB328F" w:rsidRDefault="00BE0139" w:rsidP="00683C4B">
      <w:pPr>
        <w:spacing w:after="0" w:line="276" w:lineRule="auto"/>
        <w:jc w:val="both"/>
        <w:rPr>
          <w:rFonts w:asciiTheme="majorHAnsi" w:hAnsiTheme="majorHAnsi" w:cstheme="majorHAnsi"/>
          <w:sz w:val="24"/>
          <w:szCs w:val="24"/>
          <w:lang w:val="ru-MD"/>
        </w:rPr>
      </w:pPr>
      <w:r w:rsidRPr="00FB328F">
        <w:rPr>
          <w:rFonts w:asciiTheme="majorHAnsi" w:eastAsia="Times New Roman" w:hAnsiTheme="majorHAnsi" w:cstheme="majorHAnsi"/>
          <w:sz w:val="24"/>
          <w:szCs w:val="24"/>
          <w:lang w:val="ru-MD"/>
        </w:rPr>
        <w:t>Кроме того, АПУ сообщило, что, согласно ст.55</w:t>
      </w:r>
      <w:r w:rsidR="00BC0894" w:rsidRPr="00FB328F">
        <w:rPr>
          <w:rFonts w:asciiTheme="majorHAnsi" w:eastAsia="Times New Roman" w:hAnsiTheme="majorHAnsi" w:cstheme="majorHAnsi"/>
          <w:sz w:val="24"/>
          <w:szCs w:val="24"/>
          <w:lang w:val="ru-MD"/>
        </w:rPr>
        <w:t xml:space="preserve"> Закона об актах гражданского состояния №100/2001</w:t>
      </w:r>
      <w:r w:rsidRPr="00FB328F">
        <w:rPr>
          <w:rFonts w:asciiTheme="majorHAnsi" w:eastAsia="Times New Roman" w:hAnsiTheme="majorHAnsi" w:cstheme="majorHAnsi"/>
          <w:sz w:val="24"/>
          <w:szCs w:val="24"/>
          <w:lang w:val="ru-MD"/>
        </w:rPr>
        <w:t xml:space="preserve">, </w:t>
      </w:r>
      <w:r w:rsidR="00BC0894" w:rsidRPr="00FB328F">
        <w:rPr>
          <w:rFonts w:asciiTheme="majorHAnsi" w:eastAsia="Times New Roman" w:hAnsiTheme="majorHAnsi" w:cstheme="majorHAnsi"/>
          <w:sz w:val="24"/>
          <w:szCs w:val="24"/>
          <w:lang w:val="ru-MD"/>
        </w:rPr>
        <w:t>акта о смерти составляется на основании устного заявления в орган записи актов гражданского состояния. В соответствии со ст.</w:t>
      </w:r>
      <w:r w:rsidRPr="00FB328F">
        <w:rPr>
          <w:rFonts w:asciiTheme="majorHAnsi" w:eastAsia="Times New Roman" w:hAnsiTheme="majorHAnsi" w:cstheme="majorHAnsi"/>
          <w:sz w:val="24"/>
          <w:szCs w:val="24"/>
          <w:lang w:val="ru-MD"/>
        </w:rPr>
        <w:t xml:space="preserve">56 (2) указанного </w:t>
      </w:r>
      <w:r w:rsidR="00BC0894" w:rsidRPr="00FB328F">
        <w:rPr>
          <w:rFonts w:asciiTheme="majorHAnsi" w:eastAsia="Times New Roman" w:hAnsiTheme="majorHAnsi" w:cstheme="majorHAnsi"/>
          <w:sz w:val="24"/>
          <w:szCs w:val="24"/>
          <w:lang w:val="ru-MD"/>
        </w:rPr>
        <w:t>З</w:t>
      </w:r>
      <w:r w:rsidRPr="00FB328F">
        <w:rPr>
          <w:rFonts w:asciiTheme="majorHAnsi" w:eastAsia="Times New Roman" w:hAnsiTheme="majorHAnsi" w:cstheme="majorHAnsi"/>
          <w:sz w:val="24"/>
          <w:szCs w:val="24"/>
          <w:lang w:val="ru-MD"/>
        </w:rPr>
        <w:t>акона</w:t>
      </w:r>
      <w:r w:rsidR="00BC0894" w:rsidRPr="00FB328F">
        <w:rPr>
          <w:rFonts w:asciiTheme="majorHAnsi" w:eastAsia="Times New Roman" w:hAnsiTheme="majorHAnsi" w:cstheme="majorHAnsi"/>
          <w:sz w:val="24"/>
          <w:szCs w:val="24"/>
          <w:lang w:val="ru-MD"/>
        </w:rPr>
        <w:t>,</w:t>
      </w:r>
      <w:r w:rsidRPr="00FB328F">
        <w:rPr>
          <w:rFonts w:asciiTheme="majorHAnsi" w:eastAsia="Times New Roman" w:hAnsiTheme="majorHAnsi" w:cstheme="majorHAnsi"/>
          <w:sz w:val="24"/>
          <w:szCs w:val="24"/>
          <w:lang w:val="ru-MD"/>
        </w:rPr>
        <w:t xml:space="preserve"> </w:t>
      </w:r>
      <w:r w:rsidR="00BC0894" w:rsidRPr="00FB328F">
        <w:rPr>
          <w:rFonts w:asciiTheme="majorHAnsi" w:eastAsia="Times New Roman" w:hAnsiTheme="majorHAnsi" w:cstheme="majorHAnsi"/>
          <w:sz w:val="24"/>
          <w:szCs w:val="24"/>
          <w:lang w:val="ru-MD"/>
        </w:rPr>
        <w:t>заявить о смерти обязаны члены семьи или родственники умершего, а при их отсутствии – соседи, домоуправление, врач или другой работник медицинского учреждения, где произошла смерть</w:t>
      </w:r>
      <w:r w:rsidR="00683C4B" w:rsidRPr="00FB328F">
        <w:rPr>
          <w:rFonts w:asciiTheme="majorHAnsi" w:hAnsiTheme="majorHAnsi" w:cstheme="majorHAnsi"/>
          <w:sz w:val="24"/>
          <w:szCs w:val="24"/>
          <w:lang w:val="ru-MD"/>
        </w:rPr>
        <w:t>.</w:t>
      </w:r>
    </w:p>
    <w:p w14:paraId="690985EC" w14:textId="031814F6" w:rsidR="00683C4B" w:rsidRPr="00FB328F" w:rsidRDefault="00BC0894" w:rsidP="00683C4B">
      <w:pPr>
        <w:spacing w:before="240" w:after="0" w:line="276" w:lineRule="auto"/>
        <w:jc w:val="both"/>
        <w:rPr>
          <w:rFonts w:asciiTheme="majorHAnsi" w:hAnsiTheme="majorHAnsi" w:cstheme="majorHAnsi"/>
          <w:sz w:val="24"/>
          <w:szCs w:val="24"/>
          <w:lang w:val="ru-MD"/>
        </w:rPr>
      </w:pPr>
      <w:r w:rsidRPr="00FB328F">
        <w:rPr>
          <w:rFonts w:asciiTheme="majorHAnsi" w:hAnsiTheme="majorHAnsi" w:cstheme="majorHAnsi"/>
          <w:color w:val="000000"/>
          <w:sz w:val="24"/>
          <w:szCs w:val="24"/>
          <w:lang w:val="ru-MD"/>
        </w:rPr>
        <w:t>Положения ст</w:t>
      </w:r>
      <w:r w:rsidR="00683C4B" w:rsidRPr="00FB328F">
        <w:rPr>
          <w:rFonts w:asciiTheme="majorHAnsi" w:hAnsiTheme="majorHAnsi" w:cstheme="majorHAnsi"/>
          <w:color w:val="000000"/>
          <w:sz w:val="24"/>
          <w:szCs w:val="24"/>
          <w:lang w:val="ru-MD"/>
        </w:rPr>
        <w:t xml:space="preserve">.56 (1) </w:t>
      </w:r>
      <w:r w:rsidRPr="00FB328F">
        <w:rPr>
          <w:rFonts w:asciiTheme="majorHAnsi" w:hAnsiTheme="majorHAnsi" w:cstheme="majorHAnsi"/>
          <w:color w:val="000000"/>
          <w:sz w:val="24"/>
          <w:szCs w:val="24"/>
          <w:lang w:val="ru-MD"/>
        </w:rPr>
        <w:t xml:space="preserve">вышеуказанного Закона устанавливают, что заявление о смерти делается в трехдневный срок с даты наступления смерти. </w:t>
      </w:r>
      <w:r w:rsidR="00C3494A" w:rsidRPr="00FB328F">
        <w:rPr>
          <w:rFonts w:asciiTheme="majorHAnsi" w:hAnsiTheme="majorHAnsi" w:cstheme="majorHAnsi"/>
          <w:color w:val="000000"/>
          <w:sz w:val="24"/>
          <w:szCs w:val="24"/>
          <w:lang w:val="ru-MD"/>
        </w:rPr>
        <w:t>Государственные органы, на которые возложена юридическая прерогатива по регистрации фактов смерти, согласно Закону об актах гражданского состояния №100/2001, следующие</w:t>
      </w:r>
      <w:r w:rsidR="00683C4B" w:rsidRPr="00FB328F">
        <w:rPr>
          <w:rFonts w:asciiTheme="majorHAnsi" w:hAnsiTheme="majorHAnsi" w:cstheme="majorHAnsi"/>
          <w:sz w:val="24"/>
          <w:szCs w:val="24"/>
          <w:lang w:val="ru-MD"/>
        </w:rPr>
        <w:t>:</w:t>
      </w:r>
    </w:p>
    <w:p w14:paraId="61D48CC0" w14:textId="77777777" w:rsidR="00C3494A" w:rsidRPr="00FB328F" w:rsidRDefault="00C3494A" w:rsidP="00C3494A">
      <w:pPr>
        <w:pStyle w:val="aa"/>
        <w:numPr>
          <w:ilvl w:val="0"/>
          <w:numId w:val="8"/>
        </w:numPr>
        <w:spacing w:after="0" w:line="276" w:lineRule="auto"/>
        <w:ind w:left="0" w:firstLine="540"/>
        <w:jc w:val="both"/>
        <w:rPr>
          <w:rFonts w:asciiTheme="majorHAnsi" w:hAnsiTheme="majorHAnsi" w:cstheme="majorHAnsi"/>
          <w:sz w:val="24"/>
          <w:szCs w:val="24"/>
          <w:lang w:val="ru-MD"/>
        </w:rPr>
      </w:pPr>
      <w:r w:rsidRPr="00FB328F">
        <w:rPr>
          <w:rFonts w:asciiTheme="majorHAnsi" w:hAnsiTheme="majorHAnsi" w:cstheme="majorHAnsi"/>
          <w:sz w:val="24"/>
          <w:szCs w:val="24"/>
          <w:lang w:val="ru-MD"/>
        </w:rPr>
        <w:t>территориальные службы гражданского состояния Агентства публичных услуг</w:t>
      </w:r>
      <w:r w:rsidR="00683C4B" w:rsidRPr="00FB328F">
        <w:rPr>
          <w:rFonts w:asciiTheme="majorHAnsi" w:hAnsiTheme="majorHAnsi" w:cstheme="majorHAnsi"/>
          <w:sz w:val="24"/>
          <w:szCs w:val="24"/>
          <w:lang w:val="ru-MD"/>
        </w:rPr>
        <w:t>;</w:t>
      </w:r>
    </w:p>
    <w:p w14:paraId="629751BD" w14:textId="4B71A505" w:rsidR="00683C4B" w:rsidRPr="00FB328F" w:rsidRDefault="00C3494A" w:rsidP="00C3494A">
      <w:pPr>
        <w:pStyle w:val="aa"/>
        <w:numPr>
          <w:ilvl w:val="0"/>
          <w:numId w:val="8"/>
        </w:numPr>
        <w:spacing w:after="0" w:line="276" w:lineRule="auto"/>
        <w:ind w:left="0" w:firstLine="540"/>
        <w:jc w:val="both"/>
        <w:rPr>
          <w:rFonts w:asciiTheme="majorHAnsi" w:hAnsiTheme="majorHAnsi" w:cstheme="majorHAnsi"/>
          <w:sz w:val="24"/>
          <w:szCs w:val="24"/>
          <w:lang w:val="ru-MD"/>
        </w:rPr>
      </w:pPr>
      <w:r w:rsidRPr="00FB328F">
        <w:rPr>
          <w:rFonts w:asciiTheme="majorHAnsi" w:hAnsiTheme="majorHAnsi" w:cstheme="majorHAnsi"/>
          <w:sz w:val="24"/>
          <w:szCs w:val="24"/>
          <w:lang w:val="ru-MD"/>
        </w:rPr>
        <w:t>примэрии городов/сел</w:t>
      </w:r>
      <w:r w:rsidR="00683C4B" w:rsidRPr="00FB328F">
        <w:rPr>
          <w:rFonts w:asciiTheme="majorHAnsi" w:hAnsiTheme="majorHAnsi" w:cstheme="majorHAnsi"/>
          <w:color w:val="000000"/>
          <w:sz w:val="24"/>
          <w:szCs w:val="24"/>
          <w:lang w:val="ru-MD"/>
        </w:rPr>
        <w:t xml:space="preserve"> (</w:t>
      </w:r>
      <w:r w:rsidRPr="00FB328F">
        <w:rPr>
          <w:rFonts w:asciiTheme="majorHAnsi" w:hAnsiTheme="majorHAnsi" w:cstheme="majorHAnsi"/>
          <w:sz w:val="24"/>
          <w:szCs w:val="24"/>
          <w:lang w:val="ru-MD"/>
        </w:rPr>
        <w:t>коммун</w:t>
      </w:r>
      <w:r w:rsidR="00683C4B" w:rsidRPr="00FB328F">
        <w:rPr>
          <w:rFonts w:asciiTheme="majorHAnsi" w:hAnsiTheme="majorHAnsi" w:cstheme="majorHAnsi"/>
          <w:sz w:val="24"/>
          <w:szCs w:val="24"/>
          <w:lang w:val="ru-MD"/>
        </w:rPr>
        <w:t>;</w:t>
      </w:r>
    </w:p>
    <w:p w14:paraId="6227B346" w14:textId="2EF8FF93" w:rsidR="00683C4B" w:rsidRPr="00FB328F" w:rsidRDefault="00C3494A" w:rsidP="00C3494A">
      <w:pPr>
        <w:pStyle w:val="aa"/>
        <w:numPr>
          <w:ilvl w:val="0"/>
          <w:numId w:val="8"/>
        </w:numPr>
        <w:spacing w:after="0" w:line="276" w:lineRule="auto"/>
        <w:ind w:left="0" w:firstLine="540"/>
        <w:jc w:val="both"/>
        <w:rPr>
          <w:rFonts w:asciiTheme="majorHAnsi" w:hAnsiTheme="majorHAnsi" w:cstheme="majorHAnsi"/>
          <w:sz w:val="24"/>
          <w:szCs w:val="24"/>
          <w:lang w:val="ru-MD"/>
        </w:rPr>
      </w:pPr>
      <w:r w:rsidRPr="00FB328F">
        <w:rPr>
          <w:rFonts w:asciiTheme="majorHAnsi" w:hAnsiTheme="majorHAnsi" w:cstheme="majorHAnsi"/>
          <w:sz w:val="24"/>
          <w:szCs w:val="24"/>
          <w:lang w:val="ru-MD"/>
        </w:rPr>
        <w:t>дипломатические миссии и консульские офисы Республики Молдова, аккредитованные за рубежом</w:t>
      </w:r>
      <w:r w:rsidR="00683C4B" w:rsidRPr="00FB328F">
        <w:rPr>
          <w:rFonts w:asciiTheme="majorHAnsi" w:hAnsiTheme="majorHAnsi" w:cstheme="majorHAnsi"/>
          <w:sz w:val="24"/>
          <w:szCs w:val="24"/>
          <w:lang w:val="ru-MD"/>
        </w:rPr>
        <w:t>.</w:t>
      </w:r>
    </w:p>
    <w:p w14:paraId="281568AF" w14:textId="77D0B762" w:rsidR="00683C4B" w:rsidRPr="00FB328F" w:rsidRDefault="00C3494A" w:rsidP="00683C4B">
      <w:pPr>
        <w:pStyle w:val="aa"/>
        <w:spacing w:after="0" w:line="276" w:lineRule="auto"/>
        <w:ind w:left="0"/>
        <w:jc w:val="both"/>
        <w:rPr>
          <w:rFonts w:asciiTheme="majorHAnsi" w:hAnsiTheme="majorHAnsi" w:cstheme="majorHAnsi"/>
          <w:sz w:val="24"/>
          <w:szCs w:val="24"/>
          <w:lang w:val="ru-MD"/>
        </w:rPr>
      </w:pPr>
      <w:r w:rsidRPr="00FB328F">
        <w:rPr>
          <w:rFonts w:asciiTheme="majorHAnsi" w:hAnsiTheme="majorHAnsi" w:cstheme="majorHAnsi"/>
          <w:sz w:val="24"/>
          <w:szCs w:val="24"/>
          <w:lang w:val="ru-MD"/>
        </w:rPr>
        <w:t>В то же время, факты смерти, зарегистрированные компетентными органами иностранных государств, заявляются заинтересованными лицами (как правило, их родственниками) и перерегистрируются в соответствии со ст.13 и ст.65 Закона  об актах гражданского состояния №100/2001</w:t>
      </w:r>
      <w:r w:rsidR="00240665" w:rsidRPr="00FB328F">
        <w:rPr>
          <w:rFonts w:asciiTheme="majorHAnsi" w:hAnsiTheme="majorHAnsi" w:cstheme="majorHAnsi"/>
          <w:sz w:val="24"/>
          <w:szCs w:val="24"/>
          <w:lang w:val="ru-MD"/>
        </w:rPr>
        <w:t>, а факты смерти, имевшие место и/или зарегистрированные в населенных пунктах Левобережья Днестра и муниципии Бендер, могут удостоверяться в соответствии со ст.</w:t>
      </w:r>
      <w:r w:rsidR="00683C4B" w:rsidRPr="00FB328F">
        <w:rPr>
          <w:rFonts w:asciiTheme="majorHAnsi" w:hAnsiTheme="majorHAnsi" w:cstheme="majorHAnsi"/>
          <w:sz w:val="24"/>
          <w:szCs w:val="24"/>
          <w:lang w:val="ru-MD"/>
        </w:rPr>
        <w:t>13</w:t>
      </w:r>
      <w:r w:rsidR="00683C4B" w:rsidRPr="00FB328F">
        <w:rPr>
          <w:rFonts w:asciiTheme="majorHAnsi" w:hAnsiTheme="majorHAnsi" w:cstheme="majorHAnsi"/>
          <w:sz w:val="24"/>
          <w:szCs w:val="24"/>
          <w:vertAlign w:val="superscript"/>
          <w:lang w:val="ru-MD"/>
        </w:rPr>
        <w:t>1</w:t>
      </w:r>
      <w:r w:rsidR="00683C4B" w:rsidRPr="00FB328F">
        <w:rPr>
          <w:rFonts w:asciiTheme="majorHAnsi" w:hAnsiTheme="majorHAnsi" w:cstheme="majorHAnsi"/>
          <w:sz w:val="24"/>
          <w:szCs w:val="24"/>
          <w:lang w:val="ru-MD"/>
        </w:rPr>
        <w:t xml:space="preserve"> </w:t>
      </w:r>
      <w:r w:rsidR="00240665" w:rsidRPr="00FB328F">
        <w:rPr>
          <w:rFonts w:asciiTheme="majorHAnsi" w:hAnsiTheme="majorHAnsi" w:cstheme="majorHAnsi"/>
          <w:sz w:val="24"/>
          <w:szCs w:val="24"/>
          <w:lang w:val="ru-MD"/>
        </w:rPr>
        <w:t>Закона №100/2001</w:t>
      </w:r>
      <w:r w:rsidR="00683C4B" w:rsidRPr="00FB328F">
        <w:rPr>
          <w:rFonts w:asciiTheme="majorHAnsi" w:hAnsiTheme="majorHAnsi" w:cstheme="majorHAnsi"/>
          <w:sz w:val="24"/>
          <w:szCs w:val="24"/>
          <w:lang w:val="ru-MD"/>
        </w:rPr>
        <w:t xml:space="preserve"> </w:t>
      </w:r>
      <w:r w:rsidR="00240665" w:rsidRPr="00FB328F">
        <w:rPr>
          <w:rFonts w:asciiTheme="majorHAnsi" w:hAnsiTheme="majorHAnsi" w:cstheme="majorHAnsi"/>
          <w:sz w:val="24"/>
          <w:szCs w:val="24"/>
          <w:lang w:val="ru-MD"/>
        </w:rPr>
        <w:t>и</w:t>
      </w:r>
      <w:r w:rsidR="00683C4B" w:rsidRPr="00FB328F">
        <w:rPr>
          <w:rFonts w:asciiTheme="majorHAnsi" w:hAnsiTheme="majorHAnsi" w:cstheme="majorHAnsi"/>
          <w:sz w:val="24"/>
          <w:szCs w:val="24"/>
          <w:lang w:val="ru-MD"/>
        </w:rPr>
        <w:t xml:space="preserve"> </w:t>
      </w:r>
      <w:r w:rsidR="00240665" w:rsidRPr="00FB328F">
        <w:rPr>
          <w:rFonts w:asciiTheme="majorHAnsi" w:hAnsiTheme="majorHAnsi" w:cstheme="majorHAnsi"/>
          <w:sz w:val="24"/>
          <w:szCs w:val="24"/>
          <w:lang w:val="ru-MD"/>
        </w:rPr>
        <w:t>с Постановлением Правительства №</w:t>
      </w:r>
      <w:r w:rsidR="00683C4B" w:rsidRPr="00FB328F">
        <w:rPr>
          <w:rFonts w:asciiTheme="majorHAnsi" w:hAnsiTheme="majorHAnsi" w:cstheme="majorHAnsi"/>
          <w:sz w:val="24"/>
          <w:szCs w:val="24"/>
          <w:lang w:val="ru-MD"/>
        </w:rPr>
        <w:t>286/2019.</w:t>
      </w:r>
    </w:p>
    <w:p w14:paraId="23EB00DB" w14:textId="7F20E119" w:rsidR="00683C4B" w:rsidRPr="00FB328F" w:rsidRDefault="00240665" w:rsidP="00683C4B">
      <w:pPr>
        <w:spacing w:before="240" w:after="0" w:line="276" w:lineRule="auto"/>
        <w:jc w:val="both"/>
        <w:rPr>
          <w:rFonts w:asciiTheme="majorHAnsi" w:hAnsiTheme="majorHAnsi" w:cstheme="majorHAnsi"/>
          <w:color w:val="000000"/>
          <w:sz w:val="24"/>
          <w:szCs w:val="24"/>
          <w:lang w:val="ru-MD"/>
        </w:rPr>
      </w:pPr>
      <w:r w:rsidRPr="00FB328F">
        <w:rPr>
          <w:rFonts w:asciiTheme="majorHAnsi" w:hAnsiTheme="majorHAnsi" w:cstheme="majorHAnsi"/>
          <w:color w:val="000000"/>
          <w:sz w:val="24"/>
          <w:szCs w:val="24"/>
          <w:lang w:val="ru-MD"/>
        </w:rPr>
        <w:t xml:space="preserve">Одновременно, АПУ сообщило, что в случаях, когда заявление о смерти подается в примэрии городов/сел (коммун) или дипломатические миссии и/или консульские офисы Республики Молдова, аккредитованные за рубежом, интегрирование информации о смерти лица в Государственный реестр населения осуществляется позже, в силу того, что указанные органы составляют акты гражданского состояния на бумажном носителе, без использования информационных систем в сфере гражданского состояния. </w:t>
      </w:r>
    </w:p>
    <w:p w14:paraId="098C8723" w14:textId="0C01E419" w:rsidR="00683C4B" w:rsidRPr="00FB328F" w:rsidRDefault="00D82B7E" w:rsidP="00137C53">
      <w:pPr>
        <w:spacing w:before="240" w:line="276" w:lineRule="auto"/>
        <w:jc w:val="both"/>
        <w:rPr>
          <w:rFonts w:asciiTheme="majorHAnsi" w:hAnsiTheme="majorHAnsi" w:cstheme="majorHAnsi"/>
          <w:sz w:val="24"/>
          <w:szCs w:val="24"/>
          <w:lang w:val="ru-MD" w:eastAsia="ru-RU"/>
        </w:rPr>
      </w:pPr>
      <w:r w:rsidRPr="00FB328F">
        <w:rPr>
          <w:rFonts w:asciiTheme="majorHAnsi" w:hAnsiTheme="majorHAnsi" w:cstheme="majorHAnsi"/>
          <w:sz w:val="24"/>
          <w:szCs w:val="24"/>
          <w:lang w:val="ru-MD"/>
        </w:rPr>
        <w:t>Что касается</w:t>
      </w:r>
      <w:r w:rsidR="00240665" w:rsidRPr="00FB328F">
        <w:rPr>
          <w:rFonts w:asciiTheme="majorHAnsi" w:hAnsiTheme="majorHAnsi" w:cstheme="majorHAnsi"/>
          <w:sz w:val="24"/>
          <w:szCs w:val="24"/>
          <w:lang w:val="ru-MD"/>
        </w:rPr>
        <w:t xml:space="preserve"> предложени</w:t>
      </w:r>
      <w:r w:rsidRPr="00FB328F">
        <w:rPr>
          <w:rFonts w:asciiTheme="majorHAnsi" w:hAnsiTheme="majorHAnsi" w:cstheme="majorHAnsi"/>
          <w:sz w:val="24"/>
          <w:szCs w:val="24"/>
          <w:lang w:val="ru-MD"/>
        </w:rPr>
        <w:t>й</w:t>
      </w:r>
      <w:r w:rsidR="00240665" w:rsidRPr="00FB328F">
        <w:rPr>
          <w:rFonts w:asciiTheme="majorHAnsi" w:hAnsiTheme="majorHAnsi" w:cstheme="majorHAnsi"/>
          <w:sz w:val="24"/>
          <w:szCs w:val="24"/>
          <w:lang w:val="ru-MD"/>
        </w:rPr>
        <w:t xml:space="preserve"> по исправлению сложившейся ситуации, </w:t>
      </w:r>
      <w:r w:rsidRPr="00FB328F">
        <w:rPr>
          <w:rFonts w:asciiTheme="majorHAnsi" w:hAnsiTheme="majorHAnsi" w:cstheme="majorHAnsi"/>
          <w:sz w:val="24"/>
          <w:szCs w:val="24"/>
          <w:lang w:val="ru-MD"/>
        </w:rPr>
        <w:t>АПУ</w:t>
      </w:r>
      <w:r w:rsidR="00240665" w:rsidRPr="00FB328F">
        <w:rPr>
          <w:rFonts w:asciiTheme="majorHAnsi" w:hAnsiTheme="majorHAnsi" w:cstheme="majorHAnsi"/>
          <w:sz w:val="24"/>
          <w:szCs w:val="24"/>
          <w:lang w:val="ru-MD"/>
        </w:rPr>
        <w:t xml:space="preserve"> отметил</w:t>
      </w:r>
      <w:r w:rsidRPr="00FB328F">
        <w:rPr>
          <w:rFonts w:asciiTheme="majorHAnsi" w:hAnsiTheme="majorHAnsi" w:cstheme="majorHAnsi"/>
          <w:sz w:val="24"/>
          <w:szCs w:val="24"/>
          <w:lang w:val="ru-MD"/>
        </w:rPr>
        <w:t>о</w:t>
      </w:r>
      <w:r w:rsidR="00240665" w:rsidRPr="00FB328F">
        <w:rPr>
          <w:rFonts w:asciiTheme="majorHAnsi" w:hAnsiTheme="majorHAnsi" w:cstheme="majorHAnsi"/>
          <w:sz w:val="24"/>
          <w:szCs w:val="24"/>
          <w:lang w:val="ru-MD"/>
        </w:rPr>
        <w:t xml:space="preserve">, что </w:t>
      </w:r>
      <w:r w:rsidR="009D0C54" w:rsidRPr="00FB328F">
        <w:rPr>
          <w:rFonts w:asciiTheme="majorHAnsi" w:hAnsiTheme="majorHAnsi" w:cstheme="majorHAnsi"/>
          <w:sz w:val="24"/>
          <w:szCs w:val="24"/>
          <w:lang w:val="ru-MD"/>
        </w:rPr>
        <w:t>одним</w:t>
      </w:r>
      <w:r w:rsidR="00240665" w:rsidRPr="00FB328F">
        <w:rPr>
          <w:rFonts w:asciiTheme="majorHAnsi" w:hAnsiTheme="majorHAnsi" w:cstheme="majorHAnsi"/>
          <w:sz w:val="24"/>
          <w:szCs w:val="24"/>
          <w:lang w:val="ru-MD"/>
        </w:rPr>
        <w:t xml:space="preserve"> </w:t>
      </w:r>
      <w:r w:rsidR="009D0C54" w:rsidRPr="00FB328F">
        <w:rPr>
          <w:rFonts w:asciiTheme="majorHAnsi" w:hAnsiTheme="majorHAnsi" w:cstheme="majorHAnsi"/>
          <w:sz w:val="24"/>
          <w:szCs w:val="24"/>
          <w:lang w:val="ru-MD"/>
        </w:rPr>
        <w:t>из неотложных</w:t>
      </w:r>
      <w:r w:rsidR="00240665" w:rsidRPr="00FB328F">
        <w:rPr>
          <w:rFonts w:asciiTheme="majorHAnsi" w:hAnsiTheme="majorHAnsi" w:cstheme="majorHAnsi"/>
          <w:sz w:val="24"/>
          <w:szCs w:val="24"/>
          <w:lang w:val="ru-MD"/>
        </w:rPr>
        <w:t xml:space="preserve"> решени</w:t>
      </w:r>
      <w:r w:rsidR="009D0C54" w:rsidRPr="00FB328F">
        <w:rPr>
          <w:rFonts w:asciiTheme="majorHAnsi" w:hAnsiTheme="majorHAnsi" w:cstheme="majorHAnsi"/>
          <w:sz w:val="24"/>
          <w:szCs w:val="24"/>
          <w:lang w:val="ru-MD"/>
        </w:rPr>
        <w:t>й</w:t>
      </w:r>
      <w:r w:rsidR="00240665" w:rsidRPr="00FB328F">
        <w:rPr>
          <w:rFonts w:asciiTheme="majorHAnsi" w:hAnsiTheme="majorHAnsi" w:cstheme="majorHAnsi"/>
          <w:sz w:val="24"/>
          <w:szCs w:val="24"/>
          <w:lang w:val="ru-MD"/>
        </w:rPr>
        <w:t>, предпринят</w:t>
      </w:r>
      <w:r w:rsidR="009D0C54" w:rsidRPr="00FB328F">
        <w:rPr>
          <w:rFonts w:asciiTheme="majorHAnsi" w:hAnsiTheme="majorHAnsi" w:cstheme="majorHAnsi"/>
          <w:sz w:val="24"/>
          <w:szCs w:val="24"/>
          <w:lang w:val="ru-MD"/>
        </w:rPr>
        <w:t>ым</w:t>
      </w:r>
      <w:r w:rsidR="00240665" w:rsidRPr="00FB328F">
        <w:rPr>
          <w:rFonts w:asciiTheme="majorHAnsi" w:hAnsiTheme="majorHAnsi" w:cstheme="majorHAnsi"/>
          <w:sz w:val="24"/>
          <w:szCs w:val="24"/>
          <w:lang w:val="ru-MD"/>
        </w:rPr>
        <w:t xml:space="preserve"> Департаментом гражданского состояния с целью </w:t>
      </w:r>
      <w:r w:rsidRPr="00FB328F">
        <w:rPr>
          <w:rFonts w:asciiTheme="majorHAnsi" w:hAnsiTheme="majorHAnsi" w:cstheme="majorHAnsi"/>
          <w:sz w:val="24"/>
          <w:szCs w:val="24"/>
          <w:lang w:val="ru-MD"/>
        </w:rPr>
        <w:t>актуализации Г</w:t>
      </w:r>
      <w:r w:rsidR="00240665" w:rsidRPr="00FB328F">
        <w:rPr>
          <w:rFonts w:asciiTheme="majorHAnsi" w:hAnsiTheme="majorHAnsi" w:cstheme="majorHAnsi"/>
          <w:sz w:val="24"/>
          <w:szCs w:val="24"/>
          <w:lang w:val="ru-MD"/>
        </w:rPr>
        <w:t>осударственного ре</w:t>
      </w:r>
      <w:r w:rsidRPr="00FB328F">
        <w:rPr>
          <w:rFonts w:asciiTheme="majorHAnsi" w:hAnsiTheme="majorHAnsi" w:cstheme="majorHAnsi"/>
          <w:sz w:val="24"/>
          <w:szCs w:val="24"/>
          <w:lang w:val="ru-MD"/>
        </w:rPr>
        <w:t>ги</w:t>
      </w:r>
      <w:r w:rsidR="00240665" w:rsidRPr="00FB328F">
        <w:rPr>
          <w:rFonts w:asciiTheme="majorHAnsi" w:hAnsiTheme="majorHAnsi" w:cstheme="majorHAnsi"/>
          <w:sz w:val="24"/>
          <w:szCs w:val="24"/>
          <w:lang w:val="ru-MD"/>
        </w:rPr>
        <w:t xml:space="preserve">стра населения в кратчайшие сроки, </w:t>
      </w:r>
      <w:r w:rsidR="009D0C54" w:rsidRPr="00FB328F">
        <w:rPr>
          <w:rFonts w:asciiTheme="majorHAnsi" w:hAnsiTheme="majorHAnsi" w:cstheme="majorHAnsi"/>
          <w:sz w:val="24"/>
          <w:szCs w:val="24"/>
          <w:lang w:val="ru-MD"/>
        </w:rPr>
        <w:t>является</w:t>
      </w:r>
      <w:r w:rsidR="00240665" w:rsidRPr="00FB328F">
        <w:rPr>
          <w:rFonts w:asciiTheme="majorHAnsi" w:hAnsiTheme="majorHAnsi" w:cstheme="majorHAnsi"/>
          <w:sz w:val="24"/>
          <w:szCs w:val="24"/>
          <w:lang w:val="ru-MD"/>
        </w:rPr>
        <w:t xml:space="preserve"> </w:t>
      </w:r>
      <w:r w:rsidR="009D0C54" w:rsidRPr="00FB328F">
        <w:rPr>
          <w:rFonts w:asciiTheme="majorHAnsi" w:hAnsiTheme="majorHAnsi" w:cstheme="majorHAnsi"/>
          <w:sz w:val="24"/>
          <w:szCs w:val="24"/>
          <w:lang w:val="ru-MD"/>
        </w:rPr>
        <w:t>взаимодействие</w:t>
      </w:r>
      <w:r w:rsidR="00240665" w:rsidRPr="00FB328F">
        <w:rPr>
          <w:rFonts w:asciiTheme="majorHAnsi" w:hAnsiTheme="majorHAnsi" w:cstheme="majorHAnsi"/>
          <w:sz w:val="24"/>
          <w:szCs w:val="24"/>
          <w:lang w:val="ru-MD"/>
        </w:rPr>
        <w:t xml:space="preserve"> с местными </w:t>
      </w:r>
      <w:r w:rsidR="009D0C54" w:rsidRPr="00FB328F">
        <w:rPr>
          <w:rFonts w:asciiTheme="majorHAnsi" w:hAnsiTheme="majorHAnsi" w:cstheme="majorHAnsi"/>
          <w:sz w:val="24"/>
          <w:szCs w:val="24"/>
          <w:lang w:val="ru-MD"/>
        </w:rPr>
        <w:t>публич</w:t>
      </w:r>
      <w:r w:rsidR="00240665" w:rsidRPr="00FB328F">
        <w:rPr>
          <w:rFonts w:asciiTheme="majorHAnsi" w:hAnsiTheme="majorHAnsi" w:cstheme="majorHAnsi"/>
          <w:sz w:val="24"/>
          <w:szCs w:val="24"/>
          <w:lang w:val="ru-MD"/>
        </w:rPr>
        <w:t>ными органами</w:t>
      </w:r>
      <w:r w:rsidR="009D0C54" w:rsidRPr="00FB328F">
        <w:rPr>
          <w:rFonts w:asciiTheme="majorHAnsi" w:hAnsiTheme="majorHAnsi" w:cstheme="majorHAnsi"/>
          <w:sz w:val="24"/>
          <w:szCs w:val="24"/>
          <w:lang w:val="ru-MD"/>
        </w:rPr>
        <w:t xml:space="preserve">, в целях </w:t>
      </w:r>
      <w:r w:rsidR="00240665" w:rsidRPr="00FB328F">
        <w:rPr>
          <w:rFonts w:asciiTheme="majorHAnsi" w:hAnsiTheme="majorHAnsi" w:cstheme="majorHAnsi"/>
          <w:sz w:val="24"/>
          <w:szCs w:val="24"/>
          <w:lang w:val="ru-MD"/>
        </w:rPr>
        <w:t>еженедельно</w:t>
      </w:r>
      <w:r w:rsidR="009D0C54" w:rsidRPr="00FB328F">
        <w:rPr>
          <w:rFonts w:asciiTheme="majorHAnsi" w:hAnsiTheme="majorHAnsi" w:cstheme="majorHAnsi"/>
          <w:sz w:val="24"/>
          <w:szCs w:val="24"/>
          <w:lang w:val="ru-MD"/>
        </w:rPr>
        <w:t>го</w:t>
      </w:r>
      <w:r w:rsidR="00240665" w:rsidRPr="00FB328F">
        <w:rPr>
          <w:rFonts w:asciiTheme="majorHAnsi" w:hAnsiTheme="majorHAnsi" w:cstheme="majorHAnsi"/>
          <w:sz w:val="24"/>
          <w:szCs w:val="24"/>
          <w:lang w:val="ru-MD"/>
        </w:rPr>
        <w:t xml:space="preserve"> получени</w:t>
      </w:r>
      <w:r w:rsidR="009D0C54" w:rsidRPr="00FB328F">
        <w:rPr>
          <w:rFonts w:asciiTheme="majorHAnsi" w:hAnsiTheme="majorHAnsi" w:cstheme="majorHAnsi"/>
          <w:sz w:val="24"/>
          <w:szCs w:val="24"/>
          <w:lang w:val="ru-MD"/>
        </w:rPr>
        <w:t>я</w:t>
      </w:r>
      <w:r w:rsidR="00240665" w:rsidRPr="00FB328F">
        <w:rPr>
          <w:rFonts w:asciiTheme="majorHAnsi" w:hAnsiTheme="majorHAnsi" w:cstheme="majorHAnsi"/>
          <w:sz w:val="24"/>
          <w:szCs w:val="24"/>
          <w:lang w:val="ru-MD"/>
        </w:rPr>
        <w:t xml:space="preserve"> </w:t>
      </w:r>
      <w:r w:rsidR="009D0C54" w:rsidRPr="00FB328F">
        <w:rPr>
          <w:rFonts w:asciiTheme="majorHAnsi" w:hAnsiTheme="majorHAnsi" w:cstheme="majorHAnsi"/>
          <w:sz w:val="24"/>
          <w:szCs w:val="24"/>
          <w:lang w:val="ru-MD"/>
        </w:rPr>
        <w:t>ак</w:t>
      </w:r>
      <w:r w:rsidR="00240665" w:rsidRPr="00FB328F">
        <w:rPr>
          <w:rFonts w:asciiTheme="majorHAnsi" w:hAnsiTheme="majorHAnsi" w:cstheme="majorHAnsi"/>
          <w:sz w:val="24"/>
          <w:szCs w:val="24"/>
          <w:lang w:val="ru-MD"/>
        </w:rPr>
        <w:t xml:space="preserve">тов гражданского состояния, </w:t>
      </w:r>
      <w:r w:rsidR="009D0C54" w:rsidRPr="00FB328F">
        <w:rPr>
          <w:rFonts w:asciiTheme="majorHAnsi" w:hAnsiTheme="majorHAnsi" w:cstheme="majorHAnsi"/>
          <w:sz w:val="24"/>
          <w:szCs w:val="24"/>
          <w:lang w:val="ru-MD"/>
        </w:rPr>
        <w:t>соста</w:t>
      </w:r>
      <w:r w:rsidR="00240665" w:rsidRPr="00FB328F">
        <w:rPr>
          <w:rFonts w:asciiTheme="majorHAnsi" w:hAnsiTheme="majorHAnsi" w:cstheme="majorHAnsi"/>
          <w:sz w:val="24"/>
          <w:szCs w:val="24"/>
          <w:lang w:val="ru-MD"/>
        </w:rPr>
        <w:t xml:space="preserve">вленных </w:t>
      </w:r>
      <w:r w:rsidR="009D0C54" w:rsidRPr="00FB328F">
        <w:rPr>
          <w:rFonts w:asciiTheme="majorHAnsi" w:hAnsiTheme="majorHAnsi" w:cstheme="majorHAnsi"/>
          <w:sz w:val="24"/>
          <w:szCs w:val="24"/>
          <w:lang w:val="ru-MD"/>
        </w:rPr>
        <w:t>примэрия</w:t>
      </w:r>
      <w:r w:rsidR="00240665" w:rsidRPr="00FB328F">
        <w:rPr>
          <w:rFonts w:asciiTheme="majorHAnsi" w:hAnsiTheme="majorHAnsi" w:cstheme="majorHAnsi"/>
          <w:sz w:val="24"/>
          <w:szCs w:val="24"/>
          <w:lang w:val="ru-MD"/>
        </w:rPr>
        <w:t xml:space="preserve">ми, и автоматизации данных из них </w:t>
      </w:r>
      <w:r w:rsidR="009D0C54" w:rsidRPr="00FB328F">
        <w:rPr>
          <w:rFonts w:asciiTheme="majorHAnsi" w:hAnsiTheme="majorHAnsi" w:cstheme="majorHAnsi"/>
          <w:sz w:val="24"/>
          <w:szCs w:val="24"/>
          <w:lang w:val="ru-MD"/>
        </w:rPr>
        <w:t>посредством</w:t>
      </w:r>
      <w:r w:rsidR="00240665" w:rsidRPr="00FB328F">
        <w:rPr>
          <w:rFonts w:asciiTheme="majorHAnsi" w:hAnsiTheme="majorHAnsi" w:cstheme="majorHAnsi"/>
          <w:sz w:val="24"/>
          <w:szCs w:val="24"/>
          <w:lang w:val="ru-MD"/>
        </w:rPr>
        <w:t xml:space="preserve"> информационных систем гражданского состояния. Несмотря на вышесказанное, </w:t>
      </w:r>
      <w:r w:rsidR="009D0C54" w:rsidRPr="00FB328F">
        <w:rPr>
          <w:rFonts w:asciiTheme="majorHAnsi" w:hAnsiTheme="majorHAnsi" w:cstheme="majorHAnsi"/>
          <w:sz w:val="24"/>
          <w:szCs w:val="24"/>
          <w:lang w:val="ru-MD"/>
        </w:rPr>
        <w:t>отмеч</w:t>
      </w:r>
      <w:r w:rsidR="00240665" w:rsidRPr="00FB328F">
        <w:rPr>
          <w:rFonts w:asciiTheme="majorHAnsi" w:hAnsiTheme="majorHAnsi" w:cstheme="majorHAnsi"/>
          <w:sz w:val="24"/>
          <w:szCs w:val="24"/>
          <w:lang w:val="ru-MD"/>
        </w:rPr>
        <w:t xml:space="preserve">аются случаи несогласия некоторых </w:t>
      </w:r>
      <w:r w:rsidR="009D0C54" w:rsidRPr="00FB328F">
        <w:rPr>
          <w:rFonts w:asciiTheme="majorHAnsi" w:hAnsiTheme="majorHAnsi" w:cstheme="majorHAnsi"/>
          <w:sz w:val="24"/>
          <w:szCs w:val="24"/>
          <w:lang w:val="ru-MD"/>
        </w:rPr>
        <w:t>прима</w:t>
      </w:r>
      <w:r w:rsidR="00240665" w:rsidRPr="00FB328F">
        <w:rPr>
          <w:rFonts w:asciiTheme="majorHAnsi" w:hAnsiTheme="majorHAnsi" w:cstheme="majorHAnsi"/>
          <w:sz w:val="24"/>
          <w:szCs w:val="24"/>
          <w:lang w:val="ru-MD"/>
        </w:rPr>
        <w:t xml:space="preserve">ров с мерами, предпринятыми </w:t>
      </w:r>
      <w:r w:rsidR="009D0C54" w:rsidRPr="00FB328F">
        <w:rPr>
          <w:rFonts w:asciiTheme="majorHAnsi" w:hAnsiTheme="majorHAnsi" w:cstheme="majorHAnsi"/>
          <w:sz w:val="24"/>
          <w:szCs w:val="24"/>
          <w:lang w:val="ru-MD"/>
        </w:rPr>
        <w:t>АПУ</w:t>
      </w:r>
      <w:r w:rsidR="00240665" w:rsidRPr="00FB328F">
        <w:rPr>
          <w:rFonts w:asciiTheme="majorHAnsi" w:hAnsiTheme="majorHAnsi" w:cstheme="majorHAnsi"/>
          <w:sz w:val="24"/>
          <w:szCs w:val="24"/>
          <w:lang w:val="ru-MD"/>
        </w:rPr>
        <w:t xml:space="preserve">, </w:t>
      </w:r>
      <w:r w:rsidR="009D0C54" w:rsidRPr="00FB328F">
        <w:rPr>
          <w:rFonts w:asciiTheme="majorHAnsi" w:hAnsiTheme="majorHAnsi" w:cstheme="majorHAnsi"/>
          <w:sz w:val="24"/>
          <w:szCs w:val="24"/>
          <w:lang w:val="ru-MD"/>
        </w:rPr>
        <w:t>направленными на</w:t>
      </w:r>
      <w:r w:rsidR="00240665" w:rsidRPr="00FB328F">
        <w:rPr>
          <w:rFonts w:asciiTheme="majorHAnsi" w:hAnsiTheme="majorHAnsi" w:cstheme="majorHAnsi"/>
          <w:sz w:val="24"/>
          <w:szCs w:val="24"/>
          <w:lang w:val="ru-MD"/>
        </w:rPr>
        <w:t xml:space="preserve"> </w:t>
      </w:r>
      <w:r w:rsidR="009D0C54" w:rsidRPr="00FB328F">
        <w:rPr>
          <w:rFonts w:asciiTheme="majorHAnsi" w:hAnsiTheme="majorHAnsi" w:cstheme="majorHAnsi"/>
          <w:sz w:val="24"/>
          <w:szCs w:val="24"/>
          <w:lang w:val="ru-MD"/>
        </w:rPr>
        <w:t>ускорение</w:t>
      </w:r>
      <w:r w:rsidR="00240665" w:rsidRPr="00FB328F">
        <w:rPr>
          <w:rFonts w:asciiTheme="majorHAnsi" w:hAnsiTheme="majorHAnsi" w:cstheme="majorHAnsi"/>
          <w:sz w:val="24"/>
          <w:szCs w:val="24"/>
          <w:lang w:val="ru-MD"/>
        </w:rPr>
        <w:t xml:space="preserve"> процесса автоматизации актов гражданского состояния, составленных в примэриях, </w:t>
      </w:r>
      <w:r w:rsidR="009D0C54" w:rsidRPr="00FB328F">
        <w:rPr>
          <w:rFonts w:asciiTheme="majorHAnsi" w:hAnsiTheme="majorHAnsi" w:cstheme="majorHAnsi"/>
          <w:sz w:val="24"/>
          <w:szCs w:val="24"/>
          <w:lang w:val="ru-MD"/>
        </w:rPr>
        <w:t>для</w:t>
      </w:r>
      <w:r w:rsidR="00240665" w:rsidRPr="00FB328F">
        <w:rPr>
          <w:rFonts w:asciiTheme="majorHAnsi" w:hAnsiTheme="majorHAnsi" w:cstheme="majorHAnsi"/>
          <w:sz w:val="24"/>
          <w:szCs w:val="24"/>
          <w:lang w:val="ru-MD"/>
        </w:rPr>
        <w:t xml:space="preserve"> обеспечения </w:t>
      </w:r>
      <w:r w:rsidR="009D0C54" w:rsidRPr="00FB328F">
        <w:rPr>
          <w:rFonts w:asciiTheme="majorHAnsi" w:hAnsiTheme="majorHAnsi" w:cstheme="majorHAnsi"/>
          <w:sz w:val="24"/>
          <w:szCs w:val="24"/>
          <w:lang w:val="ru-MD"/>
        </w:rPr>
        <w:t>актуализации</w:t>
      </w:r>
      <w:r w:rsidR="00240665" w:rsidRPr="00FB328F">
        <w:rPr>
          <w:rFonts w:asciiTheme="majorHAnsi" w:hAnsiTheme="majorHAnsi" w:cstheme="majorHAnsi"/>
          <w:sz w:val="24"/>
          <w:szCs w:val="24"/>
          <w:lang w:val="ru-MD"/>
        </w:rPr>
        <w:t xml:space="preserve"> </w:t>
      </w:r>
      <w:r w:rsidR="009D0C54" w:rsidRPr="00FB328F">
        <w:rPr>
          <w:rFonts w:asciiTheme="majorHAnsi" w:hAnsiTheme="majorHAnsi" w:cstheme="majorHAnsi"/>
          <w:sz w:val="24"/>
          <w:szCs w:val="24"/>
          <w:lang w:val="ru-MD"/>
        </w:rPr>
        <w:t>Г</w:t>
      </w:r>
      <w:r w:rsidR="00240665" w:rsidRPr="00FB328F">
        <w:rPr>
          <w:rFonts w:asciiTheme="majorHAnsi" w:hAnsiTheme="majorHAnsi" w:cstheme="majorHAnsi"/>
          <w:sz w:val="24"/>
          <w:szCs w:val="24"/>
          <w:lang w:val="ru-MD"/>
        </w:rPr>
        <w:t>осударственного ре</w:t>
      </w:r>
      <w:r w:rsidR="009D0C54" w:rsidRPr="00FB328F">
        <w:rPr>
          <w:rFonts w:asciiTheme="majorHAnsi" w:hAnsiTheme="majorHAnsi" w:cstheme="majorHAnsi"/>
          <w:sz w:val="24"/>
          <w:szCs w:val="24"/>
          <w:lang w:val="ru-MD"/>
        </w:rPr>
        <w:t>ги</w:t>
      </w:r>
      <w:r w:rsidR="00240665" w:rsidRPr="00FB328F">
        <w:rPr>
          <w:rFonts w:asciiTheme="majorHAnsi" w:hAnsiTheme="majorHAnsi" w:cstheme="majorHAnsi"/>
          <w:sz w:val="24"/>
          <w:szCs w:val="24"/>
          <w:lang w:val="ru-MD"/>
        </w:rPr>
        <w:t xml:space="preserve">стра населения </w:t>
      </w:r>
      <w:r w:rsidR="009D0C54" w:rsidRPr="00FB328F">
        <w:rPr>
          <w:rFonts w:asciiTheme="majorHAnsi" w:hAnsiTheme="majorHAnsi" w:cstheme="majorHAnsi"/>
          <w:sz w:val="24"/>
          <w:szCs w:val="24"/>
          <w:lang w:val="ru-MD"/>
        </w:rPr>
        <w:t xml:space="preserve">в отношении </w:t>
      </w:r>
      <w:r w:rsidR="00240665" w:rsidRPr="00FB328F">
        <w:rPr>
          <w:rFonts w:asciiTheme="majorHAnsi" w:hAnsiTheme="majorHAnsi" w:cstheme="majorHAnsi"/>
          <w:sz w:val="24"/>
          <w:szCs w:val="24"/>
          <w:lang w:val="ru-MD"/>
        </w:rPr>
        <w:t>правово</w:t>
      </w:r>
      <w:r w:rsidR="009D0C54" w:rsidRPr="00FB328F">
        <w:rPr>
          <w:rFonts w:asciiTheme="majorHAnsi" w:hAnsiTheme="majorHAnsi" w:cstheme="majorHAnsi"/>
          <w:sz w:val="24"/>
          <w:szCs w:val="24"/>
          <w:lang w:val="ru-MD"/>
        </w:rPr>
        <w:t>го</w:t>
      </w:r>
      <w:r w:rsidR="00240665" w:rsidRPr="00FB328F">
        <w:rPr>
          <w:rFonts w:asciiTheme="majorHAnsi" w:hAnsiTheme="majorHAnsi" w:cstheme="majorHAnsi"/>
          <w:sz w:val="24"/>
          <w:szCs w:val="24"/>
          <w:lang w:val="ru-MD"/>
        </w:rPr>
        <w:t xml:space="preserve"> статус</w:t>
      </w:r>
      <w:r w:rsidR="009D0C54" w:rsidRPr="00FB328F">
        <w:rPr>
          <w:rFonts w:asciiTheme="majorHAnsi" w:hAnsiTheme="majorHAnsi" w:cstheme="majorHAnsi"/>
          <w:sz w:val="24"/>
          <w:szCs w:val="24"/>
          <w:lang w:val="ru-MD"/>
        </w:rPr>
        <w:t>а</w:t>
      </w:r>
      <w:r w:rsidR="00240665" w:rsidRPr="00FB328F">
        <w:rPr>
          <w:rFonts w:asciiTheme="majorHAnsi" w:hAnsiTheme="majorHAnsi" w:cstheme="majorHAnsi"/>
          <w:sz w:val="24"/>
          <w:szCs w:val="24"/>
          <w:lang w:val="ru-MD"/>
        </w:rPr>
        <w:t xml:space="preserve"> умерших лиц</w:t>
      </w:r>
      <w:r w:rsidR="00683C4B" w:rsidRPr="00FB328F">
        <w:rPr>
          <w:rFonts w:asciiTheme="majorHAnsi" w:hAnsiTheme="majorHAnsi" w:cstheme="majorHAnsi"/>
          <w:sz w:val="24"/>
          <w:szCs w:val="24"/>
          <w:lang w:val="ru-MD" w:eastAsia="ru-RU"/>
        </w:rPr>
        <w:t>.</w:t>
      </w:r>
    </w:p>
    <w:p w14:paraId="6F3092A1" w14:textId="72C12666" w:rsidR="003D7AE8" w:rsidRPr="00BB55E2" w:rsidRDefault="00240665" w:rsidP="003D7AE8">
      <w:pPr>
        <w:pStyle w:val="Default"/>
        <w:spacing w:line="276" w:lineRule="auto"/>
        <w:jc w:val="both"/>
        <w:rPr>
          <w:rFonts w:asciiTheme="majorHAnsi" w:hAnsiTheme="majorHAnsi" w:cstheme="majorHAnsi"/>
          <w:lang w:val="ru-MD"/>
        </w:rPr>
      </w:pPr>
      <w:r w:rsidRPr="00FB328F">
        <w:rPr>
          <w:rFonts w:asciiTheme="majorHAnsi" w:hAnsiTheme="majorHAnsi" w:cstheme="majorHAnsi"/>
          <w:lang w:val="ru-MD"/>
        </w:rPr>
        <w:t xml:space="preserve">Согласно положениям </w:t>
      </w:r>
      <w:r w:rsidR="00EC24DF" w:rsidRPr="00FB328F">
        <w:rPr>
          <w:rFonts w:asciiTheme="majorHAnsi" w:hAnsiTheme="majorHAnsi" w:cstheme="majorHAnsi"/>
          <w:lang w:val="ru-MD"/>
        </w:rPr>
        <w:t>Раздела</w:t>
      </w:r>
      <w:r w:rsidRPr="00FB328F">
        <w:rPr>
          <w:rFonts w:asciiTheme="majorHAnsi" w:hAnsiTheme="majorHAnsi" w:cstheme="majorHAnsi"/>
          <w:lang w:val="ru-MD"/>
        </w:rPr>
        <w:t xml:space="preserve"> III, </w:t>
      </w:r>
      <w:r w:rsidR="009D0C54" w:rsidRPr="00FB328F">
        <w:rPr>
          <w:rFonts w:asciiTheme="majorHAnsi" w:hAnsiTheme="majorHAnsi" w:cstheme="majorHAnsi"/>
          <w:lang w:val="ru-MD"/>
        </w:rPr>
        <w:t>лит.</w:t>
      </w:r>
      <w:r w:rsidRPr="00FB328F">
        <w:rPr>
          <w:rFonts w:asciiTheme="majorHAnsi" w:hAnsiTheme="majorHAnsi" w:cstheme="majorHAnsi"/>
          <w:lang w:val="ru-MD"/>
        </w:rPr>
        <w:t xml:space="preserve"> B</w:t>
      </w:r>
      <w:r w:rsidR="009D0C54" w:rsidRPr="00FB328F">
        <w:rPr>
          <w:rFonts w:asciiTheme="majorHAnsi" w:hAnsiTheme="majorHAnsi" w:cstheme="majorHAnsi"/>
          <w:lang w:val="ru-MD"/>
        </w:rPr>
        <w:t>)</w:t>
      </w:r>
      <w:r w:rsidRPr="00FB328F">
        <w:rPr>
          <w:rFonts w:asciiTheme="majorHAnsi" w:hAnsiTheme="majorHAnsi" w:cstheme="majorHAnsi"/>
          <w:lang w:val="ru-MD"/>
        </w:rPr>
        <w:t xml:space="preserve"> </w:t>
      </w:r>
      <w:r w:rsidR="00EC24DF" w:rsidRPr="00FB328F">
        <w:rPr>
          <w:rFonts w:asciiTheme="majorHAnsi" w:hAnsiTheme="majorHAnsi" w:cstheme="majorHAnsi"/>
          <w:lang w:val="ru-MD"/>
        </w:rPr>
        <w:t>К</w:t>
      </w:r>
      <w:r w:rsidRPr="00FB328F">
        <w:rPr>
          <w:rFonts w:asciiTheme="majorHAnsi" w:hAnsiTheme="majorHAnsi" w:cstheme="majorHAnsi"/>
          <w:lang w:val="ru-MD"/>
        </w:rPr>
        <w:t>онцепции автоматизированной информационной системы</w:t>
      </w:r>
      <w:r w:rsidR="00EC24DF" w:rsidRPr="00FB328F">
        <w:rPr>
          <w:rFonts w:asciiTheme="majorHAnsi" w:hAnsiTheme="majorHAnsi" w:cstheme="majorHAnsi"/>
          <w:lang w:val="ru-MD"/>
        </w:rPr>
        <w:t xml:space="preserve"> </w:t>
      </w:r>
      <w:r w:rsidRPr="00FB328F">
        <w:rPr>
          <w:rFonts w:asciiTheme="majorHAnsi" w:hAnsiTheme="majorHAnsi" w:cstheme="majorHAnsi"/>
          <w:lang w:val="ru-MD"/>
        </w:rPr>
        <w:t xml:space="preserve"> </w:t>
      </w:r>
      <w:r w:rsidR="00EC24DF" w:rsidRPr="00FB328F">
        <w:rPr>
          <w:rFonts w:asciiTheme="majorHAnsi" w:hAnsiTheme="majorHAnsi" w:cstheme="majorHAnsi"/>
          <w:lang w:val="ru-MD"/>
        </w:rPr>
        <w:t>„</w:t>
      </w:r>
      <w:r w:rsidRPr="00FB328F">
        <w:rPr>
          <w:rFonts w:asciiTheme="majorHAnsi" w:hAnsiTheme="majorHAnsi" w:cstheme="majorHAnsi"/>
          <w:lang w:val="ru-MD"/>
        </w:rPr>
        <w:t>государственный регистр населения</w:t>
      </w:r>
      <w:r w:rsidR="00EC24DF" w:rsidRPr="00FB328F">
        <w:rPr>
          <w:rFonts w:asciiTheme="majorHAnsi" w:hAnsiTheme="majorHAnsi" w:cstheme="majorHAnsi"/>
          <w:lang w:val="ru-MD"/>
        </w:rPr>
        <w:t>”</w:t>
      </w:r>
      <w:r w:rsidRPr="00FB328F">
        <w:rPr>
          <w:rFonts w:asciiTheme="majorHAnsi" w:hAnsiTheme="majorHAnsi" w:cstheme="majorHAnsi"/>
          <w:lang w:val="ru-MD"/>
        </w:rPr>
        <w:t xml:space="preserve"> и </w:t>
      </w:r>
      <w:r w:rsidR="00EC24DF" w:rsidRPr="00FB328F">
        <w:rPr>
          <w:rFonts w:asciiTheme="majorHAnsi" w:hAnsiTheme="majorHAnsi" w:cstheme="majorHAnsi"/>
          <w:lang w:val="ru-MD"/>
        </w:rPr>
        <w:t>п.9 Р</w:t>
      </w:r>
      <w:r w:rsidRPr="00FB328F">
        <w:rPr>
          <w:rFonts w:asciiTheme="majorHAnsi" w:hAnsiTheme="majorHAnsi" w:cstheme="majorHAnsi"/>
          <w:lang w:val="ru-MD"/>
        </w:rPr>
        <w:t>аздел</w:t>
      </w:r>
      <w:r w:rsidR="00EC24DF" w:rsidRPr="00FB328F">
        <w:rPr>
          <w:rFonts w:asciiTheme="majorHAnsi" w:hAnsiTheme="majorHAnsi" w:cstheme="majorHAnsi"/>
          <w:lang w:val="ru-MD"/>
        </w:rPr>
        <w:t>а</w:t>
      </w:r>
      <w:r w:rsidRPr="00FB328F">
        <w:rPr>
          <w:rFonts w:asciiTheme="majorHAnsi" w:hAnsiTheme="majorHAnsi" w:cstheme="majorHAnsi"/>
          <w:lang w:val="ru-MD"/>
        </w:rPr>
        <w:t xml:space="preserve"> III </w:t>
      </w:r>
      <w:r w:rsidR="00EC24DF" w:rsidRPr="00FB328F">
        <w:rPr>
          <w:rFonts w:asciiTheme="majorHAnsi" w:hAnsiTheme="majorHAnsi" w:cstheme="majorHAnsi"/>
          <w:lang w:val="ru-MD"/>
        </w:rPr>
        <w:t>Положения</w:t>
      </w:r>
      <w:r w:rsidRPr="00FB328F">
        <w:rPr>
          <w:rFonts w:asciiTheme="majorHAnsi" w:hAnsiTheme="majorHAnsi" w:cstheme="majorHAnsi"/>
          <w:lang w:val="ru-MD"/>
        </w:rPr>
        <w:t xml:space="preserve"> о </w:t>
      </w:r>
      <w:r w:rsidR="00EC24DF" w:rsidRPr="00FB328F">
        <w:rPr>
          <w:rFonts w:asciiTheme="majorHAnsi" w:hAnsiTheme="majorHAnsi" w:cstheme="majorHAnsi"/>
          <w:lang w:val="ru-MD"/>
        </w:rPr>
        <w:t>Г</w:t>
      </w:r>
      <w:r w:rsidRPr="00FB328F">
        <w:rPr>
          <w:rFonts w:asciiTheme="majorHAnsi" w:hAnsiTheme="majorHAnsi" w:cstheme="majorHAnsi"/>
          <w:lang w:val="ru-MD"/>
        </w:rPr>
        <w:t>осударственном реестре населения, утвержденного Постановлением Правите</w:t>
      </w:r>
      <w:r w:rsidR="00EC24DF" w:rsidRPr="00FB328F">
        <w:rPr>
          <w:rFonts w:asciiTheme="majorHAnsi" w:hAnsiTheme="majorHAnsi" w:cstheme="majorHAnsi"/>
          <w:lang w:val="ru-MD"/>
        </w:rPr>
        <w:t>льства №</w:t>
      </w:r>
      <w:r w:rsidRPr="00FB328F">
        <w:rPr>
          <w:rFonts w:asciiTheme="majorHAnsi" w:hAnsiTheme="majorHAnsi" w:cstheme="majorHAnsi"/>
          <w:lang w:val="ru-MD"/>
        </w:rPr>
        <w:t>333 от 18.03.2002</w:t>
      </w:r>
      <w:r w:rsidR="00EC24DF" w:rsidRPr="00FB328F">
        <w:rPr>
          <w:rFonts w:asciiTheme="majorHAnsi" w:hAnsiTheme="majorHAnsi" w:cstheme="majorHAnsi"/>
          <w:lang w:val="ru-MD"/>
        </w:rPr>
        <w:t>,</w:t>
      </w:r>
      <w:r w:rsidRPr="00FB328F">
        <w:rPr>
          <w:rFonts w:asciiTheme="majorHAnsi" w:hAnsiTheme="majorHAnsi" w:cstheme="majorHAnsi"/>
          <w:lang w:val="ru-MD"/>
        </w:rPr>
        <w:t xml:space="preserve"> установлено, что </w:t>
      </w:r>
      <w:r w:rsidR="00EC24DF" w:rsidRPr="00FB328F">
        <w:rPr>
          <w:rFonts w:asciiTheme="majorHAnsi" w:hAnsiTheme="majorHAnsi" w:cstheme="majorHAnsi"/>
          <w:lang w:val="ru-MD"/>
        </w:rPr>
        <w:t xml:space="preserve">актуализация данных ГРН заключается в систематическом внесении изменений </w:t>
      </w:r>
      <w:r w:rsidR="00EC24DF" w:rsidRPr="00BB55E2">
        <w:rPr>
          <w:rFonts w:asciiTheme="majorHAnsi" w:hAnsiTheme="majorHAnsi" w:cstheme="majorHAnsi"/>
          <w:lang w:val="ru-MD"/>
        </w:rPr>
        <w:t>(исправлений, дополнений) в персональные данные физического лица, в том числе на основании информации о смерти, предоставляемой Министерством здравоохранения.</w:t>
      </w:r>
      <w:r w:rsidRPr="00BB55E2">
        <w:rPr>
          <w:rFonts w:asciiTheme="majorHAnsi" w:hAnsiTheme="majorHAnsi" w:cstheme="majorHAnsi"/>
          <w:lang w:val="ru-MD"/>
        </w:rPr>
        <w:t xml:space="preserve"> </w:t>
      </w:r>
    </w:p>
    <w:p w14:paraId="55B14E4D" w14:textId="2F5016A5" w:rsidR="003D7AE8" w:rsidRPr="00BB55E2" w:rsidRDefault="00240665" w:rsidP="006852E2">
      <w:pPr>
        <w:pStyle w:val="Default"/>
        <w:spacing w:before="240" w:line="276" w:lineRule="auto"/>
        <w:jc w:val="both"/>
        <w:rPr>
          <w:rFonts w:asciiTheme="majorHAnsi" w:hAnsiTheme="majorHAnsi" w:cstheme="majorHAnsi"/>
          <w:highlight w:val="green"/>
          <w:lang w:val="ru-MD"/>
        </w:rPr>
      </w:pPr>
      <w:r w:rsidRPr="00BB55E2">
        <w:rPr>
          <w:rFonts w:asciiTheme="majorHAnsi" w:hAnsiTheme="majorHAnsi" w:cstheme="majorHAnsi"/>
          <w:lang w:val="ru-MD"/>
        </w:rPr>
        <w:t xml:space="preserve">Таким образом, обновление информации о смерти </w:t>
      </w:r>
      <w:r w:rsidR="00321434" w:rsidRPr="00BB55E2">
        <w:rPr>
          <w:rFonts w:asciiTheme="majorHAnsi" w:hAnsiTheme="majorHAnsi" w:cstheme="majorHAnsi"/>
          <w:lang w:val="ru-MD"/>
        </w:rPr>
        <w:t>лиц</w:t>
      </w:r>
      <w:r w:rsidRPr="00BB55E2">
        <w:rPr>
          <w:rFonts w:asciiTheme="majorHAnsi" w:hAnsiTheme="majorHAnsi" w:cstheme="majorHAnsi"/>
          <w:lang w:val="ru-MD"/>
        </w:rPr>
        <w:t xml:space="preserve"> не осуществляется оперативно медицинскими учреждениями с полномочиями констатировать факт смерти</w:t>
      </w:r>
      <w:r w:rsidR="00321434" w:rsidRPr="00BB55E2">
        <w:rPr>
          <w:rFonts w:asciiTheme="majorHAnsi" w:hAnsiTheme="majorHAnsi" w:cstheme="majorHAnsi"/>
          <w:lang w:val="ru-MD"/>
        </w:rPr>
        <w:t>,</w:t>
      </w:r>
      <w:r w:rsidRPr="00BB55E2">
        <w:rPr>
          <w:rFonts w:asciiTheme="majorHAnsi" w:hAnsiTheme="majorHAnsi" w:cstheme="majorHAnsi"/>
          <w:lang w:val="ru-MD"/>
        </w:rPr>
        <w:t xml:space="preserve"> в условиях отсутствия автоматизированной медицинской информационной системы. В этом аспекте Министерство </w:t>
      </w:r>
      <w:r w:rsidR="00321434" w:rsidRPr="00BB55E2">
        <w:rPr>
          <w:rFonts w:asciiTheme="majorHAnsi" w:hAnsiTheme="majorHAnsi" w:cstheme="majorHAnsi"/>
          <w:lang w:val="ru-MD"/>
        </w:rPr>
        <w:t>з</w:t>
      </w:r>
      <w:r w:rsidRPr="00BB55E2">
        <w:rPr>
          <w:rFonts w:asciiTheme="majorHAnsi" w:hAnsiTheme="majorHAnsi" w:cstheme="majorHAnsi"/>
          <w:lang w:val="ru-MD"/>
        </w:rPr>
        <w:t>дравоохранения отметило, что медицинские учреждения выдают свидетельства о смерти родственникам, уведомления о выдаче медицинских с</w:t>
      </w:r>
      <w:r w:rsidR="00321434" w:rsidRPr="00BB55E2">
        <w:rPr>
          <w:rFonts w:asciiTheme="majorHAnsi" w:hAnsiTheme="majorHAnsi" w:cstheme="majorHAnsi"/>
          <w:lang w:val="ru-MD"/>
        </w:rPr>
        <w:t>правок</w:t>
      </w:r>
      <w:r w:rsidRPr="00BB55E2">
        <w:rPr>
          <w:rFonts w:asciiTheme="majorHAnsi" w:hAnsiTheme="majorHAnsi" w:cstheme="majorHAnsi"/>
          <w:lang w:val="ru-MD"/>
        </w:rPr>
        <w:t xml:space="preserve"> представляются территориальным компетентным органам один раз в 10 дней (10, 20 и 30</w:t>
      </w:r>
      <w:r w:rsidR="00BB55E2" w:rsidRPr="00BB55E2">
        <w:rPr>
          <w:rFonts w:asciiTheme="majorHAnsi" w:hAnsiTheme="majorHAnsi" w:cstheme="majorHAnsi"/>
          <w:lang w:val="ru-MD"/>
        </w:rPr>
        <w:t xml:space="preserve"> числа</w:t>
      </w:r>
      <w:r w:rsidRPr="00BB55E2">
        <w:rPr>
          <w:rFonts w:asciiTheme="majorHAnsi" w:hAnsiTheme="majorHAnsi" w:cstheme="majorHAnsi"/>
          <w:lang w:val="ru-MD"/>
        </w:rPr>
        <w:t xml:space="preserve"> каждого месяца), а в конце каждого календарного месяца Агентство </w:t>
      </w:r>
      <w:r w:rsidR="00BB55E2" w:rsidRPr="00BB55E2">
        <w:rPr>
          <w:rFonts w:asciiTheme="majorHAnsi" w:hAnsiTheme="majorHAnsi" w:cstheme="majorHAnsi"/>
          <w:lang w:val="ru-MD"/>
        </w:rPr>
        <w:t>публич</w:t>
      </w:r>
      <w:r w:rsidRPr="00BB55E2">
        <w:rPr>
          <w:rFonts w:asciiTheme="majorHAnsi" w:hAnsiTheme="majorHAnsi" w:cstheme="majorHAnsi"/>
          <w:lang w:val="ru-MD"/>
        </w:rPr>
        <w:t xml:space="preserve">ных услуг </w:t>
      </w:r>
      <w:r w:rsidR="00BB55E2" w:rsidRPr="00BB55E2">
        <w:rPr>
          <w:rFonts w:asciiTheme="majorHAnsi" w:hAnsiTheme="majorHAnsi" w:cstheme="majorHAnsi"/>
          <w:lang w:val="ru-MD"/>
        </w:rPr>
        <w:t>сверя</w:t>
      </w:r>
      <w:r w:rsidRPr="00BB55E2">
        <w:rPr>
          <w:rFonts w:asciiTheme="majorHAnsi" w:hAnsiTheme="majorHAnsi" w:cstheme="majorHAnsi"/>
          <w:lang w:val="ru-MD"/>
        </w:rPr>
        <w:t xml:space="preserve">ет информацию из базы данных об уведомлениях о выдаче медицинских свидетельств, </w:t>
      </w:r>
      <w:r w:rsidR="00BB55E2" w:rsidRPr="00BB55E2">
        <w:rPr>
          <w:rFonts w:asciiTheme="majorHAnsi" w:hAnsiTheme="majorHAnsi" w:cstheme="majorHAnsi"/>
          <w:lang w:val="ru-MD"/>
        </w:rPr>
        <w:t>констатиру</w:t>
      </w:r>
      <w:r w:rsidRPr="00BB55E2">
        <w:rPr>
          <w:rFonts w:asciiTheme="majorHAnsi" w:hAnsiTheme="majorHAnsi" w:cstheme="majorHAnsi"/>
          <w:lang w:val="ru-MD"/>
        </w:rPr>
        <w:t xml:space="preserve">ющих смерть, с </w:t>
      </w:r>
      <w:r w:rsidR="00BB55E2" w:rsidRPr="00BB55E2">
        <w:rPr>
          <w:rFonts w:asciiTheme="majorHAnsi" w:hAnsiTheme="majorHAnsi" w:cstheme="majorHAnsi"/>
          <w:lang w:val="ru-MD"/>
        </w:rPr>
        <w:t>информацией</w:t>
      </w:r>
      <w:r w:rsidRPr="00BB55E2">
        <w:rPr>
          <w:rFonts w:asciiTheme="majorHAnsi" w:hAnsiTheme="majorHAnsi" w:cstheme="majorHAnsi"/>
          <w:lang w:val="ru-MD"/>
        </w:rPr>
        <w:t xml:space="preserve"> об актах смерти, таким образом идентифицируя случаи нерегистр</w:t>
      </w:r>
      <w:r w:rsidR="00BB55E2" w:rsidRPr="00BB55E2">
        <w:rPr>
          <w:rFonts w:asciiTheme="majorHAnsi" w:hAnsiTheme="majorHAnsi" w:cstheme="majorHAnsi"/>
          <w:lang w:val="ru-MD"/>
        </w:rPr>
        <w:t>ации</w:t>
      </w:r>
      <w:r w:rsidRPr="00BB55E2">
        <w:rPr>
          <w:rFonts w:asciiTheme="majorHAnsi" w:hAnsiTheme="majorHAnsi" w:cstheme="majorHAnsi"/>
          <w:lang w:val="ru-MD"/>
        </w:rPr>
        <w:t xml:space="preserve"> фактов смерти.</w:t>
      </w:r>
      <w:r w:rsidR="006852E2" w:rsidRPr="00BB55E2">
        <w:rPr>
          <w:rFonts w:asciiTheme="majorHAnsi" w:hAnsiTheme="majorHAnsi" w:cstheme="majorHAnsi"/>
          <w:lang w:val="ru-MD"/>
        </w:rPr>
        <w:t xml:space="preserve">  </w:t>
      </w:r>
    </w:p>
    <w:p w14:paraId="6F28F851" w14:textId="741E1370" w:rsidR="00683C4B" w:rsidRPr="00BB55E2" w:rsidRDefault="00BB55E2" w:rsidP="00FC573A">
      <w:pPr>
        <w:pStyle w:val="a6"/>
        <w:numPr>
          <w:ilvl w:val="0"/>
          <w:numId w:val="7"/>
        </w:numPr>
        <w:shd w:val="clear" w:color="auto" w:fill="FFFFFF" w:themeFill="background1"/>
        <w:spacing w:before="240" w:after="240" w:line="276" w:lineRule="auto"/>
        <w:ind w:left="0" w:firstLine="0"/>
        <w:rPr>
          <w:rFonts w:asciiTheme="majorHAnsi" w:hAnsiTheme="majorHAnsi" w:cstheme="majorHAnsi"/>
          <w:b/>
          <w:lang w:val="ru-MD"/>
        </w:rPr>
      </w:pPr>
      <w:r w:rsidRPr="00BB55E2">
        <w:rPr>
          <w:rFonts w:asciiTheme="majorHAnsi" w:hAnsiTheme="majorHAnsi" w:cstheme="majorHAnsi"/>
          <w:b/>
          <w:lang w:val="ru-MD"/>
        </w:rPr>
        <w:t>Аудит отмечает н</w:t>
      </w:r>
      <w:r w:rsidR="00EC24DF" w:rsidRPr="00BB55E2">
        <w:rPr>
          <w:rFonts w:asciiTheme="majorHAnsi" w:hAnsiTheme="majorHAnsi" w:cstheme="majorHAnsi"/>
          <w:b/>
          <w:lang w:val="ru-MD"/>
        </w:rPr>
        <w:t>есвоевременн</w:t>
      </w:r>
      <w:r w:rsidRPr="00BB55E2">
        <w:rPr>
          <w:rFonts w:asciiTheme="majorHAnsi" w:hAnsiTheme="majorHAnsi" w:cstheme="majorHAnsi"/>
          <w:b/>
          <w:lang w:val="ru-MD"/>
        </w:rPr>
        <w:t>ую</w:t>
      </w:r>
      <w:r w:rsidR="00EC24DF" w:rsidRPr="00BB55E2">
        <w:rPr>
          <w:rFonts w:asciiTheme="majorHAnsi" w:hAnsiTheme="majorHAnsi" w:cstheme="majorHAnsi"/>
          <w:b/>
          <w:lang w:val="ru-MD"/>
        </w:rPr>
        <w:t xml:space="preserve"> передач</w:t>
      </w:r>
      <w:r w:rsidRPr="00BB55E2">
        <w:rPr>
          <w:rFonts w:asciiTheme="majorHAnsi" w:hAnsiTheme="majorHAnsi" w:cstheme="majorHAnsi"/>
          <w:b/>
          <w:lang w:val="ru-MD"/>
        </w:rPr>
        <w:t>у</w:t>
      </w:r>
      <w:r w:rsidR="00EC24DF" w:rsidRPr="00BB55E2">
        <w:rPr>
          <w:rFonts w:asciiTheme="majorHAnsi" w:hAnsiTheme="majorHAnsi" w:cstheme="majorHAnsi"/>
          <w:b/>
          <w:lang w:val="ru-MD"/>
        </w:rPr>
        <w:t xml:space="preserve"> АПУ данных из Государственного регистра населения в НКСС через ИС MConect</w:t>
      </w:r>
      <w:r w:rsidR="00683C4B" w:rsidRPr="00BB55E2">
        <w:rPr>
          <w:rFonts w:asciiTheme="majorHAnsi" w:hAnsiTheme="majorHAnsi" w:cstheme="majorHAnsi"/>
          <w:b/>
          <w:lang w:val="ru-MD"/>
        </w:rPr>
        <w:t>.</w:t>
      </w:r>
    </w:p>
    <w:p w14:paraId="11CB3AE2" w14:textId="1B4944EC" w:rsidR="00683C4B" w:rsidRPr="00653E85" w:rsidRDefault="00EC24DF" w:rsidP="00683C4B">
      <w:pPr>
        <w:pStyle w:val="Default"/>
        <w:spacing w:line="276" w:lineRule="auto"/>
        <w:jc w:val="both"/>
        <w:rPr>
          <w:rFonts w:asciiTheme="majorHAnsi" w:hAnsiTheme="majorHAnsi" w:cstheme="majorHAnsi"/>
          <w:lang w:val="ro-MD"/>
        </w:rPr>
      </w:pPr>
      <w:r>
        <w:rPr>
          <w:rFonts w:asciiTheme="majorHAnsi" w:eastAsia="Calibri" w:hAnsiTheme="majorHAnsi" w:cstheme="majorHAnsi"/>
          <w:noProof/>
          <w:lang w:val="ru-RU"/>
        </w:rPr>
        <w:t xml:space="preserve">В соответствии с </w:t>
      </w:r>
      <w:r w:rsidRPr="00475A60">
        <w:rPr>
          <w:rFonts w:asciiTheme="majorHAnsi" w:eastAsia="Calibri" w:hAnsiTheme="majorHAnsi" w:cstheme="majorHAnsi"/>
          <w:noProof/>
          <w:lang w:val="ro-RO"/>
        </w:rPr>
        <w:t>Соглашени</w:t>
      </w:r>
      <w:r>
        <w:rPr>
          <w:rFonts w:asciiTheme="majorHAnsi" w:eastAsia="Calibri" w:hAnsiTheme="majorHAnsi" w:cstheme="majorHAnsi"/>
          <w:noProof/>
          <w:lang w:val="ru-RU"/>
        </w:rPr>
        <w:t>ем</w:t>
      </w:r>
      <w:r w:rsidRPr="00475A60">
        <w:rPr>
          <w:rFonts w:asciiTheme="majorHAnsi" w:eastAsia="Calibri" w:hAnsiTheme="majorHAnsi" w:cstheme="majorHAnsi"/>
          <w:noProof/>
          <w:lang w:val="ro-RO"/>
        </w:rPr>
        <w:t>, заключенн</w:t>
      </w:r>
      <w:r>
        <w:rPr>
          <w:rFonts w:asciiTheme="majorHAnsi" w:eastAsia="Calibri" w:hAnsiTheme="majorHAnsi" w:cstheme="majorHAnsi"/>
          <w:noProof/>
          <w:lang w:val="ru-RU"/>
        </w:rPr>
        <w:t>ым</w:t>
      </w:r>
      <w:r w:rsidRPr="00475A60">
        <w:rPr>
          <w:rFonts w:asciiTheme="majorHAnsi" w:eastAsia="Calibri" w:hAnsiTheme="majorHAnsi" w:cstheme="majorHAnsi"/>
          <w:noProof/>
          <w:lang w:val="ro-RO"/>
        </w:rPr>
        <w:t xml:space="preserve"> между </w:t>
      </w:r>
      <w:r>
        <w:rPr>
          <w:rFonts w:asciiTheme="majorHAnsi" w:eastAsia="Calibri" w:hAnsiTheme="majorHAnsi" w:cstheme="majorHAnsi"/>
          <w:noProof/>
          <w:lang w:val="ro-RO"/>
        </w:rPr>
        <w:t>НКСС</w:t>
      </w:r>
      <w:r w:rsidRPr="00475A60">
        <w:rPr>
          <w:rFonts w:asciiTheme="majorHAnsi" w:eastAsia="Calibri" w:hAnsiTheme="majorHAnsi" w:cstheme="majorHAnsi"/>
          <w:noProof/>
          <w:lang w:val="ro-RO"/>
        </w:rPr>
        <w:t xml:space="preserve"> и </w:t>
      </w:r>
      <w:r>
        <w:rPr>
          <w:rFonts w:asciiTheme="majorHAnsi" w:eastAsia="Calibri" w:hAnsiTheme="majorHAnsi" w:cstheme="majorHAnsi"/>
          <w:noProof/>
          <w:lang w:val="ro-RO"/>
        </w:rPr>
        <w:t>АЭУ</w:t>
      </w:r>
      <w:r w:rsidRPr="0099568A">
        <w:rPr>
          <w:rFonts w:asciiTheme="majorHAnsi" w:eastAsia="Calibri" w:hAnsiTheme="majorHAnsi" w:cstheme="majorHAnsi"/>
          <w:noProof/>
          <w:lang w:val="ro-RO"/>
        </w:rPr>
        <w:t>, последн</w:t>
      </w:r>
      <w:r>
        <w:rPr>
          <w:rFonts w:asciiTheme="majorHAnsi" w:eastAsia="Calibri" w:hAnsiTheme="majorHAnsi" w:cstheme="majorHAnsi"/>
          <w:noProof/>
          <w:lang w:val="ru-RU"/>
        </w:rPr>
        <w:t>ее</w:t>
      </w:r>
      <w:r w:rsidRPr="0099568A">
        <w:rPr>
          <w:rFonts w:asciiTheme="majorHAnsi" w:eastAsia="Calibri" w:hAnsiTheme="majorHAnsi" w:cstheme="majorHAnsi"/>
          <w:noProof/>
          <w:lang w:val="ro-RO"/>
        </w:rPr>
        <w:t xml:space="preserve"> обеспечивает</w:t>
      </w:r>
      <w:r>
        <w:rPr>
          <w:rFonts w:asciiTheme="majorHAnsi" w:eastAsia="Calibri" w:hAnsiTheme="majorHAnsi" w:cstheme="majorHAnsi"/>
          <w:noProof/>
          <w:lang w:val="ru-RU"/>
        </w:rPr>
        <w:t>,</w:t>
      </w:r>
      <w:r w:rsidRPr="0099568A">
        <w:rPr>
          <w:rFonts w:asciiTheme="majorHAnsi" w:eastAsia="Calibri" w:hAnsiTheme="majorHAnsi" w:cstheme="majorHAnsi"/>
          <w:noProof/>
          <w:lang w:val="ro-RO"/>
        </w:rPr>
        <w:t xml:space="preserve"> через платформу MConect</w:t>
      </w:r>
      <w:r>
        <w:rPr>
          <w:rFonts w:asciiTheme="majorHAnsi" w:eastAsia="Calibri" w:hAnsiTheme="majorHAnsi" w:cstheme="majorHAnsi"/>
          <w:noProof/>
          <w:lang w:val="ru-RU"/>
        </w:rPr>
        <w:t>, взаимоподключение</w:t>
      </w:r>
      <w:r w:rsidRPr="0099568A">
        <w:rPr>
          <w:rFonts w:asciiTheme="majorHAnsi" w:eastAsia="Calibri" w:hAnsiTheme="majorHAnsi" w:cstheme="majorHAnsi"/>
          <w:noProof/>
          <w:lang w:val="ro-RO"/>
        </w:rPr>
        <w:t xml:space="preserve"> между </w:t>
      </w:r>
      <w:r>
        <w:rPr>
          <w:rFonts w:asciiTheme="majorHAnsi" w:eastAsia="Calibri" w:hAnsiTheme="majorHAnsi" w:cstheme="majorHAnsi"/>
          <w:noProof/>
          <w:lang w:val="ro-RO"/>
        </w:rPr>
        <w:t>НКСС</w:t>
      </w:r>
      <w:r w:rsidRPr="0099568A">
        <w:rPr>
          <w:rFonts w:asciiTheme="majorHAnsi" w:eastAsia="Calibri" w:hAnsiTheme="majorHAnsi" w:cstheme="majorHAnsi"/>
          <w:noProof/>
          <w:lang w:val="ro-RO"/>
        </w:rPr>
        <w:t xml:space="preserve"> и </w:t>
      </w:r>
      <w:r>
        <w:rPr>
          <w:rFonts w:asciiTheme="majorHAnsi" w:eastAsia="Calibri" w:hAnsiTheme="majorHAnsi" w:cstheme="majorHAnsi"/>
          <w:noProof/>
          <w:lang w:val="ro-RO"/>
        </w:rPr>
        <w:t>АПУ</w:t>
      </w:r>
      <w:r w:rsidRPr="0099568A">
        <w:rPr>
          <w:rFonts w:asciiTheme="majorHAnsi" w:eastAsia="Calibri" w:hAnsiTheme="majorHAnsi" w:cstheme="majorHAnsi"/>
          <w:noProof/>
          <w:lang w:val="ro-RO"/>
        </w:rPr>
        <w:t>. Таким образом, в автоматическом режиме принимаются все данные о</w:t>
      </w:r>
      <w:r>
        <w:rPr>
          <w:rFonts w:asciiTheme="majorHAnsi" w:eastAsia="Calibri" w:hAnsiTheme="majorHAnsi" w:cstheme="majorHAnsi"/>
          <w:noProof/>
          <w:lang w:val="ru-RU"/>
        </w:rPr>
        <w:t>б</w:t>
      </w:r>
      <w:r w:rsidRPr="0099568A">
        <w:rPr>
          <w:rFonts w:asciiTheme="majorHAnsi" w:eastAsia="Calibri" w:hAnsiTheme="majorHAnsi" w:cstheme="majorHAnsi"/>
          <w:noProof/>
          <w:lang w:val="ro-RO"/>
        </w:rPr>
        <w:t xml:space="preserve"> умерших физических лицах, </w:t>
      </w:r>
      <w:r>
        <w:rPr>
          <w:rFonts w:asciiTheme="majorHAnsi" w:eastAsia="Calibri" w:hAnsiTheme="majorHAnsi" w:cstheme="majorHAnsi"/>
          <w:noProof/>
          <w:lang w:val="ru-RU"/>
        </w:rPr>
        <w:t>поступившие</w:t>
      </w:r>
      <w:r w:rsidRPr="0099568A">
        <w:rPr>
          <w:rFonts w:asciiTheme="majorHAnsi" w:eastAsia="Calibri" w:hAnsiTheme="majorHAnsi" w:cstheme="majorHAnsi"/>
          <w:noProof/>
          <w:lang w:val="ro-RO"/>
        </w:rPr>
        <w:t xml:space="preserve"> в этот день, </w:t>
      </w:r>
      <w:r>
        <w:rPr>
          <w:rFonts w:asciiTheme="majorHAnsi" w:eastAsia="Calibri" w:hAnsiTheme="majorHAnsi" w:cstheme="majorHAnsi"/>
          <w:noProof/>
          <w:lang w:val="ru-RU"/>
        </w:rPr>
        <w:t>полученн</w:t>
      </w:r>
      <w:r w:rsidRPr="0099568A">
        <w:rPr>
          <w:rFonts w:asciiTheme="majorHAnsi" w:eastAsia="Calibri" w:hAnsiTheme="majorHAnsi" w:cstheme="majorHAnsi"/>
          <w:noProof/>
          <w:lang w:val="ro-RO"/>
        </w:rPr>
        <w:t xml:space="preserve">ые из </w:t>
      </w:r>
      <w:r>
        <w:rPr>
          <w:rFonts w:asciiTheme="majorHAnsi" w:eastAsia="Calibri" w:hAnsiTheme="majorHAnsi" w:cstheme="majorHAnsi"/>
          <w:noProof/>
          <w:lang w:val="ru-RU"/>
        </w:rPr>
        <w:t>Г</w:t>
      </w:r>
      <w:r w:rsidRPr="0099568A">
        <w:rPr>
          <w:rFonts w:asciiTheme="majorHAnsi" w:eastAsia="Calibri" w:hAnsiTheme="majorHAnsi" w:cstheme="majorHAnsi"/>
          <w:noProof/>
          <w:lang w:val="ro-RO"/>
        </w:rPr>
        <w:t>осударственного ре</w:t>
      </w:r>
      <w:r>
        <w:rPr>
          <w:rFonts w:asciiTheme="majorHAnsi" w:eastAsia="Calibri" w:hAnsiTheme="majorHAnsi" w:cstheme="majorHAnsi"/>
          <w:noProof/>
          <w:lang w:val="ru-RU"/>
        </w:rPr>
        <w:t>ги</w:t>
      </w:r>
      <w:r w:rsidRPr="0099568A">
        <w:rPr>
          <w:rFonts w:asciiTheme="majorHAnsi" w:eastAsia="Calibri" w:hAnsiTheme="majorHAnsi" w:cstheme="majorHAnsi"/>
          <w:noProof/>
          <w:lang w:val="ro-RO"/>
        </w:rPr>
        <w:t>стра населения (</w:t>
      </w:r>
      <w:r>
        <w:rPr>
          <w:rFonts w:asciiTheme="majorHAnsi" w:eastAsia="Calibri" w:hAnsiTheme="majorHAnsi" w:cstheme="majorHAnsi"/>
          <w:noProof/>
          <w:lang w:val="ru-RU"/>
        </w:rPr>
        <w:t>владелец -</w:t>
      </w:r>
      <w:r w:rsidRPr="0099568A">
        <w:rPr>
          <w:rFonts w:asciiTheme="majorHAnsi" w:eastAsia="Calibri" w:hAnsiTheme="majorHAnsi" w:cstheme="majorHAnsi"/>
          <w:noProof/>
          <w:lang w:val="ro-RO"/>
        </w:rPr>
        <w:t xml:space="preserve"> Агентств</w:t>
      </w:r>
      <w:r>
        <w:rPr>
          <w:rFonts w:asciiTheme="majorHAnsi" w:eastAsia="Calibri" w:hAnsiTheme="majorHAnsi" w:cstheme="majorHAnsi"/>
          <w:noProof/>
          <w:lang w:val="ru-RU"/>
        </w:rPr>
        <w:t>о</w:t>
      </w:r>
      <w:r w:rsidRPr="0099568A">
        <w:rPr>
          <w:rFonts w:asciiTheme="majorHAnsi" w:eastAsia="Calibri" w:hAnsiTheme="majorHAnsi" w:cstheme="majorHAnsi"/>
          <w:noProof/>
          <w:lang w:val="ro-RO"/>
        </w:rPr>
        <w:t xml:space="preserve"> </w:t>
      </w:r>
      <w:r>
        <w:rPr>
          <w:rFonts w:asciiTheme="majorHAnsi" w:eastAsia="Calibri" w:hAnsiTheme="majorHAnsi" w:cstheme="majorHAnsi"/>
          <w:noProof/>
          <w:lang w:val="ro-RO"/>
        </w:rPr>
        <w:t>публичных услуг)</w:t>
      </w:r>
      <w:r w:rsidRPr="00E82CC1">
        <w:rPr>
          <w:rFonts w:asciiTheme="majorHAnsi" w:eastAsia="Calibri" w:hAnsiTheme="majorHAnsi" w:cstheme="majorHAnsi"/>
          <w:noProof/>
          <w:lang w:val="ro-RO"/>
        </w:rPr>
        <w:t xml:space="preserve">. </w:t>
      </w:r>
      <w:r w:rsidRPr="0099568A">
        <w:rPr>
          <w:rFonts w:asciiTheme="majorHAnsi" w:eastAsia="Calibri" w:hAnsiTheme="majorHAnsi" w:cstheme="majorHAnsi"/>
          <w:noProof/>
          <w:lang w:val="ro-RO"/>
        </w:rPr>
        <w:t xml:space="preserve">Данные загружаются в </w:t>
      </w:r>
      <w:r w:rsidRPr="00D84145">
        <w:rPr>
          <w:rFonts w:asciiTheme="majorHAnsi" w:eastAsia="Calibri" w:hAnsiTheme="majorHAnsi" w:cstheme="majorHAnsi"/>
          <w:noProof/>
          <w:lang w:val="ro-RO"/>
        </w:rPr>
        <w:t xml:space="preserve">ИС </w:t>
      </w:r>
      <w:r w:rsidRPr="00E82CC1">
        <w:rPr>
          <w:rFonts w:asciiTheme="majorHAnsi" w:eastAsia="Calibri" w:hAnsiTheme="majorHAnsi" w:cstheme="majorHAnsi"/>
          <w:noProof/>
          <w:lang w:val="ro-RO"/>
        </w:rPr>
        <w:t>„</w:t>
      </w:r>
      <w:r w:rsidRPr="0099568A">
        <w:rPr>
          <w:rFonts w:asciiTheme="majorHAnsi" w:eastAsia="Calibri" w:hAnsiTheme="majorHAnsi" w:cstheme="majorHAnsi"/>
          <w:noProof/>
          <w:lang w:val="ro-RO"/>
        </w:rPr>
        <w:t>Социальная защита</w:t>
      </w:r>
      <w:r w:rsidRPr="00E82CC1">
        <w:rPr>
          <w:rFonts w:asciiTheme="majorHAnsi" w:eastAsia="Calibri" w:hAnsiTheme="majorHAnsi" w:cstheme="majorHAnsi"/>
          <w:noProof/>
          <w:lang w:val="ro-RO"/>
        </w:rPr>
        <w:t>”</w:t>
      </w:r>
      <w:r w:rsidRPr="0099568A">
        <w:rPr>
          <w:rFonts w:asciiTheme="majorHAnsi" w:eastAsia="Calibri" w:hAnsiTheme="majorHAnsi" w:cstheme="majorHAnsi"/>
          <w:noProof/>
          <w:lang w:val="ro-RO"/>
        </w:rPr>
        <w:t>, после чего</w:t>
      </w:r>
      <w:r w:rsidRPr="00D84145">
        <w:rPr>
          <w:rFonts w:asciiTheme="majorHAnsi" w:eastAsia="Calibri" w:hAnsiTheme="majorHAnsi" w:cstheme="majorHAnsi"/>
          <w:noProof/>
          <w:lang w:val="ro-RO"/>
        </w:rPr>
        <w:t>,</w:t>
      </w:r>
      <w:r w:rsidRPr="0099568A">
        <w:rPr>
          <w:rFonts w:asciiTheme="majorHAnsi" w:eastAsia="Calibri" w:hAnsiTheme="majorHAnsi" w:cstheme="majorHAnsi"/>
          <w:noProof/>
          <w:lang w:val="ro-RO"/>
        </w:rPr>
        <w:t xml:space="preserve"> в автомати</w:t>
      </w:r>
      <w:r w:rsidRPr="00D84145">
        <w:rPr>
          <w:rFonts w:asciiTheme="majorHAnsi" w:eastAsia="Calibri" w:hAnsiTheme="majorHAnsi" w:cstheme="majorHAnsi"/>
          <w:noProof/>
          <w:lang w:val="ro-RO"/>
        </w:rPr>
        <w:t>зированн</w:t>
      </w:r>
      <w:r w:rsidRPr="0099568A">
        <w:rPr>
          <w:rFonts w:asciiTheme="majorHAnsi" w:eastAsia="Calibri" w:hAnsiTheme="majorHAnsi" w:cstheme="majorHAnsi"/>
          <w:noProof/>
          <w:lang w:val="ro-RO"/>
        </w:rPr>
        <w:t>ом режиме</w:t>
      </w:r>
      <w:r w:rsidRPr="00D84145">
        <w:rPr>
          <w:rFonts w:asciiTheme="majorHAnsi" w:eastAsia="Calibri" w:hAnsiTheme="majorHAnsi" w:cstheme="majorHAnsi"/>
          <w:noProof/>
          <w:lang w:val="ro-RO"/>
        </w:rPr>
        <w:t>,</w:t>
      </w:r>
      <w:r w:rsidRPr="0099568A">
        <w:rPr>
          <w:rFonts w:asciiTheme="majorHAnsi" w:eastAsia="Calibri" w:hAnsiTheme="majorHAnsi" w:cstheme="majorHAnsi"/>
          <w:noProof/>
          <w:lang w:val="ro-RO"/>
        </w:rPr>
        <w:t xml:space="preserve"> программа анализирует все виды социальных пособий и, в случае обнаружения активных решений</w:t>
      </w:r>
      <w:r w:rsidR="00BA4F33" w:rsidRPr="00BA4F33">
        <w:rPr>
          <w:rFonts w:asciiTheme="majorHAnsi" w:eastAsia="Calibri" w:hAnsiTheme="majorHAnsi" w:cstheme="majorHAnsi"/>
          <w:noProof/>
          <w:lang w:val="ro-RO"/>
        </w:rPr>
        <w:t xml:space="preserve"> </w:t>
      </w:r>
      <w:r w:rsidR="00BA4F33">
        <w:rPr>
          <w:rFonts w:asciiTheme="majorHAnsi" w:eastAsia="Calibri" w:hAnsiTheme="majorHAnsi" w:cstheme="majorHAnsi"/>
          <w:noProof/>
          <w:lang w:val="ru-RU"/>
        </w:rPr>
        <w:t>о выплатах</w:t>
      </w:r>
      <w:r w:rsidRPr="0099568A">
        <w:rPr>
          <w:rFonts w:asciiTheme="majorHAnsi" w:eastAsia="Calibri" w:hAnsiTheme="majorHAnsi" w:cstheme="majorHAnsi"/>
          <w:noProof/>
          <w:lang w:val="ro-RO"/>
        </w:rPr>
        <w:t xml:space="preserve">, инициирует блокировку платежа. Обмен данными должен происходить ежедневно (24 часа в сутки, 7 дней в неделю), чтобы избежать дополнительных выплат социальных пособий. При сопоставлении данных </w:t>
      </w:r>
      <w:r w:rsidR="00BA4F33" w:rsidRPr="00BA4F33">
        <w:rPr>
          <w:rFonts w:asciiTheme="majorHAnsi" w:eastAsia="Calibri" w:hAnsiTheme="majorHAnsi" w:cstheme="majorHAnsi"/>
          <w:noProof/>
          <w:lang w:val="ro-RO"/>
        </w:rPr>
        <w:t>о</w:t>
      </w:r>
      <w:r w:rsidRPr="0099568A">
        <w:rPr>
          <w:rFonts w:asciiTheme="majorHAnsi" w:eastAsia="Calibri" w:hAnsiTheme="majorHAnsi" w:cstheme="majorHAnsi"/>
          <w:noProof/>
          <w:lang w:val="ro-RO"/>
        </w:rPr>
        <w:t xml:space="preserve"> дат</w:t>
      </w:r>
      <w:r w:rsidR="00BA4F33" w:rsidRPr="00BA4F33">
        <w:rPr>
          <w:rFonts w:asciiTheme="majorHAnsi" w:eastAsia="Calibri" w:hAnsiTheme="majorHAnsi" w:cstheme="majorHAnsi"/>
          <w:noProof/>
          <w:lang w:val="ro-RO"/>
        </w:rPr>
        <w:t>е</w:t>
      </w:r>
      <w:r w:rsidRPr="0099568A">
        <w:rPr>
          <w:rFonts w:asciiTheme="majorHAnsi" w:eastAsia="Calibri" w:hAnsiTheme="majorHAnsi" w:cstheme="majorHAnsi"/>
          <w:noProof/>
          <w:lang w:val="ro-RO"/>
        </w:rPr>
        <w:t xml:space="preserve"> смерти, зарегистрированной в НКСС, с </w:t>
      </w:r>
      <w:r w:rsidRPr="00D84145">
        <w:rPr>
          <w:rFonts w:asciiTheme="majorHAnsi" w:eastAsia="Calibri" w:hAnsiTheme="majorHAnsi" w:cstheme="majorHAnsi"/>
          <w:noProof/>
          <w:lang w:val="ro-RO"/>
        </w:rPr>
        <w:t xml:space="preserve">фактической </w:t>
      </w:r>
      <w:r w:rsidRPr="0099568A">
        <w:rPr>
          <w:rFonts w:asciiTheme="majorHAnsi" w:eastAsia="Calibri" w:hAnsiTheme="majorHAnsi" w:cstheme="majorHAnsi"/>
          <w:noProof/>
          <w:lang w:val="ro-RO"/>
        </w:rPr>
        <w:t>датой смерти бенефициара</w:t>
      </w:r>
      <w:r w:rsidRPr="00D84145">
        <w:rPr>
          <w:rFonts w:asciiTheme="majorHAnsi" w:eastAsia="Calibri" w:hAnsiTheme="majorHAnsi" w:cstheme="majorHAnsi"/>
          <w:noProof/>
          <w:lang w:val="ro-RO"/>
        </w:rPr>
        <w:t>,</w:t>
      </w:r>
      <w:r w:rsidRPr="0099568A">
        <w:rPr>
          <w:rFonts w:asciiTheme="majorHAnsi" w:eastAsia="Calibri" w:hAnsiTheme="majorHAnsi" w:cstheme="majorHAnsi"/>
          <w:noProof/>
          <w:lang w:val="ro-RO"/>
        </w:rPr>
        <w:t xml:space="preserve"> отме</w:t>
      </w:r>
      <w:r w:rsidRPr="00D84145">
        <w:rPr>
          <w:rFonts w:asciiTheme="majorHAnsi" w:eastAsia="Calibri" w:hAnsiTheme="majorHAnsi" w:cstheme="majorHAnsi"/>
          <w:noProof/>
          <w:lang w:val="ro-RO"/>
        </w:rPr>
        <w:t>чается</w:t>
      </w:r>
      <w:r w:rsidRPr="0099568A">
        <w:rPr>
          <w:rFonts w:asciiTheme="majorHAnsi" w:eastAsia="Calibri" w:hAnsiTheme="majorHAnsi" w:cstheme="majorHAnsi"/>
          <w:noProof/>
          <w:lang w:val="ro-RO"/>
        </w:rPr>
        <w:t xml:space="preserve">, что количество дней колеблется от 1 до </w:t>
      </w:r>
      <w:r w:rsidR="00BA4F33" w:rsidRPr="00653E85">
        <w:rPr>
          <w:rFonts w:asciiTheme="majorHAnsi" w:hAnsiTheme="majorHAnsi" w:cstheme="majorHAnsi"/>
          <w:lang w:val="ro-MD"/>
        </w:rPr>
        <w:t>366</w:t>
      </w:r>
      <w:r w:rsidR="00683C4B" w:rsidRPr="00653E85">
        <w:rPr>
          <w:rFonts w:asciiTheme="majorHAnsi" w:hAnsiTheme="majorHAnsi" w:cstheme="majorHAnsi"/>
          <w:lang w:val="ro-MD"/>
        </w:rPr>
        <w:t>.</w:t>
      </w:r>
    </w:p>
    <w:p w14:paraId="5ED1EFAB" w14:textId="77777777" w:rsidR="00BA4F33" w:rsidRPr="00E82CC1" w:rsidRDefault="00BA4F33" w:rsidP="00BA4F33">
      <w:pPr>
        <w:pStyle w:val="a6"/>
        <w:shd w:val="clear" w:color="auto" w:fill="FFFFFF" w:themeFill="background1"/>
        <w:spacing w:line="276" w:lineRule="auto"/>
        <w:ind w:firstLine="0"/>
        <w:rPr>
          <w:rFonts w:asciiTheme="majorHAnsi" w:eastAsia="Calibri" w:hAnsiTheme="majorHAnsi" w:cstheme="majorHAnsi"/>
          <w:noProof/>
          <w:lang w:val="ro-RO"/>
        </w:rPr>
      </w:pPr>
      <w:r w:rsidRPr="00FF51E7">
        <w:rPr>
          <w:rFonts w:asciiTheme="majorHAnsi" w:eastAsia="Calibri" w:hAnsiTheme="majorHAnsi" w:cstheme="majorHAnsi"/>
          <w:noProof/>
          <w:lang w:val="ru-RU"/>
        </w:rPr>
        <w:t>Относительно данного</w:t>
      </w:r>
      <w:r>
        <w:rPr>
          <w:rFonts w:asciiTheme="majorHAnsi" w:eastAsia="Calibri" w:hAnsiTheme="majorHAnsi" w:cstheme="majorHAnsi"/>
          <w:noProof/>
          <w:lang w:val="ru-RU"/>
        </w:rPr>
        <w:t xml:space="preserve"> аспекта</w:t>
      </w:r>
      <w:r w:rsidRPr="0099568A">
        <w:rPr>
          <w:rFonts w:asciiTheme="majorHAnsi" w:eastAsia="Calibri" w:hAnsiTheme="majorHAnsi" w:cstheme="majorHAnsi"/>
          <w:noProof/>
          <w:lang w:val="ro-RO"/>
        </w:rPr>
        <w:t xml:space="preserve">, </w:t>
      </w:r>
      <w:r>
        <w:rPr>
          <w:rFonts w:asciiTheme="majorHAnsi" w:eastAsia="Calibri" w:hAnsiTheme="majorHAnsi" w:cstheme="majorHAnsi"/>
          <w:noProof/>
          <w:lang w:val="ro-RO"/>
        </w:rPr>
        <w:t>НКСС</w:t>
      </w:r>
      <w:r w:rsidRPr="0099568A">
        <w:rPr>
          <w:rFonts w:asciiTheme="majorHAnsi" w:eastAsia="Calibri" w:hAnsiTheme="majorHAnsi" w:cstheme="majorHAnsi"/>
          <w:noProof/>
          <w:lang w:val="ro-RO"/>
        </w:rPr>
        <w:t xml:space="preserve"> </w:t>
      </w:r>
      <w:r>
        <w:rPr>
          <w:rFonts w:asciiTheme="majorHAnsi" w:eastAsia="Calibri" w:hAnsiTheme="majorHAnsi" w:cstheme="majorHAnsi"/>
          <w:noProof/>
          <w:lang w:val="ru-RU"/>
        </w:rPr>
        <w:t>проинформирова</w:t>
      </w:r>
      <w:r w:rsidRPr="0099568A">
        <w:rPr>
          <w:rFonts w:asciiTheme="majorHAnsi" w:eastAsia="Calibri" w:hAnsiTheme="majorHAnsi" w:cstheme="majorHAnsi"/>
          <w:noProof/>
          <w:lang w:val="ro-RO"/>
        </w:rPr>
        <w:t xml:space="preserve">ла, что обмен данными происходит двумя способами: через платформу MConect, ежедневно, за </w:t>
      </w:r>
      <w:r>
        <w:rPr>
          <w:rFonts w:asciiTheme="majorHAnsi" w:eastAsia="Calibri" w:hAnsiTheme="majorHAnsi" w:cstheme="majorHAnsi"/>
          <w:noProof/>
          <w:lang w:val="ru-RU"/>
        </w:rPr>
        <w:t xml:space="preserve">предыдущие </w:t>
      </w:r>
      <w:r w:rsidRPr="0099568A">
        <w:rPr>
          <w:rFonts w:asciiTheme="majorHAnsi" w:eastAsia="Calibri" w:hAnsiTheme="majorHAnsi" w:cstheme="majorHAnsi"/>
          <w:noProof/>
          <w:lang w:val="ro-RO"/>
        </w:rPr>
        <w:t xml:space="preserve">10 дней, и прекращение выплаты пособия </w:t>
      </w:r>
      <w:r>
        <w:rPr>
          <w:rFonts w:asciiTheme="majorHAnsi" w:eastAsia="Calibri" w:hAnsiTheme="majorHAnsi" w:cstheme="majorHAnsi"/>
          <w:noProof/>
          <w:lang w:val="ru-RU"/>
        </w:rPr>
        <w:t>с момента</w:t>
      </w:r>
      <w:r w:rsidRPr="0099568A">
        <w:rPr>
          <w:rFonts w:asciiTheme="majorHAnsi" w:eastAsia="Calibri" w:hAnsiTheme="majorHAnsi" w:cstheme="majorHAnsi"/>
          <w:noProof/>
          <w:lang w:val="ro-RO"/>
        </w:rPr>
        <w:t xml:space="preserve"> обращения родственник</w:t>
      </w:r>
      <w:r>
        <w:rPr>
          <w:rFonts w:asciiTheme="majorHAnsi" w:eastAsia="Calibri" w:hAnsiTheme="majorHAnsi" w:cstheme="majorHAnsi"/>
          <w:noProof/>
          <w:lang w:val="ru-RU"/>
        </w:rPr>
        <w:t>ов</w:t>
      </w:r>
      <w:r w:rsidRPr="0099568A">
        <w:rPr>
          <w:rFonts w:asciiTheme="majorHAnsi" w:eastAsia="Calibri" w:hAnsiTheme="majorHAnsi" w:cstheme="majorHAnsi"/>
          <w:noProof/>
          <w:lang w:val="ro-RO"/>
        </w:rPr>
        <w:t xml:space="preserve"> после </w:t>
      </w:r>
      <w:r>
        <w:rPr>
          <w:rFonts w:asciiTheme="majorHAnsi" w:eastAsia="Calibri" w:hAnsiTheme="majorHAnsi" w:cstheme="majorHAnsi"/>
          <w:noProof/>
          <w:lang w:val="ru-RU"/>
        </w:rPr>
        <w:t xml:space="preserve">за </w:t>
      </w:r>
      <w:r w:rsidRPr="0099568A">
        <w:rPr>
          <w:rFonts w:asciiTheme="majorHAnsi" w:eastAsia="Calibri" w:hAnsiTheme="majorHAnsi" w:cstheme="majorHAnsi"/>
          <w:noProof/>
          <w:lang w:val="ro-RO"/>
        </w:rPr>
        <w:t>по</w:t>
      </w:r>
      <w:r>
        <w:rPr>
          <w:rFonts w:asciiTheme="majorHAnsi" w:eastAsia="Calibri" w:hAnsiTheme="majorHAnsi" w:cstheme="majorHAnsi"/>
          <w:noProof/>
          <w:lang w:val="ru-RU"/>
        </w:rPr>
        <w:t xml:space="preserve">собием по </w:t>
      </w:r>
      <w:r w:rsidRPr="0099568A">
        <w:rPr>
          <w:rFonts w:asciiTheme="majorHAnsi" w:eastAsia="Calibri" w:hAnsiTheme="majorHAnsi" w:cstheme="majorHAnsi"/>
          <w:noProof/>
          <w:lang w:val="ro-RO"/>
        </w:rPr>
        <w:t>случа</w:t>
      </w:r>
      <w:r>
        <w:rPr>
          <w:rFonts w:asciiTheme="majorHAnsi" w:eastAsia="Calibri" w:hAnsiTheme="majorHAnsi" w:cstheme="majorHAnsi"/>
          <w:noProof/>
          <w:lang w:val="ru-RU"/>
        </w:rPr>
        <w:t>ю</w:t>
      </w:r>
      <w:r w:rsidRPr="0099568A">
        <w:rPr>
          <w:rFonts w:asciiTheme="majorHAnsi" w:eastAsia="Calibri" w:hAnsiTheme="majorHAnsi" w:cstheme="majorHAnsi"/>
          <w:noProof/>
          <w:lang w:val="ro-RO"/>
        </w:rPr>
        <w:t xml:space="preserve"> смерти</w:t>
      </w:r>
      <w:r w:rsidRPr="00E82CC1">
        <w:rPr>
          <w:rStyle w:val="a5"/>
          <w:rFonts w:asciiTheme="majorHAnsi" w:eastAsia="Calibri" w:hAnsiTheme="majorHAnsi" w:cstheme="majorHAnsi"/>
          <w:noProof/>
          <w:lang w:val="ro-RO"/>
        </w:rPr>
        <w:footnoteReference w:id="50"/>
      </w:r>
      <w:r w:rsidRPr="0099568A">
        <w:rPr>
          <w:rFonts w:asciiTheme="majorHAnsi" w:eastAsia="Calibri" w:hAnsiTheme="majorHAnsi" w:cstheme="majorHAnsi"/>
          <w:noProof/>
          <w:lang w:val="ro-RO"/>
        </w:rPr>
        <w:t xml:space="preserve">. </w:t>
      </w:r>
      <w:r w:rsidRPr="00E7125F">
        <w:rPr>
          <w:rFonts w:asciiTheme="majorHAnsi" w:eastAsia="Calibri" w:hAnsiTheme="majorHAnsi" w:cstheme="majorHAnsi"/>
          <w:noProof/>
          <w:lang w:val="ro-RO"/>
        </w:rPr>
        <w:t xml:space="preserve">Констатируется </w:t>
      </w:r>
      <w:r w:rsidRPr="0099568A">
        <w:rPr>
          <w:rFonts w:asciiTheme="majorHAnsi" w:eastAsia="Calibri" w:hAnsiTheme="majorHAnsi" w:cstheme="majorHAnsi"/>
          <w:noProof/>
          <w:lang w:val="ro-RO"/>
        </w:rPr>
        <w:t>в основном в случае смерти бенефициара после 25 числа, поскольку платеж</w:t>
      </w:r>
      <w:r w:rsidRPr="00E7125F">
        <w:rPr>
          <w:rFonts w:asciiTheme="majorHAnsi" w:eastAsia="Calibri" w:hAnsiTheme="majorHAnsi" w:cstheme="majorHAnsi"/>
          <w:noProof/>
          <w:lang w:val="ro-RO"/>
        </w:rPr>
        <w:t>ные ведомости составля</w:t>
      </w:r>
      <w:r w:rsidRPr="0099568A">
        <w:rPr>
          <w:rFonts w:asciiTheme="majorHAnsi" w:eastAsia="Calibri" w:hAnsiTheme="majorHAnsi" w:cstheme="majorHAnsi"/>
          <w:noProof/>
          <w:lang w:val="ro-RO"/>
        </w:rPr>
        <w:t>ются в последние дни месяца на следующий месяц</w:t>
      </w:r>
      <w:r w:rsidRPr="00E82CC1">
        <w:rPr>
          <w:rFonts w:asciiTheme="majorHAnsi" w:hAnsiTheme="majorHAnsi" w:cstheme="majorHAnsi"/>
          <w:lang w:val="ro-RO"/>
        </w:rPr>
        <w:t xml:space="preserve">. </w:t>
      </w:r>
    </w:p>
    <w:p w14:paraId="3C9EA287" w14:textId="4BF7C7AB" w:rsidR="00683C4B" w:rsidRPr="00FB6FD7" w:rsidRDefault="00BA4F33" w:rsidP="00BA4F33">
      <w:pPr>
        <w:pStyle w:val="Default"/>
        <w:spacing w:before="240" w:line="276" w:lineRule="auto"/>
        <w:jc w:val="both"/>
        <w:rPr>
          <w:rFonts w:asciiTheme="majorHAnsi" w:hAnsiTheme="majorHAnsi" w:cstheme="majorHAnsi"/>
          <w:lang w:val="ru-MD"/>
        </w:rPr>
      </w:pPr>
      <w:r w:rsidRPr="00FB6FD7">
        <w:rPr>
          <w:rFonts w:asciiTheme="majorHAnsi" w:hAnsiTheme="majorHAnsi" w:cstheme="majorHAnsi"/>
          <w:lang w:val="ru-MD"/>
        </w:rPr>
        <w:t>Исходя из выявленных недостатков, связанных с получением информации в случае смерти бенефициара, по оценкам аудита</w:t>
      </w:r>
      <w:r w:rsidR="00DD1841" w:rsidRPr="00FB6FD7">
        <w:rPr>
          <w:rFonts w:asciiTheme="majorHAnsi" w:hAnsiTheme="majorHAnsi" w:cstheme="majorHAnsi"/>
          <w:lang w:val="ru-MD"/>
        </w:rPr>
        <w:t>,</w:t>
      </w:r>
      <w:r w:rsidRPr="00FB6FD7">
        <w:rPr>
          <w:rFonts w:asciiTheme="majorHAnsi" w:hAnsiTheme="majorHAnsi" w:cstheme="majorHAnsi"/>
          <w:lang w:val="ru-MD"/>
        </w:rPr>
        <w:t xml:space="preserve"> потенциальные ошибки в виде необоснованных расходов из БГСС/ГБ, связанных с расходами на пенсии, составляют </w:t>
      </w:r>
      <w:r w:rsidR="00DD1841" w:rsidRPr="00FB6FD7">
        <w:rPr>
          <w:rFonts w:asciiTheme="majorHAnsi" w:hAnsiTheme="majorHAnsi" w:cstheme="majorHAnsi"/>
          <w:lang w:val="ru-MD"/>
        </w:rPr>
        <w:t>5 369,8</w:t>
      </w:r>
      <w:r w:rsidRPr="00FB6FD7">
        <w:rPr>
          <w:rFonts w:asciiTheme="majorHAnsi" w:hAnsiTheme="majorHAnsi" w:cstheme="majorHAnsi"/>
          <w:lang w:val="ru-MD"/>
        </w:rPr>
        <w:t xml:space="preserve"> тыс. леев. </w:t>
      </w:r>
    </w:p>
    <w:p w14:paraId="74B9759B" w14:textId="707F8159" w:rsidR="00683C4B" w:rsidRPr="00FB6FD7" w:rsidRDefault="00DD1841" w:rsidP="00683C4B">
      <w:pPr>
        <w:pStyle w:val="a6"/>
        <w:shd w:val="clear" w:color="auto" w:fill="FFFFFF" w:themeFill="background1"/>
        <w:spacing w:before="240" w:line="276" w:lineRule="auto"/>
        <w:ind w:firstLine="0"/>
        <w:rPr>
          <w:rFonts w:asciiTheme="majorHAnsi" w:hAnsiTheme="majorHAnsi" w:cstheme="majorHAnsi"/>
          <w:color w:val="000000"/>
          <w:lang w:val="ru-MD"/>
        </w:rPr>
      </w:pPr>
      <w:r w:rsidRPr="00FB6FD7">
        <w:rPr>
          <w:rFonts w:asciiTheme="majorHAnsi" w:hAnsiTheme="majorHAnsi" w:cstheme="majorHAnsi"/>
          <w:lang w:val="ru-MD"/>
        </w:rPr>
        <w:t>Среди главных полномочий Национальной кассы, отмечаются</w:t>
      </w:r>
      <w:r w:rsidR="00FB6FD7" w:rsidRPr="00FB6FD7">
        <w:rPr>
          <w:rFonts w:asciiTheme="majorHAnsi" w:hAnsiTheme="majorHAnsi" w:cstheme="majorHAnsi"/>
          <w:lang w:val="ru-MD"/>
        </w:rPr>
        <w:t xml:space="preserve"> и следующие</w:t>
      </w:r>
      <w:r w:rsidRPr="00FB6FD7">
        <w:rPr>
          <w:rFonts w:asciiTheme="majorHAnsi" w:hAnsiTheme="majorHAnsi" w:cstheme="majorHAnsi"/>
          <w:lang w:val="ru-MD"/>
        </w:rPr>
        <w:t>: „управляет средствами бюджета государственного социального страхования, администрирует публичное имущество, находящееся в управлении, обеспечивает мониторинг финансовых и бюджетных рисков и принципы надлежащего управления”</w:t>
      </w:r>
      <w:r w:rsidRPr="00FB6FD7">
        <w:rPr>
          <w:rStyle w:val="a5"/>
          <w:rFonts w:asciiTheme="majorHAnsi" w:hAnsiTheme="majorHAnsi" w:cstheme="majorHAnsi"/>
          <w:iCs/>
          <w:color w:val="000000"/>
          <w:lang w:val="ru-MD"/>
        </w:rPr>
        <w:footnoteReference w:id="51"/>
      </w:r>
      <w:r w:rsidRPr="00FB6FD7">
        <w:rPr>
          <w:rFonts w:asciiTheme="majorHAnsi" w:hAnsiTheme="majorHAnsi" w:cstheme="majorHAnsi"/>
          <w:lang w:val="ru-MD"/>
        </w:rPr>
        <w:t>, к сфере компетенции АПУ входят „информационные   технологии, государственный учет и государственные информационные ресурсы, включая создание, использование и регистрацию государственных информационных ресурсов, государственных информационных систем, государственный учет населения... и др.”</w:t>
      </w:r>
      <w:r w:rsidRPr="00FB6FD7">
        <w:rPr>
          <w:rStyle w:val="a5"/>
          <w:rFonts w:asciiTheme="majorHAnsi" w:hAnsiTheme="majorHAnsi" w:cstheme="majorHAnsi"/>
          <w:color w:val="000000"/>
          <w:lang w:val="ru-MD"/>
        </w:rPr>
        <w:footnoteReference w:id="52"/>
      </w:r>
      <w:r w:rsidRPr="00FB6FD7">
        <w:rPr>
          <w:rFonts w:asciiTheme="majorHAnsi" w:hAnsiTheme="majorHAnsi" w:cstheme="majorHAnsi"/>
          <w:lang w:val="ru-MD"/>
        </w:rPr>
        <w:t xml:space="preserve"> , а АЭУ - </w:t>
      </w:r>
      <w:r w:rsidRPr="00FB6FD7">
        <w:rPr>
          <w:rFonts w:asciiTheme="majorHAnsi" w:hAnsiTheme="majorHAnsi" w:cstheme="majorHAnsi"/>
          <w:color w:val="000000"/>
          <w:lang w:val="ru-MD"/>
        </w:rPr>
        <w:t>„</w:t>
      </w:r>
      <w:r w:rsidRPr="00FB6FD7">
        <w:rPr>
          <w:rFonts w:asciiTheme="majorHAnsi" w:hAnsiTheme="majorHAnsi" w:cstheme="majorHAnsi"/>
          <w:lang w:val="ru-MD"/>
        </w:rPr>
        <w:t>содействие развитию отраслевых услуг и государственных информационных систем путем оказания помощи органам публичного управления”</w:t>
      </w:r>
      <w:r w:rsidRPr="00FB6FD7">
        <w:rPr>
          <w:rStyle w:val="a5"/>
          <w:rFonts w:asciiTheme="majorHAnsi" w:hAnsiTheme="majorHAnsi" w:cstheme="majorHAnsi"/>
          <w:color w:val="000000"/>
          <w:lang w:val="ru-MD"/>
        </w:rPr>
        <w:footnoteReference w:id="53"/>
      </w:r>
      <w:r w:rsidR="00683C4B" w:rsidRPr="00FB6FD7">
        <w:rPr>
          <w:rFonts w:asciiTheme="majorHAnsi" w:hAnsiTheme="majorHAnsi" w:cstheme="majorHAnsi"/>
          <w:color w:val="000000"/>
          <w:lang w:val="ru-MD"/>
        </w:rPr>
        <w:t>.</w:t>
      </w:r>
    </w:p>
    <w:p w14:paraId="2480ED1D" w14:textId="25002523" w:rsidR="00544C52" w:rsidRPr="00FB6FD7" w:rsidRDefault="00FB6FD7" w:rsidP="00FC573A">
      <w:pPr>
        <w:pStyle w:val="a6"/>
        <w:shd w:val="clear" w:color="auto" w:fill="FFFFFF" w:themeFill="background1"/>
        <w:spacing w:before="240" w:after="240" w:line="276" w:lineRule="auto"/>
        <w:ind w:firstLine="0"/>
        <w:rPr>
          <w:rFonts w:asciiTheme="majorHAnsi" w:hAnsiTheme="majorHAnsi" w:cstheme="majorHAnsi"/>
          <w:color w:val="000000"/>
          <w:lang w:val="ru-MD"/>
        </w:rPr>
      </w:pPr>
      <w:r w:rsidRPr="00FB6FD7">
        <w:rPr>
          <w:rFonts w:asciiTheme="majorHAnsi" w:hAnsiTheme="majorHAnsi" w:cstheme="majorHAnsi"/>
          <w:color w:val="000000"/>
          <w:lang w:val="ru-MD"/>
        </w:rPr>
        <w:t xml:space="preserve">Таким образом, исходя из полномочий, возложенных на вовлеченные стороны, а указанные расходы понесены только из бюджета, которым управляет НКСС, оценка и повышение эффективности, вовлеченными сторонами, процесса, связанного с обменом данными о смерти бенефициаров, с целью исключения необоснованных расходов, является острой необходимостью. </w:t>
      </w:r>
    </w:p>
    <w:p w14:paraId="71DCB7AF" w14:textId="5A7275BE" w:rsidR="009B0BEC" w:rsidRPr="00534E41" w:rsidRDefault="00534E41" w:rsidP="00534E41">
      <w:pPr>
        <w:pStyle w:val="aa"/>
        <w:numPr>
          <w:ilvl w:val="2"/>
          <w:numId w:val="2"/>
        </w:numPr>
        <w:tabs>
          <w:tab w:val="left" w:pos="1260"/>
        </w:tabs>
        <w:spacing w:line="276" w:lineRule="auto"/>
        <w:ind w:left="0" w:firstLine="360"/>
        <w:jc w:val="both"/>
        <w:rPr>
          <w:rFonts w:asciiTheme="majorHAnsi" w:hAnsiTheme="majorHAnsi" w:cstheme="majorHAnsi"/>
          <w:bCs/>
          <w:iCs/>
          <w:color w:val="000000" w:themeColor="text1"/>
          <w:sz w:val="24"/>
          <w:szCs w:val="24"/>
          <w:lang w:val="ru-MD"/>
        </w:rPr>
      </w:pPr>
      <w:r w:rsidRPr="00534E41">
        <w:rPr>
          <w:rFonts w:asciiTheme="majorHAnsi" w:hAnsiTheme="majorHAnsi" w:cstheme="majorHAnsi"/>
          <w:b/>
          <w:bCs/>
          <w:iCs/>
          <w:sz w:val="24"/>
          <w:szCs w:val="24"/>
          <w:lang w:val="ru-MD"/>
        </w:rPr>
        <w:t>Хотя целью сканирования трудовых книжек было заполнение личных счетов будущих получателей пенсий информацией относительно рабочего стажа, до настоящего времени законодательная база не претерпела изменений, а обладание трудовой книжкой для получения права на пенсию является обязательным условием</w:t>
      </w:r>
      <w:r w:rsidR="00E27217" w:rsidRPr="00534E41">
        <w:rPr>
          <w:rFonts w:asciiTheme="majorHAnsi" w:hAnsiTheme="majorHAnsi" w:cstheme="majorHAnsi"/>
          <w:b/>
          <w:color w:val="000000" w:themeColor="text1"/>
          <w:sz w:val="24"/>
          <w:lang w:val="ru-MD"/>
        </w:rPr>
        <w:t>.</w:t>
      </w:r>
    </w:p>
    <w:p w14:paraId="2E0BA106" w14:textId="6CBE2E7E" w:rsidR="005B0440" w:rsidRPr="00D415C9" w:rsidRDefault="00534E41" w:rsidP="009B0BEC">
      <w:pPr>
        <w:spacing w:line="276" w:lineRule="auto"/>
        <w:jc w:val="both"/>
        <w:rPr>
          <w:rFonts w:asciiTheme="majorHAnsi" w:hAnsiTheme="majorHAnsi" w:cstheme="majorHAnsi"/>
          <w:bCs/>
          <w:i/>
          <w:iCs/>
          <w:color w:val="000000" w:themeColor="text1"/>
          <w:sz w:val="24"/>
          <w:szCs w:val="24"/>
          <w:lang w:val="ru-MD"/>
        </w:rPr>
      </w:pPr>
      <w:r w:rsidRPr="00D415C9">
        <w:rPr>
          <w:rFonts w:asciiTheme="majorHAnsi" w:hAnsiTheme="majorHAnsi" w:cstheme="majorHAnsi"/>
          <w:color w:val="000000" w:themeColor="text1"/>
          <w:sz w:val="24"/>
          <w:szCs w:val="24"/>
          <w:lang w:val="ru-MD"/>
        </w:rPr>
        <w:t>Начиная с 2018 года</w:t>
      </w:r>
      <w:r w:rsidRPr="00D415C9">
        <w:rPr>
          <w:rStyle w:val="a5"/>
          <w:rFonts w:asciiTheme="majorHAnsi" w:hAnsiTheme="majorHAnsi" w:cstheme="majorHAnsi"/>
          <w:color w:val="000000" w:themeColor="text1"/>
          <w:sz w:val="24"/>
          <w:szCs w:val="24"/>
          <w:lang w:val="ru-MD"/>
        </w:rPr>
        <w:footnoteReference w:id="54"/>
      </w:r>
      <w:r w:rsidRPr="00D415C9">
        <w:rPr>
          <w:rFonts w:asciiTheme="majorHAnsi" w:hAnsiTheme="majorHAnsi" w:cstheme="majorHAnsi"/>
          <w:color w:val="000000" w:themeColor="text1"/>
          <w:sz w:val="24"/>
          <w:szCs w:val="24"/>
          <w:lang w:val="ru-MD"/>
        </w:rPr>
        <w:t xml:space="preserve">, Национальная касса социального страхования проводила работу по сканированию информации из трудовых книжек, о трудовой деятельности до 01.01.1999, то есть, до создания Государственного регистра индивидуального учета в системе государственного социального страхования. Так, процесс сканирования и чтения записей о трудовой деятельности до 01.01.1999 из трудовых книжек, представленных физическими лицами, </w:t>
      </w:r>
      <w:r w:rsidR="00D415C9" w:rsidRPr="00D415C9">
        <w:rPr>
          <w:rFonts w:asciiTheme="majorHAnsi" w:hAnsiTheme="majorHAnsi" w:cstheme="majorHAnsi"/>
          <w:color w:val="000000" w:themeColor="text1"/>
          <w:sz w:val="24"/>
          <w:szCs w:val="24"/>
          <w:lang w:val="ru-MD"/>
        </w:rPr>
        <w:t>отслежива</w:t>
      </w:r>
      <w:r w:rsidRPr="00D415C9">
        <w:rPr>
          <w:rFonts w:asciiTheme="majorHAnsi" w:hAnsiTheme="majorHAnsi" w:cstheme="majorHAnsi"/>
          <w:color w:val="000000" w:themeColor="text1"/>
          <w:sz w:val="24"/>
          <w:szCs w:val="24"/>
          <w:lang w:val="ru-MD"/>
        </w:rPr>
        <w:t xml:space="preserve">ется </w:t>
      </w:r>
      <w:r w:rsidR="00D415C9" w:rsidRPr="00D415C9">
        <w:rPr>
          <w:rFonts w:asciiTheme="majorHAnsi" w:hAnsiTheme="majorHAnsi" w:cstheme="majorHAnsi"/>
          <w:color w:val="000000" w:themeColor="text1"/>
          <w:sz w:val="24"/>
          <w:szCs w:val="24"/>
          <w:lang w:val="ru-MD"/>
        </w:rPr>
        <w:t xml:space="preserve">путем </w:t>
      </w:r>
      <w:r w:rsidRPr="00D415C9">
        <w:rPr>
          <w:rFonts w:asciiTheme="majorHAnsi" w:hAnsiTheme="majorHAnsi" w:cstheme="majorHAnsi"/>
          <w:color w:val="000000" w:themeColor="text1"/>
          <w:sz w:val="24"/>
          <w:szCs w:val="24"/>
          <w:lang w:val="ru-MD"/>
        </w:rPr>
        <w:t>периодическ</w:t>
      </w:r>
      <w:r w:rsidR="00D415C9" w:rsidRPr="00D415C9">
        <w:rPr>
          <w:rFonts w:asciiTheme="majorHAnsi" w:hAnsiTheme="majorHAnsi" w:cstheme="majorHAnsi"/>
          <w:color w:val="000000" w:themeColor="text1"/>
          <w:sz w:val="24"/>
          <w:szCs w:val="24"/>
          <w:lang w:val="ru-MD"/>
        </w:rPr>
        <w:t>ого</w:t>
      </w:r>
      <w:r w:rsidRPr="00D415C9">
        <w:rPr>
          <w:rFonts w:asciiTheme="majorHAnsi" w:hAnsiTheme="majorHAnsi" w:cstheme="majorHAnsi"/>
          <w:color w:val="000000" w:themeColor="text1"/>
          <w:sz w:val="24"/>
          <w:szCs w:val="24"/>
          <w:lang w:val="ru-MD"/>
        </w:rPr>
        <w:t xml:space="preserve"> формировани</w:t>
      </w:r>
      <w:r w:rsidR="00D415C9" w:rsidRPr="00D415C9">
        <w:rPr>
          <w:rFonts w:asciiTheme="majorHAnsi" w:hAnsiTheme="majorHAnsi" w:cstheme="majorHAnsi"/>
          <w:color w:val="000000" w:themeColor="text1"/>
          <w:sz w:val="24"/>
          <w:szCs w:val="24"/>
          <w:lang w:val="ru-MD"/>
        </w:rPr>
        <w:t>я</w:t>
      </w:r>
      <w:r w:rsidRPr="00D415C9">
        <w:rPr>
          <w:rFonts w:asciiTheme="majorHAnsi" w:hAnsiTheme="majorHAnsi" w:cstheme="majorHAnsi"/>
          <w:color w:val="000000" w:themeColor="text1"/>
          <w:sz w:val="24"/>
          <w:szCs w:val="24"/>
          <w:lang w:val="ru-MD"/>
        </w:rPr>
        <w:t xml:space="preserve"> отчетов </w:t>
      </w:r>
      <w:r w:rsidR="00D415C9" w:rsidRPr="00D415C9">
        <w:rPr>
          <w:rFonts w:asciiTheme="majorHAnsi" w:hAnsiTheme="majorHAnsi" w:cstheme="majorHAnsi"/>
          <w:color w:val="000000" w:themeColor="text1"/>
          <w:sz w:val="24"/>
          <w:szCs w:val="24"/>
          <w:lang w:val="ru-MD"/>
        </w:rPr>
        <w:t>из</w:t>
      </w:r>
      <w:r w:rsidRPr="00D415C9">
        <w:rPr>
          <w:rFonts w:asciiTheme="majorHAnsi" w:hAnsiTheme="majorHAnsi" w:cstheme="majorHAnsi"/>
          <w:color w:val="000000" w:themeColor="text1"/>
          <w:sz w:val="24"/>
          <w:szCs w:val="24"/>
          <w:lang w:val="ru-MD"/>
        </w:rPr>
        <w:t xml:space="preserve"> </w:t>
      </w:r>
      <w:r w:rsidR="00D415C9" w:rsidRPr="00D415C9">
        <w:rPr>
          <w:rFonts w:asciiTheme="majorHAnsi" w:hAnsiTheme="majorHAnsi" w:cstheme="majorHAnsi"/>
          <w:color w:val="000000" w:themeColor="text1"/>
          <w:sz w:val="24"/>
          <w:szCs w:val="24"/>
          <w:lang w:val="ru-MD"/>
        </w:rPr>
        <w:t>ИС</w:t>
      </w:r>
      <w:r w:rsidRPr="00D415C9">
        <w:rPr>
          <w:rFonts w:asciiTheme="majorHAnsi" w:hAnsiTheme="majorHAnsi" w:cstheme="majorHAnsi"/>
          <w:color w:val="000000" w:themeColor="text1"/>
          <w:sz w:val="24"/>
          <w:szCs w:val="24"/>
          <w:lang w:val="ru-MD"/>
        </w:rPr>
        <w:t xml:space="preserve"> </w:t>
      </w:r>
      <w:r w:rsidR="00D415C9" w:rsidRPr="00D415C9">
        <w:rPr>
          <w:rFonts w:asciiTheme="majorHAnsi" w:hAnsiTheme="majorHAnsi" w:cstheme="majorHAnsi"/>
          <w:color w:val="000000" w:themeColor="text1"/>
          <w:sz w:val="24"/>
          <w:szCs w:val="24"/>
          <w:lang w:val="ru-MD"/>
        </w:rPr>
        <w:t>„Scanare Carnet”</w:t>
      </w:r>
      <w:r w:rsidR="00D415C9" w:rsidRPr="00D415C9">
        <w:rPr>
          <w:rStyle w:val="a5"/>
          <w:rFonts w:asciiTheme="majorHAnsi" w:hAnsiTheme="majorHAnsi" w:cstheme="majorHAnsi"/>
          <w:color w:val="000000" w:themeColor="text1"/>
          <w:sz w:val="24"/>
          <w:szCs w:val="24"/>
          <w:lang w:val="ru-MD"/>
        </w:rPr>
        <w:footnoteReference w:id="55"/>
      </w:r>
      <w:r w:rsidRPr="00D415C9">
        <w:rPr>
          <w:rFonts w:asciiTheme="majorHAnsi" w:hAnsiTheme="majorHAnsi" w:cstheme="majorHAnsi"/>
          <w:color w:val="000000" w:themeColor="text1"/>
          <w:sz w:val="24"/>
          <w:szCs w:val="24"/>
          <w:lang w:val="ru-MD"/>
        </w:rPr>
        <w:t>. Одновременно</w:t>
      </w:r>
      <w:r w:rsidR="00D415C9" w:rsidRPr="00D415C9">
        <w:rPr>
          <w:rFonts w:asciiTheme="majorHAnsi" w:hAnsiTheme="majorHAnsi" w:cstheme="majorHAnsi"/>
          <w:color w:val="000000" w:themeColor="text1"/>
          <w:sz w:val="24"/>
          <w:szCs w:val="24"/>
          <w:lang w:val="ru-MD"/>
        </w:rPr>
        <w:t>,</w:t>
      </w:r>
      <w:r w:rsidRPr="00D415C9">
        <w:rPr>
          <w:rFonts w:asciiTheme="majorHAnsi" w:hAnsiTheme="majorHAnsi" w:cstheme="majorHAnsi"/>
          <w:color w:val="000000" w:themeColor="text1"/>
          <w:sz w:val="24"/>
          <w:szCs w:val="24"/>
          <w:lang w:val="ru-MD"/>
        </w:rPr>
        <w:t xml:space="preserve"> 1 января 2019 года было отменено постановление</w:t>
      </w:r>
      <w:r w:rsidR="00D415C9" w:rsidRPr="00D415C9">
        <w:rPr>
          <w:rStyle w:val="a5"/>
          <w:rFonts w:asciiTheme="majorHAnsi" w:hAnsiTheme="majorHAnsi" w:cstheme="majorHAnsi"/>
          <w:color w:val="000000" w:themeColor="text1"/>
          <w:sz w:val="24"/>
          <w:szCs w:val="24"/>
          <w:lang w:val="ru-MD"/>
        </w:rPr>
        <w:footnoteReference w:id="56"/>
      </w:r>
      <w:r w:rsidRPr="00D415C9">
        <w:rPr>
          <w:rFonts w:asciiTheme="majorHAnsi" w:hAnsiTheme="majorHAnsi" w:cstheme="majorHAnsi"/>
          <w:color w:val="000000" w:themeColor="text1"/>
          <w:sz w:val="24"/>
          <w:szCs w:val="24"/>
          <w:lang w:val="ru-MD"/>
        </w:rPr>
        <w:t xml:space="preserve">, </w:t>
      </w:r>
      <w:r w:rsidR="00D415C9" w:rsidRPr="00D415C9">
        <w:rPr>
          <w:rFonts w:asciiTheme="majorHAnsi" w:hAnsiTheme="majorHAnsi" w:cstheme="majorHAnsi"/>
          <w:color w:val="000000" w:themeColor="text1"/>
          <w:sz w:val="24"/>
          <w:szCs w:val="24"/>
          <w:lang w:val="ru-MD"/>
        </w:rPr>
        <w:t>устанавлива</w:t>
      </w:r>
      <w:r w:rsidRPr="00D415C9">
        <w:rPr>
          <w:rFonts w:asciiTheme="majorHAnsi" w:hAnsiTheme="majorHAnsi" w:cstheme="majorHAnsi"/>
          <w:color w:val="000000" w:themeColor="text1"/>
          <w:sz w:val="24"/>
          <w:szCs w:val="24"/>
          <w:lang w:val="ru-MD"/>
        </w:rPr>
        <w:t xml:space="preserve">ющее, что трудовая книжка является основным документом о трудовой деятельности работников на территории Республики Молдова. В то же время записи </w:t>
      </w:r>
      <w:r w:rsidR="00D415C9">
        <w:rPr>
          <w:rFonts w:asciiTheme="majorHAnsi" w:hAnsiTheme="majorHAnsi" w:cstheme="majorHAnsi"/>
          <w:color w:val="000000" w:themeColor="text1"/>
          <w:sz w:val="24"/>
          <w:szCs w:val="24"/>
          <w:lang w:val="ru-MD"/>
        </w:rPr>
        <w:t>из</w:t>
      </w:r>
      <w:r w:rsidRPr="00D415C9">
        <w:rPr>
          <w:rFonts w:asciiTheme="majorHAnsi" w:hAnsiTheme="majorHAnsi" w:cstheme="majorHAnsi"/>
          <w:color w:val="000000" w:themeColor="text1"/>
          <w:sz w:val="24"/>
          <w:szCs w:val="24"/>
          <w:lang w:val="ru-MD"/>
        </w:rPr>
        <w:t xml:space="preserve"> трудовы</w:t>
      </w:r>
      <w:r w:rsidR="00D415C9">
        <w:rPr>
          <w:rFonts w:asciiTheme="majorHAnsi" w:hAnsiTheme="majorHAnsi" w:cstheme="majorHAnsi"/>
          <w:color w:val="000000" w:themeColor="text1"/>
          <w:sz w:val="24"/>
          <w:szCs w:val="24"/>
          <w:lang w:val="ru-MD"/>
        </w:rPr>
        <w:t>х</w:t>
      </w:r>
      <w:r w:rsidRPr="00D415C9">
        <w:rPr>
          <w:rFonts w:asciiTheme="majorHAnsi" w:hAnsiTheme="majorHAnsi" w:cstheme="majorHAnsi"/>
          <w:color w:val="000000" w:themeColor="text1"/>
          <w:sz w:val="24"/>
          <w:szCs w:val="24"/>
          <w:lang w:val="ru-MD"/>
        </w:rPr>
        <w:t xml:space="preserve"> книж</w:t>
      </w:r>
      <w:r w:rsidR="00D415C9">
        <w:rPr>
          <w:rFonts w:asciiTheme="majorHAnsi" w:hAnsiTheme="majorHAnsi" w:cstheme="majorHAnsi"/>
          <w:color w:val="000000" w:themeColor="text1"/>
          <w:sz w:val="24"/>
          <w:szCs w:val="24"/>
          <w:lang w:val="ru-MD"/>
        </w:rPr>
        <w:t>е</w:t>
      </w:r>
      <w:r w:rsidRPr="00D415C9">
        <w:rPr>
          <w:rFonts w:asciiTheme="majorHAnsi" w:hAnsiTheme="majorHAnsi" w:cstheme="majorHAnsi"/>
          <w:color w:val="000000" w:themeColor="text1"/>
          <w:sz w:val="24"/>
          <w:szCs w:val="24"/>
          <w:lang w:val="ru-MD"/>
        </w:rPr>
        <w:t xml:space="preserve">к, </w:t>
      </w:r>
      <w:r w:rsidR="00D415C9">
        <w:rPr>
          <w:rFonts w:asciiTheme="majorHAnsi" w:hAnsiTheme="majorHAnsi" w:cstheme="majorHAnsi"/>
          <w:color w:val="000000" w:themeColor="text1"/>
          <w:sz w:val="24"/>
          <w:szCs w:val="24"/>
          <w:lang w:val="ru-MD"/>
        </w:rPr>
        <w:t>внесе</w:t>
      </w:r>
      <w:r w:rsidRPr="00D415C9">
        <w:rPr>
          <w:rFonts w:asciiTheme="majorHAnsi" w:hAnsiTheme="majorHAnsi" w:cstheme="majorHAnsi"/>
          <w:color w:val="000000" w:themeColor="text1"/>
          <w:sz w:val="24"/>
          <w:szCs w:val="24"/>
          <w:lang w:val="ru-MD"/>
        </w:rPr>
        <w:t>нные до 1 января 2019 года, сохраняют свою действительность и могут использоваться по необходимости</w:t>
      </w:r>
      <w:r w:rsidR="006D2607" w:rsidRPr="00D415C9">
        <w:rPr>
          <w:rStyle w:val="af0"/>
          <w:rFonts w:asciiTheme="majorHAnsi" w:hAnsiTheme="majorHAnsi" w:cstheme="majorHAnsi"/>
          <w:b w:val="0"/>
          <w:color w:val="000000" w:themeColor="text1"/>
          <w:sz w:val="24"/>
          <w:szCs w:val="24"/>
          <w:lang w:val="ru-MD"/>
        </w:rPr>
        <w:t>.</w:t>
      </w:r>
      <w:r w:rsidR="0003593F" w:rsidRPr="00D415C9">
        <w:rPr>
          <w:rStyle w:val="af0"/>
          <w:rFonts w:asciiTheme="majorHAnsi" w:hAnsiTheme="majorHAnsi" w:cstheme="majorHAnsi"/>
          <w:b w:val="0"/>
          <w:color w:val="000000" w:themeColor="text1"/>
          <w:sz w:val="24"/>
          <w:szCs w:val="24"/>
          <w:lang w:val="ru-MD"/>
        </w:rPr>
        <w:t xml:space="preserve"> </w:t>
      </w:r>
      <w:r w:rsidR="006D2607" w:rsidRPr="00D415C9">
        <w:rPr>
          <w:rFonts w:asciiTheme="majorHAnsi" w:hAnsiTheme="majorHAnsi" w:cstheme="majorHAnsi"/>
          <w:color w:val="000000" w:themeColor="text1"/>
          <w:sz w:val="24"/>
          <w:szCs w:val="24"/>
          <w:lang w:val="ru-MD"/>
        </w:rPr>
        <w:t xml:space="preserve"> </w:t>
      </w:r>
    </w:p>
    <w:p w14:paraId="2E578CE7" w14:textId="51BFE500" w:rsidR="006D2607" w:rsidRPr="00BD67AB" w:rsidRDefault="00857F73" w:rsidP="0003593F">
      <w:pPr>
        <w:pStyle w:val="a6"/>
        <w:shd w:val="clear" w:color="auto" w:fill="FFFFFF"/>
        <w:spacing w:line="276" w:lineRule="auto"/>
        <w:ind w:firstLine="0"/>
        <w:rPr>
          <w:rFonts w:asciiTheme="majorHAnsi" w:hAnsiTheme="majorHAnsi" w:cstheme="majorHAnsi"/>
          <w:color w:val="000000" w:themeColor="text1"/>
          <w:lang w:val="ru-MD"/>
        </w:rPr>
      </w:pPr>
      <w:r w:rsidRPr="00BD67AB">
        <w:rPr>
          <w:rFonts w:asciiTheme="majorHAnsi" w:hAnsiTheme="majorHAnsi" w:cstheme="majorHAnsi"/>
          <w:color w:val="000000" w:themeColor="text1"/>
          <w:lang w:val="ru-MD"/>
        </w:rPr>
        <w:t xml:space="preserve">В этих условиях, хотя целью сканирования трудовых книжек было заполнение личных счетов будущих получателей пенсий данными о трудовом стаже до 1 января 1999 года, и информация хранится в Государственном регистре индивидуального учета в государственной системе социального страхования, владельцем которого является НКСС, аудит отмечает, что до настоящего времени </w:t>
      </w:r>
      <w:r w:rsidR="00BD67AB" w:rsidRPr="00BD67AB">
        <w:rPr>
          <w:rFonts w:asciiTheme="majorHAnsi" w:hAnsiTheme="majorHAnsi" w:cstheme="majorHAnsi"/>
          <w:color w:val="000000" w:themeColor="text1"/>
          <w:lang w:val="ru-MD"/>
        </w:rPr>
        <w:t>законодательн</w:t>
      </w:r>
      <w:r w:rsidRPr="00BD67AB">
        <w:rPr>
          <w:rFonts w:asciiTheme="majorHAnsi" w:hAnsiTheme="majorHAnsi" w:cstheme="majorHAnsi"/>
          <w:color w:val="000000" w:themeColor="text1"/>
          <w:lang w:val="ru-MD"/>
        </w:rPr>
        <w:t>ая база</w:t>
      </w:r>
      <w:r w:rsidR="00BD67AB" w:rsidRPr="00BD67AB">
        <w:rPr>
          <w:rStyle w:val="a5"/>
          <w:rFonts w:asciiTheme="majorHAnsi" w:eastAsiaTheme="majorEastAsia" w:hAnsiTheme="majorHAnsi" w:cstheme="majorHAnsi"/>
          <w:lang w:val="ru-MD"/>
        </w:rPr>
        <w:footnoteReference w:id="57"/>
      </w:r>
      <w:r w:rsidRPr="00BD67AB">
        <w:rPr>
          <w:rFonts w:asciiTheme="majorHAnsi" w:hAnsiTheme="majorHAnsi" w:cstheme="majorHAnsi"/>
          <w:color w:val="000000" w:themeColor="text1"/>
          <w:lang w:val="ru-MD"/>
        </w:rPr>
        <w:t xml:space="preserve"> предусматривает подтверждение </w:t>
      </w:r>
      <w:r w:rsidR="00BD67AB" w:rsidRPr="00BD67AB">
        <w:rPr>
          <w:rFonts w:asciiTheme="majorHAnsi" w:hAnsiTheme="majorHAnsi" w:cstheme="majorHAnsi"/>
          <w:color w:val="000000" w:themeColor="text1"/>
          <w:lang w:val="ru-MD"/>
        </w:rPr>
        <w:t>страхового стажа, реализованного</w:t>
      </w:r>
      <w:r w:rsidRPr="00BD67AB">
        <w:rPr>
          <w:rFonts w:asciiTheme="majorHAnsi" w:hAnsiTheme="majorHAnsi" w:cstheme="majorHAnsi"/>
          <w:color w:val="000000" w:themeColor="text1"/>
          <w:lang w:val="ru-MD"/>
        </w:rPr>
        <w:t xml:space="preserve"> до </w:t>
      </w:r>
      <w:r w:rsidR="00BD67AB" w:rsidRPr="00BD67AB">
        <w:rPr>
          <w:rFonts w:asciiTheme="majorHAnsi" w:hAnsiTheme="majorHAnsi" w:cstheme="majorHAnsi"/>
          <w:color w:val="000000" w:themeColor="text1"/>
          <w:lang w:val="ru-MD"/>
        </w:rPr>
        <w:t>внедр</w:t>
      </w:r>
      <w:r w:rsidRPr="00BD67AB">
        <w:rPr>
          <w:rFonts w:asciiTheme="majorHAnsi" w:hAnsiTheme="majorHAnsi" w:cstheme="majorHAnsi"/>
          <w:color w:val="000000" w:themeColor="text1"/>
          <w:lang w:val="ru-MD"/>
        </w:rPr>
        <w:t>ения индивидуального учета</w:t>
      </w:r>
      <w:r w:rsidR="00BD67AB" w:rsidRPr="00BD67AB">
        <w:rPr>
          <w:rFonts w:asciiTheme="majorHAnsi" w:hAnsiTheme="majorHAnsi" w:cstheme="majorHAnsi"/>
          <w:color w:val="000000" w:themeColor="text1"/>
          <w:lang w:val="ru-MD"/>
        </w:rPr>
        <w:t>,</w:t>
      </w:r>
      <w:r w:rsidRPr="00BD67AB">
        <w:rPr>
          <w:rFonts w:asciiTheme="majorHAnsi" w:hAnsiTheme="majorHAnsi" w:cstheme="majorHAnsi"/>
          <w:color w:val="000000" w:themeColor="text1"/>
          <w:lang w:val="ru-MD"/>
        </w:rPr>
        <w:t xml:space="preserve"> трудов</w:t>
      </w:r>
      <w:r w:rsidR="00BD67AB" w:rsidRPr="00BD67AB">
        <w:rPr>
          <w:rFonts w:asciiTheme="majorHAnsi" w:hAnsiTheme="majorHAnsi" w:cstheme="majorHAnsi"/>
          <w:color w:val="000000" w:themeColor="text1"/>
          <w:lang w:val="ru-MD"/>
        </w:rPr>
        <w:t>ой</w:t>
      </w:r>
      <w:r w:rsidRPr="00BD67AB">
        <w:rPr>
          <w:rFonts w:asciiTheme="majorHAnsi" w:hAnsiTheme="majorHAnsi" w:cstheme="majorHAnsi"/>
          <w:color w:val="000000" w:themeColor="text1"/>
          <w:lang w:val="ru-MD"/>
        </w:rPr>
        <w:t xml:space="preserve"> книжк</w:t>
      </w:r>
      <w:r w:rsidR="00BD67AB" w:rsidRPr="00BD67AB">
        <w:rPr>
          <w:rFonts w:asciiTheme="majorHAnsi" w:hAnsiTheme="majorHAnsi" w:cstheme="majorHAnsi"/>
          <w:color w:val="000000" w:themeColor="text1"/>
          <w:lang w:val="ru-MD"/>
        </w:rPr>
        <w:t>ой</w:t>
      </w:r>
      <w:r w:rsidRPr="00BD67AB">
        <w:rPr>
          <w:rFonts w:asciiTheme="majorHAnsi" w:hAnsiTheme="majorHAnsi" w:cstheme="majorHAnsi"/>
          <w:color w:val="000000" w:themeColor="text1"/>
          <w:lang w:val="ru-MD"/>
        </w:rPr>
        <w:t>. Таким образом, для получения права на пенсию</w:t>
      </w:r>
      <w:r w:rsidR="00BD67AB" w:rsidRPr="00BD67AB">
        <w:rPr>
          <w:rFonts w:asciiTheme="majorHAnsi" w:hAnsiTheme="majorHAnsi" w:cstheme="majorHAnsi"/>
          <w:color w:val="000000" w:themeColor="text1"/>
          <w:lang w:val="ru-MD"/>
        </w:rPr>
        <w:t>,</w:t>
      </w:r>
      <w:r w:rsidRPr="00BD67AB">
        <w:rPr>
          <w:rFonts w:asciiTheme="majorHAnsi" w:hAnsiTheme="majorHAnsi" w:cstheme="majorHAnsi"/>
          <w:color w:val="000000" w:themeColor="text1"/>
          <w:lang w:val="ru-MD"/>
        </w:rPr>
        <w:t xml:space="preserve"> </w:t>
      </w:r>
      <w:r w:rsidR="00BD67AB" w:rsidRPr="00BD67AB">
        <w:rPr>
          <w:rFonts w:asciiTheme="majorHAnsi" w:hAnsiTheme="majorHAnsi" w:cstheme="majorHAnsi"/>
          <w:color w:val="000000" w:themeColor="text1"/>
          <w:lang w:val="ru-MD"/>
        </w:rPr>
        <w:t>облада</w:t>
      </w:r>
      <w:r w:rsidRPr="00BD67AB">
        <w:rPr>
          <w:rFonts w:asciiTheme="majorHAnsi" w:hAnsiTheme="majorHAnsi" w:cstheme="majorHAnsi"/>
          <w:color w:val="000000" w:themeColor="text1"/>
          <w:lang w:val="ru-MD"/>
        </w:rPr>
        <w:t xml:space="preserve">ние трудовой книжкой (в случае </w:t>
      </w:r>
      <w:r w:rsidR="00BD67AB" w:rsidRPr="00BD67AB">
        <w:rPr>
          <w:rFonts w:asciiTheme="majorHAnsi" w:hAnsiTheme="majorHAnsi" w:cstheme="majorHAnsi"/>
          <w:color w:val="000000" w:themeColor="text1"/>
          <w:lang w:val="ru-MD"/>
        </w:rPr>
        <w:t>реализации стажа</w:t>
      </w:r>
      <w:r w:rsidRPr="00BD67AB">
        <w:rPr>
          <w:rFonts w:asciiTheme="majorHAnsi" w:hAnsiTheme="majorHAnsi" w:cstheme="majorHAnsi"/>
          <w:color w:val="000000" w:themeColor="text1"/>
          <w:lang w:val="ru-MD"/>
        </w:rPr>
        <w:t xml:space="preserve"> до 1999 года) является обязательным условием</w:t>
      </w:r>
      <w:r w:rsidR="003962FC" w:rsidRPr="00BD67AB">
        <w:rPr>
          <w:rFonts w:asciiTheme="majorHAnsi" w:hAnsiTheme="majorHAnsi" w:cstheme="majorHAnsi"/>
          <w:color w:val="000000" w:themeColor="text1"/>
          <w:lang w:val="ru-MD"/>
        </w:rPr>
        <w:t>.</w:t>
      </w:r>
      <w:r w:rsidR="00A04490" w:rsidRPr="00BD67AB">
        <w:rPr>
          <w:rFonts w:asciiTheme="majorHAnsi" w:hAnsiTheme="majorHAnsi" w:cstheme="majorHAnsi"/>
          <w:color w:val="000000" w:themeColor="text1"/>
          <w:lang w:val="ru-MD"/>
        </w:rPr>
        <w:t xml:space="preserve"> </w:t>
      </w:r>
    </w:p>
    <w:p w14:paraId="72624D77" w14:textId="3F77E71B" w:rsidR="00785F9F" w:rsidRPr="00BD67AB" w:rsidRDefault="00857F73" w:rsidP="003962FC">
      <w:pPr>
        <w:pStyle w:val="a6"/>
        <w:shd w:val="clear" w:color="auto" w:fill="FFFFFF"/>
        <w:spacing w:line="276" w:lineRule="auto"/>
        <w:ind w:firstLine="0"/>
        <w:rPr>
          <w:rFonts w:asciiTheme="majorHAnsi" w:hAnsiTheme="majorHAnsi" w:cstheme="majorHAnsi"/>
          <w:color w:val="000000" w:themeColor="text1"/>
          <w:lang w:val="ru-MD"/>
        </w:rPr>
      </w:pPr>
      <w:r w:rsidRPr="00BD67AB">
        <w:rPr>
          <w:rFonts w:asciiTheme="majorHAnsi" w:hAnsiTheme="majorHAnsi" w:cstheme="majorHAnsi"/>
          <w:color w:val="000000" w:themeColor="text1"/>
          <w:lang w:val="ru-MD"/>
        </w:rPr>
        <w:t>Отме</w:t>
      </w:r>
      <w:r w:rsidR="00BD67AB" w:rsidRPr="00BD67AB">
        <w:rPr>
          <w:rFonts w:asciiTheme="majorHAnsi" w:hAnsiTheme="majorHAnsi" w:cstheme="majorHAnsi"/>
          <w:color w:val="000000" w:themeColor="text1"/>
          <w:lang w:val="ru-MD"/>
        </w:rPr>
        <w:t>чается</w:t>
      </w:r>
      <w:r w:rsidRPr="00BD67AB">
        <w:rPr>
          <w:rFonts w:asciiTheme="majorHAnsi" w:hAnsiTheme="majorHAnsi" w:cstheme="majorHAnsi"/>
          <w:color w:val="000000" w:themeColor="text1"/>
          <w:lang w:val="ru-MD"/>
        </w:rPr>
        <w:t>, что согласно информации, представленной НКСС</w:t>
      </w:r>
      <w:r w:rsidR="00BD67AB" w:rsidRPr="00BD67AB">
        <w:rPr>
          <w:rFonts w:asciiTheme="majorHAnsi" w:hAnsiTheme="majorHAnsi" w:cstheme="majorHAnsi"/>
          <w:color w:val="000000" w:themeColor="text1"/>
          <w:lang w:val="ru-MD"/>
        </w:rPr>
        <w:t>, на национальном уровне</w:t>
      </w:r>
      <w:r w:rsidRPr="00BD67AB">
        <w:rPr>
          <w:rFonts w:asciiTheme="majorHAnsi" w:hAnsiTheme="majorHAnsi" w:cstheme="majorHAnsi"/>
          <w:color w:val="000000" w:themeColor="text1"/>
          <w:lang w:val="ru-MD"/>
        </w:rPr>
        <w:t xml:space="preserve"> </w:t>
      </w:r>
      <w:r w:rsidR="00BD67AB" w:rsidRPr="00BD67AB">
        <w:rPr>
          <w:rFonts w:asciiTheme="majorHAnsi" w:hAnsiTheme="majorHAnsi" w:cstheme="majorHAnsi"/>
          <w:color w:val="000000" w:themeColor="text1"/>
          <w:lang w:val="ru-MD"/>
        </w:rPr>
        <w:t>до</w:t>
      </w:r>
      <w:r w:rsidRPr="00BD67AB">
        <w:rPr>
          <w:rFonts w:asciiTheme="majorHAnsi" w:hAnsiTheme="majorHAnsi" w:cstheme="majorHAnsi"/>
          <w:color w:val="000000" w:themeColor="text1"/>
          <w:lang w:val="ru-MD"/>
        </w:rPr>
        <w:t xml:space="preserve"> конц</w:t>
      </w:r>
      <w:r w:rsidR="00BD67AB" w:rsidRPr="00BD67AB">
        <w:rPr>
          <w:rFonts w:asciiTheme="majorHAnsi" w:hAnsiTheme="majorHAnsi" w:cstheme="majorHAnsi"/>
          <w:color w:val="000000" w:themeColor="text1"/>
          <w:lang w:val="ru-MD"/>
        </w:rPr>
        <w:t>а</w:t>
      </w:r>
      <w:r w:rsidRPr="00BD67AB">
        <w:rPr>
          <w:rFonts w:asciiTheme="majorHAnsi" w:hAnsiTheme="majorHAnsi" w:cstheme="majorHAnsi"/>
          <w:color w:val="000000" w:themeColor="text1"/>
          <w:lang w:val="ru-MD"/>
        </w:rPr>
        <w:t xml:space="preserve"> апреля 2023 года записи из трудовых книжек были отсканированы по запросу 294 704 физических лиц</w:t>
      </w:r>
      <w:r w:rsidR="00785F9F" w:rsidRPr="00BD67AB">
        <w:rPr>
          <w:rFonts w:asciiTheme="majorHAnsi" w:hAnsiTheme="majorHAnsi" w:cstheme="majorHAnsi"/>
          <w:color w:val="000000" w:themeColor="text1"/>
          <w:lang w:val="ru-MD"/>
        </w:rPr>
        <w:t>.</w:t>
      </w:r>
    </w:p>
    <w:p w14:paraId="312B7008" w14:textId="197A1A52" w:rsidR="00683C4B" w:rsidRPr="00D9641A" w:rsidRDefault="00D9641A" w:rsidP="00D9641A">
      <w:pPr>
        <w:pStyle w:val="aa"/>
        <w:numPr>
          <w:ilvl w:val="2"/>
          <w:numId w:val="2"/>
        </w:numPr>
        <w:shd w:val="clear" w:color="auto" w:fill="FFFFFF" w:themeFill="background1"/>
        <w:tabs>
          <w:tab w:val="left" w:pos="1080"/>
        </w:tabs>
        <w:spacing w:before="240" w:line="276" w:lineRule="auto"/>
        <w:ind w:left="0" w:firstLine="360"/>
        <w:jc w:val="both"/>
        <w:outlineLvl w:val="2"/>
        <w:rPr>
          <w:rFonts w:asciiTheme="majorHAnsi" w:eastAsia="Times New Roman" w:hAnsiTheme="majorHAnsi" w:cstheme="majorHAnsi"/>
          <w:b/>
          <w:color w:val="000000" w:themeColor="text1"/>
          <w:sz w:val="24"/>
          <w:szCs w:val="24"/>
          <w:lang w:val="ru-MD"/>
        </w:rPr>
      </w:pPr>
      <w:r w:rsidRPr="00D9641A">
        <w:rPr>
          <w:rFonts w:asciiTheme="majorHAnsi" w:eastAsia="Times New Roman" w:hAnsiTheme="majorHAnsi" w:cstheme="majorHAnsi"/>
          <w:b/>
          <w:color w:val="000000" w:themeColor="text1"/>
          <w:sz w:val="24"/>
          <w:szCs w:val="24"/>
          <w:lang w:val="ru-MD"/>
        </w:rPr>
        <w:t>Со вступлением в силу международных соглашений в области социального обеспечения число получателей пенсий, проживающих за пределами Республики Молдова, постоянно растет</w:t>
      </w:r>
      <w:r w:rsidR="00BB11D8" w:rsidRPr="00D9641A">
        <w:rPr>
          <w:rFonts w:asciiTheme="majorHAnsi" w:eastAsia="Times New Roman" w:hAnsiTheme="majorHAnsi" w:cstheme="majorHAnsi"/>
          <w:b/>
          <w:color w:val="000000" w:themeColor="text1"/>
          <w:sz w:val="24"/>
          <w:szCs w:val="24"/>
          <w:lang w:val="ru-MD"/>
        </w:rPr>
        <w:t>.</w:t>
      </w:r>
    </w:p>
    <w:p w14:paraId="6FCFDF06" w14:textId="03EF9E97" w:rsidR="00793126" w:rsidRPr="00B43CA0" w:rsidRDefault="00D9641A" w:rsidP="00793126">
      <w:pPr>
        <w:shd w:val="clear" w:color="auto" w:fill="FFFFFF" w:themeFill="background1"/>
        <w:spacing w:before="240" w:line="276" w:lineRule="auto"/>
        <w:jc w:val="both"/>
        <w:rPr>
          <w:rFonts w:asciiTheme="majorHAnsi" w:hAnsiTheme="majorHAnsi" w:cstheme="majorHAnsi"/>
          <w:sz w:val="24"/>
          <w:lang w:val="ru-MD"/>
        </w:rPr>
      </w:pPr>
      <w:r w:rsidRPr="00677800">
        <w:rPr>
          <w:rFonts w:asciiTheme="majorHAnsi" w:hAnsiTheme="majorHAnsi" w:cstheme="majorHAnsi"/>
          <w:sz w:val="24"/>
          <w:lang w:val="ru-MD"/>
        </w:rPr>
        <w:t xml:space="preserve">В целях соблюдения европейских стандартов и норм в области социального обеспечения Национальная касса заключила Международные соглашения в области социального обеспечения. Таким образом, существуют 4 </w:t>
      </w:r>
      <w:r w:rsidRPr="00677800">
        <w:rPr>
          <w:rFonts w:asciiTheme="majorHAnsi" w:hAnsiTheme="majorHAnsi" w:cstheme="majorHAnsi"/>
          <w:b/>
          <w:sz w:val="24"/>
          <w:lang w:val="ru-MD"/>
        </w:rPr>
        <w:t>Соглашения, основанные на принципе территориальности</w:t>
      </w:r>
      <w:r w:rsidRPr="00677800">
        <w:rPr>
          <w:rStyle w:val="a5"/>
          <w:rFonts w:asciiTheme="majorHAnsi" w:hAnsiTheme="majorHAnsi" w:cstheme="majorHAnsi"/>
          <w:b/>
          <w:sz w:val="24"/>
          <w:lang w:val="ru-MD"/>
        </w:rPr>
        <w:footnoteReference w:id="58"/>
      </w:r>
      <w:r w:rsidRPr="00677800">
        <w:rPr>
          <w:rFonts w:asciiTheme="majorHAnsi" w:hAnsiTheme="majorHAnsi" w:cstheme="majorHAnsi"/>
          <w:sz w:val="24"/>
          <w:lang w:val="ru-MD"/>
        </w:rPr>
        <w:t xml:space="preserve">, согласно которым </w:t>
      </w:r>
      <w:r w:rsidRPr="00677800">
        <w:rPr>
          <w:rFonts w:asciiTheme="majorHAnsi" w:hAnsiTheme="majorHAnsi" w:cstheme="majorHAnsi"/>
          <w:sz w:val="24"/>
          <w:szCs w:val="24"/>
          <w:lang w:val="ru-MD"/>
        </w:rPr>
        <w:t>п</w:t>
      </w:r>
      <w:r w:rsidR="00677800" w:rsidRPr="00677800">
        <w:rPr>
          <w:rFonts w:asciiTheme="majorHAnsi" w:hAnsiTheme="majorHAnsi" w:cstheme="majorHAnsi"/>
          <w:sz w:val="24"/>
          <w:szCs w:val="24"/>
          <w:lang w:val="ru-MD"/>
        </w:rPr>
        <w:t>ри</w:t>
      </w:r>
      <w:r w:rsidRPr="00677800">
        <w:rPr>
          <w:rFonts w:asciiTheme="majorHAnsi" w:hAnsiTheme="majorHAnsi" w:cstheme="majorHAnsi"/>
          <w:sz w:val="24"/>
          <w:szCs w:val="24"/>
          <w:lang w:val="ru-MD"/>
        </w:rPr>
        <w:t xml:space="preserve"> </w:t>
      </w:r>
      <w:r w:rsidR="00677800" w:rsidRPr="00677800">
        <w:rPr>
          <w:rFonts w:asciiTheme="majorHAnsi" w:hAnsiTheme="majorHAnsi" w:cstheme="majorHAnsi"/>
          <w:color w:val="000000"/>
          <w:sz w:val="24"/>
          <w:szCs w:val="24"/>
          <w:shd w:val="clear" w:color="auto" w:fill="FFFFFF"/>
          <w:lang w:val="ru-MD"/>
        </w:rPr>
        <w:t>переселении,</w:t>
      </w:r>
      <w:r w:rsidRPr="00677800">
        <w:rPr>
          <w:rFonts w:asciiTheme="majorHAnsi" w:hAnsiTheme="majorHAnsi" w:cstheme="majorHAnsi"/>
          <w:sz w:val="24"/>
          <w:szCs w:val="24"/>
          <w:lang w:val="ru-MD"/>
        </w:rPr>
        <w:t xml:space="preserve"> </w:t>
      </w:r>
      <w:r w:rsidR="00677800" w:rsidRPr="00677800">
        <w:rPr>
          <w:rFonts w:asciiTheme="majorHAnsi" w:hAnsiTheme="majorHAnsi" w:cstheme="majorHAnsi"/>
          <w:sz w:val="24"/>
          <w:szCs w:val="24"/>
          <w:lang w:val="ru-MD"/>
        </w:rPr>
        <w:t>лицо</w:t>
      </w:r>
      <w:r w:rsidRPr="00677800">
        <w:rPr>
          <w:rFonts w:asciiTheme="majorHAnsi" w:hAnsiTheme="majorHAnsi" w:cstheme="majorHAnsi"/>
          <w:sz w:val="24"/>
          <w:szCs w:val="24"/>
          <w:lang w:val="ru-MD"/>
        </w:rPr>
        <w:t xml:space="preserve"> будет получать социальные пособия в государстве </w:t>
      </w:r>
      <w:r w:rsidR="00677800" w:rsidRPr="00677800">
        <w:rPr>
          <w:rFonts w:asciiTheme="majorHAnsi" w:hAnsiTheme="majorHAnsi" w:cstheme="majorHAnsi"/>
          <w:sz w:val="24"/>
          <w:szCs w:val="24"/>
          <w:lang w:val="ru-MD"/>
        </w:rPr>
        <w:t xml:space="preserve">его постоянного проживания </w:t>
      </w:r>
      <w:r w:rsidRPr="00677800">
        <w:rPr>
          <w:rFonts w:asciiTheme="majorHAnsi" w:hAnsiTheme="majorHAnsi" w:cstheme="majorHAnsi"/>
          <w:sz w:val="24"/>
          <w:szCs w:val="24"/>
          <w:lang w:val="ru-MD"/>
        </w:rPr>
        <w:t xml:space="preserve">и в соответствии с его законодательством, независимо от того, </w:t>
      </w:r>
      <w:r w:rsidR="00677800" w:rsidRPr="00677800">
        <w:rPr>
          <w:rFonts w:asciiTheme="majorHAnsi" w:hAnsiTheme="majorHAnsi" w:cstheme="majorHAnsi"/>
          <w:sz w:val="24"/>
          <w:szCs w:val="24"/>
          <w:lang w:val="ru-MD"/>
        </w:rPr>
        <w:t xml:space="preserve">если страховой стаж был реализован </w:t>
      </w:r>
      <w:r w:rsidRPr="00677800">
        <w:rPr>
          <w:rFonts w:asciiTheme="majorHAnsi" w:hAnsiTheme="majorHAnsi" w:cstheme="majorHAnsi"/>
          <w:sz w:val="24"/>
          <w:szCs w:val="24"/>
          <w:lang w:val="ru-MD"/>
        </w:rPr>
        <w:t>на территории другого государства</w:t>
      </w:r>
      <w:r w:rsidRPr="00677800">
        <w:rPr>
          <w:rFonts w:asciiTheme="majorHAnsi" w:hAnsiTheme="majorHAnsi" w:cstheme="majorHAnsi"/>
          <w:sz w:val="24"/>
          <w:lang w:val="ru-MD"/>
        </w:rPr>
        <w:t xml:space="preserve">. При расчете этих пенсий учитываются как периоды деятельности на территории как </w:t>
      </w:r>
      <w:r w:rsidR="00677800" w:rsidRPr="00677800">
        <w:rPr>
          <w:rFonts w:asciiTheme="majorHAnsi" w:hAnsiTheme="majorHAnsi" w:cstheme="majorHAnsi"/>
          <w:sz w:val="24"/>
          <w:lang w:val="ru-MD"/>
        </w:rPr>
        <w:t xml:space="preserve">обоих </w:t>
      </w:r>
      <w:r w:rsidRPr="00677800">
        <w:rPr>
          <w:rFonts w:asciiTheme="majorHAnsi" w:hAnsiTheme="majorHAnsi" w:cstheme="majorHAnsi"/>
          <w:sz w:val="24"/>
          <w:lang w:val="ru-MD"/>
        </w:rPr>
        <w:t>договаривающихся государств, так и на те</w:t>
      </w:r>
      <w:r w:rsidR="00677800" w:rsidRPr="00677800">
        <w:rPr>
          <w:rFonts w:asciiTheme="majorHAnsi" w:hAnsiTheme="majorHAnsi" w:cstheme="majorHAnsi"/>
          <w:sz w:val="24"/>
          <w:lang w:val="ru-MD"/>
        </w:rPr>
        <w:t>рритории СССР (см. Приложение №</w:t>
      </w:r>
      <w:r w:rsidRPr="00677800">
        <w:rPr>
          <w:rFonts w:asciiTheme="majorHAnsi" w:hAnsiTheme="majorHAnsi" w:cstheme="majorHAnsi"/>
          <w:sz w:val="24"/>
          <w:lang w:val="ru-MD"/>
        </w:rPr>
        <w:t xml:space="preserve">6 к настоящему </w:t>
      </w:r>
      <w:r w:rsidR="00677800" w:rsidRPr="00677800">
        <w:rPr>
          <w:rFonts w:asciiTheme="majorHAnsi" w:hAnsiTheme="majorHAnsi" w:cstheme="majorHAnsi"/>
          <w:sz w:val="24"/>
          <w:lang w:val="ru-MD"/>
        </w:rPr>
        <w:t>О</w:t>
      </w:r>
      <w:r w:rsidRPr="00677800">
        <w:rPr>
          <w:rFonts w:asciiTheme="majorHAnsi" w:hAnsiTheme="majorHAnsi" w:cstheme="majorHAnsi"/>
          <w:sz w:val="24"/>
          <w:lang w:val="ru-MD"/>
        </w:rPr>
        <w:t>тчету</w:t>
      </w:r>
      <w:r w:rsidR="00677800" w:rsidRPr="00677800">
        <w:rPr>
          <w:rFonts w:asciiTheme="majorHAnsi" w:hAnsiTheme="majorHAnsi" w:cstheme="majorHAnsi"/>
          <w:sz w:val="24"/>
          <w:lang w:val="ru-MD"/>
        </w:rPr>
        <w:t xml:space="preserve"> аудита)</w:t>
      </w:r>
      <w:r w:rsidR="00793126" w:rsidRPr="00677800">
        <w:rPr>
          <w:rFonts w:asciiTheme="majorHAnsi" w:hAnsiTheme="majorHAnsi" w:cstheme="majorHAnsi"/>
          <w:sz w:val="24"/>
          <w:lang w:val="ru-MD"/>
        </w:rPr>
        <w:t>.</w:t>
      </w:r>
      <w:r w:rsidR="00793126" w:rsidRPr="00653E85">
        <w:rPr>
          <w:rFonts w:asciiTheme="majorHAnsi" w:hAnsiTheme="majorHAnsi" w:cstheme="majorHAnsi"/>
          <w:sz w:val="24"/>
          <w:lang w:val="ro-MD"/>
        </w:rPr>
        <w:t xml:space="preserve"> </w:t>
      </w:r>
      <w:r w:rsidR="00677800" w:rsidRPr="00B43CA0">
        <w:rPr>
          <w:rFonts w:asciiTheme="majorHAnsi" w:hAnsiTheme="majorHAnsi" w:cstheme="majorHAnsi"/>
          <w:sz w:val="24"/>
          <w:lang w:val="ru-MD"/>
        </w:rPr>
        <w:t>Также</w:t>
      </w:r>
      <w:r w:rsidR="00677800" w:rsidRPr="00677800">
        <w:rPr>
          <w:rFonts w:asciiTheme="majorHAnsi" w:hAnsiTheme="majorHAnsi" w:cstheme="majorHAnsi"/>
          <w:sz w:val="24"/>
          <w:lang w:val="ro-MD"/>
        </w:rPr>
        <w:t xml:space="preserve"> </w:t>
      </w:r>
      <w:r w:rsidR="00677800" w:rsidRPr="00B43CA0">
        <w:rPr>
          <w:rFonts w:asciiTheme="majorHAnsi" w:hAnsiTheme="majorHAnsi" w:cstheme="majorHAnsi"/>
          <w:sz w:val="24"/>
          <w:lang w:val="ru-MD"/>
        </w:rPr>
        <w:t xml:space="preserve">устанавливаются пособия на основе 15 </w:t>
      </w:r>
      <w:r w:rsidR="00677800" w:rsidRPr="00B43CA0">
        <w:rPr>
          <w:rFonts w:asciiTheme="majorHAnsi" w:hAnsiTheme="majorHAnsi" w:cstheme="majorHAnsi"/>
          <w:b/>
          <w:sz w:val="24"/>
          <w:lang w:val="ru-MD"/>
        </w:rPr>
        <w:t>Соглашений, основанных на принципе пропорциональности</w:t>
      </w:r>
      <w:r w:rsidR="00677800" w:rsidRPr="00B43CA0">
        <w:rPr>
          <w:rStyle w:val="a5"/>
          <w:rFonts w:asciiTheme="majorHAnsi" w:eastAsia="Times New Roman" w:hAnsiTheme="majorHAnsi" w:cstheme="majorHAnsi"/>
          <w:b/>
          <w:sz w:val="24"/>
          <w:szCs w:val="24"/>
          <w:lang w:val="ru-MD" w:eastAsia="ro-RO"/>
        </w:rPr>
        <w:footnoteReference w:id="59"/>
      </w:r>
      <w:r w:rsidR="00677800" w:rsidRPr="00B43CA0">
        <w:rPr>
          <w:rFonts w:asciiTheme="majorHAnsi" w:hAnsiTheme="majorHAnsi" w:cstheme="majorHAnsi"/>
          <w:sz w:val="24"/>
          <w:lang w:val="ru-MD"/>
        </w:rPr>
        <w:t>, согласно которым каждая договаривающаяся сторона исчисляет и выплачивает часть пенсии, соответствующую страховому стажу</w:t>
      </w:r>
      <w:r w:rsidR="005C3FD7" w:rsidRPr="00B43CA0">
        <w:rPr>
          <w:rFonts w:asciiTheme="majorHAnsi" w:hAnsiTheme="majorHAnsi" w:cstheme="majorHAnsi"/>
          <w:sz w:val="24"/>
          <w:lang w:val="ru-MD"/>
        </w:rPr>
        <w:t xml:space="preserve"> в рамках государственной системы социального страхования</w:t>
      </w:r>
      <w:r w:rsidR="00677800" w:rsidRPr="00B43CA0">
        <w:rPr>
          <w:rFonts w:asciiTheme="majorHAnsi" w:hAnsiTheme="majorHAnsi" w:cstheme="majorHAnsi"/>
          <w:sz w:val="24"/>
          <w:lang w:val="ru-MD"/>
        </w:rPr>
        <w:t>, приобретенному на ее территории)</w:t>
      </w:r>
      <w:r w:rsidR="005C3FD7" w:rsidRPr="00B43CA0">
        <w:rPr>
          <w:rFonts w:asciiTheme="majorHAnsi" w:hAnsiTheme="majorHAnsi" w:cstheme="majorHAnsi"/>
          <w:sz w:val="24"/>
          <w:lang w:val="ru-MD"/>
        </w:rPr>
        <w:t xml:space="preserve">, и экспорт социальных прав, что подразумевает право трудящегося-мигранта на получение выплат социальных прав, приобретенных </w:t>
      </w:r>
      <w:r w:rsidR="00B43CA0" w:rsidRPr="00B43CA0">
        <w:rPr>
          <w:rFonts w:asciiTheme="majorHAnsi" w:hAnsiTheme="majorHAnsi" w:cstheme="majorHAnsi"/>
          <w:sz w:val="24"/>
          <w:lang w:val="ru-MD"/>
        </w:rPr>
        <w:t xml:space="preserve">в странах, в которых  осуществлял свою деятельность, </w:t>
      </w:r>
      <w:r w:rsidR="005C3FD7" w:rsidRPr="00B43CA0">
        <w:rPr>
          <w:rFonts w:asciiTheme="majorHAnsi" w:hAnsiTheme="majorHAnsi" w:cstheme="majorHAnsi"/>
          <w:sz w:val="24"/>
          <w:lang w:val="ru-MD"/>
        </w:rPr>
        <w:t xml:space="preserve">на территории государства постоянного проживания </w:t>
      </w:r>
      <w:r w:rsidR="00B43CA0" w:rsidRPr="00B43CA0">
        <w:rPr>
          <w:rFonts w:asciiTheme="majorHAnsi" w:hAnsiTheme="majorHAnsi" w:cstheme="majorHAnsi"/>
          <w:sz w:val="24"/>
          <w:lang w:val="ru-MD"/>
        </w:rPr>
        <w:t>(см. Приложение №</w:t>
      </w:r>
      <w:r w:rsidR="00677800" w:rsidRPr="00B43CA0">
        <w:rPr>
          <w:rFonts w:asciiTheme="majorHAnsi" w:hAnsiTheme="majorHAnsi" w:cstheme="majorHAnsi"/>
          <w:sz w:val="24"/>
          <w:lang w:val="ru-MD"/>
        </w:rPr>
        <w:t xml:space="preserve">7 к настоящему </w:t>
      </w:r>
      <w:r w:rsidR="00B43CA0" w:rsidRPr="00B43CA0">
        <w:rPr>
          <w:rFonts w:asciiTheme="majorHAnsi" w:hAnsiTheme="majorHAnsi" w:cstheme="majorHAnsi"/>
          <w:sz w:val="24"/>
          <w:lang w:val="ru-MD"/>
        </w:rPr>
        <w:t>О</w:t>
      </w:r>
      <w:r w:rsidR="00677800" w:rsidRPr="00B43CA0">
        <w:rPr>
          <w:rFonts w:asciiTheme="majorHAnsi" w:hAnsiTheme="majorHAnsi" w:cstheme="majorHAnsi"/>
          <w:sz w:val="24"/>
          <w:lang w:val="ru-MD"/>
        </w:rPr>
        <w:t>тчету</w:t>
      </w:r>
      <w:r w:rsidR="00B43CA0" w:rsidRPr="00B43CA0">
        <w:rPr>
          <w:rFonts w:asciiTheme="majorHAnsi" w:hAnsiTheme="majorHAnsi" w:cstheme="majorHAnsi"/>
          <w:sz w:val="24"/>
          <w:lang w:val="ru-MD"/>
        </w:rPr>
        <w:t xml:space="preserve"> аудита</w:t>
      </w:r>
      <w:r w:rsidR="00677800" w:rsidRPr="00B43CA0">
        <w:rPr>
          <w:rFonts w:asciiTheme="majorHAnsi" w:hAnsiTheme="majorHAnsi" w:cstheme="majorHAnsi"/>
          <w:sz w:val="24"/>
          <w:lang w:val="ru-MD"/>
        </w:rPr>
        <w:t>. В настоящее время ведутся переговоры с Латвией и Швейцарией)</w:t>
      </w:r>
      <w:r w:rsidR="00793126" w:rsidRPr="00B43CA0">
        <w:rPr>
          <w:rFonts w:asciiTheme="majorHAnsi" w:eastAsia="Times New Roman" w:hAnsiTheme="majorHAnsi" w:cstheme="majorHAnsi"/>
          <w:bCs/>
          <w:sz w:val="24"/>
          <w:szCs w:val="24"/>
          <w:lang w:val="ru-MD" w:eastAsia="ro-RO"/>
        </w:rPr>
        <w:t>.</w:t>
      </w:r>
    </w:p>
    <w:p w14:paraId="3F26A309" w14:textId="2C2BE2E1" w:rsidR="00793126" w:rsidRPr="00300773" w:rsidRDefault="00B43CA0" w:rsidP="00A356B8">
      <w:pPr>
        <w:shd w:val="clear" w:color="auto" w:fill="FFFFFF" w:themeFill="background1"/>
        <w:spacing w:before="240" w:line="276" w:lineRule="auto"/>
        <w:jc w:val="both"/>
        <w:rPr>
          <w:rFonts w:asciiTheme="majorHAnsi" w:hAnsiTheme="majorHAnsi" w:cstheme="majorHAnsi"/>
          <w:sz w:val="24"/>
          <w:lang w:val="ru-MD"/>
        </w:rPr>
      </w:pPr>
      <w:r w:rsidRPr="00300773">
        <w:rPr>
          <w:rFonts w:asciiTheme="majorHAnsi" w:hAnsiTheme="majorHAnsi" w:cstheme="majorHAnsi"/>
          <w:sz w:val="24"/>
          <w:lang w:val="ru-MD"/>
        </w:rPr>
        <w:t>Хотя РМ переводит пенсии в 14 стран</w:t>
      </w:r>
      <w:r w:rsidR="00300773" w:rsidRPr="00300773">
        <w:rPr>
          <w:rFonts w:asciiTheme="majorHAnsi" w:hAnsiTheme="majorHAnsi" w:cstheme="majorHAnsi"/>
          <w:sz w:val="24"/>
          <w:lang w:val="ru-MD"/>
        </w:rPr>
        <w:t>ы</w:t>
      </w:r>
      <w:r w:rsidRPr="00300773">
        <w:rPr>
          <w:rFonts w:asciiTheme="majorHAnsi" w:hAnsiTheme="majorHAnsi" w:cstheme="majorHAnsi"/>
          <w:sz w:val="24"/>
          <w:lang w:val="ru-MD"/>
        </w:rPr>
        <w:t xml:space="preserve">, </w:t>
      </w:r>
      <w:r w:rsidR="00300773" w:rsidRPr="00300773">
        <w:rPr>
          <w:rFonts w:asciiTheme="majorHAnsi" w:hAnsiTheme="majorHAnsi" w:cstheme="majorHAnsi"/>
          <w:sz w:val="24"/>
          <w:lang w:val="ru-MD"/>
        </w:rPr>
        <w:t>отмечается</w:t>
      </w:r>
      <w:r w:rsidRPr="00300773">
        <w:rPr>
          <w:rFonts w:asciiTheme="majorHAnsi" w:hAnsiTheme="majorHAnsi" w:cstheme="majorHAnsi"/>
          <w:sz w:val="24"/>
          <w:lang w:val="ru-MD"/>
        </w:rPr>
        <w:t xml:space="preserve">, что она получает </w:t>
      </w:r>
      <w:r w:rsidR="00300773" w:rsidRPr="00300773">
        <w:rPr>
          <w:rFonts w:asciiTheme="majorHAnsi" w:hAnsiTheme="majorHAnsi" w:cstheme="majorHAnsi"/>
          <w:sz w:val="24"/>
          <w:lang w:val="ru-MD"/>
        </w:rPr>
        <w:t xml:space="preserve">их </w:t>
      </w:r>
      <w:r w:rsidRPr="00300773">
        <w:rPr>
          <w:rFonts w:asciiTheme="majorHAnsi" w:hAnsiTheme="majorHAnsi" w:cstheme="majorHAnsi"/>
          <w:sz w:val="24"/>
          <w:lang w:val="ru-MD"/>
        </w:rPr>
        <w:t xml:space="preserve">только из 4 стран (Беларуси, Болгарии, Эстонии и Латвии). Таким образом, пенсионные расходы, переведенные за пределы РМ, составили в 2022 году 39 924,5 тыс. леев, что на 9 433,1 тыс. леев больше, чем в 2020 году. На тенденцию </w:t>
      </w:r>
      <w:r w:rsidR="00300773" w:rsidRPr="00300773">
        <w:rPr>
          <w:rFonts w:asciiTheme="majorHAnsi" w:hAnsiTheme="majorHAnsi" w:cstheme="majorHAnsi"/>
          <w:sz w:val="24"/>
          <w:lang w:val="ru-MD"/>
        </w:rPr>
        <w:t>увелич</w:t>
      </w:r>
      <w:r w:rsidRPr="00300773">
        <w:rPr>
          <w:rFonts w:asciiTheme="majorHAnsi" w:hAnsiTheme="majorHAnsi" w:cstheme="majorHAnsi"/>
          <w:sz w:val="24"/>
          <w:lang w:val="ru-MD"/>
        </w:rPr>
        <w:t>ения</w:t>
      </w:r>
      <w:r w:rsidR="00300773" w:rsidRPr="00300773">
        <w:rPr>
          <w:rFonts w:asciiTheme="majorHAnsi" w:hAnsiTheme="majorHAnsi" w:cstheme="majorHAnsi"/>
          <w:sz w:val="24"/>
          <w:lang w:val="ru-MD"/>
        </w:rPr>
        <w:t xml:space="preserve"> влияет</w:t>
      </w:r>
      <w:r w:rsidRPr="00300773">
        <w:rPr>
          <w:rFonts w:asciiTheme="majorHAnsi" w:hAnsiTheme="majorHAnsi" w:cstheme="majorHAnsi"/>
          <w:sz w:val="24"/>
          <w:lang w:val="ru-MD"/>
        </w:rPr>
        <w:t xml:space="preserve">, в том числе, </w:t>
      </w:r>
      <w:r w:rsidR="00300773" w:rsidRPr="00300773">
        <w:rPr>
          <w:rFonts w:asciiTheme="majorHAnsi" w:hAnsiTheme="majorHAnsi" w:cstheme="majorHAnsi"/>
          <w:sz w:val="24"/>
          <w:lang w:val="ru-MD"/>
        </w:rPr>
        <w:t>рост</w:t>
      </w:r>
      <w:r w:rsidRPr="00300773">
        <w:rPr>
          <w:rFonts w:asciiTheme="majorHAnsi" w:hAnsiTheme="majorHAnsi" w:cstheme="majorHAnsi"/>
          <w:sz w:val="24"/>
          <w:lang w:val="ru-MD"/>
        </w:rPr>
        <w:t xml:space="preserve"> числа бенефициаров, которое в 2022 году составило 1 642, что на 566 больше, чем в 2020 году</w:t>
      </w:r>
      <w:r w:rsidR="000B5911" w:rsidRPr="00300773">
        <w:rPr>
          <w:rFonts w:asciiTheme="majorHAnsi" w:hAnsiTheme="majorHAnsi" w:cstheme="majorHAnsi"/>
          <w:sz w:val="24"/>
          <w:lang w:val="ru-MD"/>
        </w:rPr>
        <w:t>.</w:t>
      </w:r>
    </w:p>
    <w:p w14:paraId="5772846D" w14:textId="5F8C4235" w:rsidR="000B5911" w:rsidRPr="00300773" w:rsidRDefault="00B43CA0" w:rsidP="008D1DF2">
      <w:pPr>
        <w:spacing w:before="240" w:after="0" w:line="276" w:lineRule="auto"/>
        <w:jc w:val="both"/>
        <w:rPr>
          <w:rFonts w:asciiTheme="majorHAnsi" w:hAnsiTheme="majorHAnsi" w:cstheme="majorHAnsi"/>
          <w:b/>
          <w:sz w:val="24"/>
          <w:szCs w:val="24"/>
          <w:lang w:val="ru-MD"/>
        </w:rPr>
      </w:pPr>
      <w:r w:rsidRPr="00300773">
        <w:rPr>
          <w:rFonts w:asciiTheme="majorHAnsi" w:hAnsiTheme="majorHAnsi" w:cstheme="majorHAnsi"/>
          <w:sz w:val="24"/>
          <w:szCs w:val="24"/>
          <w:lang w:val="ru-MD"/>
        </w:rPr>
        <w:t>Аудитор проанализировал списки пенсий, пере</w:t>
      </w:r>
      <w:r w:rsidR="00300773" w:rsidRPr="00300773">
        <w:rPr>
          <w:rFonts w:asciiTheme="majorHAnsi" w:hAnsiTheme="majorHAnsi" w:cstheme="majorHAnsi"/>
          <w:sz w:val="24"/>
          <w:szCs w:val="24"/>
          <w:lang w:val="ru-MD"/>
        </w:rPr>
        <w:t>веде</w:t>
      </w:r>
      <w:r w:rsidRPr="00300773">
        <w:rPr>
          <w:rFonts w:asciiTheme="majorHAnsi" w:hAnsiTheme="majorHAnsi" w:cstheme="majorHAnsi"/>
          <w:sz w:val="24"/>
          <w:szCs w:val="24"/>
          <w:lang w:val="ru-MD"/>
        </w:rPr>
        <w:t>нных/</w:t>
      </w:r>
      <w:r w:rsidR="00300773" w:rsidRPr="00300773">
        <w:rPr>
          <w:rFonts w:asciiTheme="majorHAnsi" w:hAnsiTheme="majorHAnsi" w:cstheme="majorHAnsi"/>
          <w:sz w:val="24"/>
          <w:szCs w:val="24"/>
          <w:lang w:val="ru-MD"/>
        </w:rPr>
        <w:t>полученных бенефициарами из</w:t>
      </w:r>
      <w:r w:rsidRPr="00300773">
        <w:rPr>
          <w:rFonts w:asciiTheme="majorHAnsi" w:hAnsiTheme="majorHAnsi" w:cstheme="majorHAnsi"/>
          <w:sz w:val="24"/>
          <w:szCs w:val="24"/>
          <w:lang w:val="ru-MD"/>
        </w:rPr>
        <w:t xml:space="preserve">/в РМ в соответствии с международными соглашениями, и никаких несоответствий или неточностей не было выявлено, </w:t>
      </w:r>
      <w:r w:rsidR="00300773" w:rsidRPr="00300773">
        <w:rPr>
          <w:rFonts w:asciiTheme="majorHAnsi" w:hAnsiTheme="majorHAnsi" w:cstheme="majorHAnsi"/>
          <w:sz w:val="24"/>
          <w:szCs w:val="24"/>
          <w:lang w:val="ru-MD"/>
        </w:rPr>
        <w:t>они</w:t>
      </w:r>
      <w:r w:rsidRPr="00300773">
        <w:rPr>
          <w:rFonts w:asciiTheme="majorHAnsi" w:hAnsiTheme="majorHAnsi" w:cstheme="majorHAnsi"/>
          <w:sz w:val="24"/>
          <w:szCs w:val="24"/>
          <w:lang w:val="ru-MD"/>
        </w:rPr>
        <w:t xml:space="preserve"> отража</w:t>
      </w:r>
      <w:r w:rsidR="00300773" w:rsidRPr="00300773">
        <w:rPr>
          <w:rFonts w:asciiTheme="majorHAnsi" w:hAnsiTheme="majorHAnsi" w:cstheme="majorHAnsi"/>
          <w:sz w:val="24"/>
          <w:szCs w:val="24"/>
          <w:lang w:val="ru-MD"/>
        </w:rPr>
        <w:t>ю</w:t>
      </w:r>
      <w:r w:rsidRPr="00300773">
        <w:rPr>
          <w:rFonts w:asciiTheme="majorHAnsi" w:hAnsiTheme="majorHAnsi" w:cstheme="majorHAnsi"/>
          <w:sz w:val="24"/>
          <w:szCs w:val="24"/>
          <w:lang w:val="ru-MD"/>
        </w:rPr>
        <w:t>т точные данные. Что касается сумм, поступивших в РМ для выплаты пенсий по международным соглашениям, то в 2022 году они составили 2 214,8 тыс. леев для 46 бенефициаров, что на 1 053,9 тыс. леев больше, чем в 2020 году. В то же время количество бенефициаров по сравнению с 2020 годом удвоилось, и их число составило 23 человека (</w:t>
      </w:r>
      <w:r w:rsidR="00300773" w:rsidRPr="00300773">
        <w:rPr>
          <w:rFonts w:asciiTheme="majorHAnsi" w:hAnsiTheme="majorHAnsi" w:cstheme="majorHAnsi"/>
          <w:sz w:val="24"/>
          <w:szCs w:val="24"/>
          <w:lang w:val="ru-MD"/>
        </w:rPr>
        <w:t>Приложение №</w:t>
      </w:r>
      <w:r w:rsidRPr="00300773">
        <w:rPr>
          <w:rFonts w:asciiTheme="majorHAnsi" w:hAnsiTheme="majorHAnsi" w:cstheme="majorHAnsi"/>
          <w:sz w:val="24"/>
          <w:szCs w:val="24"/>
          <w:lang w:val="ru-MD"/>
        </w:rPr>
        <w:t xml:space="preserve">8 </w:t>
      </w:r>
      <w:r w:rsidR="00300773" w:rsidRPr="00300773">
        <w:rPr>
          <w:rFonts w:asciiTheme="majorHAnsi" w:hAnsiTheme="majorHAnsi" w:cstheme="majorHAnsi"/>
          <w:sz w:val="24"/>
          <w:szCs w:val="24"/>
          <w:lang w:val="ru-MD"/>
        </w:rPr>
        <w:t>к</w:t>
      </w:r>
      <w:r w:rsidRPr="00300773">
        <w:rPr>
          <w:rFonts w:asciiTheme="majorHAnsi" w:hAnsiTheme="majorHAnsi" w:cstheme="majorHAnsi"/>
          <w:sz w:val="24"/>
          <w:szCs w:val="24"/>
          <w:lang w:val="ru-MD"/>
        </w:rPr>
        <w:t xml:space="preserve"> настоящем</w:t>
      </w:r>
      <w:r w:rsidR="00300773" w:rsidRPr="00300773">
        <w:rPr>
          <w:rFonts w:asciiTheme="majorHAnsi" w:hAnsiTheme="majorHAnsi" w:cstheme="majorHAnsi"/>
          <w:sz w:val="24"/>
          <w:szCs w:val="24"/>
          <w:lang w:val="ru-MD"/>
        </w:rPr>
        <w:t>у</w:t>
      </w:r>
      <w:r w:rsidRPr="00300773">
        <w:rPr>
          <w:rFonts w:asciiTheme="majorHAnsi" w:hAnsiTheme="majorHAnsi" w:cstheme="majorHAnsi"/>
          <w:sz w:val="24"/>
          <w:szCs w:val="24"/>
          <w:lang w:val="ru-MD"/>
        </w:rPr>
        <w:t xml:space="preserve"> </w:t>
      </w:r>
      <w:r w:rsidR="00300773" w:rsidRPr="00300773">
        <w:rPr>
          <w:rFonts w:asciiTheme="majorHAnsi" w:hAnsiTheme="majorHAnsi" w:cstheme="majorHAnsi"/>
          <w:sz w:val="24"/>
          <w:szCs w:val="24"/>
          <w:lang w:val="ru-MD"/>
        </w:rPr>
        <w:t>О</w:t>
      </w:r>
      <w:r w:rsidRPr="00300773">
        <w:rPr>
          <w:rFonts w:asciiTheme="majorHAnsi" w:hAnsiTheme="majorHAnsi" w:cstheme="majorHAnsi"/>
          <w:sz w:val="24"/>
          <w:szCs w:val="24"/>
          <w:lang w:val="ru-MD"/>
        </w:rPr>
        <w:t>тчет</w:t>
      </w:r>
      <w:r w:rsidR="00300773" w:rsidRPr="00300773">
        <w:rPr>
          <w:rFonts w:asciiTheme="majorHAnsi" w:hAnsiTheme="majorHAnsi" w:cstheme="majorHAnsi"/>
          <w:sz w:val="24"/>
          <w:szCs w:val="24"/>
          <w:lang w:val="ru-MD"/>
        </w:rPr>
        <w:t>у аудита</w:t>
      </w:r>
      <w:r w:rsidRPr="00300773">
        <w:rPr>
          <w:rFonts w:asciiTheme="majorHAnsi" w:hAnsiTheme="majorHAnsi" w:cstheme="majorHAnsi"/>
          <w:sz w:val="24"/>
          <w:szCs w:val="24"/>
          <w:lang w:val="ru-MD"/>
        </w:rPr>
        <w:t>)</w:t>
      </w:r>
      <w:r w:rsidR="000B5911" w:rsidRPr="00300773">
        <w:rPr>
          <w:rFonts w:asciiTheme="majorHAnsi" w:hAnsiTheme="majorHAnsi" w:cstheme="majorHAnsi"/>
          <w:sz w:val="24"/>
          <w:lang w:val="ru-MD"/>
        </w:rPr>
        <w:t xml:space="preserve">. </w:t>
      </w:r>
    </w:p>
    <w:p w14:paraId="34B36856" w14:textId="6E44A724" w:rsidR="00683C4B" w:rsidRPr="00B43CA0" w:rsidRDefault="00B43CA0" w:rsidP="00782913">
      <w:pPr>
        <w:shd w:val="clear" w:color="auto" w:fill="FFFFFF" w:themeFill="background1"/>
        <w:spacing w:before="240" w:line="276" w:lineRule="auto"/>
        <w:jc w:val="both"/>
        <w:rPr>
          <w:rFonts w:asciiTheme="majorHAnsi" w:hAnsiTheme="majorHAnsi" w:cstheme="majorHAnsi"/>
          <w:sz w:val="24"/>
          <w:lang w:val="ru-MD"/>
        </w:rPr>
      </w:pPr>
      <w:r w:rsidRPr="00B43CA0">
        <w:rPr>
          <w:rFonts w:asciiTheme="majorHAnsi" w:hAnsiTheme="majorHAnsi" w:cstheme="majorHAnsi"/>
          <w:sz w:val="24"/>
          <w:lang w:val="ru-MD"/>
        </w:rPr>
        <w:t>Таким образом, массовая эмиграция граждан РМ, работа за пределами страны являются основными причинами увеличения количества запросов пенсий за рубежом. Одновременно, учитывая процесс старения населения, тенденции роста будут усиливаться.</w:t>
      </w:r>
    </w:p>
    <w:p w14:paraId="5BF97C49" w14:textId="77777777" w:rsidR="00730CB7" w:rsidRPr="00653E85" w:rsidRDefault="00730CB7" w:rsidP="00730CB7">
      <w:pPr>
        <w:pStyle w:val="aa"/>
        <w:shd w:val="clear" w:color="auto" w:fill="FFFFFF"/>
        <w:spacing w:line="276" w:lineRule="auto"/>
        <w:ind w:left="396"/>
        <w:jc w:val="both"/>
        <w:rPr>
          <w:rFonts w:asciiTheme="majorHAnsi" w:hAnsiTheme="majorHAnsi" w:cstheme="majorHAnsi"/>
          <w:sz w:val="24"/>
          <w:szCs w:val="24"/>
          <w:lang w:val="ro-MD"/>
        </w:rPr>
      </w:pPr>
    </w:p>
    <w:p w14:paraId="6ABE2529" w14:textId="1F7B2126" w:rsidR="00DE27FA" w:rsidRPr="00BA43AE" w:rsidRDefault="00BA43AE" w:rsidP="00E4042E">
      <w:pPr>
        <w:pStyle w:val="aa"/>
        <w:numPr>
          <w:ilvl w:val="0"/>
          <w:numId w:val="2"/>
        </w:numPr>
        <w:shd w:val="clear" w:color="auto" w:fill="FFFFFF" w:themeFill="background1"/>
        <w:spacing w:line="276" w:lineRule="auto"/>
        <w:jc w:val="both"/>
        <w:outlineLvl w:val="0"/>
        <w:rPr>
          <w:rFonts w:asciiTheme="majorHAnsi" w:hAnsiTheme="majorHAnsi" w:cstheme="majorHAnsi"/>
          <w:b/>
          <w:sz w:val="28"/>
          <w:szCs w:val="24"/>
          <w:lang w:val="ro-MD"/>
        </w:rPr>
      </w:pPr>
      <w:r w:rsidRPr="00BA43AE">
        <w:rPr>
          <w:rFonts w:asciiTheme="majorHAnsi" w:hAnsiTheme="majorHAnsi" w:cstheme="majorHAnsi"/>
          <w:b/>
          <w:sz w:val="28"/>
          <w:szCs w:val="24"/>
          <w:lang w:val="ru-MD"/>
        </w:rPr>
        <w:t>НАДЛЕЖАЩЕЕ УПРАВЛЕНИЕ</w:t>
      </w:r>
      <w:r w:rsidRPr="00BA43AE">
        <w:rPr>
          <w:rFonts w:asciiTheme="majorHAnsi" w:hAnsiTheme="majorHAnsi" w:cstheme="majorHAnsi"/>
          <w:b/>
          <w:sz w:val="28"/>
          <w:szCs w:val="24"/>
          <w:lang w:val="ro-MD"/>
        </w:rPr>
        <w:t xml:space="preserve"> </w:t>
      </w:r>
    </w:p>
    <w:p w14:paraId="0BEB29A9" w14:textId="58CA7C74" w:rsidR="00B8004A" w:rsidRPr="00317870" w:rsidRDefault="00BA43AE" w:rsidP="00D41606">
      <w:pPr>
        <w:pStyle w:val="2"/>
        <w:numPr>
          <w:ilvl w:val="1"/>
          <w:numId w:val="2"/>
        </w:numPr>
        <w:spacing w:before="0" w:line="276" w:lineRule="auto"/>
        <w:ind w:left="0" w:firstLine="0"/>
        <w:jc w:val="both"/>
        <w:rPr>
          <w:rFonts w:cstheme="majorHAnsi"/>
          <w:b/>
          <w:color w:val="000000" w:themeColor="text1"/>
          <w:sz w:val="24"/>
          <w:szCs w:val="24"/>
          <w:lang w:val="ru-MD"/>
        </w:rPr>
      </w:pPr>
      <w:r w:rsidRPr="00317870">
        <w:rPr>
          <w:rFonts w:cstheme="majorHAnsi"/>
          <w:b/>
          <w:color w:val="000000" w:themeColor="text1"/>
          <w:sz w:val="24"/>
          <w:szCs w:val="24"/>
          <w:lang w:val="ru-MD"/>
        </w:rPr>
        <w:t>Национальная касса обладает системой внутреннего управленческого контроля с развитыми внутренними действиями и правилами, однако некоторые процессы должны быть усовершенствованы</w:t>
      </w:r>
      <w:r w:rsidR="00502E87" w:rsidRPr="00317870">
        <w:rPr>
          <w:rFonts w:cstheme="majorHAnsi"/>
          <w:b/>
          <w:color w:val="000000" w:themeColor="text1"/>
          <w:sz w:val="24"/>
          <w:szCs w:val="24"/>
          <w:lang w:val="ru-MD"/>
        </w:rPr>
        <w:t>.</w:t>
      </w:r>
    </w:p>
    <w:p w14:paraId="20B35BE3" w14:textId="5D6DA217" w:rsidR="00D41606" w:rsidRPr="00653E85" w:rsidRDefault="00317870" w:rsidP="00D41606">
      <w:pPr>
        <w:spacing w:line="276" w:lineRule="auto"/>
        <w:jc w:val="both"/>
        <w:rPr>
          <w:rFonts w:asciiTheme="majorHAnsi" w:hAnsiTheme="majorHAnsi" w:cstheme="majorHAnsi"/>
          <w:sz w:val="24"/>
          <w:szCs w:val="24"/>
          <w:highlight w:val="yellow"/>
          <w:lang w:val="ro-MD"/>
        </w:rPr>
      </w:pPr>
      <w:r w:rsidRPr="00317870">
        <w:rPr>
          <w:rFonts w:asciiTheme="majorHAnsi" w:eastAsia="Times New Roman" w:hAnsiTheme="majorHAnsi" w:cstheme="majorHAnsi"/>
          <w:sz w:val="24"/>
          <w:szCs w:val="24"/>
          <w:lang w:val="ru-MD"/>
        </w:rPr>
        <w:t>Генеральный директор НКСС несет ответственность за организацию системы внутреннего управленческого контроля</w:t>
      </w:r>
      <w:r w:rsidRPr="00317870">
        <w:rPr>
          <w:rFonts w:asciiTheme="majorHAnsi" w:eastAsia="Times New Roman" w:hAnsiTheme="majorHAnsi" w:cstheme="majorHAnsi"/>
          <w:b/>
          <w:sz w:val="24"/>
          <w:szCs w:val="24"/>
          <w:lang w:val="ru-MD"/>
        </w:rPr>
        <w:t xml:space="preserve"> </w:t>
      </w:r>
      <w:r w:rsidRPr="00317870">
        <w:rPr>
          <w:rFonts w:asciiTheme="majorHAnsi" w:eastAsia="Times New Roman" w:hAnsiTheme="majorHAnsi" w:cstheme="majorHAnsi"/>
          <w:sz w:val="24"/>
          <w:szCs w:val="24"/>
          <w:lang w:val="ru-MD"/>
        </w:rPr>
        <w:t>в соответствии с Национальными стандартами внутреннего контроля в</w:t>
      </w:r>
      <w:r w:rsidRPr="001D66E3">
        <w:rPr>
          <w:rFonts w:asciiTheme="majorHAnsi" w:eastAsia="Times New Roman" w:hAnsiTheme="majorHAnsi" w:cstheme="majorHAnsi"/>
          <w:sz w:val="24"/>
          <w:szCs w:val="24"/>
          <w:lang w:val="ro-RO"/>
        </w:rPr>
        <w:t xml:space="preserve"> публичном секторе и согласно Закону №229 от 23.09.2010</w:t>
      </w:r>
      <w:r w:rsidRPr="001D66E3">
        <w:rPr>
          <w:rStyle w:val="a5"/>
          <w:rFonts w:asciiTheme="majorHAnsi" w:eastAsia="Times New Roman" w:hAnsiTheme="majorHAnsi" w:cstheme="majorHAnsi"/>
          <w:sz w:val="24"/>
          <w:szCs w:val="24"/>
          <w:lang w:val="ru-MD"/>
        </w:rPr>
        <w:footnoteReference w:id="60"/>
      </w:r>
      <w:r w:rsidRPr="00E82CC1">
        <w:rPr>
          <w:rFonts w:asciiTheme="majorHAnsi" w:eastAsia="Times New Roman" w:hAnsiTheme="majorHAnsi" w:cstheme="majorHAnsi"/>
          <w:sz w:val="24"/>
          <w:szCs w:val="24"/>
          <w:lang w:val="ro-RO"/>
        </w:rPr>
        <w:t>.</w:t>
      </w:r>
      <w:r w:rsidRPr="00227D28">
        <w:rPr>
          <w:rFonts w:asciiTheme="majorHAnsi" w:eastAsia="Times New Roman" w:hAnsiTheme="majorHAnsi" w:cstheme="majorHAnsi"/>
          <w:sz w:val="24"/>
          <w:szCs w:val="24"/>
          <w:lang w:val="ro-RO"/>
        </w:rPr>
        <w:t xml:space="preserve"> </w:t>
      </w:r>
      <w:r w:rsidRPr="003B110E">
        <w:rPr>
          <w:rFonts w:asciiTheme="majorHAnsi" w:hAnsiTheme="majorHAnsi" w:cstheme="majorHAnsi"/>
          <w:sz w:val="24"/>
          <w:szCs w:val="24"/>
          <w:lang w:val="ru-MD"/>
        </w:rPr>
        <w:t>Аудиторская оценка системы ВУК определила, что НКСС</w:t>
      </w:r>
      <w:r>
        <w:rPr>
          <w:rFonts w:asciiTheme="majorHAnsi" w:hAnsiTheme="majorHAnsi" w:cstheme="majorHAnsi"/>
          <w:sz w:val="24"/>
          <w:szCs w:val="24"/>
          <w:lang w:val="ru-MD"/>
        </w:rPr>
        <w:t>, в соответствии с требованиями законодательства</w:t>
      </w:r>
      <w:r w:rsidRPr="00E82CC1">
        <w:rPr>
          <w:rStyle w:val="a5"/>
          <w:rFonts w:asciiTheme="majorHAnsi" w:eastAsia="Times New Roman" w:hAnsiTheme="majorHAnsi" w:cstheme="majorHAnsi"/>
          <w:sz w:val="24"/>
          <w:szCs w:val="24"/>
          <w:lang w:val="ro-RO"/>
        </w:rPr>
        <w:footnoteReference w:id="61"/>
      </w:r>
      <w:r>
        <w:rPr>
          <w:rFonts w:asciiTheme="majorHAnsi" w:hAnsiTheme="majorHAnsi" w:cstheme="majorHAnsi"/>
          <w:sz w:val="24"/>
          <w:szCs w:val="24"/>
          <w:lang w:val="ru-MD"/>
        </w:rPr>
        <w:t xml:space="preserve">, </w:t>
      </w:r>
      <w:r w:rsidRPr="00227D28">
        <w:rPr>
          <w:rFonts w:asciiTheme="majorHAnsi" w:hAnsiTheme="majorHAnsi" w:cstheme="majorHAnsi"/>
          <w:sz w:val="24"/>
          <w:szCs w:val="24"/>
          <w:lang w:val="ru-MD"/>
        </w:rPr>
        <w:t>имеет хорошо организованную и развитую структуру</w:t>
      </w:r>
      <w:r>
        <w:rPr>
          <w:rFonts w:asciiTheme="majorHAnsi" w:hAnsiTheme="majorHAnsi" w:cstheme="majorHAnsi"/>
          <w:sz w:val="24"/>
          <w:szCs w:val="24"/>
          <w:lang w:val="ru-MD"/>
        </w:rPr>
        <w:t>,</w:t>
      </w:r>
      <w:r w:rsidRPr="003B110E">
        <w:rPr>
          <w:rFonts w:asciiTheme="majorHAnsi" w:hAnsiTheme="majorHAnsi" w:cstheme="majorHAnsi"/>
          <w:sz w:val="24"/>
          <w:szCs w:val="24"/>
          <w:lang w:val="ru-MD"/>
        </w:rPr>
        <w:t xml:space="preserve"> </w:t>
      </w:r>
      <w:r w:rsidRPr="00317870">
        <w:rPr>
          <w:rFonts w:asciiTheme="majorHAnsi" w:hAnsiTheme="majorHAnsi" w:cstheme="majorHAnsi"/>
          <w:sz w:val="24"/>
          <w:szCs w:val="24"/>
          <w:lang w:val="ru-MD"/>
        </w:rPr>
        <w:t xml:space="preserve">с описанием операционных процессов и </w:t>
      </w:r>
      <w:r>
        <w:rPr>
          <w:rFonts w:asciiTheme="majorHAnsi" w:hAnsiTheme="majorHAnsi" w:cstheme="majorHAnsi"/>
          <w:sz w:val="24"/>
          <w:szCs w:val="24"/>
          <w:lang w:val="ru-MD"/>
        </w:rPr>
        <w:t>выяв</w:t>
      </w:r>
      <w:r w:rsidRPr="00317870">
        <w:rPr>
          <w:rFonts w:asciiTheme="majorHAnsi" w:hAnsiTheme="majorHAnsi" w:cstheme="majorHAnsi"/>
          <w:sz w:val="24"/>
          <w:szCs w:val="24"/>
          <w:lang w:val="ru-MD"/>
        </w:rPr>
        <w:t>лением рисков</w:t>
      </w:r>
      <w:r>
        <w:rPr>
          <w:rFonts w:asciiTheme="majorHAnsi" w:hAnsiTheme="majorHAnsi" w:cstheme="majorHAnsi"/>
          <w:sz w:val="24"/>
          <w:szCs w:val="24"/>
          <w:lang w:val="ru-MD"/>
        </w:rPr>
        <w:t>,</w:t>
      </w:r>
      <w:r w:rsidRPr="00317870">
        <w:rPr>
          <w:rFonts w:asciiTheme="majorHAnsi" w:hAnsiTheme="majorHAnsi" w:cstheme="majorHAnsi"/>
          <w:sz w:val="24"/>
          <w:szCs w:val="24"/>
          <w:lang w:val="ru-MD"/>
        </w:rPr>
        <w:t xml:space="preserve"> </w:t>
      </w:r>
      <w:r>
        <w:rPr>
          <w:rFonts w:asciiTheme="majorHAnsi" w:hAnsiTheme="majorHAnsi" w:cstheme="majorHAnsi"/>
          <w:sz w:val="24"/>
          <w:szCs w:val="24"/>
          <w:lang w:val="ru-MD"/>
        </w:rPr>
        <w:t>а руководство</w:t>
      </w:r>
      <w:r w:rsidRPr="003B110E">
        <w:rPr>
          <w:rFonts w:asciiTheme="majorHAnsi" w:hAnsiTheme="majorHAnsi" w:cstheme="majorHAnsi"/>
          <w:sz w:val="24"/>
          <w:szCs w:val="24"/>
          <w:lang w:val="ru-MD"/>
        </w:rPr>
        <w:t xml:space="preserve"> НКСС и руководители структурных подразделений </w:t>
      </w:r>
      <w:r w:rsidRPr="003B110E">
        <w:rPr>
          <w:rFonts w:asciiTheme="majorHAnsi" w:eastAsia="Times New Roman" w:hAnsiTheme="majorHAnsi" w:cstheme="majorHAnsi"/>
          <w:sz w:val="24"/>
          <w:szCs w:val="24"/>
          <w:lang w:val="ru-MD"/>
        </w:rPr>
        <w:t xml:space="preserve">несут ответственность за </w:t>
      </w:r>
      <w:r>
        <w:rPr>
          <w:rFonts w:asciiTheme="majorHAnsi" w:eastAsia="Times New Roman" w:hAnsiTheme="majorHAnsi" w:cstheme="majorHAnsi"/>
          <w:sz w:val="24"/>
          <w:szCs w:val="24"/>
          <w:lang w:val="ru-MD"/>
        </w:rPr>
        <w:t xml:space="preserve">ее функциональность. </w:t>
      </w:r>
      <w:r w:rsidRPr="003B110E">
        <w:rPr>
          <w:rFonts w:asciiTheme="majorHAnsi" w:hAnsiTheme="majorHAnsi" w:cstheme="majorHAnsi"/>
          <w:sz w:val="24"/>
          <w:szCs w:val="24"/>
          <w:lang w:val="ru-MD"/>
        </w:rPr>
        <w:t>Так, Национальная касса установ</w:t>
      </w:r>
      <w:r>
        <w:rPr>
          <w:rFonts w:asciiTheme="majorHAnsi" w:hAnsiTheme="majorHAnsi" w:cstheme="majorHAnsi"/>
          <w:sz w:val="24"/>
          <w:szCs w:val="24"/>
          <w:lang w:val="ru-MD"/>
        </w:rPr>
        <w:t>ила</w:t>
      </w:r>
      <w:r w:rsidRPr="003B110E">
        <w:rPr>
          <w:rFonts w:asciiTheme="majorHAnsi" w:hAnsiTheme="majorHAnsi" w:cstheme="majorHAnsi"/>
          <w:sz w:val="24"/>
          <w:szCs w:val="24"/>
          <w:lang w:val="ru-MD"/>
        </w:rPr>
        <w:t xml:space="preserve"> </w:t>
      </w:r>
      <w:r>
        <w:rPr>
          <w:rFonts w:asciiTheme="majorHAnsi" w:hAnsiTheme="majorHAnsi" w:cstheme="majorHAnsi"/>
          <w:sz w:val="24"/>
          <w:szCs w:val="24"/>
          <w:lang w:val="ru-MD"/>
        </w:rPr>
        <w:t xml:space="preserve">свои </w:t>
      </w:r>
      <w:r w:rsidRPr="003B110E">
        <w:rPr>
          <w:rFonts w:asciiTheme="majorHAnsi" w:hAnsiTheme="majorHAnsi" w:cstheme="majorHAnsi"/>
          <w:sz w:val="24"/>
          <w:szCs w:val="24"/>
          <w:lang w:val="ru-MD"/>
        </w:rPr>
        <w:t>стратегически</w:t>
      </w:r>
      <w:r>
        <w:rPr>
          <w:rFonts w:asciiTheme="majorHAnsi" w:hAnsiTheme="majorHAnsi" w:cstheme="majorHAnsi"/>
          <w:sz w:val="24"/>
          <w:szCs w:val="24"/>
          <w:lang w:val="ru-MD"/>
        </w:rPr>
        <w:t>е</w:t>
      </w:r>
      <w:r w:rsidRPr="003B110E">
        <w:rPr>
          <w:rFonts w:asciiTheme="majorHAnsi" w:hAnsiTheme="majorHAnsi" w:cstheme="majorHAnsi"/>
          <w:sz w:val="24"/>
          <w:szCs w:val="24"/>
          <w:lang w:val="ru-MD"/>
        </w:rPr>
        <w:t xml:space="preserve"> и операционны</w:t>
      </w:r>
      <w:r>
        <w:rPr>
          <w:rFonts w:asciiTheme="majorHAnsi" w:hAnsiTheme="majorHAnsi" w:cstheme="majorHAnsi"/>
          <w:sz w:val="24"/>
          <w:szCs w:val="24"/>
          <w:lang w:val="ru-MD"/>
        </w:rPr>
        <w:t>е</w:t>
      </w:r>
      <w:r w:rsidRPr="003B110E">
        <w:rPr>
          <w:rFonts w:asciiTheme="majorHAnsi" w:hAnsiTheme="majorHAnsi" w:cstheme="majorHAnsi"/>
          <w:sz w:val="24"/>
          <w:szCs w:val="24"/>
          <w:lang w:val="ru-MD"/>
        </w:rPr>
        <w:t xml:space="preserve"> цел</w:t>
      </w:r>
      <w:r>
        <w:rPr>
          <w:rFonts w:asciiTheme="majorHAnsi" w:hAnsiTheme="majorHAnsi" w:cstheme="majorHAnsi"/>
          <w:sz w:val="24"/>
          <w:szCs w:val="24"/>
          <w:lang w:val="ru-MD"/>
        </w:rPr>
        <w:t>и</w:t>
      </w:r>
      <w:r w:rsidRPr="003B110E">
        <w:rPr>
          <w:rFonts w:asciiTheme="majorHAnsi" w:hAnsiTheme="majorHAnsi" w:cstheme="majorHAnsi"/>
          <w:sz w:val="24"/>
          <w:szCs w:val="24"/>
          <w:lang w:val="ru-MD"/>
        </w:rPr>
        <w:t>, с</w:t>
      </w:r>
      <w:r>
        <w:rPr>
          <w:rFonts w:asciiTheme="majorHAnsi" w:hAnsiTheme="majorHAnsi" w:cstheme="majorHAnsi"/>
          <w:sz w:val="24"/>
          <w:szCs w:val="24"/>
          <w:lang w:val="ru-MD"/>
        </w:rPr>
        <w:t xml:space="preserve"> соответствующими </w:t>
      </w:r>
      <w:r w:rsidRPr="003B110E">
        <w:rPr>
          <w:rFonts w:asciiTheme="majorHAnsi" w:hAnsiTheme="majorHAnsi" w:cstheme="majorHAnsi"/>
          <w:sz w:val="24"/>
          <w:szCs w:val="24"/>
          <w:lang w:val="ru-MD"/>
        </w:rPr>
        <w:t xml:space="preserve">показателями </w:t>
      </w:r>
      <w:r>
        <w:rPr>
          <w:rFonts w:asciiTheme="majorHAnsi" w:hAnsiTheme="majorHAnsi" w:cstheme="majorHAnsi"/>
          <w:sz w:val="24"/>
          <w:szCs w:val="24"/>
          <w:lang w:val="ru-MD"/>
        </w:rPr>
        <w:t>результа</w:t>
      </w:r>
      <w:r w:rsidRPr="003B110E">
        <w:rPr>
          <w:rFonts w:asciiTheme="majorHAnsi" w:hAnsiTheme="majorHAnsi" w:cstheme="majorHAnsi"/>
          <w:sz w:val="24"/>
          <w:szCs w:val="24"/>
          <w:lang w:val="ru-MD"/>
        </w:rPr>
        <w:t>тивности. Кроме того, учреждение обеспечил</w:t>
      </w:r>
      <w:r>
        <w:rPr>
          <w:rFonts w:asciiTheme="majorHAnsi" w:hAnsiTheme="majorHAnsi" w:cstheme="majorHAnsi"/>
          <w:sz w:val="24"/>
          <w:szCs w:val="24"/>
          <w:lang w:val="ru-MD"/>
        </w:rPr>
        <w:t>о</w:t>
      </w:r>
      <w:r w:rsidRPr="003B110E">
        <w:rPr>
          <w:rFonts w:asciiTheme="majorHAnsi" w:hAnsiTheme="majorHAnsi" w:cstheme="majorHAnsi"/>
          <w:sz w:val="24"/>
          <w:szCs w:val="24"/>
          <w:lang w:val="ru-MD"/>
        </w:rPr>
        <w:t xml:space="preserve"> описание и картографирование 7</w:t>
      </w:r>
      <w:r>
        <w:rPr>
          <w:rFonts w:asciiTheme="majorHAnsi" w:hAnsiTheme="majorHAnsi" w:cstheme="majorHAnsi"/>
          <w:sz w:val="24"/>
          <w:szCs w:val="24"/>
          <w:lang w:val="ru-MD"/>
        </w:rPr>
        <w:t>8</w:t>
      </w:r>
      <w:r w:rsidRPr="003B110E">
        <w:rPr>
          <w:rFonts w:asciiTheme="majorHAnsi" w:hAnsiTheme="majorHAnsi" w:cstheme="majorHAnsi"/>
          <w:sz w:val="24"/>
          <w:szCs w:val="24"/>
          <w:lang w:val="ru-MD"/>
        </w:rPr>
        <w:t xml:space="preserve"> основных операционных процессов, с установлением контрольных </w:t>
      </w:r>
      <w:r>
        <w:rPr>
          <w:rFonts w:asciiTheme="majorHAnsi" w:hAnsiTheme="majorHAnsi" w:cstheme="majorHAnsi"/>
          <w:sz w:val="24"/>
          <w:szCs w:val="24"/>
          <w:lang w:val="ru-MD"/>
        </w:rPr>
        <w:t>мероприят</w:t>
      </w:r>
      <w:r w:rsidRPr="003B110E">
        <w:rPr>
          <w:rFonts w:asciiTheme="majorHAnsi" w:hAnsiTheme="majorHAnsi" w:cstheme="majorHAnsi"/>
          <w:sz w:val="24"/>
          <w:szCs w:val="24"/>
          <w:lang w:val="ru-MD"/>
        </w:rPr>
        <w:t>ий, которые были изменены и скорректированы после внесения в законодательную базу изменений, касающихся соответствующих действий</w:t>
      </w:r>
      <w:r w:rsidR="00B8004A" w:rsidRPr="00653E85">
        <w:rPr>
          <w:rFonts w:asciiTheme="majorHAnsi" w:eastAsia="Times New Roman" w:hAnsiTheme="majorHAnsi" w:cstheme="majorHAnsi"/>
          <w:sz w:val="24"/>
          <w:szCs w:val="24"/>
          <w:lang w:val="ro-MD"/>
        </w:rPr>
        <w:t>.</w:t>
      </w:r>
      <w:r w:rsidR="00D41606" w:rsidRPr="00653E85">
        <w:rPr>
          <w:rFonts w:asciiTheme="majorHAnsi" w:hAnsiTheme="majorHAnsi" w:cstheme="majorHAnsi"/>
          <w:sz w:val="24"/>
          <w:szCs w:val="24"/>
          <w:lang w:val="ro-MD"/>
        </w:rPr>
        <w:t xml:space="preserve"> </w:t>
      </w:r>
      <w:r w:rsidRPr="00317870">
        <w:rPr>
          <w:rFonts w:asciiTheme="majorHAnsi" w:hAnsiTheme="majorHAnsi" w:cstheme="majorHAnsi"/>
          <w:sz w:val="24"/>
          <w:szCs w:val="24"/>
          <w:lang w:val="ro-MD"/>
        </w:rPr>
        <w:t>Вместе с тем, некоторые аспекты, описанные в Отчете, указывают на необходимость совершенствования системы внутреннего контроля для определенных процессов</w:t>
      </w:r>
      <w:r w:rsidR="00D41606" w:rsidRPr="00653E85">
        <w:rPr>
          <w:rFonts w:asciiTheme="majorHAnsi" w:hAnsiTheme="majorHAnsi" w:cstheme="majorHAnsi"/>
          <w:sz w:val="24"/>
          <w:szCs w:val="24"/>
          <w:lang w:val="ro-MD"/>
        </w:rPr>
        <w:t>.</w:t>
      </w:r>
    </w:p>
    <w:p w14:paraId="46514CFF" w14:textId="75B59324" w:rsidR="00B8004A" w:rsidRPr="00653E85" w:rsidRDefault="00D97B98" w:rsidP="00142FBD">
      <w:pPr>
        <w:pStyle w:val="aa"/>
        <w:numPr>
          <w:ilvl w:val="1"/>
          <w:numId w:val="2"/>
        </w:numPr>
        <w:spacing w:after="0" w:line="276" w:lineRule="auto"/>
        <w:ind w:left="0" w:firstLine="0"/>
        <w:jc w:val="both"/>
        <w:outlineLvl w:val="1"/>
        <w:rPr>
          <w:rFonts w:asciiTheme="majorHAnsi" w:eastAsia="Calibri" w:hAnsiTheme="majorHAnsi" w:cstheme="majorHAnsi"/>
          <w:b/>
          <w:sz w:val="24"/>
          <w:szCs w:val="24"/>
          <w:lang w:val="ro-MD"/>
        </w:rPr>
      </w:pPr>
      <w:r w:rsidRPr="00D97B98">
        <w:rPr>
          <w:rFonts w:asciiTheme="majorHAnsi" w:eastAsia="Calibri" w:hAnsiTheme="majorHAnsi" w:cstheme="majorHAnsi"/>
          <w:b/>
          <w:sz w:val="24"/>
          <w:szCs w:val="24"/>
          <w:lang w:val="ro-MD"/>
        </w:rPr>
        <w:t>Внутренний аудит НКСС</w:t>
      </w:r>
      <w:r w:rsidRPr="00653E85">
        <w:rPr>
          <w:rFonts w:asciiTheme="majorHAnsi" w:eastAsia="Calibri" w:hAnsiTheme="majorHAnsi" w:cstheme="majorHAnsi"/>
          <w:b/>
          <w:sz w:val="24"/>
          <w:szCs w:val="24"/>
          <w:lang w:val="ro-MD"/>
        </w:rPr>
        <w:t xml:space="preserve"> </w:t>
      </w:r>
      <w:r w:rsidRPr="00D97B98">
        <w:rPr>
          <w:rFonts w:asciiTheme="majorHAnsi" w:eastAsia="Calibri" w:hAnsiTheme="majorHAnsi" w:cstheme="majorHAnsi"/>
          <w:b/>
          <w:sz w:val="24"/>
          <w:szCs w:val="24"/>
          <w:lang w:val="ro-MD"/>
        </w:rPr>
        <w:t xml:space="preserve">проводит миссии независимой оценки, направленные на повышение ценности и улучшение </w:t>
      </w:r>
      <w:r>
        <w:rPr>
          <w:rFonts w:asciiTheme="majorHAnsi" w:eastAsia="Calibri" w:hAnsiTheme="majorHAnsi" w:cstheme="majorHAnsi"/>
          <w:b/>
          <w:sz w:val="24"/>
          <w:szCs w:val="24"/>
          <w:lang w:val="ru-RU"/>
        </w:rPr>
        <w:t>осуществляе</w:t>
      </w:r>
      <w:r w:rsidRPr="00D97B98">
        <w:rPr>
          <w:rFonts w:asciiTheme="majorHAnsi" w:eastAsia="Calibri" w:hAnsiTheme="majorHAnsi" w:cstheme="majorHAnsi"/>
          <w:b/>
          <w:sz w:val="24"/>
          <w:szCs w:val="24"/>
          <w:lang w:val="ro-MD"/>
        </w:rPr>
        <w:t>мых процессов</w:t>
      </w:r>
      <w:r w:rsidR="00B8004A" w:rsidRPr="00653E85">
        <w:rPr>
          <w:rFonts w:asciiTheme="majorHAnsi" w:hAnsiTheme="majorHAnsi" w:cstheme="majorHAnsi"/>
          <w:b/>
          <w:sz w:val="24"/>
          <w:szCs w:val="24"/>
          <w:lang w:val="ro-MD"/>
        </w:rPr>
        <w:t>.</w:t>
      </w:r>
      <w:r w:rsidR="00B8004A" w:rsidRPr="00653E85">
        <w:rPr>
          <w:rFonts w:asciiTheme="majorHAnsi" w:eastAsia="Calibri" w:hAnsiTheme="majorHAnsi" w:cstheme="majorHAnsi"/>
          <w:b/>
          <w:sz w:val="24"/>
          <w:szCs w:val="24"/>
          <w:lang w:val="ro-MD"/>
        </w:rPr>
        <w:t xml:space="preserve"> </w:t>
      </w:r>
    </w:p>
    <w:p w14:paraId="3803BF95" w14:textId="394E5DBC" w:rsidR="00B8004A" w:rsidRPr="00653E85" w:rsidRDefault="000831D4" w:rsidP="00B8004A">
      <w:pPr>
        <w:spacing w:line="276" w:lineRule="auto"/>
        <w:jc w:val="both"/>
        <w:rPr>
          <w:rFonts w:asciiTheme="majorHAnsi" w:eastAsia="Calibri" w:hAnsiTheme="majorHAnsi" w:cstheme="majorHAnsi"/>
          <w:sz w:val="24"/>
          <w:szCs w:val="24"/>
          <w:lang w:val="ro-MD"/>
        </w:rPr>
      </w:pPr>
      <w:r w:rsidRPr="001401F1">
        <w:rPr>
          <w:rFonts w:asciiTheme="majorHAnsi" w:eastAsia="Calibri" w:hAnsiTheme="majorHAnsi" w:cstheme="majorHAnsi"/>
          <w:sz w:val="24"/>
          <w:szCs w:val="24"/>
          <w:lang w:val="ru-MD"/>
        </w:rPr>
        <w:t>В течение 202</w:t>
      </w:r>
      <w:r>
        <w:rPr>
          <w:rFonts w:asciiTheme="majorHAnsi" w:eastAsia="Calibri" w:hAnsiTheme="majorHAnsi" w:cstheme="majorHAnsi"/>
          <w:sz w:val="24"/>
          <w:szCs w:val="24"/>
          <w:lang w:val="ru-MD"/>
        </w:rPr>
        <w:t>2</w:t>
      </w:r>
      <w:r w:rsidRPr="001401F1">
        <w:rPr>
          <w:rFonts w:asciiTheme="majorHAnsi" w:eastAsia="Calibri" w:hAnsiTheme="majorHAnsi" w:cstheme="majorHAnsi"/>
          <w:sz w:val="24"/>
          <w:szCs w:val="24"/>
          <w:lang w:val="ru-MD"/>
        </w:rPr>
        <w:t xml:space="preserve"> года </w:t>
      </w:r>
      <w:r>
        <w:rPr>
          <w:rFonts w:asciiTheme="majorHAnsi" w:eastAsia="Calibri" w:hAnsiTheme="majorHAnsi" w:cstheme="majorHAnsi"/>
          <w:sz w:val="24"/>
          <w:szCs w:val="24"/>
          <w:lang w:val="ru-MD"/>
        </w:rPr>
        <w:t xml:space="preserve">внутренний аудит оказывал поддержку, направленную на улучшение деятельности </w:t>
      </w:r>
      <w:r w:rsidRPr="001401F1">
        <w:rPr>
          <w:rFonts w:asciiTheme="majorHAnsi" w:eastAsia="Calibri" w:hAnsiTheme="majorHAnsi" w:cstheme="majorHAnsi"/>
          <w:sz w:val="24"/>
          <w:szCs w:val="24"/>
          <w:lang w:val="ru-MD"/>
        </w:rPr>
        <w:t xml:space="preserve">и </w:t>
      </w:r>
      <w:r>
        <w:rPr>
          <w:rFonts w:asciiTheme="majorHAnsi" w:eastAsia="Calibri" w:hAnsiTheme="majorHAnsi" w:cstheme="majorHAnsi"/>
          <w:sz w:val="24"/>
          <w:szCs w:val="24"/>
          <w:lang w:val="ru-MD"/>
        </w:rPr>
        <w:t xml:space="preserve">достижение </w:t>
      </w:r>
      <w:r w:rsidR="00ED467E">
        <w:rPr>
          <w:rFonts w:asciiTheme="majorHAnsi" w:eastAsia="Calibri" w:hAnsiTheme="majorHAnsi" w:cstheme="majorHAnsi"/>
          <w:sz w:val="24"/>
          <w:szCs w:val="24"/>
          <w:lang w:val="ru-MD"/>
        </w:rPr>
        <w:t>намеченных целей</w:t>
      </w:r>
      <w:r w:rsidRPr="001401F1">
        <w:rPr>
          <w:rFonts w:asciiTheme="majorHAnsi" w:eastAsia="Calibri" w:hAnsiTheme="majorHAnsi" w:cstheme="majorHAnsi"/>
          <w:sz w:val="24"/>
          <w:szCs w:val="24"/>
          <w:lang w:val="ru-MD"/>
        </w:rPr>
        <w:t xml:space="preserve">. </w:t>
      </w:r>
      <w:r w:rsidR="00ED467E">
        <w:rPr>
          <w:rFonts w:asciiTheme="majorHAnsi" w:eastAsia="Calibri" w:hAnsiTheme="majorHAnsi" w:cstheme="majorHAnsi"/>
          <w:sz w:val="24"/>
          <w:szCs w:val="24"/>
          <w:lang w:val="ru-MD"/>
        </w:rPr>
        <w:t>А</w:t>
      </w:r>
      <w:r w:rsidRPr="001401F1">
        <w:rPr>
          <w:rFonts w:asciiTheme="majorHAnsi" w:eastAsia="Calibri" w:hAnsiTheme="majorHAnsi" w:cstheme="majorHAnsi"/>
          <w:sz w:val="24"/>
          <w:szCs w:val="24"/>
          <w:lang w:val="ru-MD"/>
        </w:rPr>
        <w:t>удиторские мероприятия были сосредоточены на оценке ряда операционных процессов, осуществляемых в рамках Национальной кассы и его структурных подразделений</w:t>
      </w:r>
      <w:r w:rsidR="00ED467E">
        <w:rPr>
          <w:rFonts w:asciiTheme="majorHAnsi" w:eastAsia="Calibri" w:hAnsiTheme="majorHAnsi" w:cstheme="majorHAnsi"/>
          <w:sz w:val="24"/>
          <w:szCs w:val="24"/>
          <w:lang w:val="ru-MD"/>
        </w:rPr>
        <w:t>. Так, деятельность</w:t>
      </w:r>
      <w:r w:rsidR="00ED467E" w:rsidRPr="00ED467E">
        <w:rPr>
          <w:rFonts w:asciiTheme="majorHAnsi" w:eastAsia="Calibri" w:hAnsiTheme="majorHAnsi" w:cstheme="majorHAnsi"/>
          <w:sz w:val="24"/>
          <w:szCs w:val="24"/>
          <w:lang w:val="ru-MD"/>
        </w:rPr>
        <w:t xml:space="preserve"> внутренне</w:t>
      </w:r>
      <w:r w:rsidR="00ED467E">
        <w:rPr>
          <w:rFonts w:asciiTheme="majorHAnsi" w:eastAsia="Calibri" w:hAnsiTheme="majorHAnsi" w:cstheme="majorHAnsi"/>
          <w:sz w:val="24"/>
          <w:szCs w:val="24"/>
          <w:lang w:val="ru-MD"/>
        </w:rPr>
        <w:t>го</w:t>
      </w:r>
      <w:r w:rsidR="00ED467E" w:rsidRPr="00ED467E">
        <w:rPr>
          <w:rFonts w:asciiTheme="majorHAnsi" w:eastAsia="Calibri" w:hAnsiTheme="majorHAnsi" w:cstheme="majorHAnsi"/>
          <w:sz w:val="24"/>
          <w:szCs w:val="24"/>
          <w:lang w:val="ru-MD"/>
        </w:rPr>
        <w:t xml:space="preserve"> аудит</w:t>
      </w:r>
      <w:r w:rsidR="00ED467E">
        <w:rPr>
          <w:rFonts w:asciiTheme="majorHAnsi" w:eastAsia="Calibri" w:hAnsiTheme="majorHAnsi" w:cstheme="majorHAnsi"/>
          <w:sz w:val="24"/>
          <w:szCs w:val="24"/>
          <w:lang w:val="ru-MD"/>
        </w:rPr>
        <w:t>а</w:t>
      </w:r>
      <w:r w:rsidR="00ED467E" w:rsidRPr="00ED467E">
        <w:rPr>
          <w:rFonts w:asciiTheme="majorHAnsi" w:eastAsia="Calibri" w:hAnsiTheme="majorHAnsi" w:cstheme="majorHAnsi"/>
          <w:sz w:val="24"/>
          <w:szCs w:val="24"/>
          <w:lang w:val="ru-MD"/>
        </w:rPr>
        <w:t xml:space="preserve"> способствовала достижению целей НКСС, </w:t>
      </w:r>
      <w:r w:rsidR="00ED467E">
        <w:rPr>
          <w:rFonts w:asciiTheme="majorHAnsi" w:eastAsia="Calibri" w:hAnsiTheme="majorHAnsi" w:cstheme="majorHAnsi"/>
          <w:sz w:val="24"/>
          <w:szCs w:val="24"/>
          <w:lang w:val="ru-MD"/>
        </w:rPr>
        <w:t>проводив</w:t>
      </w:r>
      <w:r w:rsidR="00ED467E" w:rsidRPr="00ED467E">
        <w:rPr>
          <w:rFonts w:asciiTheme="majorHAnsi" w:eastAsia="Calibri" w:hAnsiTheme="majorHAnsi" w:cstheme="majorHAnsi"/>
          <w:sz w:val="24"/>
          <w:szCs w:val="24"/>
          <w:lang w:val="ru-MD"/>
        </w:rPr>
        <w:t xml:space="preserve"> 11 миссий внутренне</w:t>
      </w:r>
      <w:r w:rsidR="00ED467E">
        <w:rPr>
          <w:rFonts w:asciiTheme="majorHAnsi" w:eastAsia="Calibri" w:hAnsiTheme="majorHAnsi" w:cstheme="majorHAnsi"/>
          <w:sz w:val="24"/>
          <w:szCs w:val="24"/>
          <w:lang w:val="ru-MD"/>
        </w:rPr>
        <w:t>го</w:t>
      </w:r>
      <w:r w:rsidR="00ED467E" w:rsidRPr="00ED467E">
        <w:rPr>
          <w:rFonts w:asciiTheme="majorHAnsi" w:eastAsia="Calibri" w:hAnsiTheme="majorHAnsi" w:cstheme="majorHAnsi"/>
          <w:sz w:val="24"/>
          <w:szCs w:val="24"/>
          <w:lang w:val="ru-MD"/>
        </w:rPr>
        <w:t xml:space="preserve"> аудит</w:t>
      </w:r>
      <w:r w:rsidR="00ED467E">
        <w:rPr>
          <w:rFonts w:asciiTheme="majorHAnsi" w:eastAsia="Calibri" w:hAnsiTheme="majorHAnsi" w:cstheme="majorHAnsi"/>
          <w:sz w:val="24"/>
          <w:szCs w:val="24"/>
          <w:lang w:val="ru-MD"/>
        </w:rPr>
        <w:t>а</w:t>
      </w:r>
      <w:r w:rsidR="00ED467E" w:rsidRPr="00ED467E">
        <w:rPr>
          <w:rFonts w:asciiTheme="majorHAnsi" w:eastAsia="Calibri" w:hAnsiTheme="majorHAnsi" w:cstheme="majorHAnsi"/>
          <w:sz w:val="24"/>
          <w:szCs w:val="24"/>
          <w:lang w:val="ru-MD"/>
        </w:rPr>
        <w:t xml:space="preserve">, с представлением независимого и объективного мнения </w:t>
      </w:r>
      <w:r w:rsidR="00ED467E">
        <w:rPr>
          <w:rFonts w:asciiTheme="majorHAnsi" w:eastAsia="Calibri" w:hAnsiTheme="majorHAnsi" w:cstheme="majorHAnsi"/>
          <w:sz w:val="24"/>
          <w:szCs w:val="24"/>
          <w:lang w:val="ru-MD"/>
        </w:rPr>
        <w:t>Г</w:t>
      </w:r>
      <w:r w:rsidR="00ED467E" w:rsidRPr="00ED467E">
        <w:rPr>
          <w:rFonts w:asciiTheme="majorHAnsi" w:eastAsia="Calibri" w:hAnsiTheme="majorHAnsi" w:cstheme="majorHAnsi"/>
          <w:sz w:val="24"/>
          <w:szCs w:val="24"/>
          <w:lang w:val="ru-MD"/>
        </w:rPr>
        <w:t xml:space="preserve">енеральному директору НКСС </w:t>
      </w:r>
      <w:r w:rsidR="00ED467E">
        <w:rPr>
          <w:rFonts w:asciiTheme="majorHAnsi" w:eastAsia="Calibri" w:hAnsiTheme="majorHAnsi" w:cstheme="majorHAnsi"/>
          <w:sz w:val="24"/>
          <w:szCs w:val="24"/>
          <w:lang w:val="ru-MD"/>
        </w:rPr>
        <w:t>относительно</w:t>
      </w:r>
      <w:r w:rsidR="00ED467E" w:rsidRPr="00ED467E">
        <w:rPr>
          <w:rFonts w:asciiTheme="majorHAnsi" w:eastAsia="Calibri" w:hAnsiTheme="majorHAnsi" w:cstheme="majorHAnsi"/>
          <w:sz w:val="24"/>
          <w:szCs w:val="24"/>
          <w:lang w:val="ru-MD"/>
        </w:rPr>
        <w:t xml:space="preserve"> эффективности процессов </w:t>
      </w:r>
      <w:r w:rsidR="00ED467E">
        <w:rPr>
          <w:rFonts w:asciiTheme="majorHAnsi" w:eastAsia="Calibri" w:hAnsiTheme="majorHAnsi" w:cstheme="majorHAnsi"/>
          <w:sz w:val="24"/>
          <w:szCs w:val="24"/>
          <w:lang w:val="ru-MD"/>
        </w:rPr>
        <w:t xml:space="preserve">по </w:t>
      </w:r>
      <w:r w:rsidR="00ED467E" w:rsidRPr="00ED467E">
        <w:rPr>
          <w:rFonts w:asciiTheme="majorHAnsi" w:eastAsia="Calibri" w:hAnsiTheme="majorHAnsi" w:cstheme="majorHAnsi"/>
          <w:sz w:val="24"/>
          <w:szCs w:val="24"/>
          <w:lang w:val="ru-MD"/>
        </w:rPr>
        <w:t>управлени</w:t>
      </w:r>
      <w:r w:rsidR="00ED467E">
        <w:rPr>
          <w:rFonts w:asciiTheme="majorHAnsi" w:eastAsia="Calibri" w:hAnsiTheme="majorHAnsi" w:cstheme="majorHAnsi"/>
          <w:sz w:val="24"/>
          <w:szCs w:val="24"/>
          <w:lang w:val="ru-MD"/>
        </w:rPr>
        <w:t>ю</w:t>
      </w:r>
      <w:r w:rsidR="00ED467E" w:rsidRPr="00ED467E">
        <w:rPr>
          <w:rFonts w:asciiTheme="majorHAnsi" w:eastAsia="Calibri" w:hAnsiTheme="majorHAnsi" w:cstheme="majorHAnsi"/>
          <w:sz w:val="24"/>
          <w:szCs w:val="24"/>
          <w:lang w:val="ru-MD"/>
        </w:rPr>
        <w:t xml:space="preserve"> рисками, контроля и </w:t>
      </w:r>
      <w:r w:rsidR="00ED467E">
        <w:rPr>
          <w:rFonts w:asciiTheme="majorHAnsi" w:eastAsia="Calibri" w:hAnsiTheme="majorHAnsi" w:cstheme="majorHAnsi"/>
          <w:sz w:val="24"/>
          <w:szCs w:val="24"/>
          <w:lang w:val="ru-MD"/>
        </w:rPr>
        <w:t>менеджмента,</w:t>
      </w:r>
      <w:r w:rsidR="00ED467E" w:rsidRPr="00ED467E">
        <w:rPr>
          <w:rFonts w:asciiTheme="majorHAnsi" w:eastAsia="Calibri" w:hAnsiTheme="majorHAnsi" w:cstheme="majorHAnsi"/>
          <w:sz w:val="24"/>
          <w:szCs w:val="24"/>
          <w:lang w:val="ru-MD"/>
        </w:rPr>
        <w:t xml:space="preserve"> с представлением рекомендаций по улучшению</w:t>
      </w:r>
      <w:r w:rsidR="00ED467E">
        <w:rPr>
          <w:rFonts w:asciiTheme="majorHAnsi" w:eastAsia="Calibri" w:hAnsiTheme="majorHAnsi" w:cstheme="majorHAnsi"/>
          <w:sz w:val="24"/>
          <w:szCs w:val="24"/>
          <w:lang w:val="ru-MD"/>
        </w:rPr>
        <w:t xml:space="preserve"> ситуации</w:t>
      </w:r>
      <w:r w:rsidRPr="001401F1">
        <w:rPr>
          <w:rFonts w:asciiTheme="majorHAnsi" w:eastAsia="Calibri" w:hAnsiTheme="majorHAnsi" w:cstheme="majorHAnsi"/>
          <w:sz w:val="24"/>
          <w:szCs w:val="24"/>
          <w:lang w:val="ru-MD"/>
        </w:rPr>
        <w:t xml:space="preserve">. </w:t>
      </w:r>
      <w:r w:rsidR="00ED467E">
        <w:rPr>
          <w:rFonts w:asciiTheme="majorHAnsi" w:eastAsia="Calibri" w:hAnsiTheme="majorHAnsi" w:cstheme="majorHAnsi"/>
          <w:sz w:val="24"/>
          <w:szCs w:val="24"/>
          <w:lang w:val="ru-MD"/>
        </w:rPr>
        <w:t>Некоторые</w:t>
      </w:r>
      <w:r w:rsidRPr="001401F1">
        <w:rPr>
          <w:rFonts w:asciiTheme="majorHAnsi" w:eastAsia="Calibri" w:hAnsiTheme="majorHAnsi" w:cstheme="majorHAnsi"/>
          <w:sz w:val="24"/>
          <w:szCs w:val="24"/>
          <w:lang w:val="ru-MD"/>
        </w:rPr>
        <w:t xml:space="preserve"> констатаци</w:t>
      </w:r>
      <w:r w:rsidR="00ED467E">
        <w:rPr>
          <w:rFonts w:asciiTheme="majorHAnsi" w:eastAsia="Calibri" w:hAnsiTheme="majorHAnsi" w:cstheme="majorHAnsi"/>
          <w:sz w:val="24"/>
          <w:szCs w:val="24"/>
          <w:lang w:val="ru-MD"/>
        </w:rPr>
        <w:t>и</w:t>
      </w:r>
      <w:r w:rsidRPr="001401F1">
        <w:rPr>
          <w:rFonts w:asciiTheme="majorHAnsi" w:eastAsia="Calibri" w:hAnsiTheme="majorHAnsi" w:cstheme="majorHAnsi"/>
          <w:sz w:val="24"/>
          <w:szCs w:val="24"/>
          <w:lang w:val="ru-MD"/>
        </w:rPr>
        <w:t>, отмеченны</w:t>
      </w:r>
      <w:r w:rsidR="00ED467E">
        <w:rPr>
          <w:rFonts w:asciiTheme="majorHAnsi" w:eastAsia="Calibri" w:hAnsiTheme="majorHAnsi" w:cstheme="majorHAnsi"/>
          <w:sz w:val="24"/>
          <w:szCs w:val="24"/>
          <w:lang w:val="ru-MD"/>
        </w:rPr>
        <w:t>е</w:t>
      </w:r>
      <w:r w:rsidRPr="001401F1">
        <w:rPr>
          <w:rFonts w:asciiTheme="majorHAnsi" w:eastAsia="Calibri" w:hAnsiTheme="majorHAnsi" w:cstheme="majorHAnsi"/>
          <w:sz w:val="24"/>
          <w:szCs w:val="24"/>
          <w:lang w:val="ru-MD"/>
        </w:rPr>
        <w:t xml:space="preserve"> в настоящем Отчете аудита, </w:t>
      </w:r>
      <w:r w:rsidR="00ED467E">
        <w:rPr>
          <w:rFonts w:asciiTheme="majorHAnsi" w:eastAsia="Calibri" w:hAnsiTheme="majorHAnsi" w:cstheme="majorHAnsi"/>
          <w:sz w:val="24"/>
          <w:szCs w:val="24"/>
          <w:lang w:val="ru-MD"/>
        </w:rPr>
        <w:t xml:space="preserve">указывают на </w:t>
      </w:r>
      <w:r w:rsidRPr="001401F1">
        <w:rPr>
          <w:rFonts w:asciiTheme="majorHAnsi" w:eastAsia="Calibri" w:hAnsiTheme="majorHAnsi" w:cstheme="majorHAnsi"/>
          <w:sz w:val="24"/>
          <w:szCs w:val="24"/>
          <w:lang w:val="ru-MD"/>
        </w:rPr>
        <w:t>необходимо</w:t>
      </w:r>
      <w:r w:rsidR="00ED467E">
        <w:rPr>
          <w:rFonts w:asciiTheme="majorHAnsi" w:eastAsia="Calibri" w:hAnsiTheme="majorHAnsi" w:cstheme="majorHAnsi"/>
          <w:sz w:val="24"/>
          <w:szCs w:val="24"/>
          <w:lang w:val="ru-MD"/>
        </w:rPr>
        <w:t>сть</w:t>
      </w:r>
      <w:r w:rsidRPr="001401F1">
        <w:rPr>
          <w:rFonts w:asciiTheme="majorHAnsi" w:eastAsia="Calibri" w:hAnsiTheme="majorHAnsi" w:cstheme="majorHAnsi"/>
          <w:sz w:val="24"/>
          <w:szCs w:val="24"/>
          <w:lang w:val="ru-MD"/>
        </w:rPr>
        <w:t xml:space="preserve"> пересмотр</w:t>
      </w:r>
      <w:r w:rsidR="00ED467E">
        <w:rPr>
          <w:rFonts w:asciiTheme="majorHAnsi" w:eastAsia="Calibri" w:hAnsiTheme="majorHAnsi" w:cstheme="majorHAnsi"/>
          <w:sz w:val="24"/>
          <w:szCs w:val="24"/>
          <w:lang w:val="ru-MD"/>
        </w:rPr>
        <w:t>а</w:t>
      </w:r>
      <w:r w:rsidRPr="001401F1">
        <w:rPr>
          <w:rFonts w:asciiTheme="majorHAnsi" w:eastAsia="Calibri" w:hAnsiTheme="majorHAnsi" w:cstheme="majorHAnsi"/>
          <w:sz w:val="24"/>
          <w:szCs w:val="24"/>
          <w:lang w:val="ru-MD"/>
        </w:rPr>
        <w:t xml:space="preserve"> контрольны</w:t>
      </w:r>
      <w:r w:rsidR="00ED467E">
        <w:rPr>
          <w:rFonts w:asciiTheme="majorHAnsi" w:eastAsia="Calibri" w:hAnsiTheme="majorHAnsi" w:cstheme="majorHAnsi"/>
          <w:sz w:val="24"/>
          <w:szCs w:val="24"/>
          <w:lang w:val="ru-MD"/>
        </w:rPr>
        <w:t>х</w:t>
      </w:r>
      <w:r w:rsidRPr="001401F1">
        <w:rPr>
          <w:rFonts w:asciiTheme="majorHAnsi" w:eastAsia="Calibri" w:hAnsiTheme="majorHAnsi" w:cstheme="majorHAnsi"/>
          <w:sz w:val="24"/>
          <w:szCs w:val="24"/>
          <w:lang w:val="ru-MD"/>
        </w:rPr>
        <w:t xml:space="preserve"> мероприяти</w:t>
      </w:r>
      <w:r w:rsidR="00ED467E">
        <w:rPr>
          <w:rFonts w:asciiTheme="majorHAnsi" w:eastAsia="Calibri" w:hAnsiTheme="majorHAnsi" w:cstheme="majorHAnsi"/>
          <w:sz w:val="24"/>
          <w:szCs w:val="24"/>
          <w:lang w:val="ru-MD"/>
        </w:rPr>
        <w:t>й</w:t>
      </w:r>
      <w:r w:rsidRPr="001401F1">
        <w:rPr>
          <w:rFonts w:asciiTheme="majorHAnsi" w:eastAsia="Calibri" w:hAnsiTheme="majorHAnsi" w:cstheme="majorHAnsi"/>
          <w:sz w:val="24"/>
          <w:szCs w:val="24"/>
          <w:lang w:val="ru-MD"/>
        </w:rPr>
        <w:t xml:space="preserve"> в рамках операционных процессов, подвергнутых аудиту</w:t>
      </w:r>
      <w:r w:rsidR="00B8004A" w:rsidRPr="00B7675F">
        <w:rPr>
          <w:rFonts w:asciiTheme="majorHAnsi" w:hAnsiTheme="majorHAnsi" w:cstheme="majorHAnsi"/>
          <w:sz w:val="24"/>
          <w:szCs w:val="24"/>
          <w:lang w:val="ro-MD"/>
        </w:rPr>
        <w:t>.</w:t>
      </w:r>
    </w:p>
    <w:p w14:paraId="3929557F" w14:textId="56B6F171" w:rsidR="00795267" w:rsidRPr="00FB7FE4" w:rsidRDefault="00B15F14" w:rsidP="00B15F14">
      <w:pPr>
        <w:pStyle w:val="aa"/>
        <w:numPr>
          <w:ilvl w:val="1"/>
          <w:numId w:val="2"/>
        </w:numPr>
        <w:tabs>
          <w:tab w:val="left" w:pos="709"/>
          <w:tab w:val="left" w:pos="993"/>
          <w:tab w:val="left" w:pos="1276"/>
        </w:tabs>
        <w:spacing w:after="0" w:line="276" w:lineRule="auto"/>
        <w:ind w:left="0" w:firstLine="0"/>
        <w:jc w:val="both"/>
        <w:outlineLvl w:val="1"/>
        <w:rPr>
          <w:rFonts w:asciiTheme="majorHAnsi" w:hAnsiTheme="majorHAnsi" w:cstheme="majorHAnsi"/>
          <w:b/>
          <w:sz w:val="24"/>
          <w:szCs w:val="24"/>
          <w:lang w:val="ru-MD"/>
        </w:rPr>
      </w:pPr>
      <w:r w:rsidRPr="00FB7FE4">
        <w:rPr>
          <w:rFonts w:asciiTheme="majorHAnsi" w:hAnsiTheme="majorHAnsi" w:cs="Calibri Light"/>
          <w:b/>
          <w:iCs/>
          <w:sz w:val="24"/>
          <w:szCs w:val="24"/>
          <w:lang w:val="ru-MD"/>
        </w:rPr>
        <w:t>В</w:t>
      </w:r>
      <w:r w:rsidR="00ED467E" w:rsidRPr="00FB7FE4">
        <w:rPr>
          <w:rFonts w:asciiTheme="majorHAnsi" w:hAnsiTheme="majorHAnsi" w:cs="Calibri Light"/>
          <w:b/>
          <w:iCs/>
          <w:sz w:val="24"/>
          <w:szCs w:val="24"/>
          <w:lang w:val="ru-MD"/>
        </w:rPr>
        <w:t>недрение Национальной кассой социального страхования направленных рекомендаций по результатам предыдущей миссии внешнего публичного аудита способствова</w:t>
      </w:r>
      <w:r w:rsidR="00FB7FE4" w:rsidRPr="00FB7FE4">
        <w:rPr>
          <w:rFonts w:asciiTheme="majorHAnsi" w:hAnsiTheme="majorHAnsi" w:cs="Calibri Light"/>
          <w:b/>
          <w:iCs/>
          <w:sz w:val="24"/>
          <w:szCs w:val="24"/>
          <w:lang w:val="ru-MD"/>
        </w:rPr>
        <w:t>ло</w:t>
      </w:r>
      <w:r w:rsidR="00ED467E" w:rsidRPr="00FB7FE4">
        <w:rPr>
          <w:rFonts w:asciiTheme="majorHAnsi" w:hAnsiTheme="majorHAnsi" w:cs="Calibri Light"/>
          <w:b/>
          <w:iCs/>
          <w:sz w:val="24"/>
          <w:szCs w:val="24"/>
          <w:lang w:val="ru-MD"/>
        </w:rPr>
        <w:t xml:space="preserve"> улучшению процессов и </w:t>
      </w:r>
      <w:r w:rsidR="00FB7FE4" w:rsidRPr="00FB7FE4">
        <w:rPr>
          <w:rFonts w:asciiTheme="majorHAnsi" w:hAnsiTheme="majorHAnsi" w:cs="Calibri Light"/>
          <w:b/>
          <w:iCs/>
          <w:sz w:val="24"/>
          <w:szCs w:val="24"/>
          <w:lang w:val="ru-MD"/>
        </w:rPr>
        <w:t>предоставл</w:t>
      </w:r>
      <w:r w:rsidR="00ED467E" w:rsidRPr="00FB7FE4">
        <w:rPr>
          <w:rFonts w:asciiTheme="majorHAnsi" w:hAnsiTheme="majorHAnsi" w:cs="Calibri Light"/>
          <w:b/>
          <w:iCs/>
          <w:sz w:val="24"/>
          <w:szCs w:val="24"/>
          <w:lang w:val="ru-MD"/>
        </w:rPr>
        <w:t>ению достоверной информации</w:t>
      </w:r>
      <w:r w:rsidR="00795267" w:rsidRPr="00FB7FE4">
        <w:rPr>
          <w:rFonts w:asciiTheme="majorHAnsi" w:hAnsiTheme="majorHAnsi" w:cs="Calibri Light"/>
          <w:b/>
          <w:iCs/>
          <w:sz w:val="24"/>
          <w:szCs w:val="24"/>
          <w:lang w:val="ru-MD"/>
        </w:rPr>
        <w:t xml:space="preserve">. </w:t>
      </w:r>
      <w:r w:rsidR="00ED467E" w:rsidRPr="00FB7FE4">
        <w:rPr>
          <w:rFonts w:asciiTheme="majorHAnsi" w:hAnsiTheme="majorHAnsi" w:cs="Calibri Light"/>
          <w:b/>
          <w:iCs/>
          <w:sz w:val="24"/>
          <w:szCs w:val="24"/>
          <w:lang w:val="ru-MD"/>
        </w:rPr>
        <w:t>В то же время</w:t>
      </w:r>
      <w:r w:rsidR="00FB7FE4" w:rsidRPr="00FB7FE4">
        <w:rPr>
          <w:rFonts w:asciiTheme="majorHAnsi" w:hAnsiTheme="majorHAnsi" w:cs="Calibri Light"/>
          <w:b/>
          <w:iCs/>
          <w:sz w:val="24"/>
          <w:szCs w:val="24"/>
          <w:lang w:val="ru-MD"/>
        </w:rPr>
        <w:t>,</w:t>
      </w:r>
      <w:r w:rsidR="00ED467E" w:rsidRPr="00FB7FE4">
        <w:rPr>
          <w:rFonts w:asciiTheme="majorHAnsi" w:hAnsiTheme="majorHAnsi" w:cs="Calibri Light"/>
          <w:b/>
          <w:iCs/>
          <w:sz w:val="24"/>
          <w:szCs w:val="24"/>
          <w:lang w:val="ru-MD"/>
        </w:rPr>
        <w:t xml:space="preserve"> невыполнение рекомендаций другими </w:t>
      </w:r>
      <w:r w:rsidR="00FB7FE4" w:rsidRPr="00FB7FE4">
        <w:rPr>
          <w:rFonts w:asciiTheme="majorHAnsi" w:hAnsiTheme="majorHAnsi" w:cs="Calibri Light"/>
          <w:b/>
          <w:iCs/>
          <w:sz w:val="24"/>
          <w:szCs w:val="24"/>
          <w:lang w:val="ru-MD"/>
        </w:rPr>
        <w:t>учрежден</w:t>
      </w:r>
      <w:r w:rsidR="00ED467E" w:rsidRPr="00FB7FE4">
        <w:rPr>
          <w:rFonts w:asciiTheme="majorHAnsi" w:hAnsiTheme="majorHAnsi" w:cs="Calibri Light"/>
          <w:b/>
          <w:iCs/>
          <w:sz w:val="24"/>
          <w:szCs w:val="24"/>
          <w:lang w:val="ru-MD"/>
        </w:rPr>
        <w:t>иями (</w:t>
      </w:r>
      <w:r w:rsidR="00FB7FE4" w:rsidRPr="00FB7FE4">
        <w:rPr>
          <w:rFonts w:asciiTheme="majorHAnsi" w:hAnsiTheme="majorHAnsi" w:cs="Calibri Light"/>
          <w:b/>
          <w:iCs/>
          <w:sz w:val="24"/>
          <w:szCs w:val="24"/>
          <w:lang w:val="ru-MD"/>
        </w:rPr>
        <w:t>МТСЗ</w:t>
      </w:r>
      <w:r w:rsidR="00ED467E" w:rsidRPr="00FB7FE4">
        <w:rPr>
          <w:rFonts w:asciiTheme="majorHAnsi" w:hAnsiTheme="majorHAnsi" w:cs="Calibri Light"/>
          <w:b/>
          <w:iCs/>
          <w:sz w:val="24"/>
          <w:szCs w:val="24"/>
          <w:lang w:val="ru-MD"/>
        </w:rPr>
        <w:t xml:space="preserve">, </w:t>
      </w:r>
      <w:r w:rsidR="00FB7FE4" w:rsidRPr="00FB7FE4">
        <w:rPr>
          <w:rFonts w:asciiTheme="majorHAnsi" w:hAnsiTheme="majorHAnsi" w:cs="Calibri Light"/>
          <w:b/>
          <w:iCs/>
          <w:sz w:val="24"/>
          <w:szCs w:val="24"/>
          <w:lang w:val="ru-MD"/>
        </w:rPr>
        <w:t>АПУ</w:t>
      </w:r>
      <w:r w:rsidR="00ED467E" w:rsidRPr="00FB7FE4">
        <w:rPr>
          <w:rFonts w:asciiTheme="majorHAnsi" w:hAnsiTheme="majorHAnsi" w:cs="Calibri Light"/>
          <w:b/>
          <w:iCs/>
          <w:sz w:val="24"/>
          <w:szCs w:val="24"/>
          <w:lang w:val="ru-MD"/>
        </w:rPr>
        <w:t xml:space="preserve">, </w:t>
      </w:r>
      <w:r w:rsidR="00FB7FE4" w:rsidRPr="00FB7FE4">
        <w:rPr>
          <w:rFonts w:asciiTheme="majorHAnsi" w:hAnsiTheme="majorHAnsi" w:cs="Calibri Light"/>
          <w:b/>
          <w:iCs/>
          <w:sz w:val="24"/>
          <w:szCs w:val="24"/>
          <w:lang w:val="ru-MD"/>
        </w:rPr>
        <w:t>МЗ</w:t>
      </w:r>
      <w:r w:rsidR="00ED467E" w:rsidRPr="00FB7FE4">
        <w:rPr>
          <w:rFonts w:asciiTheme="majorHAnsi" w:hAnsiTheme="majorHAnsi" w:cs="Calibri Light"/>
          <w:b/>
          <w:iCs/>
          <w:sz w:val="24"/>
          <w:szCs w:val="24"/>
          <w:lang w:val="ru-MD"/>
        </w:rPr>
        <w:t xml:space="preserve">) </w:t>
      </w:r>
      <w:r w:rsidR="00FB7FE4" w:rsidRPr="00FB7FE4">
        <w:rPr>
          <w:rFonts w:asciiTheme="majorHAnsi" w:hAnsiTheme="majorHAnsi" w:cs="Calibri Light"/>
          <w:b/>
          <w:iCs/>
          <w:sz w:val="24"/>
          <w:szCs w:val="24"/>
          <w:lang w:val="ru-MD"/>
        </w:rPr>
        <w:t>определяет</w:t>
      </w:r>
      <w:r w:rsidR="00ED467E" w:rsidRPr="00FB7FE4">
        <w:rPr>
          <w:rFonts w:asciiTheme="majorHAnsi" w:hAnsiTheme="majorHAnsi" w:cs="Calibri Light"/>
          <w:b/>
          <w:iCs/>
          <w:sz w:val="24"/>
          <w:szCs w:val="24"/>
          <w:lang w:val="ru-MD"/>
        </w:rPr>
        <w:t xml:space="preserve"> сохран</w:t>
      </w:r>
      <w:r w:rsidR="00FB7FE4" w:rsidRPr="00FB7FE4">
        <w:rPr>
          <w:rFonts w:asciiTheme="majorHAnsi" w:hAnsiTheme="majorHAnsi" w:cs="Calibri Light"/>
          <w:b/>
          <w:iCs/>
          <w:sz w:val="24"/>
          <w:szCs w:val="24"/>
          <w:lang w:val="ru-MD"/>
        </w:rPr>
        <w:t>ение</w:t>
      </w:r>
      <w:r w:rsidR="00ED467E" w:rsidRPr="00FB7FE4">
        <w:rPr>
          <w:rFonts w:asciiTheme="majorHAnsi" w:hAnsiTheme="majorHAnsi" w:cs="Calibri Light"/>
          <w:b/>
          <w:iCs/>
          <w:sz w:val="24"/>
          <w:szCs w:val="24"/>
          <w:lang w:val="ru-MD"/>
        </w:rPr>
        <w:t xml:space="preserve"> не</w:t>
      </w:r>
      <w:r w:rsidR="00FB7FE4" w:rsidRPr="00FB7FE4">
        <w:rPr>
          <w:rFonts w:asciiTheme="majorHAnsi" w:hAnsiTheme="majorHAnsi" w:cs="Calibri Light"/>
          <w:b/>
          <w:iCs/>
          <w:sz w:val="24"/>
          <w:szCs w:val="24"/>
          <w:lang w:val="ru-MD"/>
        </w:rPr>
        <w:t>ясности относительно</w:t>
      </w:r>
      <w:r w:rsidR="00ED467E" w:rsidRPr="00FB7FE4">
        <w:rPr>
          <w:rFonts w:asciiTheme="majorHAnsi" w:hAnsiTheme="majorHAnsi" w:cs="Calibri Light"/>
          <w:b/>
          <w:iCs/>
          <w:sz w:val="24"/>
          <w:szCs w:val="24"/>
          <w:lang w:val="ru-MD"/>
        </w:rPr>
        <w:t xml:space="preserve"> </w:t>
      </w:r>
      <w:r w:rsidR="00FB7FE4" w:rsidRPr="00FB7FE4">
        <w:rPr>
          <w:rFonts w:asciiTheme="majorHAnsi" w:hAnsiTheme="majorHAnsi" w:cs="Calibri Light"/>
          <w:b/>
          <w:iCs/>
          <w:sz w:val="24"/>
          <w:szCs w:val="24"/>
          <w:lang w:val="ru-MD"/>
        </w:rPr>
        <w:t>назначения пособий</w:t>
      </w:r>
      <w:r w:rsidR="00ED467E" w:rsidRPr="00FB7FE4">
        <w:rPr>
          <w:rFonts w:asciiTheme="majorHAnsi" w:hAnsiTheme="majorHAnsi" w:cs="Calibri Light"/>
          <w:b/>
          <w:iCs/>
          <w:sz w:val="24"/>
          <w:szCs w:val="24"/>
          <w:lang w:val="ru-MD"/>
        </w:rPr>
        <w:t xml:space="preserve"> с </w:t>
      </w:r>
      <w:r w:rsidR="00FB7FE4" w:rsidRPr="00FB7FE4">
        <w:rPr>
          <w:rFonts w:asciiTheme="majorHAnsi" w:hAnsiTheme="majorHAnsi" w:cs="Calibri Light"/>
          <w:b/>
          <w:iCs/>
          <w:sz w:val="24"/>
          <w:szCs w:val="24"/>
          <w:lang w:val="ru-MD"/>
        </w:rPr>
        <w:t>несением необоснов</w:t>
      </w:r>
      <w:r w:rsidR="00ED467E" w:rsidRPr="00FB7FE4">
        <w:rPr>
          <w:rFonts w:asciiTheme="majorHAnsi" w:hAnsiTheme="majorHAnsi" w:cs="Calibri Light"/>
          <w:b/>
          <w:iCs/>
          <w:sz w:val="24"/>
          <w:szCs w:val="24"/>
          <w:lang w:val="ru-MD"/>
        </w:rPr>
        <w:t>анных расходов</w:t>
      </w:r>
      <w:r w:rsidR="00607BB7" w:rsidRPr="00FB7FE4">
        <w:rPr>
          <w:rFonts w:asciiTheme="majorHAnsi" w:hAnsiTheme="majorHAnsi" w:cs="Calibri Light"/>
          <w:b/>
          <w:iCs/>
          <w:sz w:val="24"/>
          <w:szCs w:val="24"/>
          <w:lang w:val="ru-MD"/>
        </w:rPr>
        <w:t>.</w:t>
      </w:r>
    </w:p>
    <w:p w14:paraId="05B8DF9D" w14:textId="19F8F065" w:rsidR="008A6B05" w:rsidRPr="00653E85" w:rsidRDefault="00ED467E" w:rsidP="008A6B05">
      <w:pPr>
        <w:tabs>
          <w:tab w:val="left" w:pos="709"/>
          <w:tab w:val="left" w:pos="993"/>
          <w:tab w:val="left" w:pos="1276"/>
        </w:tabs>
        <w:spacing w:line="276" w:lineRule="auto"/>
        <w:jc w:val="both"/>
        <w:rPr>
          <w:rFonts w:asciiTheme="majorHAnsi" w:hAnsiTheme="majorHAnsi" w:cstheme="majorHAnsi"/>
          <w:b/>
          <w:sz w:val="24"/>
          <w:szCs w:val="24"/>
          <w:lang w:val="ro-MD"/>
        </w:rPr>
      </w:pPr>
      <w:r w:rsidRPr="001401F1">
        <w:rPr>
          <w:rFonts w:asciiTheme="majorHAnsi" w:eastAsia="Times New Roman" w:hAnsiTheme="majorHAnsi" w:cstheme="majorHAnsi"/>
          <w:sz w:val="24"/>
          <w:szCs w:val="24"/>
          <w:lang w:val="ru-MD" w:eastAsia="ru-RU"/>
        </w:rPr>
        <w:t>Анализ внедрения рекомендаций</w:t>
      </w:r>
      <w:r w:rsidR="00C83972" w:rsidRPr="00653E85">
        <w:rPr>
          <w:rFonts w:asciiTheme="majorHAnsi" w:hAnsiTheme="majorHAnsi" w:cs="Calibri Light"/>
          <w:iCs/>
          <w:sz w:val="24"/>
          <w:szCs w:val="24"/>
          <w:vertAlign w:val="superscript"/>
          <w:lang w:val="ro-MD"/>
        </w:rPr>
        <w:footnoteReference w:id="62"/>
      </w:r>
      <w:r w:rsidRPr="001401F1">
        <w:rPr>
          <w:rFonts w:asciiTheme="majorHAnsi" w:eastAsia="Times New Roman" w:hAnsiTheme="majorHAnsi" w:cstheme="majorHAnsi"/>
          <w:sz w:val="24"/>
          <w:szCs w:val="24"/>
          <w:lang w:val="ru-MD" w:eastAsia="ru-RU"/>
        </w:rPr>
        <w:t xml:space="preserve"> показал, что НКСС реализовала процессы, обусловливающие повышенную эффективность в достижении своих целей. Так, отмечается прогресс в улучшении нормативной базы, в том числе внутренней, в частности, в отношении </w:t>
      </w:r>
      <w:r w:rsidRPr="00ED467E">
        <w:rPr>
          <w:rFonts w:asciiTheme="majorHAnsi" w:eastAsia="Times New Roman" w:hAnsiTheme="majorHAnsi" w:cstheme="majorHAnsi"/>
          <w:sz w:val="24"/>
          <w:szCs w:val="24"/>
          <w:lang w:val="ru-MD" w:eastAsia="ru-RU"/>
        </w:rPr>
        <w:t>совершенствовани</w:t>
      </w:r>
      <w:r>
        <w:rPr>
          <w:rFonts w:asciiTheme="majorHAnsi" w:eastAsia="Times New Roman" w:hAnsiTheme="majorHAnsi" w:cstheme="majorHAnsi"/>
          <w:sz w:val="24"/>
          <w:szCs w:val="24"/>
          <w:lang w:val="ru-MD" w:eastAsia="ru-RU"/>
        </w:rPr>
        <w:t>я</w:t>
      </w:r>
      <w:r w:rsidRPr="00ED467E">
        <w:rPr>
          <w:rFonts w:asciiTheme="majorHAnsi" w:eastAsia="Times New Roman" w:hAnsiTheme="majorHAnsi" w:cstheme="majorHAnsi"/>
          <w:sz w:val="24"/>
          <w:szCs w:val="24"/>
          <w:lang w:val="ru-MD" w:eastAsia="ru-RU"/>
        </w:rPr>
        <w:t xml:space="preserve"> процесса </w:t>
      </w:r>
      <w:r>
        <w:rPr>
          <w:rFonts w:asciiTheme="majorHAnsi" w:eastAsia="Times New Roman" w:hAnsiTheme="majorHAnsi" w:cstheme="majorHAnsi"/>
          <w:sz w:val="24"/>
          <w:szCs w:val="24"/>
          <w:lang w:val="ru-MD" w:eastAsia="ru-RU"/>
        </w:rPr>
        <w:t>назначе</w:t>
      </w:r>
      <w:r w:rsidRPr="00ED467E">
        <w:rPr>
          <w:rFonts w:asciiTheme="majorHAnsi" w:eastAsia="Times New Roman" w:hAnsiTheme="majorHAnsi" w:cstheme="majorHAnsi"/>
          <w:sz w:val="24"/>
          <w:szCs w:val="24"/>
          <w:lang w:val="ru-MD" w:eastAsia="ru-RU"/>
        </w:rPr>
        <w:t xml:space="preserve">ния и расчета пособий по временной нетрудоспособности и </w:t>
      </w:r>
      <w:r w:rsidR="00C83972">
        <w:rPr>
          <w:rFonts w:asciiTheme="majorHAnsi" w:eastAsia="Times New Roman" w:hAnsiTheme="majorHAnsi" w:cstheme="majorHAnsi"/>
          <w:sz w:val="24"/>
          <w:szCs w:val="24"/>
          <w:lang w:val="ru-MD" w:eastAsia="ru-RU"/>
        </w:rPr>
        <w:t xml:space="preserve">пособия по </w:t>
      </w:r>
      <w:r w:rsidRPr="00ED467E">
        <w:rPr>
          <w:rFonts w:asciiTheme="majorHAnsi" w:eastAsia="Times New Roman" w:hAnsiTheme="majorHAnsi" w:cstheme="majorHAnsi"/>
          <w:sz w:val="24"/>
          <w:szCs w:val="24"/>
          <w:lang w:val="ru-MD" w:eastAsia="ru-RU"/>
        </w:rPr>
        <w:t>отцовс</w:t>
      </w:r>
      <w:r w:rsidR="00C83972">
        <w:rPr>
          <w:rFonts w:asciiTheme="majorHAnsi" w:eastAsia="Times New Roman" w:hAnsiTheme="majorHAnsi" w:cstheme="majorHAnsi"/>
          <w:sz w:val="24"/>
          <w:szCs w:val="24"/>
          <w:lang w:val="ru-MD" w:eastAsia="ru-RU"/>
        </w:rPr>
        <w:t>тву</w:t>
      </w:r>
      <w:r w:rsidRPr="00ED467E">
        <w:rPr>
          <w:rFonts w:asciiTheme="majorHAnsi" w:eastAsia="Times New Roman" w:hAnsiTheme="majorHAnsi" w:cstheme="majorHAnsi"/>
          <w:sz w:val="24"/>
          <w:szCs w:val="24"/>
          <w:lang w:val="ru-MD" w:eastAsia="ru-RU"/>
        </w:rPr>
        <w:t xml:space="preserve">, для обеспечения соблюдения законных сроков, обеспечения целостности </w:t>
      </w:r>
      <w:r w:rsidR="00C83972">
        <w:rPr>
          <w:rFonts w:asciiTheme="majorHAnsi" w:eastAsia="Times New Roman" w:hAnsiTheme="majorHAnsi" w:cstheme="majorHAnsi"/>
          <w:sz w:val="24"/>
          <w:szCs w:val="24"/>
          <w:lang w:val="ru-MD" w:eastAsia="ru-RU"/>
        </w:rPr>
        <w:t>дел</w:t>
      </w:r>
      <w:r w:rsidRPr="00ED467E">
        <w:rPr>
          <w:rFonts w:asciiTheme="majorHAnsi" w:eastAsia="Times New Roman" w:hAnsiTheme="majorHAnsi" w:cstheme="majorHAnsi"/>
          <w:sz w:val="24"/>
          <w:szCs w:val="24"/>
          <w:lang w:val="ru-MD" w:eastAsia="ru-RU"/>
        </w:rPr>
        <w:t xml:space="preserve"> заяв</w:t>
      </w:r>
      <w:r w:rsidR="00C83972">
        <w:rPr>
          <w:rFonts w:asciiTheme="majorHAnsi" w:eastAsia="Times New Roman" w:hAnsiTheme="majorHAnsi" w:cstheme="majorHAnsi"/>
          <w:sz w:val="24"/>
          <w:szCs w:val="24"/>
          <w:lang w:val="ru-MD" w:eastAsia="ru-RU"/>
        </w:rPr>
        <w:t>лений</w:t>
      </w:r>
      <w:r w:rsidRPr="00ED467E">
        <w:rPr>
          <w:rFonts w:asciiTheme="majorHAnsi" w:eastAsia="Times New Roman" w:hAnsiTheme="majorHAnsi" w:cstheme="majorHAnsi"/>
          <w:sz w:val="24"/>
          <w:szCs w:val="24"/>
          <w:lang w:val="ru-MD" w:eastAsia="ru-RU"/>
        </w:rPr>
        <w:t xml:space="preserve"> на </w:t>
      </w:r>
      <w:r w:rsidR="00C83972">
        <w:rPr>
          <w:rFonts w:asciiTheme="majorHAnsi" w:eastAsia="Times New Roman" w:hAnsiTheme="majorHAnsi" w:cstheme="majorHAnsi"/>
          <w:sz w:val="24"/>
          <w:szCs w:val="24"/>
          <w:lang w:val="ru-MD" w:eastAsia="ru-RU"/>
        </w:rPr>
        <w:t>курортно</w:t>
      </w:r>
      <w:r w:rsidRPr="00ED467E">
        <w:rPr>
          <w:rFonts w:asciiTheme="majorHAnsi" w:eastAsia="Times New Roman" w:hAnsiTheme="majorHAnsi" w:cstheme="majorHAnsi"/>
          <w:sz w:val="24"/>
          <w:szCs w:val="24"/>
          <w:lang w:val="ru-MD" w:eastAsia="ru-RU"/>
        </w:rPr>
        <w:t xml:space="preserve">-санаторное лечение, а также действий по </w:t>
      </w:r>
      <w:r w:rsidR="00C83972">
        <w:rPr>
          <w:rFonts w:asciiTheme="majorHAnsi" w:eastAsia="Times New Roman" w:hAnsiTheme="majorHAnsi" w:cstheme="majorHAnsi"/>
          <w:sz w:val="24"/>
          <w:szCs w:val="24"/>
          <w:lang w:val="ru-MD" w:eastAsia="ru-RU"/>
        </w:rPr>
        <w:t>корректировке</w:t>
      </w:r>
      <w:r w:rsidRPr="00ED467E">
        <w:rPr>
          <w:rFonts w:asciiTheme="majorHAnsi" w:eastAsia="Times New Roman" w:hAnsiTheme="majorHAnsi" w:cstheme="majorHAnsi"/>
          <w:sz w:val="24"/>
          <w:szCs w:val="24"/>
          <w:lang w:val="ru-MD" w:eastAsia="ru-RU"/>
        </w:rPr>
        <w:t xml:space="preserve"> и </w:t>
      </w:r>
      <w:r w:rsidRPr="001401F1">
        <w:rPr>
          <w:rFonts w:asciiTheme="majorHAnsi" w:eastAsia="Times New Roman" w:hAnsiTheme="majorHAnsi" w:cstheme="majorHAnsi"/>
          <w:sz w:val="24"/>
          <w:szCs w:val="24"/>
          <w:lang w:val="ru-MD" w:eastAsia="ru-RU"/>
        </w:rPr>
        <w:t>отчетности показателей БГСС. Эти действия являются еще одним шагом в повышении способности НКСС обеспечивать достоверную информацию для пользователей отчетов и предоставлять качественные услуги гражданам</w:t>
      </w:r>
      <w:r w:rsidR="008A6B05" w:rsidRPr="00653E85">
        <w:rPr>
          <w:rFonts w:asciiTheme="majorHAnsi" w:hAnsiTheme="majorHAnsi" w:cs="Calibri Light"/>
          <w:iCs/>
          <w:sz w:val="24"/>
          <w:szCs w:val="24"/>
          <w:lang w:val="ro-MD"/>
        </w:rPr>
        <w:t>.</w:t>
      </w:r>
    </w:p>
    <w:p w14:paraId="4E17E948" w14:textId="32B59639" w:rsidR="00D66928" w:rsidRPr="00C06635" w:rsidRDefault="00485B16" w:rsidP="009055D9">
      <w:pPr>
        <w:tabs>
          <w:tab w:val="left" w:pos="709"/>
          <w:tab w:val="left" w:pos="993"/>
          <w:tab w:val="left" w:pos="1276"/>
        </w:tabs>
        <w:spacing w:line="276" w:lineRule="auto"/>
        <w:jc w:val="both"/>
        <w:rPr>
          <w:rFonts w:asciiTheme="majorHAnsi" w:hAnsiTheme="majorHAnsi" w:cstheme="majorHAnsi"/>
          <w:sz w:val="24"/>
          <w:szCs w:val="24"/>
          <w:lang w:val="ru-MD"/>
        </w:rPr>
      </w:pPr>
      <w:r w:rsidRPr="00C06635">
        <w:rPr>
          <w:rFonts w:asciiTheme="majorHAnsi" w:hAnsiTheme="majorHAnsi" w:cs="Calibri Light"/>
          <w:iCs/>
          <w:sz w:val="24"/>
          <w:szCs w:val="24"/>
          <w:lang w:val="ru-MD"/>
        </w:rPr>
        <w:t>С другой стороны, нев</w:t>
      </w:r>
      <w:r w:rsidR="00EC20B0" w:rsidRPr="00C06635">
        <w:rPr>
          <w:rFonts w:asciiTheme="majorHAnsi" w:hAnsiTheme="majorHAnsi" w:cs="Calibri Light"/>
          <w:iCs/>
          <w:sz w:val="24"/>
          <w:szCs w:val="24"/>
          <w:lang w:val="ru-MD"/>
        </w:rPr>
        <w:t>недр</w:t>
      </w:r>
      <w:r w:rsidRPr="00C06635">
        <w:rPr>
          <w:rFonts w:asciiTheme="majorHAnsi" w:hAnsiTheme="majorHAnsi" w:cs="Calibri Light"/>
          <w:iCs/>
          <w:sz w:val="24"/>
          <w:szCs w:val="24"/>
          <w:lang w:val="ru-MD"/>
        </w:rPr>
        <w:t xml:space="preserve">ение рекомендаций </w:t>
      </w:r>
      <w:r w:rsidR="00EC20B0" w:rsidRPr="00C06635">
        <w:rPr>
          <w:rFonts w:asciiTheme="majorHAnsi" w:hAnsiTheme="majorHAnsi" w:cs="Calibri Light"/>
          <w:iCs/>
          <w:sz w:val="24"/>
          <w:szCs w:val="24"/>
          <w:lang w:val="ru-MD"/>
        </w:rPr>
        <w:t>МТСЗ</w:t>
      </w:r>
      <w:r w:rsidRPr="00C06635">
        <w:rPr>
          <w:rFonts w:asciiTheme="majorHAnsi" w:hAnsiTheme="majorHAnsi" w:cs="Calibri Light"/>
          <w:iCs/>
          <w:sz w:val="24"/>
          <w:szCs w:val="24"/>
          <w:lang w:val="ru-MD"/>
        </w:rPr>
        <w:t xml:space="preserve"> </w:t>
      </w:r>
      <w:r w:rsidR="00EC20B0" w:rsidRPr="00C06635">
        <w:rPr>
          <w:rFonts w:asciiTheme="majorHAnsi" w:hAnsiTheme="majorHAnsi" w:cs="Calibri Light"/>
          <w:iCs/>
          <w:sz w:val="24"/>
          <w:szCs w:val="24"/>
          <w:lang w:val="ru-MD"/>
        </w:rPr>
        <w:t>определяет</w:t>
      </w:r>
      <w:r w:rsidRPr="00C06635">
        <w:rPr>
          <w:rFonts w:asciiTheme="majorHAnsi" w:hAnsiTheme="majorHAnsi" w:cs="Calibri Light"/>
          <w:iCs/>
          <w:sz w:val="24"/>
          <w:szCs w:val="24"/>
          <w:lang w:val="ru-MD"/>
        </w:rPr>
        <w:t xml:space="preserve"> сохран</w:t>
      </w:r>
      <w:r w:rsidR="00EC20B0" w:rsidRPr="00C06635">
        <w:rPr>
          <w:rFonts w:asciiTheme="majorHAnsi" w:hAnsiTheme="majorHAnsi" w:cs="Calibri Light"/>
          <w:iCs/>
          <w:sz w:val="24"/>
          <w:szCs w:val="24"/>
          <w:lang w:val="ru-MD"/>
        </w:rPr>
        <w:t>ение</w:t>
      </w:r>
      <w:r w:rsidRPr="00C06635">
        <w:rPr>
          <w:rFonts w:asciiTheme="majorHAnsi" w:hAnsiTheme="majorHAnsi" w:cs="Calibri Light"/>
          <w:iCs/>
          <w:sz w:val="24"/>
          <w:szCs w:val="24"/>
          <w:lang w:val="ru-MD"/>
        </w:rPr>
        <w:t xml:space="preserve"> не</w:t>
      </w:r>
      <w:r w:rsidR="00EC20B0" w:rsidRPr="00C06635">
        <w:rPr>
          <w:rFonts w:asciiTheme="majorHAnsi" w:hAnsiTheme="majorHAnsi" w:cs="Calibri Light"/>
          <w:iCs/>
          <w:sz w:val="24"/>
          <w:szCs w:val="24"/>
          <w:lang w:val="ru-MD"/>
        </w:rPr>
        <w:t>ясн</w:t>
      </w:r>
      <w:r w:rsidR="00C06635" w:rsidRPr="00C06635">
        <w:rPr>
          <w:rFonts w:asciiTheme="majorHAnsi" w:hAnsiTheme="majorHAnsi" w:cs="Calibri Light"/>
          <w:iCs/>
          <w:sz w:val="24"/>
          <w:szCs w:val="24"/>
          <w:lang w:val="ru-MD"/>
        </w:rPr>
        <w:t>ости</w:t>
      </w:r>
      <w:r w:rsidRPr="00C06635">
        <w:rPr>
          <w:rFonts w:asciiTheme="majorHAnsi" w:hAnsiTheme="majorHAnsi" w:cs="Calibri Light"/>
          <w:iCs/>
          <w:sz w:val="24"/>
          <w:szCs w:val="24"/>
          <w:lang w:val="ru-MD"/>
        </w:rPr>
        <w:t xml:space="preserve"> в аспекте сложности процесса </w:t>
      </w:r>
      <w:r w:rsidR="00EC20B0" w:rsidRPr="00C06635">
        <w:rPr>
          <w:rFonts w:asciiTheme="majorHAnsi" w:hAnsiTheme="majorHAnsi" w:cs="Calibri Light"/>
          <w:iCs/>
          <w:sz w:val="24"/>
          <w:szCs w:val="24"/>
          <w:lang w:val="ru-MD"/>
        </w:rPr>
        <w:t>назнач</w:t>
      </w:r>
      <w:r w:rsidRPr="00C06635">
        <w:rPr>
          <w:rFonts w:asciiTheme="majorHAnsi" w:hAnsiTheme="majorHAnsi" w:cs="Calibri Light"/>
          <w:iCs/>
          <w:sz w:val="24"/>
          <w:szCs w:val="24"/>
          <w:lang w:val="ru-MD"/>
        </w:rPr>
        <w:t xml:space="preserve">ения, расчета и </w:t>
      </w:r>
      <w:r w:rsidR="00EC20B0" w:rsidRPr="00C06635">
        <w:rPr>
          <w:rFonts w:asciiTheme="majorHAnsi" w:hAnsiTheme="majorHAnsi" w:cs="Calibri Light"/>
          <w:iCs/>
          <w:sz w:val="24"/>
          <w:szCs w:val="24"/>
          <w:lang w:val="ru-MD"/>
        </w:rPr>
        <w:t>вы</w:t>
      </w:r>
      <w:r w:rsidRPr="00C06635">
        <w:rPr>
          <w:rFonts w:asciiTheme="majorHAnsi" w:hAnsiTheme="majorHAnsi" w:cs="Calibri Light"/>
          <w:iCs/>
          <w:sz w:val="24"/>
          <w:szCs w:val="24"/>
          <w:lang w:val="ru-MD"/>
        </w:rPr>
        <w:t>платы социально</w:t>
      </w:r>
      <w:r w:rsidR="00EC20B0" w:rsidRPr="00C06635">
        <w:rPr>
          <w:rFonts w:asciiTheme="majorHAnsi" w:hAnsiTheme="majorHAnsi" w:cs="Calibri Light"/>
          <w:iCs/>
          <w:sz w:val="24"/>
          <w:szCs w:val="24"/>
          <w:lang w:val="ru-MD"/>
        </w:rPr>
        <w:t>го</w:t>
      </w:r>
      <w:r w:rsidRPr="00C06635">
        <w:rPr>
          <w:rFonts w:asciiTheme="majorHAnsi" w:hAnsiTheme="majorHAnsi" w:cs="Calibri Light"/>
          <w:iCs/>
          <w:sz w:val="24"/>
          <w:szCs w:val="24"/>
          <w:lang w:val="ru-MD"/>
        </w:rPr>
        <w:t xml:space="preserve"> по</w:t>
      </w:r>
      <w:r w:rsidR="00EC20B0" w:rsidRPr="00C06635">
        <w:rPr>
          <w:rFonts w:asciiTheme="majorHAnsi" w:hAnsiTheme="majorHAnsi" w:cs="Calibri Light"/>
          <w:iCs/>
          <w:sz w:val="24"/>
          <w:szCs w:val="24"/>
          <w:lang w:val="ru-MD"/>
        </w:rPr>
        <w:t>собия</w:t>
      </w:r>
      <w:r w:rsidRPr="00C06635">
        <w:rPr>
          <w:rFonts w:asciiTheme="majorHAnsi" w:hAnsiTheme="majorHAnsi" w:cs="Calibri Light"/>
          <w:iCs/>
          <w:sz w:val="24"/>
          <w:szCs w:val="24"/>
          <w:lang w:val="ru-MD"/>
        </w:rPr>
        <w:t xml:space="preserve"> и по</w:t>
      </w:r>
      <w:r w:rsidR="00EC20B0" w:rsidRPr="00C06635">
        <w:rPr>
          <w:rFonts w:asciiTheme="majorHAnsi" w:hAnsiTheme="majorHAnsi" w:cs="Calibri Light"/>
          <w:iCs/>
          <w:sz w:val="24"/>
          <w:szCs w:val="24"/>
          <w:lang w:val="ru-MD"/>
        </w:rPr>
        <w:t>собия на</w:t>
      </w:r>
      <w:r w:rsidRPr="00C06635">
        <w:rPr>
          <w:rFonts w:asciiTheme="majorHAnsi" w:hAnsiTheme="majorHAnsi" w:cs="Calibri Light"/>
          <w:iCs/>
          <w:sz w:val="24"/>
          <w:szCs w:val="24"/>
          <w:lang w:val="ru-MD"/>
        </w:rPr>
        <w:t xml:space="preserve"> холодн</w:t>
      </w:r>
      <w:r w:rsidR="00EC20B0" w:rsidRPr="00C06635">
        <w:rPr>
          <w:rFonts w:asciiTheme="majorHAnsi" w:hAnsiTheme="majorHAnsi" w:cs="Calibri Light"/>
          <w:iCs/>
          <w:sz w:val="24"/>
          <w:szCs w:val="24"/>
          <w:lang w:val="ru-MD"/>
        </w:rPr>
        <w:t>ый период</w:t>
      </w:r>
      <w:r w:rsidRPr="00C06635">
        <w:rPr>
          <w:rFonts w:asciiTheme="majorHAnsi" w:hAnsiTheme="majorHAnsi" w:cs="Calibri Light"/>
          <w:iCs/>
          <w:sz w:val="24"/>
          <w:szCs w:val="24"/>
          <w:lang w:val="ru-MD"/>
        </w:rPr>
        <w:t xml:space="preserve"> года, </w:t>
      </w:r>
      <w:r w:rsidR="00C06635" w:rsidRPr="00C06635">
        <w:rPr>
          <w:rFonts w:asciiTheme="majorHAnsi" w:hAnsiTheme="majorHAnsi" w:cs="Calibri Light"/>
          <w:iCs/>
          <w:sz w:val="24"/>
          <w:szCs w:val="24"/>
          <w:lang w:val="ru-MD"/>
        </w:rPr>
        <w:t>прекращения/приостановления выплаты пенсии работникам гражданской авиации в случае их повторного трудоустройства на должности, условия работы которых относятся к категории специальных условий,</w:t>
      </w:r>
      <w:r w:rsidRPr="00C06635">
        <w:rPr>
          <w:rFonts w:asciiTheme="majorHAnsi" w:hAnsiTheme="majorHAnsi" w:cs="Calibri Light"/>
          <w:iCs/>
          <w:sz w:val="24"/>
          <w:szCs w:val="24"/>
          <w:lang w:val="ru-MD"/>
        </w:rPr>
        <w:t xml:space="preserve"> с </w:t>
      </w:r>
      <w:r w:rsidR="00C06635" w:rsidRPr="00C06635">
        <w:rPr>
          <w:rFonts w:asciiTheme="majorHAnsi" w:hAnsiTheme="majorHAnsi" w:cs="Calibri Light"/>
          <w:iCs/>
          <w:sz w:val="24"/>
          <w:szCs w:val="24"/>
          <w:lang w:val="ru-MD"/>
        </w:rPr>
        <w:t xml:space="preserve">несением </w:t>
      </w:r>
      <w:r w:rsidRPr="00C06635">
        <w:rPr>
          <w:rFonts w:asciiTheme="majorHAnsi" w:hAnsiTheme="majorHAnsi" w:cs="Calibri Light"/>
          <w:iCs/>
          <w:sz w:val="24"/>
          <w:szCs w:val="24"/>
          <w:lang w:val="ru-MD"/>
        </w:rPr>
        <w:t>не</w:t>
      </w:r>
      <w:r w:rsidR="00C06635" w:rsidRPr="00C06635">
        <w:rPr>
          <w:rFonts w:asciiTheme="majorHAnsi" w:hAnsiTheme="majorHAnsi" w:cs="Calibri Light"/>
          <w:iCs/>
          <w:sz w:val="24"/>
          <w:szCs w:val="24"/>
          <w:lang w:val="ru-MD"/>
        </w:rPr>
        <w:t>обоснованных</w:t>
      </w:r>
      <w:r w:rsidRPr="00C06635">
        <w:rPr>
          <w:rFonts w:asciiTheme="majorHAnsi" w:hAnsiTheme="majorHAnsi" w:cs="Calibri Light"/>
          <w:iCs/>
          <w:sz w:val="24"/>
          <w:szCs w:val="24"/>
          <w:lang w:val="ru-MD"/>
        </w:rPr>
        <w:t xml:space="preserve"> расход</w:t>
      </w:r>
      <w:r w:rsidR="00C06635" w:rsidRPr="00C06635">
        <w:rPr>
          <w:rFonts w:asciiTheme="majorHAnsi" w:hAnsiTheme="majorHAnsi" w:cs="Calibri Light"/>
          <w:iCs/>
          <w:sz w:val="24"/>
          <w:szCs w:val="24"/>
          <w:lang w:val="ru-MD"/>
        </w:rPr>
        <w:t>ов</w:t>
      </w:r>
      <w:r w:rsidRPr="00C06635">
        <w:rPr>
          <w:rFonts w:asciiTheme="majorHAnsi" w:hAnsiTheme="majorHAnsi" w:cs="Calibri Light"/>
          <w:iCs/>
          <w:sz w:val="24"/>
          <w:szCs w:val="24"/>
          <w:lang w:val="ru-MD"/>
        </w:rPr>
        <w:t xml:space="preserve">. </w:t>
      </w:r>
      <w:r w:rsidR="00C06635" w:rsidRPr="00C06635">
        <w:rPr>
          <w:rFonts w:asciiTheme="majorHAnsi" w:hAnsiTheme="majorHAnsi" w:cstheme="majorHAnsi"/>
          <w:iCs/>
          <w:sz w:val="24"/>
          <w:szCs w:val="24"/>
          <w:lang w:val="ru-MD"/>
        </w:rPr>
        <w:t>Что касается</w:t>
      </w:r>
      <w:r w:rsidRPr="00C06635">
        <w:rPr>
          <w:rFonts w:asciiTheme="majorHAnsi" w:hAnsiTheme="majorHAnsi" w:cstheme="majorHAnsi"/>
          <w:iCs/>
          <w:sz w:val="24"/>
          <w:szCs w:val="24"/>
          <w:lang w:val="ru-MD"/>
        </w:rPr>
        <w:t xml:space="preserve"> выполнени</w:t>
      </w:r>
      <w:r w:rsidR="00C06635" w:rsidRPr="00C06635">
        <w:rPr>
          <w:rFonts w:asciiTheme="majorHAnsi" w:hAnsiTheme="majorHAnsi" w:cstheme="majorHAnsi"/>
          <w:iCs/>
          <w:sz w:val="24"/>
          <w:szCs w:val="24"/>
          <w:lang w:val="ru-MD"/>
        </w:rPr>
        <w:t>я</w:t>
      </w:r>
      <w:r w:rsidRPr="00C06635">
        <w:rPr>
          <w:rFonts w:asciiTheme="majorHAnsi" w:hAnsiTheme="majorHAnsi" w:cstheme="majorHAnsi"/>
          <w:iCs/>
          <w:sz w:val="24"/>
          <w:szCs w:val="24"/>
          <w:lang w:val="ru-MD"/>
        </w:rPr>
        <w:t xml:space="preserve"> рекомендаций </w:t>
      </w:r>
      <w:r w:rsidR="00C06635" w:rsidRPr="00C06635">
        <w:rPr>
          <w:rFonts w:asciiTheme="majorHAnsi" w:hAnsiTheme="majorHAnsi" w:cstheme="majorHAnsi"/>
          <w:iCs/>
          <w:sz w:val="24"/>
          <w:szCs w:val="24"/>
          <w:lang w:val="ru-MD"/>
        </w:rPr>
        <w:t>МЗ</w:t>
      </w:r>
      <w:r w:rsidRPr="00C06635">
        <w:rPr>
          <w:rFonts w:asciiTheme="majorHAnsi" w:hAnsiTheme="majorHAnsi" w:cstheme="majorHAnsi"/>
          <w:iCs/>
          <w:sz w:val="24"/>
          <w:szCs w:val="24"/>
          <w:lang w:val="ru-MD"/>
        </w:rPr>
        <w:t xml:space="preserve">, </w:t>
      </w:r>
      <w:r w:rsidR="00C06635" w:rsidRPr="00C06635">
        <w:rPr>
          <w:rFonts w:asciiTheme="majorHAnsi" w:hAnsiTheme="majorHAnsi" w:cstheme="majorHAnsi"/>
          <w:iCs/>
          <w:sz w:val="24"/>
          <w:szCs w:val="24"/>
          <w:lang w:val="ru-MD"/>
        </w:rPr>
        <w:t>настоя</w:t>
      </w:r>
      <w:r w:rsidRPr="00C06635">
        <w:rPr>
          <w:rFonts w:asciiTheme="majorHAnsi" w:hAnsiTheme="majorHAnsi" w:cstheme="majorHAnsi"/>
          <w:iCs/>
          <w:sz w:val="24"/>
          <w:szCs w:val="24"/>
          <w:lang w:val="ru-MD"/>
        </w:rPr>
        <w:t xml:space="preserve">щая миссия аудита </w:t>
      </w:r>
      <w:r w:rsidR="00C06635" w:rsidRPr="00C06635">
        <w:rPr>
          <w:rFonts w:asciiTheme="majorHAnsi" w:hAnsiTheme="majorHAnsi" w:cstheme="majorHAnsi"/>
          <w:iCs/>
          <w:sz w:val="24"/>
          <w:szCs w:val="24"/>
          <w:lang w:val="ru-MD"/>
        </w:rPr>
        <w:t>отмеч</w:t>
      </w:r>
      <w:r w:rsidRPr="00C06635">
        <w:rPr>
          <w:rFonts w:asciiTheme="majorHAnsi" w:hAnsiTheme="majorHAnsi" w:cstheme="majorHAnsi"/>
          <w:iCs/>
          <w:sz w:val="24"/>
          <w:szCs w:val="24"/>
          <w:lang w:val="ru-MD"/>
        </w:rPr>
        <w:t xml:space="preserve">ает, что предпринятые действия не оказали ожидаемого влияния на повышение </w:t>
      </w:r>
      <w:r w:rsidR="00C06635" w:rsidRPr="00C06635">
        <w:rPr>
          <w:rFonts w:asciiTheme="majorHAnsi" w:hAnsiTheme="majorHAnsi" w:cstheme="majorHAnsi"/>
          <w:iCs/>
          <w:sz w:val="24"/>
          <w:szCs w:val="24"/>
          <w:lang w:val="ru-MD"/>
        </w:rPr>
        <w:t xml:space="preserve">эффективности постоянного контроля за правильностью и полнотой данных, введенных на Портале больничных листов, </w:t>
      </w:r>
      <w:r w:rsidRPr="00C06635">
        <w:rPr>
          <w:rFonts w:asciiTheme="majorHAnsi" w:hAnsiTheme="majorHAnsi" w:cstheme="majorHAnsi"/>
          <w:iCs/>
          <w:sz w:val="24"/>
          <w:szCs w:val="24"/>
          <w:lang w:val="ru-MD"/>
        </w:rPr>
        <w:t xml:space="preserve">что </w:t>
      </w:r>
      <w:r w:rsidR="00C06635" w:rsidRPr="00C06635">
        <w:rPr>
          <w:rFonts w:asciiTheme="majorHAnsi" w:hAnsiTheme="majorHAnsi" w:cstheme="majorHAnsi"/>
          <w:iCs/>
          <w:sz w:val="24"/>
          <w:szCs w:val="24"/>
          <w:lang w:val="ru-MD"/>
        </w:rPr>
        <w:t>приводи</w:t>
      </w:r>
      <w:r w:rsidRPr="00C06635">
        <w:rPr>
          <w:rFonts w:asciiTheme="majorHAnsi" w:hAnsiTheme="majorHAnsi" w:cstheme="majorHAnsi"/>
          <w:iCs/>
          <w:sz w:val="24"/>
          <w:szCs w:val="24"/>
          <w:lang w:val="ru-MD"/>
        </w:rPr>
        <w:t xml:space="preserve">т </w:t>
      </w:r>
      <w:r w:rsidR="00C06635" w:rsidRPr="00C06635">
        <w:rPr>
          <w:rFonts w:asciiTheme="majorHAnsi" w:hAnsiTheme="majorHAnsi" w:cstheme="majorHAnsi"/>
          <w:iCs/>
          <w:sz w:val="24"/>
          <w:szCs w:val="24"/>
          <w:lang w:val="ru-MD"/>
        </w:rPr>
        <w:t xml:space="preserve">к </w:t>
      </w:r>
      <w:r w:rsidRPr="00C06635">
        <w:rPr>
          <w:rFonts w:asciiTheme="majorHAnsi" w:hAnsiTheme="majorHAnsi" w:cstheme="majorHAnsi"/>
          <w:iCs/>
          <w:sz w:val="24"/>
          <w:szCs w:val="24"/>
          <w:lang w:val="ru-MD"/>
        </w:rPr>
        <w:t>ситуаци</w:t>
      </w:r>
      <w:r w:rsidR="00C06635" w:rsidRPr="00C06635">
        <w:rPr>
          <w:rFonts w:asciiTheme="majorHAnsi" w:hAnsiTheme="majorHAnsi" w:cstheme="majorHAnsi"/>
          <w:iCs/>
          <w:sz w:val="24"/>
          <w:szCs w:val="24"/>
          <w:lang w:val="ru-MD"/>
        </w:rPr>
        <w:t>ям, когда</w:t>
      </w:r>
      <w:r w:rsidRPr="00C06635">
        <w:rPr>
          <w:rFonts w:asciiTheme="majorHAnsi" w:hAnsiTheme="majorHAnsi" w:cstheme="majorHAnsi"/>
          <w:iCs/>
          <w:sz w:val="24"/>
          <w:szCs w:val="24"/>
          <w:lang w:val="ru-MD"/>
        </w:rPr>
        <w:t xml:space="preserve"> пособия </w:t>
      </w:r>
      <w:r w:rsidR="00C06635" w:rsidRPr="00C06635">
        <w:rPr>
          <w:rFonts w:asciiTheme="majorHAnsi" w:hAnsiTheme="majorHAnsi" w:cstheme="majorHAnsi"/>
          <w:iCs/>
          <w:sz w:val="24"/>
          <w:szCs w:val="24"/>
          <w:lang w:val="ru-MD"/>
        </w:rPr>
        <w:t xml:space="preserve">назначаются </w:t>
      </w:r>
      <w:r w:rsidRPr="00C06635">
        <w:rPr>
          <w:rFonts w:asciiTheme="majorHAnsi" w:hAnsiTheme="majorHAnsi" w:cstheme="majorHAnsi"/>
          <w:iCs/>
          <w:sz w:val="24"/>
          <w:szCs w:val="24"/>
          <w:lang w:val="ru-MD"/>
        </w:rPr>
        <w:t>с превышением срока до 1 года. Также</w:t>
      </w:r>
      <w:r w:rsidR="00C06635" w:rsidRPr="00C06635">
        <w:rPr>
          <w:rFonts w:asciiTheme="majorHAnsi" w:hAnsiTheme="majorHAnsi" w:cstheme="majorHAnsi"/>
          <w:iCs/>
          <w:sz w:val="24"/>
          <w:szCs w:val="24"/>
          <w:lang w:val="ru-MD"/>
        </w:rPr>
        <w:t>,</w:t>
      </w:r>
      <w:r w:rsidRPr="00C06635">
        <w:rPr>
          <w:rFonts w:asciiTheme="majorHAnsi" w:hAnsiTheme="majorHAnsi" w:cstheme="majorHAnsi"/>
          <w:iCs/>
          <w:sz w:val="24"/>
          <w:szCs w:val="24"/>
          <w:lang w:val="ru-MD"/>
        </w:rPr>
        <w:t xml:space="preserve"> </w:t>
      </w:r>
      <w:r w:rsidR="00C06635" w:rsidRPr="00C06635">
        <w:rPr>
          <w:rFonts w:asciiTheme="majorHAnsi" w:hAnsiTheme="majorHAnsi" w:cstheme="majorHAnsi"/>
          <w:iCs/>
          <w:sz w:val="24"/>
          <w:szCs w:val="24"/>
          <w:lang w:val="ru-MD"/>
        </w:rPr>
        <w:t>до настоящего времени</w:t>
      </w:r>
      <w:r w:rsidRPr="00C06635">
        <w:rPr>
          <w:rFonts w:asciiTheme="majorHAnsi" w:hAnsiTheme="majorHAnsi" w:cstheme="majorHAnsi"/>
          <w:iCs/>
          <w:sz w:val="24"/>
          <w:szCs w:val="24"/>
          <w:lang w:val="ru-MD"/>
        </w:rPr>
        <w:t xml:space="preserve"> выявл</w:t>
      </w:r>
      <w:r w:rsidR="00C06635" w:rsidRPr="00C06635">
        <w:rPr>
          <w:rFonts w:asciiTheme="majorHAnsi" w:hAnsiTheme="majorHAnsi" w:cstheme="majorHAnsi"/>
          <w:iCs/>
          <w:sz w:val="24"/>
          <w:szCs w:val="24"/>
          <w:lang w:val="ru-MD"/>
        </w:rPr>
        <w:t>яются</w:t>
      </w:r>
      <w:r w:rsidRPr="00C06635">
        <w:rPr>
          <w:rFonts w:asciiTheme="majorHAnsi" w:hAnsiTheme="majorHAnsi" w:cstheme="majorHAnsi"/>
          <w:iCs/>
          <w:sz w:val="24"/>
          <w:szCs w:val="24"/>
          <w:lang w:val="ru-MD"/>
        </w:rPr>
        <w:t xml:space="preserve"> нео</w:t>
      </w:r>
      <w:r w:rsidR="00C06635" w:rsidRPr="00C06635">
        <w:rPr>
          <w:rFonts w:asciiTheme="majorHAnsi" w:hAnsiTheme="majorHAnsi" w:cstheme="majorHAnsi"/>
          <w:iCs/>
          <w:sz w:val="24"/>
          <w:szCs w:val="24"/>
          <w:lang w:val="ru-MD"/>
        </w:rPr>
        <w:t>боснов</w:t>
      </w:r>
      <w:r w:rsidRPr="00C06635">
        <w:rPr>
          <w:rFonts w:asciiTheme="majorHAnsi" w:hAnsiTheme="majorHAnsi" w:cstheme="majorHAnsi"/>
          <w:iCs/>
          <w:sz w:val="24"/>
          <w:szCs w:val="24"/>
          <w:lang w:val="ru-MD"/>
        </w:rPr>
        <w:t xml:space="preserve">анные выплаты в случае смерти пенсионеров, </w:t>
      </w:r>
      <w:r w:rsidR="00C06635" w:rsidRPr="00C06635">
        <w:rPr>
          <w:rFonts w:asciiTheme="majorHAnsi" w:hAnsiTheme="majorHAnsi" w:cstheme="majorHAnsi"/>
          <w:iCs/>
          <w:sz w:val="24"/>
          <w:szCs w:val="24"/>
          <w:lang w:val="ru-MD"/>
        </w:rPr>
        <w:t>обусловле</w:t>
      </w:r>
      <w:r w:rsidRPr="00C06635">
        <w:rPr>
          <w:rFonts w:asciiTheme="majorHAnsi" w:hAnsiTheme="majorHAnsi" w:cstheme="majorHAnsi"/>
          <w:iCs/>
          <w:sz w:val="24"/>
          <w:szCs w:val="24"/>
          <w:lang w:val="ru-MD"/>
        </w:rPr>
        <w:t xml:space="preserve">нные отсутствием автоматизированной медицинской информационной системы, а также </w:t>
      </w:r>
      <w:r w:rsidR="00C06635" w:rsidRPr="00C06635">
        <w:rPr>
          <w:rFonts w:asciiTheme="majorHAnsi" w:hAnsiTheme="majorHAnsi" w:cstheme="majorHAnsi"/>
          <w:iCs/>
          <w:sz w:val="24"/>
          <w:szCs w:val="24"/>
          <w:lang w:val="ru-MD"/>
        </w:rPr>
        <w:t xml:space="preserve">несвоевременным </w:t>
      </w:r>
      <w:r w:rsidRPr="00C06635">
        <w:rPr>
          <w:rFonts w:asciiTheme="majorHAnsi" w:hAnsiTheme="majorHAnsi" w:cstheme="majorHAnsi"/>
          <w:iCs/>
          <w:sz w:val="24"/>
          <w:szCs w:val="24"/>
          <w:lang w:val="ru-MD"/>
        </w:rPr>
        <w:t>введением информации о смерти</w:t>
      </w:r>
      <w:r w:rsidR="00CD1E1E" w:rsidRPr="00C06635">
        <w:rPr>
          <w:rFonts w:asciiTheme="majorHAnsi" w:hAnsiTheme="majorHAnsi" w:cstheme="majorHAnsi"/>
          <w:sz w:val="24"/>
          <w:szCs w:val="24"/>
          <w:lang w:val="ru-MD"/>
        </w:rPr>
        <w:t>.</w:t>
      </w:r>
    </w:p>
    <w:p w14:paraId="42371191" w14:textId="64B4997F" w:rsidR="00F5036B" w:rsidRPr="00C06635" w:rsidRDefault="00485B16" w:rsidP="00F5036B">
      <w:pPr>
        <w:jc w:val="both"/>
        <w:rPr>
          <w:rFonts w:asciiTheme="majorHAnsi" w:hAnsiTheme="majorHAnsi" w:cs="Calibri Light"/>
          <w:iCs/>
          <w:sz w:val="24"/>
          <w:szCs w:val="24"/>
          <w:lang w:val="ru-MD"/>
        </w:rPr>
      </w:pPr>
      <w:r w:rsidRPr="00C06635">
        <w:rPr>
          <w:rFonts w:asciiTheme="majorHAnsi" w:hAnsiTheme="majorHAnsi" w:cs="Calibri Light"/>
          <w:iCs/>
          <w:sz w:val="24"/>
          <w:szCs w:val="24"/>
          <w:lang w:val="ru-MD"/>
        </w:rPr>
        <w:t>Детальное изложение уровня внедрения рекомендаций и сроков их введения в действие представлено в Приложении №22 к настоящему Отчету аудита</w:t>
      </w:r>
      <w:r w:rsidR="00F5036B" w:rsidRPr="00C06635">
        <w:rPr>
          <w:rFonts w:asciiTheme="majorHAnsi" w:hAnsiTheme="majorHAnsi" w:cs="Calibri Light"/>
          <w:iCs/>
          <w:sz w:val="24"/>
          <w:szCs w:val="24"/>
          <w:lang w:val="ru-MD"/>
        </w:rPr>
        <w:t>.</w:t>
      </w:r>
    </w:p>
    <w:p w14:paraId="6FAD75EF" w14:textId="26ECE67D" w:rsidR="00563E08" w:rsidRPr="00653E85" w:rsidRDefault="00485B16" w:rsidP="00FE54EB">
      <w:pPr>
        <w:spacing w:line="276" w:lineRule="auto"/>
        <w:jc w:val="both"/>
        <w:rPr>
          <w:rFonts w:asciiTheme="majorHAnsi" w:hAnsiTheme="majorHAnsi" w:cs="Calibri Light"/>
          <w:iCs/>
          <w:sz w:val="24"/>
          <w:szCs w:val="24"/>
          <w:lang w:val="ro-MD"/>
        </w:rPr>
      </w:pPr>
      <w:r w:rsidRPr="00485B16">
        <w:rPr>
          <w:rFonts w:asciiTheme="majorHAnsi" w:hAnsiTheme="majorHAnsi" w:cstheme="majorHAnsi"/>
          <w:noProof/>
          <w:sz w:val="24"/>
          <w:szCs w:val="24"/>
          <w:lang w:val="ro-MD"/>
        </w:rPr>
        <w:t>Что касается П</w:t>
      </w:r>
      <w:r w:rsidR="004860A3">
        <w:rPr>
          <w:rFonts w:asciiTheme="majorHAnsi" w:hAnsiTheme="majorHAnsi" w:cstheme="majorHAnsi"/>
          <w:noProof/>
          <w:sz w:val="24"/>
          <w:szCs w:val="24"/>
          <w:lang w:val="ro-MD"/>
        </w:rPr>
        <w:t>остановления Счетной палаты №</w:t>
      </w:r>
      <w:r w:rsidRPr="00485B16">
        <w:rPr>
          <w:rFonts w:asciiTheme="majorHAnsi" w:hAnsiTheme="majorHAnsi" w:cstheme="majorHAnsi"/>
          <w:noProof/>
          <w:sz w:val="24"/>
          <w:szCs w:val="24"/>
          <w:lang w:val="ro-MD"/>
        </w:rPr>
        <w:t xml:space="preserve">96 от 18.12.2018 </w:t>
      </w:r>
      <w:r w:rsidR="005F0AA5" w:rsidRPr="00485B16">
        <w:rPr>
          <w:rFonts w:asciiTheme="majorHAnsi" w:hAnsiTheme="majorHAnsi" w:cstheme="majorHAnsi"/>
          <w:noProof/>
          <w:sz w:val="24"/>
          <w:szCs w:val="24"/>
          <w:lang w:val="ro-MD"/>
        </w:rPr>
        <w:t>„</w:t>
      </w:r>
      <w:r w:rsidR="005F0AA5">
        <w:rPr>
          <w:rFonts w:asciiTheme="majorHAnsi" w:hAnsiTheme="majorHAnsi" w:cstheme="majorHAnsi"/>
          <w:noProof/>
          <w:sz w:val="24"/>
          <w:szCs w:val="24"/>
          <w:lang w:val="ru-RU"/>
        </w:rPr>
        <w:t>По О</w:t>
      </w:r>
      <w:r w:rsidRPr="00485B16">
        <w:rPr>
          <w:rFonts w:asciiTheme="majorHAnsi" w:hAnsiTheme="majorHAnsi" w:cstheme="majorHAnsi"/>
          <w:noProof/>
          <w:sz w:val="24"/>
          <w:szCs w:val="24"/>
          <w:lang w:val="ro-MD"/>
        </w:rPr>
        <w:t>тчет</w:t>
      </w:r>
      <w:r w:rsidR="005F0AA5">
        <w:rPr>
          <w:rFonts w:asciiTheme="majorHAnsi" w:hAnsiTheme="majorHAnsi" w:cstheme="majorHAnsi"/>
          <w:noProof/>
          <w:sz w:val="24"/>
          <w:szCs w:val="24"/>
          <w:lang w:val="ru-RU"/>
        </w:rPr>
        <w:t>у</w:t>
      </w:r>
      <w:r w:rsidRPr="00485B16">
        <w:rPr>
          <w:rFonts w:asciiTheme="majorHAnsi" w:hAnsiTheme="majorHAnsi" w:cstheme="majorHAnsi"/>
          <w:noProof/>
          <w:sz w:val="24"/>
          <w:szCs w:val="24"/>
          <w:lang w:val="ro-MD"/>
        </w:rPr>
        <w:t xml:space="preserve"> аудит</w:t>
      </w:r>
      <w:r w:rsidR="005F0AA5">
        <w:rPr>
          <w:rFonts w:asciiTheme="majorHAnsi" w:hAnsiTheme="majorHAnsi" w:cstheme="majorHAnsi"/>
          <w:noProof/>
          <w:sz w:val="24"/>
          <w:szCs w:val="24"/>
          <w:lang w:val="ru-RU"/>
        </w:rPr>
        <w:t>а</w:t>
      </w:r>
      <w:r w:rsidRPr="00485B16">
        <w:rPr>
          <w:rFonts w:asciiTheme="majorHAnsi" w:hAnsiTheme="majorHAnsi" w:cstheme="majorHAnsi"/>
          <w:noProof/>
          <w:sz w:val="24"/>
          <w:szCs w:val="24"/>
          <w:lang w:val="ro-MD"/>
        </w:rPr>
        <w:t xml:space="preserve"> соответствия „</w:t>
      </w:r>
      <w:r w:rsidR="005F0AA5">
        <w:rPr>
          <w:rFonts w:asciiTheme="majorHAnsi" w:hAnsiTheme="majorHAnsi" w:cstheme="majorHAnsi"/>
          <w:noProof/>
          <w:sz w:val="24"/>
          <w:szCs w:val="24"/>
          <w:lang w:val="ru-RU"/>
        </w:rPr>
        <w:t>Д</w:t>
      </w:r>
      <w:r w:rsidRPr="00485B16">
        <w:rPr>
          <w:rFonts w:asciiTheme="majorHAnsi" w:hAnsiTheme="majorHAnsi" w:cstheme="majorHAnsi"/>
          <w:noProof/>
          <w:sz w:val="24"/>
          <w:szCs w:val="24"/>
          <w:lang w:val="ro-MD"/>
        </w:rPr>
        <w:t xml:space="preserve">екларации о заработной плате и выплатах в Национальный </w:t>
      </w:r>
      <w:r w:rsidR="005F0AA5">
        <w:rPr>
          <w:rFonts w:asciiTheme="majorHAnsi" w:hAnsiTheme="majorHAnsi" w:cstheme="majorHAnsi"/>
          <w:noProof/>
          <w:sz w:val="24"/>
          <w:szCs w:val="24"/>
          <w:lang w:val="ru-RU"/>
        </w:rPr>
        <w:t>публич</w:t>
      </w:r>
      <w:r w:rsidRPr="00485B16">
        <w:rPr>
          <w:rFonts w:asciiTheme="majorHAnsi" w:hAnsiTheme="majorHAnsi" w:cstheme="majorHAnsi"/>
          <w:noProof/>
          <w:sz w:val="24"/>
          <w:szCs w:val="24"/>
          <w:lang w:val="ro-MD"/>
        </w:rPr>
        <w:t xml:space="preserve">ный бюджет, а также о влиянии на социальные права граждан”” и №20 </w:t>
      </w:r>
      <w:r w:rsidR="005F0AA5">
        <w:rPr>
          <w:rFonts w:asciiTheme="majorHAnsi" w:hAnsiTheme="majorHAnsi" w:cstheme="majorHAnsi"/>
          <w:noProof/>
          <w:sz w:val="24"/>
          <w:szCs w:val="24"/>
          <w:lang w:val="ru-RU"/>
        </w:rPr>
        <w:t>от</w:t>
      </w:r>
      <w:r w:rsidRPr="00485B16">
        <w:rPr>
          <w:rFonts w:asciiTheme="majorHAnsi" w:hAnsiTheme="majorHAnsi" w:cstheme="majorHAnsi"/>
          <w:noProof/>
          <w:sz w:val="24"/>
          <w:szCs w:val="24"/>
          <w:lang w:val="ro-MD"/>
        </w:rPr>
        <w:t xml:space="preserve"> 03.06.2021 „</w:t>
      </w:r>
      <w:r w:rsidR="005F0AA5">
        <w:rPr>
          <w:rFonts w:asciiTheme="majorHAnsi" w:hAnsiTheme="majorHAnsi" w:cstheme="majorHAnsi"/>
          <w:noProof/>
          <w:sz w:val="24"/>
          <w:szCs w:val="24"/>
          <w:lang w:val="ru-RU"/>
        </w:rPr>
        <w:t>По</w:t>
      </w:r>
      <w:r w:rsidRPr="00485B16">
        <w:rPr>
          <w:rFonts w:asciiTheme="majorHAnsi" w:hAnsiTheme="majorHAnsi" w:cstheme="majorHAnsi"/>
          <w:noProof/>
          <w:sz w:val="24"/>
          <w:szCs w:val="24"/>
          <w:lang w:val="ro-MD"/>
        </w:rPr>
        <w:t xml:space="preserve"> </w:t>
      </w:r>
      <w:r w:rsidR="005F0AA5">
        <w:rPr>
          <w:rFonts w:asciiTheme="majorHAnsi" w:hAnsiTheme="majorHAnsi" w:cstheme="majorHAnsi"/>
          <w:noProof/>
          <w:sz w:val="24"/>
          <w:szCs w:val="24"/>
          <w:lang w:val="ru-RU"/>
        </w:rPr>
        <w:t>О</w:t>
      </w:r>
      <w:r w:rsidRPr="00485B16">
        <w:rPr>
          <w:rFonts w:asciiTheme="majorHAnsi" w:hAnsiTheme="majorHAnsi" w:cstheme="majorHAnsi"/>
          <w:noProof/>
          <w:sz w:val="24"/>
          <w:szCs w:val="24"/>
          <w:lang w:val="ro-MD"/>
        </w:rPr>
        <w:t>тчет</w:t>
      </w:r>
      <w:r w:rsidR="005F0AA5">
        <w:rPr>
          <w:rFonts w:asciiTheme="majorHAnsi" w:hAnsiTheme="majorHAnsi" w:cstheme="majorHAnsi"/>
          <w:noProof/>
          <w:sz w:val="24"/>
          <w:szCs w:val="24"/>
          <w:lang w:val="ru-RU"/>
        </w:rPr>
        <w:t>у</w:t>
      </w:r>
      <w:r w:rsidRPr="00485B16">
        <w:rPr>
          <w:rFonts w:asciiTheme="majorHAnsi" w:hAnsiTheme="majorHAnsi" w:cstheme="majorHAnsi"/>
          <w:noProof/>
          <w:sz w:val="24"/>
          <w:szCs w:val="24"/>
          <w:lang w:val="ro-MD"/>
        </w:rPr>
        <w:t xml:space="preserve"> финансового аудита </w:t>
      </w:r>
      <w:r w:rsidR="005F0AA5">
        <w:rPr>
          <w:rFonts w:asciiTheme="majorHAnsi" w:hAnsiTheme="majorHAnsi" w:cstheme="majorHAnsi"/>
          <w:noProof/>
          <w:sz w:val="24"/>
          <w:szCs w:val="24"/>
          <w:lang w:val="ru-RU"/>
        </w:rPr>
        <w:t>О</w:t>
      </w:r>
      <w:r w:rsidRPr="00485B16">
        <w:rPr>
          <w:rFonts w:asciiTheme="majorHAnsi" w:hAnsiTheme="majorHAnsi" w:cstheme="majorHAnsi"/>
          <w:noProof/>
          <w:sz w:val="24"/>
          <w:szCs w:val="24"/>
          <w:lang w:val="ro-MD"/>
        </w:rPr>
        <w:t xml:space="preserve">тчета </w:t>
      </w:r>
      <w:r w:rsidR="005F0AA5">
        <w:rPr>
          <w:rFonts w:asciiTheme="majorHAnsi" w:hAnsiTheme="majorHAnsi" w:cstheme="majorHAnsi"/>
          <w:noProof/>
          <w:sz w:val="24"/>
          <w:szCs w:val="24"/>
          <w:lang w:val="ru-RU"/>
        </w:rPr>
        <w:t>П</w:t>
      </w:r>
      <w:r w:rsidRPr="00485B16">
        <w:rPr>
          <w:rFonts w:asciiTheme="majorHAnsi" w:hAnsiTheme="majorHAnsi" w:cstheme="majorHAnsi"/>
          <w:noProof/>
          <w:sz w:val="24"/>
          <w:szCs w:val="24"/>
          <w:lang w:val="ro-MD"/>
        </w:rPr>
        <w:t xml:space="preserve">равительства об исполнении </w:t>
      </w:r>
      <w:r w:rsidR="005F0AA5">
        <w:rPr>
          <w:rFonts w:asciiTheme="majorHAnsi" w:hAnsiTheme="majorHAnsi" w:cstheme="majorHAnsi"/>
          <w:noProof/>
          <w:sz w:val="24"/>
          <w:szCs w:val="24"/>
          <w:lang w:val="ru-RU"/>
        </w:rPr>
        <w:t>Б</w:t>
      </w:r>
      <w:r w:rsidRPr="00485B16">
        <w:rPr>
          <w:rFonts w:asciiTheme="majorHAnsi" w:hAnsiTheme="majorHAnsi" w:cstheme="majorHAnsi"/>
          <w:noProof/>
          <w:sz w:val="24"/>
          <w:szCs w:val="24"/>
          <w:lang w:val="ro-MD"/>
        </w:rPr>
        <w:t>юджета государственного социального страхования на 2020 год</w:t>
      </w:r>
      <w:r w:rsidR="005F0AA5" w:rsidRPr="00FE54EB">
        <w:rPr>
          <w:rFonts w:asciiTheme="majorHAnsi" w:hAnsiTheme="majorHAnsi" w:cstheme="majorHAnsi"/>
          <w:noProof/>
          <w:sz w:val="24"/>
          <w:szCs w:val="24"/>
          <w:lang w:val="ro-MD"/>
        </w:rPr>
        <w:t>”</w:t>
      </w:r>
      <w:r w:rsidR="005F0AA5">
        <w:rPr>
          <w:rFonts w:asciiTheme="majorHAnsi" w:hAnsiTheme="majorHAnsi" w:cstheme="majorHAnsi"/>
          <w:noProof/>
          <w:sz w:val="24"/>
          <w:szCs w:val="24"/>
          <w:lang w:val="ru-RU"/>
        </w:rPr>
        <w:t>, отмеч</w:t>
      </w:r>
      <w:r w:rsidRPr="00485B16">
        <w:rPr>
          <w:rFonts w:asciiTheme="majorHAnsi" w:hAnsiTheme="majorHAnsi" w:cstheme="majorHAnsi"/>
          <w:noProof/>
          <w:sz w:val="24"/>
          <w:szCs w:val="24"/>
          <w:lang w:val="ro-MD"/>
        </w:rPr>
        <w:t xml:space="preserve">ается, что 7 рекомендаций, </w:t>
      </w:r>
      <w:r w:rsidR="005F0AA5">
        <w:rPr>
          <w:rFonts w:asciiTheme="majorHAnsi" w:hAnsiTheme="majorHAnsi" w:cstheme="majorHAnsi"/>
          <w:noProof/>
          <w:sz w:val="24"/>
          <w:szCs w:val="24"/>
          <w:lang w:val="ru-RU"/>
        </w:rPr>
        <w:t>направле</w:t>
      </w:r>
      <w:r w:rsidRPr="00485B16">
        <w:rPr>
          <w:rFonts w:asciiTheme="majorHAnsi" w:hAnsiTheme="majorHAnsi" w:cstheme="majorHAnsi"/>
          <w:noProof/>
          <w:sz w:val="24"/>
          <w:szCs w:val="24"/>
          <w:lang w:val="ro-MD"/>
        </w:rPr>
        <w:t xml:space="preserve">нных </w:t>
      </w:r>
      <w:r w:rsidR="005F0AA5">
        <w:rPr>
          <w:rFonts w:asciiTheme="majorHAnsi" w:hAnsiTheme="majorHAnsi" w:cstheme="majorHAnsi"/>
          <w:noProof/>
          <w:sz w:val="24"/>
          <w:szCs w:val="24"/>
          <w:lang w:val="ru-RU"/>
        </w:rPr>
        <w:t>некоторым субъектам</w:t>
      </w:r>
      <w:r w:rsidR="005F0AA5" w:rsidRPr="00FE54EB">
        <w:rPr>
          <w:rStyle w:val="a5"/>
          <w:rFonts w:asciiTheme="majorHAnsi" w:eastAsia="Times New Roman" w:hAnsiTheme="majorHAnsi" w:cstheme="majorHAnsi"/>
          <w:sz w:val="24"/>
          <w:szCs w:val="24"/>
          <w:lang w:val="ro-RO" w:eastAsia="ru-RU"/>
        </w:rPr>
        <w:footnoteReference w:id="63"/>
      </w:r>
      <w:r w:rsidRPr="00485B16">
        <w:rPr>
          <w:rFonts w:asciiTheme="majorHAnsi" w:hAnsiTheme="majorHAnsi" w:cstheme="majorHAnsi"/>
          <w:noProof/>
          <w:sz w:val="24"/>
          <w:szCs w:val="24"/>
          <w:lang w:val="ro-MD"/>
        </w:rPr>
        <w:t xml:space="preserve">, не были реализованы или </w:t>
      </w:r>
      <w:r w:rsidR="005F0AA5">
        <w:rPr>
          <w:rFonts w:asciiTheme="majorHAnsi" w:hAnsiTheme="majorHAnsi" w:cstheme="majorHAnsi"/>
          <w:noProof/>
          <w:sz w:val="24"/>
          <w:szCs w:val="24"/>
          <w:lang w:val="ru-RU"/>
        </w:rPr>
        <w:t xml:space="preserve">только </w:t>
      </w:r>
      <w:r w:rsidRPr="00485B16">
        <w:rPr>
          <w:rFonts w:asciiTheme="majorHAnsi" w:hAnsiTheme="majorHAnsi" w:cstheme="majorHAnsi"/>
          <w:noProof/>
          <w:sz w:val="24"/>
          <w:szCs w:val="24"/>
          <w:lang w:val="ro-MD"/>
        </w:rPr>
        <w:t xml:space="preserve">частично реализованы, поэтому они были </w:t>
      </w:r>
      <w:r w:rsidR="005F0AA5">
        <w:rPr>
          <w:rFonts w:asciiTheme="majorHAnsi" w:hAnsiTheme="majorHAnsi" w:cstheme="majorHAnsi"/>
          <w:noProof/>
          <w:sz w:val="24"/>
          <w:szCs w:val="24"/>
          <w:lang w:val="ru-RU"/>
        </w:rPr>
        <w:t xml:space="preserve">изложены </w:t>
      </w:r>
      <w:r w:rsidRPr="00485B16">
        <w:rPr>
          <w:rFonts w:asciiTheme="majorHAnsi" w:hAnsiTheme="majorHAnsi" w:cstheme="majorHAnsi"/>
          <w:noProof/>
          <w:sz w:val="24"/>
          <w:szCs w:val="24"/>
          <w:lang w:val="ro-MD"/>
        </w:rPr>
        <w:t>повтор</w:t>
      </w:r>
      <w:r w:rsidR="005F0AA5">
        <w:rPr>
          <w:rFonts w:asciiTheme="majorHAnsi" w:hAnsiTheme="majorHAnsi" w:cstheme="majorHAnsi"/>
          <w:noProof/>
          <w:sz w:val="24"/>
          <w:szCs w:val="24"/>
          <w:lang w:val="ru-RU"/>
        </w:rPr>
        <w:t>но</w:t>
      </w:r>
      <w:r w:rsidRPr="00485B16">
        <w:rPr>
          <w:rFonts w:asciiTheme="majorHAnsi" w:hAnsiTheme="majorHAnsi" w:cstheme="majorHAnsi"/>
          <w:noProof/>
          <w:sz w:val="24"/>
          <w:szCs w:val="24"/>
          <w:lang w:val="ro-MD"/>
        </w:rPr>
        <w:t xml:space="preserve"> в настоящем </w:t>
      </w:r>
      <w:r w:rsidR="005F0AA5">
        <w:rPr>
          <w:rFonts w:asciiTheme="majorHAnsi" w:hAnsiTheme="majorHAnsi" w:cstheme="majorHAnsi"/>
          <w:noProof/>
          <w:sz w:val="24"/>
          <w:szCs w:val="24"/>
          <w:lang w:val="ru-RU"/>
        </w:rPr>
        <w:t>О</w:t>
      </w:r>
      <w:r w:rsidRPr="00485B16">
        <w:rPr>
          <w:rFonts w:asciiTheme="majorHAnsi" w:hAnsiTheme="majorHAnsi" w:cstheme="majorHAnsi"/>
          <w:noProof/>
          <w:sz w:val="24"/>
          <w:szCs w:val="24"/>
          <w:lang w:val="ro-MD"/>
        </w:rPr>
        <w:t xml:space="preserve">тчете </w:t>
      </w:r>
      <w:r w:rsidR="005F0AA5">
        <w:rPr>
          <w:rFonts w:asciiTheme="majorHAnsi" w:hAnsiTheme="majorHAnsi" w:cstheme="majorHAnsi"/>
          <w:noProof/>
          <w:sz w:val="24"/>
          <w:szCs w:val="24"/>
          <w:lang w:val="ru-RU"/>
        </w:rPr>
        <w:t>аудита</w:t>
      </w:r>
      <w:r w:rsidR="00563E08" w:rsidRPr="00FE54EB">
        <w:rPr>
          <w:rFonts w:asciiTheme="majorHAnsi" w:hAnsiTheme="majorHAnsi" w:cstheme="majorHAnsi"/>
          <w:noProof/>
          <w:sz w:val="24"/>
          <w:szCs w:val="24"/>
          <w:lang w:val="ro-MD"/>
        </w:rPr>
        <w:t>.</w:t>
      </w:r>
      <w:r w:rsidR="00563E08">
        <w:rPr>
          <w:rFonts w:asciiTheme="majorHAnsi" w:hAnsiTheme="majorHAnsi" w:cstheme="majorHAnsi"/>
          <w:noProof/>
          <w:sz w:val="24"/>
          <w:szCs w:val="24"/>
          <w:lang w:val="ro-MD"/>
        </w:rPr>
        <w:t xml:space="preserve"> </w:t>
      </w:r>
    </w:p>
    <w:p w14:paraId="3480F538" w14:textId="5766109B" w:rsidR="00756056" w:rsidRPr="00653E85" w:rsidRDefault="008962F2" w:rsidP="008962F2">
      <w:pPr>
        <w:pStyle w:val="aa"/>
        <w:numPr>
          <w:ilvl w:val="1"/>
          <w:numId w:val="2"/>
        </w:numPr>
        <w:shd w:val="clear" w:color="auto" w:fill="FFFFFF" w:themeFill="background1"/>
        <w:spacing w:line="276" w:lineRule="auto"/>
        <w:ind w:left="0" w:firstLine="0"/>
        <w:jc w:val="both"/>
        <w:outlineLvl w:val="1"/>
        <w:rPr>
          <w:rFonts w:asciiTheme="majorHAnsi" w:hAnsiTheme="majorHAnsi" w:cstheme="majorHAnsi"/>
          <w:b/>
          <w:sz w:val="24"/>
          <w:szCs w:val="24"/>
          <w:lang w:val="ro-MD"/>
        </w:rPr>
      </w:pPr>
      <w:r w:rsidRPr="00D72DA5">
        <w:rPr>
          <w:rFonts w:asciiTheme="majorHAnsi" w:eastAsia="Times New Roman" w:hAnsiTheme="majorHAnsi" w:cstheme="majorHAnsi"/>
          <w:b/>
          <w:color w:val="000000" w:themeColor="text1"/>
          <w:sz w:val="24"/>
          <w:szCs w:val="24"/>
          <w:lang w:val="ru-MD"/>
        </w:rPr>
        <w:t xml:space="preserve">Невозможность/ограничение аудита </w:t>
      </w:r>
      <w:r w:rsidR="00D72DA5" w:rsidRPr="00D72DA5">
        <w:rPr>
          <w:rFonts w:asciiTheme="majorHAnsi" w:eastAsia="Times New Roman" w:hAnsiTheme="majorHAnsi" w:cstheme="majorHAnsi"/>
          <w:b/>
          <w:color w:val="000000" w:themeColor="text1"/>
          <w:sz w:val="24"/>
          <w:szCs w:val="24"/>
          <w:lang w:val="ru-MD"/>
        </w:rPr>
        <w:t>в</w:t>
      </w:r>
      <w:r w:rsidRPr="00D72DA5">
        <w:rPr>
          <w:rFonts w:asciiTheme="majorHAnsi" w:eastAsia="Times New Roman" w:hAnsiTheme="majorHAnsi" w:cstheme="majorHAnsi"/>
          <w:b/>
          <w:color w:val="000000" w:themeColor="text1"/>
          <w:sz w:val="24"/>
          <w:szCs w:val="24"/>
          <w:lang w:val="ru-MD"/>
        </w:rPr>
        <w:t xml:space="preserve"> </w:t>
      </w:r>
      <w:r w:rsidR="00D72DA5" w:rsidRPr="00D72DA5">
        <w:rPr>
          <w:rFonts w:asciiTheme="majorHAnsi" w:eastAsia="Times New Roman" w:hAnsiTheme="majorHAnsi" w:cstheme="majorHAnsi"/>
          <w:b/>
          <w:color w:val="000000" w:themeColor="text1"/>
          <w:sz w:val="24"/>
          <w:szCs w:val="24"/>
          <w:lang w:val="ru-MD"/>
        </w:rPr>
        <w:t xml:space="preserve">проведении </w:t>
      </w:r>
      <w:r w:rsidRPr="00D72DA5">
        <w:rPr>
          <w:rFonts w:asciiTheme="majorHAnsi" w:eastAsia="Times New Roman" w:hAnsiTheme="majorHAnsi" w:cstheme="majorHAnsi"/>
          <w:b/>
          <w:color w:val="000000" w:themeColor="text1"/>
          <w:sz w:val="24"/>
          <w:szCs w:val="24"/>
          <w:lang w:val="ru-MD"/>
        </w:rPr>
        <w:t>проверк</w:t>
      </w:r>
      <w:r w:rsidR="00D72DA5" w:rsidRPr="00D72DA5">
        <w:rPr>
          <w:rFonts w:asciiTheme="majorHAnsi" w:eastAsia="Times New Roman" w:hAnsiTheme="majorHAnsi" w:cstheme="majorHAnsi"/>
          <w:b/>
          <w:color w:val="000000" w:themeColor="text1"/>
          <w:sz w:val="24"/>
          <w:szCs w:val="24"/>
          <w:lang w:val="ru-MD"/>
        </w:rPr>
        <w:t>и</w:t>
      </w:r>
      <w:r w:rsidRPr="00D72DA5">
        <w:rPr>
          <w:rFonts w:asciiTheme="majorHAnsi" w:eastAsia="Times New Roman" w:hAnsiTheme="majorHAnsi" w:cstheme="majorHAnsi"/>
          <w:b/>
          <w:color w:val="000000" w:themeColor="text1"/>
          <w:sz w:val="24"/>
          <w:szCs w:val="24"/>
          <w:lang w:val="ru-MD"/>
        </w:rPr>
        <w:t xml:space="preserve"> правильности пособия по </w:t>
      </w:r>
      <w:r w:rsidR="00D72DA5" w:rsidRPr="00D72DA5">
        <w:rPr>
          <w:rFonts w:asciiTheme="majorHAnsi" w:eastAsia="Times New Roman" w:hAnsiTheme="majorHAnsi" w:cstheme="majorHAnsi"/>
          <w:b/>
          <w:color w:val="000000" w:themeColor="text1"/>
          <w:sz w:val="24"/>
          <w:szCs w:val="24"/>
          <w:lang w:val="ru-MD"/>
        </w:rPr>
        <w:t xml:space="preserve">технической </w:t>
      </w:r>
      <w:r w:rsidRPr="00D72DA5">
        <w:rPr>
          <w:rFonts w:asciiTheme="majorHAnsi" w:eastAsia="Times New Roman" w:hAnsiTheme="majorHAnsi" w:cstheme="majorHAnsi"/>
          <w:b/>
          <w:color w:val="000000" w:themeColor="text1"/>
          <w:sz w:val="24"/>
          <w:szCs w:val="24"/>
          <w:lang w:val="ru-MD"/>
        </w:rPr>
        <w:t>безработице в размере 2 126,9 тыс. леев</w:t>
      </w:r>
      <w:r w:rsidR="00D72DA5" w:rsidRPr="00D72DA5">
        <w:rPr>
          <w:rFonts w:asciiTheme="majorHAnsi" w:eastAsia="Times New Roman" w:hAnsiTheme="majorHAnsi" w:cstheme="majorHAnsi"/>
          <w:b/>
          <w:color w:val="000000" w:themeColor="text1"/>
          <w:sz w:val="24"/>
          <w:szCs w:val="24"/>
          <w:lang w:val="ru-MD"/>
        </w:rPr>
        <w:t>,</w:t>
      </w:r>
      <w:r w:rsidRPr="00D72DA5">
        <w:rPr>
          <w:rFonts w:asciiTheme="majorHAnsi" w:eastAsia="Times New Roman" w:hAnsiTheme="majorHAnsi" w:cstheme="majorHAnsi"/>
          <w:b/>
          <w:color w:val="000000" w:themeColor="text1"/>
          <w:sz w:val="24"/>
          <w:szCs w:val="24"/>
          <w:lang w:val="ru-MD"/>
        </w:rPr>
        <w:t xml:space="preserve"> возникла из-за отсутствия полной информации, не</w:t>
      </w:r>
      <w:r w:rsidR="00D72DA5" w:rsidRPr="00D72DA5">
        <w:rPr>
          <w:rFonts w:asciiTheme="majorHAnsi" w:eastAsia="Times New Roman" w:hAnsiTheme="majorHAnsi" w:cstheme="majorHAnsi"/>
          <w:b/>
          <w:color w:val="000000" w:themeColor="text1"/>
          <w:sz w:val="24"/>
          <w:szCs w:val="24"/>
          <w:lang w:val="ru-MD"/>
        </w:rPr>
        <w:t>представления</w:t>
      </w:r>
      <w:r w:rsidRPr="00D72DA5">
        <w:rPr>
          <w:rFonts w:asciiTheme="majorHAnsi" w:eastAsia="Times New Roman" w:hAnsiTheme="majorHAnsi" w:cstheme="majorHAnsi"/>
          <w:b/>
          <w:color w:val="000000" w:themeColor="text1"/>
          <w:sz w:val="24"/>
          <w:szCs w:val="24"/>
          <w:lang w:val="ru-MD"/>
        </w:rPr>
        <w:t xml:space="preserve"> </w:t>
      </w:r>
      <w:r w:rsidR="00D72DA5" w:rsidRPr="00D72DA5">
        <w:rPr>
          <w:rFonts w:asciiTheme="majorHAnsi" w:eastAsia="Times New Roman" w:hAnsiTheme="majorHAnsi" w:cstheme="majorHAnsi"/>
          <w:b/>
          <w:color w:val="000000" w:themeColor="text1"/>
          <w:sz w:val="24"/>
          <w:szCs w:val="24"/>
          <w:lang w:val="ru-MD"/>
        </w:rPr>
        <w:t>ее</w:t>
      </w:r>
      <w:r w:rsidRPr="00D72DA5">
        <w:rPr>
          <w:rFonts w:asciiTheme="majorHAnsi" w:eastAsia="Times New Roman" w:hAnsiTheme="majorHAnsi" w:cstheme="majorHAnsi"/>
          <w:b/>
          <w:color w:val="000000" w:themeColor="text1"/>
          <w:sz w:val="24"/>
          <w:szCs w:val="24"/>
          <w:lang w:val="ru-MD"/>
        </w:rPr>
        <w:t xml:space="preserve"> в срок </w:t>
      </w:r>
      <w:r w:rsidR="00D72DA5" w:rsidRPr="00D72DA5">
        <w:rPr>
          <w:rFonts w:asciiTheme="majorHAnsi" w:eastAsia="Times New Roman" w:hAnsiTheme="majorHAnsi" w:cstheme="majorHAnsi"/>
          <w:b/>
          <w:color w:val="000000" w:themeColor="text1"/>
          <w:sz w:val="24"/>
          <w:szCs w:val="24"/>
          <w:lang w:val="ru-MD"/>
        </w:rPr>
        <w:t>ответств</w:t>
      </w:r>
      <w:r w:rsidRPr="00D72DA5">
        <w:rPr>
          <w:rFonts w:asciiTheme="majorHAnsi" w:eastAsia="Times New Roman" w:hAnsiTheme="majorHAnsi" w:cstheme="majorHAnsi"/>
          <w:b/>
          <w:color w:val="000000" w:themeColor="text1"/>
          <w:sz w:val="24"/>
          <w:szCs w:val="24"/>
          <w:lang w:val="ru-MD"/>
        </w:rPr>
        <w:t>енными учреждениями, отсутствия контрол</w:t>
      </w:r>
      <w:r w:rsidR="00D72DA5" w:rsidRPr="00D72DA5">
        <w:rPr>
          <w:rFonts w:asciiTheme="majorHAnsi" w:eastAsia="Times New Roman" w:hAnsiTheme="majorHAnsi" w:cstheme="majorHAnsi"/>
          <w:b/>
          <w:color w:val="000000" w:themeColor="text1"/>
          <w:sz w:val="24"/>
          <w:szCs w:val="24"/>
          <w:lang w:val="ru-MD"/>
        </w:rPr>
        <w:t>ей</w:t>
      </w:r>
      <w:r w:rsidRPr="00D72DA5">
        <w:rPr>
          <w:rFonts w:asciiTheme="majorHAnsi" w:eastAsia="Times New Roman" w:hAnsiTheme="majorHAnsi" w:cstheme="majorHAnsi"/>
          <w:b/>
          <w:color w:val="000000" w:themeColor="text1"/>
          <w:sz w:val="24"/>
          <w:szCs w:val="24"/>
          <w:lang w:val="ru-MD"/>
        </w:rPr>
        <w:t xml:space="preserve">, а также отсутствия разграничения отчетности </w:t>
      </w:r>
      <w:r w:rsidR="00D72DA5" w:rsidRPr="00D72DA5">
        <w:rPr>
          <w:rFonts w:asciiTheme="majorHAnsi" w:eastAsia="Times New Roman" w:hAnsiTheme="majorHAnsi" w:cstheme="majorHAnsi"/>
          <w:b/>
          <w:color w:val="000000" w:themeColor="text1"/>
          <w:sz w:val="24"/>
          <w:szCs w:val="24"/>
          <w:lang w:val="ru-MD"/>
        </w:rPr>
        <w:t>п</w:t>
      </w:r>
      <w:r w:rsidRPr="00D72DA5">
        <w:rPr>
          <w:rFonts w:asciiTheme="majorHAnsi" w:eastAsia="Times New Roman" w:hAnsiTheme="majorHAnsi" w:cstheme="majorHAnsi"/>
          <w:b/>
          <w:color w:val="000000" w:themeColor="text1"/>
          <w:sz w:val="24"/>
          <w:szCs w:val="24"/>
          <w:lang w:val="ru-MD"/>
        </w:rPr>
        <w:t xml:space="preserve">о </w:t>
      </w:r>
      <w:r w:rsidR="00D72DA5" w:rsidRPr="00D72DA5">
        <w:rPr>
          <w:rFonts w:asciiTheme="majorHAnsi" w:eastAsia="Times New Roman" w:hAnsiTheme="majorHAnsi" w:cstheme="majorHAnsi"/>
          <w:b/>
          <w:color w:val="000000" w:themeColor="text1"/>
          <w:sz w:val="24"/>
          <w:szCs w:val="24"/>
          <w:lang w:val="ru-MD"/>
        </w:rPr>
        <w:t xml:space="preserve">данному </w:t>
      </w:r>
      <w:r w:rsidRPr="00D72DA5">
        <w:rPr>
          <w:rFonts w:asciiTheme="majorHAnsi" w:eastAsia="Times New Roman" w:hAnsiTheme="majorHAnsi" w:cstheme="majorHAnsi"/>
          <w:b/>
          <w:color w:val="000000" w:themeColor="text1"/>
          <w:sz w:val="24"/>
          <w:szCs w:val="24"/>
          <w:lang w:val="ru-MD"/>
        </w:rPr>
        <w:t>пособи</w:t>
      </w:r>
      <w:r w:rsidR="00D72DA5" w:rsidRPr="00D72DA5">
        <w:rPr>
          <w:rFonts w:asciiTheme="majorHAnsi" w:eastAsia="Times New Roman" w:hAnsiTheme="majorHAnsi" w:cstheme="majorHAnsi"/>
          <w:b/>
          <w:color w:val="000000" w:themeColor="text1"/>
          <w:sz w:val="24"/>
          <w:szCs w:val="24"/>
          <w:lang w:val="ru-MD"/>
        </w:rPr>
        <w:t>ю</w:t>
      </w:r>
      <w:r w:rsidRPr="00D72DA5">
        <w:rPr>
          <w:rFonts w:asciiTheme="majorHAnsi" w:eastAsia="Times New Roman" w:hAnsiTheme="majorHAnsi" w:cstheme="majorHAnsi"/>
          <w:b/>
          <w:color w:val="000000" w:themeColor="text1"/>
          <w:sz w:val="24"/>
          <w:szCs w:val="24"/>
          <w:lang w:val="ru-MD"/>
        </w:rPr>
        <w:t xml:space="preserve"> от основной деятельности</w:t>
      </w:r>
      <w:r w:rsidR="00AE0A05" w:rsidRPr="00B7675F">
        <w:rPr>
          <w:rFonts w:asciiTheme="majorHAnsi" w:eastAsia="Times New Roman" w:hAnsiTheme="majorHAnsi" w:cstheme="majorHAnsi"/>
          <w:b/>
          <w:color w:val="000000" w:themeColor="text1"/>
          <w:sz w:val="24"/>
          <w:szCs w:val="24"/>
          <w:lang w:val="ro-MD"/>
        </w:rPr>
        <w:t>.</w:t>
      </w:r>
      <w:r w:rsidR="00756056" w:rsidRPr="00B7675F">
        <w:rPr>
          <w:rFonts w:asciiTheme="majorHAnsi" w:eastAsia="Times New Roman" w:hAnsiTheme="majorHAnsi" w:cstheme="majorHAnsi"/>
          <w:b/>
          <w:color w:val="000000" w:themeColor="text1"/>
          <w:sz w:val="24"/>
          <w:szCs w:val="24"/>
          <w:lang w:val="ro-MD"/>
        </w:rPr>
        <w:t xml:space="preserve"> </w:t>
      </w:r>
    </w:p>
    <w:p w14:paraId="524C4421" w14:textId="2313E1DD" w:rsidR="00756056" w:rsidRPr="00CF28A2" w:rsidRDefault="008962F2" w:rsidP="00902A0E">
      <w:pPr>
        <w:tabs>
          <w:tab w:val="left" w:pos="851"/>
        </w:tabs>
        <w:spacing w:after="0" w:line="276" w:lineRule="auto"/>
        <w:jc w:val="both"/>
        <w:rPr>
          <w:rFonts w:asciiTheme="majorHAnsi" w:hAnsiTheme="majorHAnsi" w:cstheme="majorHAnsi"/>
          <w:sz w:val="24"/>
          <w:szCs w:val="24"/>
          <w:lang w:val="ru-MD"/>
        </w:rPr>
      </w:pPr>
      <w:r w:rsidRPr="00CF28A2">
        <w:rPr>
          <w:rFonts w:asciiTheme="majorHAnsi" w:hAnsiTheme="majorHAnsi" w:cstheme="majorHAnsi"/>
          <w:sz w:val="24"/>
          <w:szCs w:val="24"/>
          <w:lang w:val="ru-MD"/>
        </w:rPr>
        <w:t>В 2022 году из государственного бюджета впервые были предоставлены пособия по технической безработице, введенные в результате ограничений, наложенных чрезвычайным положением в области общественного здравоохранения или в результате объявления чрезвычайного положения, осады и военного положения</w:t>
      </w:r>
      <w:r w:rsidR="006A229C" w:rsidRPr="00CF28A2">
        <w:rPr>
          <w:rFonts w:asciiTheme="majorHAnsi" w:hAnsiTheme="majorHAnsi" w:cstheme="majorHAnsi"/>
          <w:sz w:val="24"/>
          <w:szCs w:val="24"/>
          <w:lang w:val="ru-MD"/>
        </w:rPr>
        <w:t>,</w:t>
      </w:r>
      <w:r w:rsidRPr="00CF28A2">
        <w:rPr>
          <w:rFonts w:asciiTheme="majorHAnsi" w:hAnsiTheme="majorHAnsi" w:cstheme="majorHAnsi"/>
          <w:sz w:val="24"/>
          <w:szCs w:val="24"/>
          <w:lang w:val="ru-MD"/>
        </w:rPr>
        <w:t xml:space="preserve"> в соответствии с законодательством</w:t>
      </w:r>
      <w:r w:rsidR="00D72DA5" w:rsidRPr="00653E85">
        <w:rPr>
          <w:rStyle w:val="a5"/>
          <w:rFonts w:asciiTheme="majorHAnsi" w:hAnsiTheme="majorHAnsi" w:cstheme="majorHAnsi"/>
          <w:color w:val="000000" w:themeColor="text1"/>
          <w:sz w:val="24"/>
          <w:szCs w:val="24"/>
          <w:shd w:val="clear" w:color="auto" w:fill="FFFFFF"/>
          <w:lang w:val="ro-MD"/>
        </w:rPr>
        <w:footnoteReference w:id="64"/>
      </w:r>
      <w:r w:rsidRPr="008962F2">
        <w:rPr>
          <w:rFonts w:asciiTheme="majorHAnsi" w:hAnsiTheme="majorHAnsi" w:cstheme="majorHAnsi"/>
          <w:sz w:val="24"/>
          <w:szCs w:val="24"/>
          <w:lang w:val="ro-MD"/>
        </w:rPr>
        <w:t xml:space="preserve">. </w:t>
      </w:r>
      <w:r w:rsidRPr="00CF28A2">
        <w:rPr>
          <w:rFonts w:asciiTheme="majorHAnsi" w:hAnsiTheme="majorHAnsi" w:cstheme="majorHAnsi"/>
          <w:sz w:val="24"/>
          <w:szCs w:val="24"/>
          <w:lang w:val="ru-MD"/>
        </w:rPr>
        <w:t>Так, в течение 2022 года пособия по технической безработице выплачивались 1 369 бенефициарам (100%) в</w:t>
      </w:r>
      <w:r w:rsidRPr="008962F2">
        <w:rPr>
          <w:rFonts w:asciiTheme="majorHAnsi" w:hAnsiTheme="majorHAnsi" w:cstheme="majorHAnsi"/>
          <w:sz w:val="24"/>
          <w:szCs w:val="24"/>
          <w:lang w:val="ro-MD"/>
        </w:rPr>
        <w:t xml:space="preserve"> </w:t>
      </w:r>
      <w:r w:rsidRPr="00CF28A2">
        <w:rPr>
          <w:rFonts w:asciiTheme="majorHAnsi" w:hAnsiTheme="majorHAnsi" w:cstheme="majorHAnsi"/>
          <w:sz w:val="24"/>
          <w:szCs w:val="24"/>
          <w:lang w:val="ru-MD"/>
        </w:rPr>
        <w:t>размере 2 126,9 тыс. леев. В то же время</w:t>
      </w:r>
      <w:r w:rsidR="00CF28A2" w:rsidRPr="00CF28A2">
        <w:rPr>
          <w:rFonts w:asciiTheme="majorHAnsi" w:hAnsiTheme="majorHAnsi" w:cstheme="majorHAnsi"/>
          <w:sz w:val="24"/>
          <w:szCs w:val="24"/>
          <w:lang w:val="ru-MD"/>
        </w:rPr>
        <w:t>, были</w:t>
      </w:r>
      <w:r w:rsidRPr="00CF28A2">
        <w:rPr>
          <w:rFonts w:asciiTheme="majorHAnsi" w:hAnsiTheme="majorHAnsi" w:cstheme="majorHAnsi"/>
          <w:sz w:val="24"/>
          <w:szCs w:val="24"/>
          <w:lang w:val="ru-MD"/>
        </w:rPr>
        <w:t xml:space="preserve"> приостановлены выплаты 56 бенефициарам на сумму 25,4 тыс. леев</w:t>
      </w:r>
      <w:r w:rsidR="00756056" w:rsidRPr="00CF28A2">
        <w:rPr>
          <w:rFonts w:asciiTheme="majorHAnsi" w:hAnsiTheme="majorHAnsi" w:cstheme="majorHAnsi"/>
          <w:sz w:val="24"/>
          <w:szCs w:val="24"/>
          <w:lang w:val="ru-MD"/>
        </w:rPr>
        <w:t>.</w:t>
      </w:r>
    </w:p>
    <w:p w14:paraId="3B90288F" w14:textId="39118187" w:rsidR="00756056" w:rsidRPr="00CF28A2" w:rsidRDefault="008962F2" w:rsidP="00756056">
      <w:pPr>
        <w:tabs>
          <w:tab w:val="left" w:pos="851"/>
        </w:tabs>
        <w:spacing w:line="276" w:lineRule="auto"/>
        <w:jc w:val="both"/>
        <w:rPr>
          <w:rFonts w:asciiTheme="majorHAnsi" w:hAnsiTheme="majorHAnsi" w:cstheme="majorHAnsi"/>
          <w:sz w:val="24"/>
          <w:szCs w:val="24"/>
          <w:lang w:val="ru-MD"/>
        </w:rPr>
      </w:pPr>
      <w:r w:rsidRPr="00CF28A2">
        <w:rPr>
          <w:rFonts w:asciiTheme="majorHAnsi" w:hAnsiTheme="majorHAnsi" w:cstheme="majorHAnsi"/>
          <w:sz w:val="24"/>
          <w:szCs w:val="24"/>
          <w:lang w:val="ru-MD"/>
        </w:rPr>
        <w:t>Обязанности учреждений, участвующих в предоставлении пособия по безработице, п</w:t>
      </w:r>
      <w:r w:rsidR="00CF28A2" w:rsidRPr="00CF28A2">
        <w:rPr>
          <w:rFonts w:asciiTheme="majorHAnsi" w:hAnsiTheme="majorHAnsi" w:cstheme="majorHAnsi"/>
          <w:sz w:val="24"/>
          <w:szCs w:val="24"/>
          <w:lang w:val="ru-MD"/>
        </w:rPr>
        <w:t>редставле</w:t>
      </w:r>
      <w:r w:rsidRPr="00CF28A2">
        <w:rPr>
          <w:rFonts w:asciiTheme="majorHAnsi" w:hAnsiTheme="majorHAnsi" w:cstheme="majorHAnsi"/>
          <w:sz w:val="24"/>
          <w:szCs w:val="24"/>
          <w:lang w:val="ru-MD"/>
        </w:rPr>
        <w:t>ны на рисунке ниже</w:t>
      </w:r>
      <w:r w:rsidR="00756056" w:rsidRPr="00CF28A2">
        <w:rPr>
          <w:rFonts w:asciiTheme="majorHAnsi" w:hAnsiTheme="majorHAnsi" w:cstheme="majorHAnsi"/>
          <w:sz w:val="24"/>
          <w:szCs w:val="24"/>
          <w:lang w:val="ru-MD"/>
        </w:rPr>
        <w:t>:</w:t>
      </w:r>
    </w:p>
    <w:p w14:paraId="2470DCE7" w14:textId="77777777" w:rsidR="00756056" w:rsidRPr="00653E85" w:rsidRDefault="00756056" w:rsidP="00756056">
      <w:pPr>
        <w:tabs>
          <w:tab w:val="left" w:pos="851"/>
        </w:tabs>
        <w:spacing w:line="276" w:lineRule="auto"/>
        <w:jc w:val="both"/>
        <w:rPr>
          <w:rFonts w:ascii="Georgia" w:hAnsi="Georgia"/>
          <w:color w:val="333333"/>
          <w:shd w:val="clear" w:color="auto" w:fill="FFFFFF"/>
          <w:lang w:val="ro-MD"/>
        </w:rPr>
      </w:pPr>
      <w:r w:rsidRPr="00653E85">
        <w:rPr>
          <w:rFonts w:ascii="Georgia" w:hAnsi="Georgia"/>
          <w:noProof/>
          <w:color w:val="333333"/>
          <w:shd w:val="clear" w:color="auto" w:fill="FFFFFF"/>
          <w:lang w:val="ru-RU" w:eastAsia="ru-RU"/>
        </w:rPr>
        <w:drawing>
          <wp:inline distT="0" distB="0" distL="0" distR="0" wp14:anchorId="72CCCE00" wp14:editId="0CA6C31D">
            <wp:extent cx="6629400" cy="3811219"/>
            <wp:effectExtent l="0" t="38100" r="19050" b="3746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3C15C757" w14:textId="0C21935B" w:rsidR="00490517" w:rsidRPr="001E09A5" w:rsidRDefault="00B7373E" w:rsidP="00756056">
      <w:pPr>
        <w:shd w:val="clear" w:color="auto" w:fill="FFFFFF" w:themeFill="background1"/>
        <w:spacing w:line="276" w:lineRule="auto"/>
        <w:jc w:val="both"/>
        <w:rPr>
          <w:rFonts w:asciiTheme="majorHAnsi" w:hAnsiTheme="majorHAnsi" w:cstheme="majorHAnsi"/>
          <w:i/>
          <w:color w:val="000000" w:themeColor="text1"/>
          <w:szCs w:val="20"/>
          <w:lang w:val="ru-MD"/>
        </w:rPr>
      </w:pPr>
      <w:r w:rsidRPr="001E09A5">
        <w:rPr>
          <w:rFonts w:asciiTheme="majorHAnsi" w:hAnsiTheme="majorHAnsi" w:cstheme="majorHAnsi"/>
          <w:i/>
          <w:color w:val="000000" w:themeColor="text1"/>
          <w:szCs w:val="20"/>
          <w:lang w:val="ru-MD"/>
        </w:rPr>
        <w:t>Рисунок №</w:t>
      </w:r>
      <w:r w:rsidR="008D1DF2" w:rsidRPr="001E09A5">
        <w:rPr>
          <w:rFonts w:asciiTheme="majorHAnsi" w:hAnsiTheme="majorHAnsi" w:cstheme="majorHAnsi"/>
          <w:i/>
          <w:color w:val="000000" w:themeColor="text1"/>
          <w:szCs w:val="20"/>
          <w:lang w:val="ru-MD"/>
        </w:rPr>
        <w:t>4</w:t>
      </w:r>
      <w:r w:rsidR="001E09A5" w:rsidRPr="001E09A5">
        <w:rPr>
          <w:rFonts w:asciiTheme="majorHAnsi" w:hAnsiTheme="majorHAnsi" w:cstheme="majorHAnsi"/>
          <w:i/>
          <w:color w:val="000000" w:themeColor="text1"/>
          <w:szCs w:val="20"/>
          <w:lang w:val="ru-MD"/>
        </w:rPr>
        <w:t>.</w:t>
      </w:r>
      <w:r w:rsidR="00B16306" w:rsidRPr="001E09A5">
        <w:rPr>
          <w:rFonts w:asciiTheme="majorHAnsi" w:hAnsiTheme="majorHAnsi" w:cstheme="majorHAnsi"/>
          <w:i/>
          <w:color w:val="000000" w:themeColor="text1"/>
          <w:szCs w:val="20"/>
          <w:lang w:val="ru-MD"/>
        </w:rPr>
        <w:t xml:space="preserve"> </w:t>
      </w:r>
      <w:r w:rsidR="001E09A5" w:rsidRPr="001E09A5">
        <w:rPr>
          <w:rFonts w:asciiTheme="majorHAnsi" w:hAnsiTheme="majorHAnsi" w:cstheme="majorHAnsi"/>
          <w:i/>
          <w:color w:val="000000" w:themeColor="text1"/>
          <w:szCs w:val="20"/>
          <w:lang w:val="ru-MD"/>
        </w:rPr>
        <w:t>Институциональные структуры, ответственные за предоставление пособия по безработице</w:t>
      </w:r>
      <w:r w:rsidR="001E09A5">
        <w:rPr>
          <w:rFonts w:asciiTheme="majorHAnsi" w:hAnsiTheme="majorHAnsi" w:cstheme="majorHAnsi"/>
          <w:i/>
          <w:color w:val="000000" w:themeColor="text1"/>
          <w:szCs w:val="20"/>
          <w:lang w:val="ru-MD"/>
        </w:rPr>
        <w:t>.</w:t>
      </w:r>
    </w:p>
    <w:p w14:paraId="18D7536D" w14:textId="7396C1F1" w:rsidR="00756056" w:rsidRPr="008B6BA6" w:rsidRDefault="008962F2" w:rsidP="00756056">
      <w:pPr>
        <w:shd w:val="clear" w:color="auto" w:fill="FFFFFF" w:themeFill="background1"/>
        <w:spacing w:line="276" w:lineRule="auto"/>
        <w:jc w:val="both"/>
        <w:rPr>
          <w:rFonts w:asciiTheme="majorHAnsi" w:hAnsiTheme="majorHAnsi" w:cstheme="majorHAnsi"/>
          <w:color w:val="000000" w:themeColor="text1"/>
          <w:sz w:val="24"/>
          <w:szCs w:val="24"/>
          <w:lang w:val="ru-MD"/>
        </w:rPr>
      </w:pPr>
      <w:r w:rsidRPr="008B6BA6">
        <w:rPr>
          <w:rFonts w:asciiTheme="majorHAnsi" w:hAnsiTheme="majorHAnsi" w:cstheme="majorHAnsi"/>
          <w:color w:val="000000" w:themeColor="text1"/>
          <w:sz w:val="24"/>
          <w:szCs w:val="24"/>
          <w:lang w:val="ru-MD"/>
        </w:rPr>
        <w:t>Для о</w:t>
      </w:r>
      <w:r w:rsidR="008B6BA6">
        <w:rPr>
          <w:rFonts w:asciiTheme="majorHAnsi" w:hAnsiTheme="majorHAnsi" w:cstheme="majorHAnsi"/>
          <w:color w:val="000000" w:themeColor="text1"/>
          <w:sz w:val="24"/>
          <w:szCs w:val="24"/>
          <w:lang w:val="ru-MD"/>
        </w:rPr>
        <w:t>предел</w:t>
      </w:r>
      <w:r w:rsidRPr="008B6BA6">
        <w:rPr>
          <w:rFonts w:asciiTheme="majorHAnsi" w:hAnsiTheme="majorHAnsi" w:cstheme="majorHAnsi"/>
          <w:color w:val="000000" w:themeColor="text1"/>
          <w:sz w:val="24"/>
          <w:szCs w:val="24"/>
          <w:lang w:val="ru-MD"/>
        </w:rPr>
        <w:t xml:space="preserve">ения </w:t>
      </w:r>
      <w:r w:rsidR="001B64D0" w:rsidRPr="008B6BA6">
        <w:rPr>
          <w:rFonts w:asciiTheme="majorHAnsi" w:hAnsiTheme="majorHAnsi" w:cstheme="majorHAnsi"/>
          <w:color w:val="000000" w:themeColor="text1"/>
          <w:sz w:val="24"/>
          <w:szCs w:val="24"/>
          <w:lang w:val="ru-MD"/>
        </w:rPr>
        <w:t>правильн</w:t>
      </w:r>
      <w:r w:rsidRPr="008B6BA6">
        <w:rPr>
          <w:rFonts w:asciiTheme="majorHAnsi" w:hAnsiTheme="majorHAnsi" w:cstheme="majorHAnsi"/>
          <w:color w:val="000000" w:themeColor="text1"/>
          <w:sz w:val="24"/>
          <w:szCs w:val="24"/>
          <w:lang w:val="ru-MD"/>
        </w:rPr>
        <w:t>ости установления и выплаты пособия по безработице</w:t>
      </w:r>
      <w:r w:rsidR="001B64D0" w:rsidRPr="008B6BA6">
        <w:rPr>
          <w:rFonts w:asciiTheme="majorHAnsi" w:hAnsiTheme="majorHAnsi" w:cstheme="majorHAnsi"/>
          <w:color w:val="000000" w:themeColor="text1"/>
          <w:sz w:val="24"/>
          <w:szCs w:val="24"/>
          <w:lang w:val="ru-MD"/>
        </w:rPr>
        <w:t>,</w:t>
      </w:r>
      <w:r w:rsidRPr="008B6BA6">
        <w:rPr>
          <w:rFonts w:asciiTheme="majorHAnsi" w:hAnsiTheme="majorHAnsi" w:cstheme="majorHAnsi"/>
          <w:color w:val="000000" w:themeColor="text1"/>
          <w:sz w:val="24"/>
          <w:szCs w:val="24"/>
          <w:lang w:val="ru-MD"/>
        </w:rPr>
        <w:t xml:space="preserve"> аудит запросил список экономических агентов/работодателей, которые установили безработицу в результате ограничений, наложенных чрезвычайн</w:t>
      </w:r>
      <w:r w:rsidR="001B64D0" w:rsidRPr="008B6BA6">
        <w:rPr>
          <w:rFonts w:asciiTheme="majorHAnsi" w:hAnsiTheme="majorHAnsi" w:cstheme="majorHAnsi"/>
          <w:color w:val="000000" w:themeColor="text1"/>
          <w:sz w:val="24"/>
          <w:szCs w:val="24"/>
          <w:lang w:val="ru-MD"/>
        </w:rPr>
        <w:t>ым</w:t>
      </w:r>
      <w:r w:rsidRPr="008B6BA6">
        <w:rPr>
          <w:rFonts w:asciiTheme="majorHAnsi" w:hAnsiTheme="majorHAnsi" w:cstheme="majorHAnsi"/>
          <w:color w:val="000000" w:themeColor="text1"/>
          <w:sz w:val="24"/>
          <w:szCs w:val="24"/>
          <w:lang w:val="ru-MD"/>
        </w:rPr>
        <w:t xml:space="preserve"> положение</w:t>
      </w:r>
      <w:r w:rsidR="001B64D0" w:rsidRPr="008B6BA6">
        <w:rPr>
          <w:rFonts w:asciiTheme="majorHAnsi" w:hAnsiTheme="majorHAnsi" w:cstheme="majorHAnsi"/>
          <w:color w:val="000000" w:themeColor="text1"/>
          <w:sz w:val="24"/>
          <w:szCs w:val="24"/>
          <w:lang w:val="ru-MD"/>
        </w:rPr>
        <w:t>м</w:t>
      </w:r>
      <w:r w:rsidRPr="008B6BA6">
        <w:rPr>
          <w:rFonts w:asciiTheme="majorHAnsi" w:hAnsiTheme="majorHAnsi" w:cstheme="majorHAnsi"/>
          <w:color w:val="000000" w:themeColor="text1"/>
          <w:sz w:val="24"/>
          <w:szCs w:val="24"/>
          <w:lang w:val="ru-MD"/>
        </w:rPr>
        <w:t xml:space="preserve"> в области общественного здравоохранения или в результате объявления чрезвычайного положения, осады и войны. Так, НКСС сообщило, что у </w:t>
      </w:r>
      <w:r w:rsidR="001B64D0" w:rsidRPr="008B6BA6">
        <w:rPr>
          <w:rFonts w:asciiTheme="majorHAnsi" w:hAnsiTheme="majorHAnsi" w:cstheme="majorHAnsi"/>
          <w:color w:val="000000" w:themeColor="text1"/>
          <w:sz w:val="24"/>
          <w:szCs w:val="24"/>
          <w:lang w:val="ru-MD"/>
        </w:rPr>
        <w:t>владеет</w:t>
      </w:r>
      <w:r w:rsidRPr="008B6BA6">
        <w:rPr>
          <w:rFonts w:asciiTheme="majorHAnsi" w:hAnsiTheme="majorHAnsi" w:cstheme="majorHAnsi"/>
          <w:color w:val="000000" w:themeColor="text1"/>
          <w:sz w:val="24"/>
          <w:szCs w:val="24"/>
          <w:lang w:val="ru-MD"/>
        </w:rPr>
        <w:t xml:space="preserve"> только информаци</w:t>
      </w:r>
      <w:r w:rsidR="001B64D0" w:rsidRPr="008B6BA6">
        <w:rPr>
          <w:rFonts w:asciiTheme="majorHAnsi" w:hAnsiTheme="majorHAnsi" w:cstheme="majorHAnsi"/>
          <w:color w:val="000000" w:themeColor="text1"/>
          <w:sz w:val="24"/>
          <w:szCs w:val="24"/>
          <w:lang w:val="ru-MD"/>
        </w:rPr>
        <w:t>ей</w:t>
      </w:r>
      <w:r w:rsidRPr="008B6BA6">
        <w:rPr>
          <w:rFonts w:asciiTheme="majorHAnsi" w:hAnsiTheme="majorHAnsi" w:cstheme="majorHAnsi"/>
          <w:color w:val="000000" w:themeColor="text1"/>
          <w:sz w:val="24"/>
          <w:szCs w:val="24"/>
          <w:lang w:val="ru-MD"/>
        </w:rPr>
        <w:t xml:space="preserve"> о выплат</w:t>
      </w:r>
      <w:r w:rsidR="001B64D0" w:rsidRPr="008B6BA6">
        <w:rPr>
          <w:rFonts w:asciiTheme="majorHAnsi" w:hAnsiTheme="majorHAnsi" w:cstheme="majorHAnsi"/>
          <w:color w:val="000000" w:themeColor="text1"/>
          <w:sz w:val="24"/>
          <w:szCs w:val="24"/>
          <w:lang w:val="ru-MD"/>
        </w:rPr>
        <w:t>ах</w:t>
      </w:r>
      <w:r w:rsidRPr="008B6BA6">
        <w:rPr>
          <w:rFonts w:asciiTheme="majorHAnsi" w:hAnsiTheme="majorHAnsi" w:cstheme="majorHAnsi"/>
          <w:color w:val="000000" w:themeColor="text1"/>
          <w:sz w:val="24"/>
          <w:szCs w:val="24"/>
          <w:lang w:val="ru-MD"/>
        </w:rPr>
        <w:t xml:space="preserve"> работникам, </w:t>
      </w:r>
      <w:r w:rsidR="001B64D0" w:rsidRPr="008B6BA6">
        <w:rPr>
          <w:rFonts w:asciiTheme="majorHAnsi" w:hAnsiTheme="majorHAnsi" w:cstheme="majorHAnsi"/>
          <w:color w:val="000000" w:themeColor="text1"/>
          <w:sz w:val="24"/>
          <w:szCs w:val="24"/>
          <w:lang w:val="ru-MD"/>
        </w:rPr>
        <w:t>ГНС</w:t>
      </w:r>
      <w:r w:rsidRPr="008B6BA6">
        <w:rPr>
          <w:rFonts w:asciiTheme="majorHAnsi" w:hAnsiTheme="majorHAnsi" w:cstheme="majorHAnsi"/>
          <w:color w:val="000000" w:themeColor="text1"/>
          <w:sz w:val="24"/>
          <w:szCs w:val="24"/>
          <w:lang w:val="ru-MD"/>
        </w:rPr>
        <w:t xml:space="preserve"> отметила, что </w:t>
      </w:r>
      <w:r w:rsidRPr="008B6BA6">
        <w:rPr>
          <w:rFonts w:asciiTheme="majorHAnsi" w:hAnsiTheme="majorHAnsi" w:cstheme="majorHAnsi"/>
          <w:i/>
          <w:color w:val="000000" w:themeColor="text1"/>
          <w:sz w:val="24"/>
          <w:szCs w:val="24"/>
          <w:lang w:val="ru-MD"/>
        </w:rPr>
        <w:t>„согласно нормативным положениям, роль Государственной налоговой службы в процедуре предоставления пособий по технической безработице заключается в предоставлении Национальной кассе социального страхования в автоматическом режиме через платформу взаимодействия (MConnect) данных о запросах на предоставление пособий по технической безработице, поданных работодателями через един</w:t>
      </w:r>
      <w:r w:rsidR="00D83778" w:rsidRPr="008B6BA6">
        <w:rPr>
          <w:rFonts w:asciiTheme="majorHAnsi" w:hAnsiTheme="majorHAnsi" w:cstheme="majorHAnsi"/>
          <w:i/>
          <w:color w:val="000000" w:themeColor="text1"/>
          <w:sz w:val="24"/>
          <w:szCs w:val="24"/>
          <w:lang w:val="ru-MD"/>
        </w:rPr>
        <w:t>ое окно</w:t>
      </w:r>
      <w:r w:rsidRPr="008B6BA6">
        <w:rPr>
          <w:rFonts w:asciiTheme="majorHAnsi" w:hAnsiTheme="majorHAnsi" w:cstheme="majorHAnsi"/>
          <w:i/>
          <w:color w:val="000000" w:themeColor="text1"/>
          <w:sz w:val="24"/>
          <w:szCs w:val="24"/>
          <w:lang w:val="ru-MD"/>
        </w:rPr>
        <w:t xml:space="preserve"> электронн</w:t>
      </w:r>
      <w:r w:rsidR="00D83778" w:rsidRPr="008B6BA6">
        <w:rPr>
          <w:rFonts w:asciiTheme="majorHAnsi" w:hAnsiTheme="majorHAnsi" w:cstheme="majorHAnsi"/>
          <w:i/>
          <w:color w:val="000000" w:themeColor="text1"/>
          <w:sz w:val="24"/>
          <w:szCs w:val="24"/>
          <w:lang w:val="ru-MD"/>
        </w:rPr>
        <w:t>о</w:t>
      </w:r>
      <w:r w:rsidRPr="008B6BA6">
        <w:rPr>
          <w:rFonts w:asciiTheme="majorHAnsi" w:hAnsiTheme="majorHAnsi" w:cstheme="majorHAnsi"/>
          <w:i/>
          <w:color w:val="000000" w:themeColor="text1"/>
          <w:sz w:val="24"/>
          <w:szCs w:val="24"/>
          <w:lang w:val="ru-MD"/>
        </w:rPr>
        <w:t>й отчетн</w:t>
      </w:r>
      <w:r w:rsidR="00D83778" w:rsidRPr="008B6BA6">
        <w:rPr>
          <w:rFonts w:asciiTheme="majorHAnsi" w:hAnsiTheme="majorHAnsi" w:cstheme="majorHAnsi"/>
          <w:i/>
          <w:color w:val="000000" w:themeColor="text1"/>
          <w:sz w:val="24"/>
          <w:szCs w:val="24"/>
          <w:lang w:val="ru-MD"/>
        </w:rPr>
        <w:t>ости</w:t>
      </w:r>
      <w:r w:rsidRPr="008B6BA6">
        <w:rPr>
          <w:rFonts w:asciiTheme="majorHAnsi" w:hAnsiTheme="majorHAnsi" w:cstheme="majorHAnsi"/>
          <w:i/>
          <w:color w:val="000000" w:themeColor="text1"/>
          <w:sz w:val="24"/>
          <w:szCs w:val="24"/>
          <w:lang w:val="ru-MD"/>
        </w:rPr>
        <w:t xml:space="preserve"> </w:t>
      </w:r>
      <w:r w:rsidR="00D83778" w:rsidRPr="008B6BA6">
        <w:rPr>
          <w:rFonts w:asciiTheme="majorHAnsi" w:hAnsiTheme="majorHAnsi" w:cstheme="majorHAnsi"/>
          <w:i/>
          <w:color w:val="000000" w:themeColor="text1"/>
          <w:sz w:val="24"/>
          <w:szCs w:val="24"/>
          <w:u w:val="single"/>
          <w:lang w:val="ru-MD"/>
        </w:rPr>
        <w:t>raportare.gov.md</w:t>
      </w:r>
      <w:r w:rsidRPr="008B6BA6">
        <w:rPr>
          <w:rFonts w:asciiTheme="majorHAnsi" w:hAnsiTheme="majorHAnsi" w:cstheme="majorHAnsi"/>
          <w:i/>
          <w:color w:val="000000" w:themeColor="text1"/>
          <w:sz w:val="24"/>
          <w:szCs w:val="24"/>
          <w:lang w:val="ru-MD"/>
        </w:rPr>
        <w:t>”</w:t>
      </w:r>
      <w:r w:rsidRPr="008B6BA6">
        <w:rPr>
          <w:rFonts w:asciiTheme="majorHAnsi" w:hAnsiTheme="majorHAnsi" w:cstheme="majorHAnsi"/>
          <w:color w:val="000000" w:themeColor="text1"/>
          <w:sz w:val="24"/>
          <w:szCs w:val="24"/>
          <w:lang w:val="ru-MD"/>
        </w:rPr>
        <w:t xml:space="preserve">, </w:t>
      </w:r>
      <w:r w:rsidR="00D83778" w:rsidRPr="008B6BA6">
        <w:rPr>
          <w:rFonts w:asciiTheme="majorHAnsi" w:hAnsiTheme="majorHAnsi" w:cstheme="majorHAnsi"/>
          <w:color w:val="000000" w:themeColor="text1"/>
          <w:sz w:val="24"/>
          <w:szCs w:val="24"/>
          <w:lang w:val="ru-MD"/>
        </w:rPr>
        <w:t>а</w:t>
      </w:r>
      <w:r w:rsidRPr="008B6BA6">
        <w:rPr>
          <w:rFonts w:asciiTheme="majorHAnsi" w:hAnsiTheme="majorHAnsi" w:cstheme="majorHAnsi"/>
          <w:color w:val="000000" w:themeColor="text1"/>
          <w:sz w:val="24"/>
          <w:szCs w:val="24"/>
          <w:lang w:val="ru-MD"/>
        </w:rPr>
        <w:t xml:space="preserve"> </w:t>
      </w:r>
      <w:r w:rsidR="00D83778" w:rsidRPr="008B6BA6">
        <w:rPr>
          <w:rFonts w:asciiTheme="majorHAnsi" w:hAnsiTheme="majorHAnsi" w:cstheme="majorHAnsi"/>
          <w:color w:val="000000" w:themeColor="text1"/>
          <w:sz w:val="24"/>
          <w:szCs w:val="24"/>
          <w:lang w:val="ru-MD"/>
        </w:rPr>
        <w:t>МТСЗ</w:t>
      </w:r>
      <w:r w:rsidRPr="008B6BA6">
        <w:rPr>
          <w:rFonts w:asciiTheme="majorHAnsi" w:hAnsiTheme="majorHAnsi" w:cstheme="majorHAnsi"/>
          <w:color w:val="000000" w:themeColor="text1"/>
          <w:sz w:val="24"/>
          <w:szCs w:val="24"/>
          <w:lang w:val="ru-MD"/>
        </w:rPr>
        <w:t xml:space="preserve"> перенаправил</w:t>
      </w:r>
      <w:r w:rsidR="00D83778" w:rsidRPr="008B6BA6">
        <w:rPr>
          <w:rFonts w:asciiTheme="majorHAnsi" w:hAnsiTheme="majorHAnsi" w:cstheme="majorHAnsi"/>
          <w:color w:val="000000" w:themeColor="text1"/>
          <w:sz w:val="24"/>
          <w:szCs w:val="24"/>
          <w:lang w:val="ru-MD"/>
        </w:rPr>
        <w:t>о</w:t>
      </w:r>
      <w:r w:rsidRPr="008B6BA6">
        <w:rPr>
          <w:rFonts w:asciiTheme="majorHAnsi" w:hAnsiTheme="majorHAnsi" w:cstheme="majorHAnsi"/>
          <w:color w:val="000000" w:themeColor="text1"/>
          <w:sz w:val="24"/>
          <w:szCs w:val="24"/>
          <w:lang w:val="ru-MD"/>
        </w:rPr>
        <w:t xml:space="preserve"> запрос в </w:t>
      </w:r>
      <w:r w:rsidR="00D83778" w:rsidRPr="008B6BA6">
        <w:rPr>
          <w:rFonts w:asciiTheme="majorHAnsi" w:hAnsiTheme="majorHAnsi" w:cstheme="majorHAnsi"/>
          <w:color w:val="000000" w:themeColor="text1"/>
          <w:sz w:val="24"/>
          <w:szCs w:val="24"/>
          <w:lang w:val="ru-MD"/>
        </w:rPr>
        <w:t>ЦИТФ</w:t>
      </w:r>
      <w:r w:rsidRPr="008B6BA6">
        <w:rPr>
          <w:rFonts w:asciiTheme="majorHAnsi" w:hAnsiTheme="majorHAnsi" w:cstheme="majorHAnsi"/>
          <w:color w:val="000000" w:themeColor="text1"/>
          <w:sz w:val="24"/>
          <w:szCs w:val="24"/>
          <w:lang w:val="ru-MD"/>
        </w:rPr>
        <w:t xml:space="preserve">, затем </w:t>
      </w:r>
      <w:r w:rsidR="00D83778" w:rsidRPr="008B6BA6">
        <w:rPr>
          <w:rFonts w:asciiTheme="majorHAnsi" w:hAnsiTheme="majorHAnsi" w:cstheme="majorHAnsi"/>
          <w:color w:val="000000" w:themeColor="text1"/>
          <w:sz w:val="24"/>
          <w:szCs w:val="24"/>
          <w:lang w:val="ru-MD"/>
        </w:rPr>
        <w:t>на</w:t>
      </w:r>
      <w:r w:rsidRPr="008B6BA6">
        <w:rPr>
          <w:rFonts w:asciiTheme="majorHAnsi" w:hAnsiTheme="majorHAnsi" w:cstheme="majorHAnsi"/>
          <w:color w:val="000000" w:themeColor="text1"/>
          <w:sz w:val="24"/>
          <w:szCs w:val="24"/>
          <w:lang w:val="ru-MD"/>
        </w:rPr>
        <w:t>правил</w:t>
      </w:r>
      <w:r w:rsidR="00D83778" w:rsidRPr="008B6BA6">
        <w:rPr>
          <w:rFonts w:asciiTheme="majorHAnsi" w:hAnsiTheme="majorHAnsi" w:cstheme="majorHAnsi"/>
          <w:color w:val="000000" w:themeColor="text1"/>
          <w:sz w:val="24"/>
          <w:szCs w:val="24"/>
          <w:lang w:val="ru-MD"/>
        </w:rPr>
        <w:t>о</w:t>
      </w:r>
      <w:r w:rsidRPr="008B6BA6">
        <w:rPr>
          <w:rFonts w:asciiTheme="majorHAnsi" w:hAnsiTheme="majorHAnsi" w:cstheme="majorHAnsi"/>
          <w:color w:val="000000" w:themeColor="text1"/>
          <w:sz w:val="24"/>
          <w:szCs w:val="24"/>
          <w:lang w:val="ru-MD"/>
        </w:rPr>
        <w:t xml:space="preserve"> его в </w:t>
      </w:r>
      <w:r w:rsidR="00D83778" w:rsidRPr="008B6BA6">
        <w:rPr>
          <w:rFonts w:asciiTheme="majorHAnsi" w:hAnsiTheme="majorHAnsi" w:cstheme="majorHAnsi"/>
          <w:color w:val="000000" w:themeColor="text1"/>
          <w:sz w:val="24"/>
          <w:szCs w:val="24"/>
          <w:lang w:val="ru-MD"/>
        </w:rPr>
        <w:t>ГНС</w:t>
      </w:r>
      <w:r w:rsidRPr="008B6BA6">
        <w:rPr>
          <w:rFonts w:asciiTheme="majorHAnsi" w:hAnsiTheme="majorHAnsi" w:cstheme="majorHAnsi"/>
          <w:color w:val="000000" w:themeColor="text1"/>
          <w:sz w:val="24"/>
          <w:szCs w:val="24"/>
          <w:lang w:val="ru-MD"/>
        </w:rPr>
        <w:t xml:space="preserve"> </w:t>
      </w:r>
      <w:r w:rsidR="00756056" w:rsidRPr="008B6BA6">
        <w:rPr>
          <w:rStyle w:val="a5"/>
          <w:rFonts w:asciiTheme="majorHAnsi" w:hAnsiTheme="majorHAnsi" w:cstheme="majorHAnsi"/>
          <w:color w:val="000000" w:themeColor="text1"/>
          <w:sz w:val="24"/>
          <w:szCs w:val="24"/>
          <w:lang w:val="ru-MD"/>
        </w:rPr>
        <w:footnoteReference w:id="65"/>
      </w:r>
      <w:r w:rsidR="00756056" w:rsidRPr="008B6BA6">
        <w:rPr>
          <w:rFonts w:asciiTheme="majorHAnsi" w:hAnsiTheme="majorHAnsi" w:cstheme="majorHAnsi"/>
          <w:color w:val="000000" w:themeColor="text1"/>
          <w:sz w:val="24"/>
          <w:szCs w:val="24"/>
          <w:lang w:val="ru-MD"/>
        </w:rPr>
        <w:t>.</w:t>
      </w:r>
    </w:p>
    <w:p w14:paraId="4B10DC86" w14:textId="794F6157" w:rsidR="007073CE" w:rsidRPr="001C65C1" w:rsidRDefault="00CB3AFB" w:rsidP="00756056">
      <w:pPr>
        <w:shd w:val="clear" w:color="auto" w:fill="FFFFFF" w:themeFill="background1"/>
        <w:spacing w:line="276" w:lineRule="auto"/>
        <w:jc w:val="both"/>
        <w:rPr>
          <w:rFonts w:asciiTheme="majorHAnsi" w:hAnsiTheme="majorHAnsi" w:cstheme="majorHAnsi"/>
          <w:color w:val="000000" w:themeColor="text1"/>
          <w:sz w:val="24"/>
          <w:szCs w:val="24"/>
          <w:lang w:val="ru-MD"/>
        </w:rPr>
      </w:pPr>
      <w:r w:rsidRPr="00D31515">
        <w:rPr>
          <w:rFonts w:asciiTheme="majorHAnsi" w:hAnsiTheme="majorHAnsi" w:cstheme="majorHAnsi"/>
          <w:color w:val="000000" w:themeColor="text1"/>
          <w:sz w:val="24"/>
          <w:szCs w:val="24"/>
          <w:lang w:val="ru-MD"/>
        </w:rPr>
        <w:t>Трудовой кодекс предусматривает условия предоставления техническо</w:t>
      </w:r>
      <w:r w:rsidR="00D55BFC" w:rsidRPr="00D31515">
        <w:rPr>
          <w:rFonts w:asciiTheme="majorHAnsi" w:hAnsiTheme="majorHAnsi" w:cstheme="majorHAnsi"/>
          <w:color w:val="000000" w:themeColor="text1"/>
          <w:sz w:val="24"/>
          <w:szCs w:val="24"/>
          <w:lang w:val="ru-MD"/>
        </w:rPr>
        <w:t>го простоя</w:t>
      </w:r>
      <w:r w:rsidRPr="00D31515">
        <w:rPr>
          <w:rFonts w:asciiTheme="majorHAnsi" w:hAnsiTheme="majorHAnsi" w:cstheme="majorHAnsi"/>
          <w:color w:val="000000" w:themeColor="text1"/>
          <w:sz w:val="24"/>
          <w:szCs w:val="24"/>
          <w:lang w:val="ru-MD"/>
        </w:rPr>
        <w:t xml:space="preserve"> с момента е</w:t>
      </w:r>
      <w:r w:rsidR="00D55BFC" w:rsidRPr="00D31515">
        <w:rPr>
          <w:rFonts w:asciiTheme="majorHAnsi" w:hAnsiTheme="majorHAnsi" w:cstheme="majorHAnsi"/>
          <w:color w:val="000000" w:themeColor="text1"/>
          <w:sz w:val="24"/>
          <w:szCs w:val="24"/>
          <w:lang w:val="ru-MD"/>
        </w:rPr>
        <w:t>го</w:t>
      </w:r>
      <w:r w:rsidRPr="00D31515">
        <w:rPr>
          <w:rFonts w:asciiTheme="majorHAnsi" w:hAnsiTheme="majorHAnsi" w:cstheme="majorHAnsi"/>
          <w:color w:val="000000" w:themeColor="text1"/>
          <w:sz w:val="24"/>
          <w:szCs w:val="24"/>
          <w:lang w:val="ru-MD"/>
        </w:rPr>
        <w:t xml:space="preserve"> утверждения, однако до сих пор не был присвоен единый код</w:t>
      </w:r>
      <w:r w:rsidR="00D55BFC" w:rsidRPr="00D31515">
        <w:rPr>
          <w:rStyle w:val="a5"/>
          <w:rFonts w:asciiTheme="majorHAnsi" w:hAnsiTheme="majorHAnsi" w:cstheme="majorHAnsi"/>
          <w:color w:val="000000" w:themeColor="text1"/>
          <w:sz w:val="24"/>
          <w:szCs w:val="24"/>
          <w:lang w:val="ru-MD"/>
        </w:rPr>
        <w:footnoteReference w:id="66"/>
      </w:r>
      <w:r w:rsidRPr="00D31515">
        <w:rPr>
          <w:rFonts w:asciiTheme="majorHAnsi" w:hAnsiTheme="majorHAnsi" w:cstheme="majorHAnsi"/>
          <w:color w:val="000000" w:themeColor="text1"/>
          <w:sz w:val="24"/>
          <w:szCs w:val="24"/>
          <w:lang w:val="ru-MD"/>
        </w:rPr>
        <w:t xml:space="preserve"> отчетности/классификации </w:t>
      </w:r>
      <w:r w:rsidR="00D55BFC" w:rsidRPr="00D31515">
        <w:rPr>
          <w:rFonts w:asciiTheme="majorHAnsi" w:hAnsiTheme="majorHAnsi" w:cstheme="majorHAnsi"/>
          <w:color w:val="000000" w:themeColor="text1"/>
          <w:sz w:val="24"/>
          <w:szCs w:val="24"/>
          <w:lang w:val="ru-MD"/>
        </w:rPr>
        <w:t>для</w:t>
      </w:r>
      <w:r w:rsidR="00D55BFC">
        <w:rPr>
          <w:rFonts w:asciiTheme="majorHAnsi" w:hAnsiTheme="majorHAnsi" w:cstheme="majorHAnsi"/>
          <w:color w:val="000000" w:themeColor="text1"/>
          <w:sz w:val="24"/>
          <w:szCs w:val="24"/>
          <w:lang w:val="ru-RU"/>
        </w:rPr>
        <w:t xml:space="preserve"> </w:t>
      </w:r>
      <w:r w:rsidR="00D55BFC" w:rsidRPr="001C65C1">
        <w:rPr>
          <w:rFonts w:asciiTheme="majorHAnsi" w:hAnsiTheme="majorHAnsi" w:cstheme="majorHAnsi"/>
          <w:color w:val="000000" w:themeColor="text1"/>
          <w:sz w:val="24"/>
          <w:szCs w:val="24"/>
          <w:lang w:val="ru-MD"/>
        </w:rPr>
        <w:t>данного</w:t>
      </w:r>
      <w:r w:rsidRPr="001C65C1">
        <w:rPr>
          <w:rFonts w:asciiTheme="majorHAnsi" w:hAnsiTheme="majorHAnsi" w:cstheme="majorHAnsi"/>
          <w:color w:val="000000" w:themeColor="text1"/>
          <w:sz w:val="24"/>
          <w:szCs w:val="24"/>
          <w:lang w:val="ru-MD"/>
        </w:rPr>
        <w:t xml:space="preserve"> пособи</w:t>
      </w:r>
      <w:r w:rsidR="00D55BFC" w:rsidRPr="001C65C1">
        <w:rPr>
          <w:rFonts w:asciiTheme="majorHAnsi" w:hAnsiTheme="majorHAnsi" w:cstheme="majorHAnsi"/>
          <w:color w:val="000000" w:themeColor="text1"/>
          <w:sz w:val="24"/>
          <w:szCs w:val="24"/>
          <w:lang w:val="ru-MD"/>
        </w:rPr>
        <w:t>я</w:t>
      </w:r>
      <w:r w:rsidRPr="001C65C1">
        <w:rPr>
          <w:rFonts w:asciiTheme="majorHAnsi" w:hAnsiTheme="majorHAnsi" w:cstheme="majorHAnsi"/>
          <w:color w:val="000000" w:themeColor="text1"/>
          <w:sz w:val="24"/>
          <w:szCs w:val="24"/>
          <w:lang w:val="ru-MD"/>
        </w:rPr>
        <w:t xml:space="preserve">. Таким образом, при анализе выписок </w:t>
      </w:r>
      <w:r w:rsidR="00D31515" w:rsidRPr="001C65C1">
        <w:rPr>
          <w:rFonts w:asciiTheme="majorHAnsi" w:hAnsiTheme="majorHAnsi" w:cstheme="majorHAnsi"/>
          <w:color w:val="000000" w:themeColor="text1"/>
          <w:sz w:val="24"/>
          <w:szCs w:val="24"/>
          <w:lang w:val="ru-MD"/>
        </w:rPr>
        <w:t xml:space="preserve">со счетов </w:t>
      </w:r>
      <w:r w:rsidRPr="001C65C1">
        <w:rPr>
          <w:rFonts w:asciiTheme="majorHAnsi" w:hAnsiTheme="majorHAnsi" w:cstheme="majorHAnsi"/>
          <w:color w:val="000000" w:themeColor="text1"/>
          <w:sz w:val="24"/>
          <w:szCs w:val="24"/>
          <w:lang w:val="ru-MD"/>
        </w:rPr>
        <w:t>бенефициаров</w:t>
      </w:r>
      <w:r w:rsidR="00D31515" w:rsidRPr="001C65C1">
        <w:rPr>
          <w:rFonts w:asciiTheme="majorHAnsi" w:hAnsiTheme="majorHAnsi" w:cstheme="majorHAnsi"/>
          <w:color w:val="000000" w:themeColor="text1"/>
          <w:sz w:val="24"/>
          <w:szCs w:val="24"/>
          <w:lang w:val="ru-MD"/>
        </w:rPr>
        <w:t>,</w:t>
      </w:r>
      <w:r w:rsidRPr="001C65C1">
        <w:rPr>
          <w:rFonts w:asciiTheme="majorHAnsi" w:hAnsiTheme="majorHAnsi" w:cstheme="majorHAnsi"/>
          <w:color w:val="000000" w:themeColor="text1"/>
          <w:sz w:val="24"/>
          <w:szCs w:val="24"/>
          <w:lang w:val="ru-MD"/>
        </w:rPr>
        <w:t xml:space="preserve"> было обнаружено, что нет разграничения между основной деятельностью (код 101) и технической безработицей, </w:t>
      </w:r>
      <w:r w:rsidR="00D31515" w:rsidRPr="001C65C1">
        <w:rPr>
          <w:rFonts w:asciiTheme="majorHAnsi" w:hAnsiTheme="majorHAnsi" w:cstheme="majorHAnsi"/>
          <w:color w:val="000000" w:themeColor="text1"/>
          <w:sz w:val="24"/>
          <w:szCs w:val="24"/>
          <w:lang w:val="ru-MD"/>
        </w:rPr>
        <w:t xml:space="preserve">поскольку </w:t>
      </w:r>
      <w:r w:rsidRPr="001C65C1">
        <w:rPr>
          <w:rFonts w:asciiTheme="majorHAnsi" w:hAnsiTheme="majorHAnsi" w:cstheme="majorHAnsi"/>
          <w:color w:val="000000" w:themeColor="text1"/>
          <w:sz w:val="24"/>
          <w:szCs w:val="24"/>
          <w:lang w:val="ru-MD"/>
        </w:rPr>
        <w:t xml:space="preserve">последняя </w:t>
      </w:r>
      <w:r w:rsidR="00D31515" w:rsidRPr="001C65C1">
        <w:rPr>
          <w:rFonts w:asciiTheme="majorHAnsi" w:hAnsiTheme="majorHAnsi" w:cstheme="majorHAnsi"/>
          <w:color w:val="000000" w:themeColor="text1"/>
          <w:sz w:val="24"/>
          <w:szCs w:val="24"/>
          <w:lang w:val="ru-MD"/>
        </w:rPr>
        <w:t>отраж</w:t>
      </w:r>
      <w:r w:rsidRPr="001C65C1">
        <w:rPr>
          <w:rFonts w:asciiTheme="majorHAnsi" w:hAnsiTheme="majorHAnsi" w:cstheme="majorHAnsi"/>
          <w:color w:val="000000" w:themeColor="text1"/>
          <w:sz w:val="24"/>
          <w:szCs w:val="24"/>
          <w:lang w:val="ru-MD"/>
        </w:rPr>
        <w:t xml:space="preserve">ается в </w:t>
      </w:r>
      <w:r w:rsidR="00D31515" w:rsidRPr="001C65C1">
        <w:rPr>
          <w:rFonts w:asciiTheme="majorHAnsi" w:hAnsiTheme="majorHAnsi" w:cstheme="majorHAnsi"/>
          <w:color w:val="000000" w:themeColor="text1"/>
          <w:sz w:val="24"/>
          <w:szCs w:val="24"/>
          <w:lang w:val="ru-MD"/>
        </w:rPr>
        <w:t xml:space="preserve">отчетности по </w:t>
      </w:r>
      <w:r w:rsidRPr="001C65C1">
        <w:rPr>
          <w:rFonts w:asciiTheme="majorHAnsi" w:hAnsiTheme="majorHAnsi" w:cstheme="majorHAnsi"/>
          <w:color w:val="000000" w:themeColor="text1"/>
          <w:sz w:val="24"/>
          <w:szCs w:val="24"/>
          <w:lang w:val="ru-MD"/>
        </w:rPr>
        <w:t>том</w:t>
      </w:r>
      <w:r w:rsidR="00D31515" w:rsidRPr="001C65C1">
        <w:rPr>
          <w:rFonts w:asciiTheme="majorHAnsi" w:hAnsiTheme="majorHAnsi" w:cstheme="majorHAnsi"/>
          <w:color w:val="000000" w:themeColor="text1"/>
          <w:sz w:val="24"/>
          <w:szCs w:val="24"/>
          <w:lang w:val="ru-MD"/>
        </w:rPr>
        <w:t>у</w:t>
      </w:r>
      <w:r w:rsidRPr="001C65C1">
        <w:rPr>
          <w:rFonts w:asciiTheme="majorHAnsi" w:hAnsiTheme="majorHAnsi" w:cstheme="majorHAnsi"/>
          <w:color w:val="000000" w:themeColor="text1"/>
          <w:sz w:val="24"/>
          <w:szCs w:val="24"/>
          <w:lang w:val="ru-MD"/>
        </w:rPr>
        <w:t xml:space="preserve"> же код</w:t>
      </w:r>
      <w:r w:rsidR="00D31515" w:rsidRPr="001C65C1">
        <w:rPr>
          <w:rFonts w:asciiTheme="majorHAnsi" w:hAnsiTheme="majorHAnsi" w:cstheme="majorHAnsi"/>
          <w:color w:val="000000" w:themeColor="text1"/>
          <w:sz w:val="24"/>
          <w:szCs w:val="24"/>
          <w:lang w:val="ru-MD"/>
        </w:rPr>
        <w:t>у</w:t>
      </w:r>
      <w:r w:rsidRPr="001C65C1">
        <w:rPr>
          <w:rFonts w:asciiTheme="majorHAnsi" w:hAnsiTheme="majorHAnsi" w:cstheme="majorHAnsi"/>
          <w:color w:val="000000" w:themeColor="text1"/>
          <w:sz w:val="24"/>
          <w:szCs w:val="24"/>
          <w:lang w:val="ru-MD"/>
        </w:rPr>
        <w:t xml:space="preserve">. В </w:t>
      </w:r>
      <w:r w:rsidR="00D31515" w:rsidRPr="001C65C1">
        <w:rPr>
          <w:rFonts w:asciiTheme="majorHAnsi" w:hAnsiTheme="majorHAnsi" w:cstheme="majorHAnsi"/>
          <w:color w:val="000000" w:themeColor="text1"/>
          <w:sz w:val="24"/>
          <w:szCs w:val="24"/>
          <w:lang w:val="ru-MD"/>
        </w:rPr>
        <w:t>этой связи</w:t>
      </w:r>
      <w:r w:rsidR="001C65C1" w:rsidRPr="001C65C1">
        <w:rPr>
          <w:rFonts w:asciiTheme="majorHAnsi" w:hAnsiTheme="majorHAnsi" w:cstheme="majorHAnsi"/>
          <w:color w:val="000000" w:themeColor="text1"/>
          <w:sz w:val="24"/>
          <w:szCs w:val="24"/>
          <w:lang w:val="ru-MD"/>
        </w:rPr>
        <w:t>,</w:t>
      </w:r>
      <w:r w:rsidRPr="001C65C1">
        <w:rPr>
          <w:rFonts w:asciiTheme="majorHAnsi" w:hAnsiTheme="majorHAnsi" w:cstheme="majorHAnsi"/>
          <w:color w:val="000000" w:themeColor="text1"/>
          <w:sz w:val="24"/>
          <w:szCs w:val="24"/>
          <w:lang w:val="ru-MD"/>
        </w:rPr>
        <w:t xml:space="preserve"> аудит отмечает, что </w:t>
      </w:r>
      <w:r w:rsidR="001C65C1" w:rsidRPr="001C65C1">
        <w:rPr>
          <w:rFonts w:asciiTheme="majorHAnsi" w:hAnsiTheme="majorHAnsi" w:cstheme="majorHAnsi"/>
          <w:color w:val="000000" w:themeColor="text1"/>
          <w:sz w:val="24"/>
          <w:szCs w:val="24"/>
          <w:lang w:val="ru-MD"/>
        </w:rPr>
        <w:t xml:space="preserve">пособие по </w:t>
      </w:r>
      <w:r w:rsidRPr="001C65C1">
        <w:rPr>
          <w:rFonts w:asciiTheme="majorHAnsi" w:hAnsiTheme="majorHAnsi" w:cstheme="majorHAnsi"/>
          <w:color w:val="000000" w:themeColor="text1"/>
          <w:sz w:val="24"/>
          <w:szCs w:val="24"/>
          <w:lang w:val="ru-MD"/>
        </w:rPr>
        <w:t>техническо</w:t>
      </w:r>
      <w:r w:rsidR="001C65C1" w:rsidRPr="001C65C1">
        <w:rPr>
          <w:rFonts w:asciiTheme="majorHAnsi" w:hAnsiTheme="majorHAnsi" w:cstheme="majorHAnsi"/>
          <w:color w:val="000000" w:themeColor="text1"/>
          <w:sz w:val="24"/>
          <w:szCs w:val="24"/>
          <w:lang w:val="ru-MD"/>
        </w:rPr>
        <w:t xml:space="preserve">й </w:t>
      </w:r>
      <w:r w:rsidRPr="001C65C1">
        <w:rPr>
          <w:rFonts w:asciiTheme="majorHAnsi" w:hAnsiTheme="majorHAnsi" w:cstheme="majorHAnsi"/>
          <w:color w:val="000000" w:themeColor="text1"/>
          <w:sz w:val="24"/>
          <w:szCs w:val="24"/>
          <w:lang w:val="ru-MD"/>
        </w:rPr>
        <w:t xml:space="preserve">безработице предоставляется и рассчитывается соответственно количеству дней, в течение которых </w:t>
      </w:r>
      <w:r w:rsidR="001C65C1" w:rsidRPr="001C65C1">
        <w:rPr>
          <w:rFonts w:asciiTheme="majorHAnsi" w:hAnsiTheme="majorHAnsi" w:cstheme="majorHAnsi"/>
          <w:color w:val="000000" w:themeColor="text1"/>
          <w:sz w:val="24"/>
          <w:szCs w:val="24"/>
          <w:lang w:val="ru-MD"/>
        </w:rPr>
        <w:t>деятельность</w:t>
      </w:r>
      <w:r w:rsidRPr="001C65C1">
        <w:rPr>
          <w:rFonts w:asciiTheme="majorHAnsi" w:hAnsiTheme="majorHAnsi" w:cstheme="majorHAnsi"/>
          <w:color w:val="000000" w:themeColor="text1"/>
          <w:sz w:val="24"/>
          <w:szCs w:val="24"/>
          <w:lang w:val="ru-MD"/>
        </w:rPr>
        <w:t xml:space="preserve"> работника была приостановлена.</w:t>
      </w:r>
      <w:r w:rsidR="007073CE" w:rsidRPr="001C65C1">
        <w:rPr>
          <w:rFonts w:asciiTheme="majorHAnsi" w:hAnsiTheme="majorHAnsi" w:cstheme="majorHAnsi"/>
          <w:color w:val="000000" w:themeColor="text1"/>
          <w:sz w:val="24"/>
          <w:szCs w:val="24"/>
          <w:lang w:val="ru-MD"/>
        </w:rPr>
        <w:t xml:space="preserve"> </w:t>
      </w:r>
      <w:r w:rsidRPr="001C65C1">
        <w:rPr>
          <w:rFonts w:asciiTheme="majorHAnsi" w:hAnsiTheme="majorHAnsi" w:cstheme="majorHAnsi"/>
          <w:color w:val="000000" w:themeColor="text1"/>
          <w:sz w:val="24"/>
          <w:szCs w:val="24"/>
          <w:lang w:val="ru-MD"/>
        </w:rPr>
        <w:t xml:space="preserve">Размер пособия по технической безработице, </w:t>
      </w:r>
      <w:r w:rsidR="001C65C1" w:rsidRPr="001C65C1">
        <w:rPr>
          <w:rFonts w:asciiTheme="majorHAnsi" w:hAnsiTheme="majorHAnsi" w:cstheme="majorHAnsi"/>
          <w:color w:val="000000" w:themeColor="text1"/>
          <w:sz w:val="24"/>
          <w:szCs w:val="24"/>
          <w:lang w:val="ru-MD"/>
        </w:rPr>
        <w:t>предоставле</w:t>
      </w:r>
      <w:r w:rsidRPr="001C65C1">
        <w:rPr>
          <w:rFonts w:asciiTheme="majorHAnsi" w:hAnsiTheme="majorHAnsi" w:cstheme="majorHAnsi"/>
          <w:color w:val="000000" w:themeColor="text1"/>
          <w:sz w:val="24"/>
          <w:szCs w:val="24"/>
          <w:lang w:val="ru-MD"/>
        </w:rPr>
        <w:t xml:space="preserve">нного из государственного бюджета, рассчитывается путем умножения количества предоставленных </w:t>
      </w:r>
      <w:r w:rsidR="001C65C1" w:rsidRPr="001C65C1">
        <w:rPr>
          <w:rFonts w:asciiTheme="majorHAnsi" w:hAnsiTheme="majorHAnsi" w:cstheme="majorHAnsi"/>
          <w:color w:val="000000" w:themeColor="text1"/>
          <w:sz w:val="24"/>
          <w:szCs w:val="24"/>
          <w:lang w:val="ru-MD"/>
        </w:rPr>
        <w:t>своб</w:t>
      </w:r>
      <w:r w:rsidRPr="001C65C1">
        <w:rPr>
          <w:rFonts w:asciiTheme="majorHAnsi" w:hAnsiTheme="majorHAnsi" w:cstheme="majorHAnsi"/>
          <w:color w:val="000000" w:themeColor="text1"/>
          <w:sz w:val="24"/>
          <w:szCs w:val="24"/>
          <w:lang w:val="ru-MD"/>
        </w:rPr>
        <w:t>одных дней на 50% базово</w:t>
      </w:r>
      <w:r w:rsidR="001C65C1" w:rsidRPr="001C65C1">
        <w:rPr>
          <w:rFonts w:asciiTheme="majorHAnsi" w:hAnsiTheme="majorHAnsi" w:cstheme="majorHAnsi"/>
          <w:color w:val="000000" w:themeColor="text1"/>
          <w:sz w:val="24"/>
          <w:szCs w:val="24"/>
          <w:lang w:val="ru-MD"/>
        </w:rPr>
        <w:t>го</w:t>
      </w:r>
      <w:r w:rsidRPr="001C65C1">
        <w:rPr>
          <w:rFonts w:asciiTheme="majorHAnsi" w:hAnsiTheme="majorHAnsi" w:cstheme="majorHAnsi"/>
          <w:color w:val="000000" w:themeColor="text1"/>
          <w:sz w:val="24"/>
          <w:szCs w:val="24"/>
          <w:lang w:val="ru-MD"/>
        </w:rPr>
        <w:t xml:space="preserve"> </w:t>
      </w:r>
      <w:r w:rsidR="001C65C1" w:rsidRPr="001C65C1">
        <w:rPr>
          <w:rFonts w:asciiTheme="majorHAnsi" w:hAnsiTheme="majorHAnsi" w:cstheme="majorHAnsi"/>
          <w:color w:val="000000" w:themeColor="text1"/>
          <w:sz w:val="24"/>
          <w:szCs w:val="24"/>
          <w:lang w:val="ru-MD"/>
        </w:rPr>
        <w:t>оклада</w:t>
      </w:r>
      <w:r w:rsidRPr="001C65C1">
        <w:rPr>
          <w:rFonts w:asciiTheme="majorHAnsi" w:hAnsiTheme="majorHAnsi" w:cstheme="majorHAnsi"/>
          <w:color w:val="000000" w:themeColor="text1"/>
          <w:sz w:val="24"/>
          <w:szCs w:val="24"/>
          <w:lang w:val="ru-MD"/>
        </w:rPr>
        <w:t xml:space="preserve"> работника, деленно</w:t>
      </w:r>
      <w:r w:rsidR="001C65C1" w:rsidRPr="001C65C1">
        <w:rPr>
          <w:rFonts w:asciiTheme="majorHAnsi" w:hAnsiTheme="majorHAnsi" w:cstheme="majorHAnsi"/>
          <w:color w:val="000000" w:themeColor="text1"/>
          <w:sz w:val="24"/>
          <w:szCs w:val="24"/>
          <w:lang w:val="ru-MD"/>
        </w:rPr>
        <w:t>го</w:t>
      </w:r>
      <w:r w:rsidRPr="001C65C1">
        <w:rPr>
          <w:rFonts w:asciiTheme="majorHAnsi" w:hAnsiTheme="majorHAnsi" w:cstheme="majorHAnsi"/>
          <w:color w:val="000000" w:themeColor="text1"/>
          <w:sz w:val="24"/>
          <w:szCs w:val="24"/>
          <w:lang w:val="ru-MD"/>
        </w:rPr>
        <w:t xml:space="preserve"> на количество дней месяц</w:t>
      </w:r>
      <w:r w:rsidR="001C65C1" w:rsidRPr="001C65C1">
        <w:rPr>
          <w:rFonts w:asciiTheme="majorHAnsi" w:hAnsiTheme="majorHAnsi" w:cstheme="majorHAnsi"/>
          <w:color w:val="000000" w:themeColor="text1"/>
          <w:sz w:val="24"/>
          <w:szCs w:val="24"/>
          <w:lang w:val="ru-MD"/>
        </w:rPr>
        <w:t>а</w:t>
      </w:r>
      <w:r w:rsidRPr="001C65C1">
        <w:rPr>
          <w:rFonts w:asciiTheme="majorHAnsi" w:hAnsiTheme="majorHAnsi" w:cstheme="majorHAnsi"/>
          <w:color w:val="000000" w:themeColor="text1"/>
          <w:sz w:val="24"/>
          <w:szCs w:val="24"/>
          <w:lang w:val="ru-MD"/>
        </w:rPr>
        <w:t>, на котор</w:t>
      </w:r>
      <w:r w:rsidR="001C65C1" w:rsidRPr="001C65C1">
        <w:rPr>
          <w:rFonts w:asciiTheme="majorHAnsi" w:hAnsiTheme="majorHAnsi" w:cstheme="majorHAnsi"/>
          <w:color w:val="000000" w:themeColor="text1"/>
          <w:sz w:val="24"/>
          <w:szCs w:val="24"/>
          <w:lang w:val="ru-MD"/>
        </w:rPr>
        <w:t>о</w:t>
      </w:r>
      <w:r w:rsidRPr="001C65C1">
        <w:rPr>
          <w:rFonts w:asciiTheme="majorHAnsi" w:hAnsiTheme="majorHAnsi" w:cstheme="majorHAnsi"/>
          <w:color w:val="000000" w:themeColor="text1"/>
          <w:sz w:val="24"/>
          <w:szCs w:val="24"/>
          <w:lang w:val="ru-MD"/>
        </w:rPr>
        <w:t>е подается заявление, но не более 250 леев в день. Таким образом, аудит</w:t>
      </w:r>
      <w:r w:rsidR="001C65C1" w:rsidRPr="001C65C1">
        <w:rPr>
          <w:rFonts w:asciiTheme="majorHAnsi" w:hAnsiTheme="majorHAnsi" w:cstheme="majorHAnsi"/>
          <w:color w:val="000000" w:themeColor="text1"/>
          <w:sz w:val="24"/>
          <w:szCs w:val="24"/>
          <w:lang w:val="ru-MD"/>
        </w:rPr>
        <w:t>у</w:t>
      </w:r>
      <w:r w:rsidRPr="001C65C1">
        <w:rPr>
          <w:rFonts w:asciiTheme="majorHAnsi" w:hAnsiTheme="majorHAnsi" w:cstheme="majorHAnsi"/>
          <w:color w:val="000000" w:themeColor="text1"/>
          <w:sz w:val="24"/>
          <w:szCs w:val="24"/>
          <w:lang w:val="ru-MD"/>
        </w:rPr>
        <w:t xml:space="preserve"> был</w:t>
      </w:r>
      <w:r w:rsidR="001C65C1" w:rsidRPr="001C65C1">
        <w:rPr>
          <w:rFonts w:asciiTheme="majorHAnsi" w:hAnsiTheme="majorHAnsi" w:cstheme="majorHAnsi"/>
          <w:color w:val="000000" w:themeColor="text1"/>
          <w:sz w:val="24"/>
          <w:szCs w:val="24"/>
          <w:lang w:val="ru-MD"/>
        </w:rPr>
        <w:t>о</w:t>
      </w:r>
      <w:r w:rsidRPr="001C65C1">
        <w:rPr>
          <w:rFonts w:asciiTheme="majorHAnsi" w:hAnsiTheme="majorHAnsi" w:cstheme="majorHAnsi"/>
          <w:color w:val="000000" w:themeColor="text1"/>
          <w:sz w:val="24"/>
          <w:szCs w:val="24"/>
          <w:lang w:val="ru-MD"/>
        </w:rPr>
        <w:t xml:space="preserve"> невозмож</w:t>
      </w:r>
      <w:r w:rsidR="001C65C1" w:rsidRPr="001C65C1">
        <w:rPr>
          <w:rFonts w:asciiTheme="majorHAnsi" w:hAnsiTheme="majorHAnsi" w:cstheme="majorHAnsi"/>
          <w:color w:val="000000" w:themeColor="text1"/>
          <w:sz w:val="24"/>
          <w:szCs w:val="24"/>
          <w:lang w:val="ru-MD"/>
        </w:rPr>
        <w:t>но</w:t>
      </w:r>
      <w:r w:rsidRPr="001C65C1">
        <w:rPr>
          <w:rFonts w:asciiTheme="majorHAnsi" w:hAnsiTheme="majorHAnsi" w:cstheme="majorHAnsi"/>
          <w:color w:val="000000" w:themeColor="text1"/>
          <w:sz w:val="24"/>
          <w:szCs w:val="24"/>
          <w:lang w:val="ru-MD"/>
        </w:rPr>
        <w:t xml:space="preserve"> получ</w:t>
      </w:r>
      <w:r w:rsidR="001C65C1" w:rsidRPr="001C65C1">
        <w:rPr>
          <w:rFonts w:asciiTheme="majorHAnsi" w:hAnsiTheme="majorHAnsi" w:cstheme="majorHAnsi"/>
          <w:color w:val="000000" w:themeColor="text1"/>
          <w:sz w:val="24"/>
          <w:szCs w:val="24"/>
          <w:lang w:val="ru-MD"/>
        </w:rPr>
        <w:t>ить уверенность</w:t>
      </w:r>
      <w:r w:rsidRPr="001C65C1">
        <w:rPr>
          <w:rFonts w:asciiTheme="majorHAnsi" w:hAnsiTheme="majorHAnsi" w:cstheme="majorHAnsi"/>
          <w:color w:val="000000" w:themeColor="text1"/>
          <w:sz w:val="24"/>
          <w:szCs w:val="24"/>
          <w:lang w:val="ru-MD"/>
        </w:rPr>
        <w:t xml:space="preserve"> </w:t>
      </w:r>
      <w:r w:rsidR="001C65C1" w:rsidRPr="001C65C1">
        <w:rPr>
          <w:rFonts w:asciiTheme="majorHAnsi" w:hAnsiTheme="majorHAnsi" w:cstheme="majorHAnsi"/>
          <w:color w:val="000000" w:themeColor="text1"/>
          <w:sz w:val="24"/>
          <w:szCs w:val="24"/>
          <w:lang w:val="ru-MD"/>
        </w:rPr>
        <w:t xml:space="preserve">в </w:t>
      </w:r>
      <w:r w:rsidRPr="001C65C1">
        <w:rPr>
          <w:rFonts w:asciiTheme="majorHAnsi" w:hAnsiTheme="majorHAnsi" w:cstheme="majorHAnsi"/>
          <w:color w:val="000000" w:themeColor="text1"/>
          <w:sz w:val="24"/>
          <w:szCs w:val="24"/>
          <w:lang w:val="ru-MD"/>
        </w:rPr>
        <w:t>правильности расчета пособия</w:t>
      </w:r>
      <w:r w:rsidR="001C65C1" w:rsidRPr="001C65C1">
        <w:rPr>
          <w:rFonts w:asciiTheme="majorHAnsi" w:hAnsiTheme="majorHAnsi" w:cstheme="majorHAnsi"/>
          <w:color w:val="000000" w:themeColor="text1"/>
          <w:sz w:val="24"/>
          <w:szCs w:val="24"/>
          <w:lang w:val="ru-MD"/>
        </w:rPr>
        <w:t>,</w:t>
      </w:r>
      <w:r w:rsidRPr="001C65C1">
        <w:rPr>
          <w:rFonts w:asciiTheme="majorHAnsi" w:hAnsiTheme="majorHAnsi" w:cstheme="majorHAnsi"/>
          <w:color w:val="000000" w:themeColor="text1"/>
          <w:sz w:val="24"/>
          <w:szCs w:val="24"/>
          <w:lang w:val="ru-MD"/>
        </w:rPr>
        <w:t xml:space="preserve"> </w:t>
      </w:r>
      <w:r w:rsidR="001C65C1" w:rsidRPr="001C65C1">
        <w:rPr>
          <w:rFonts w:asciiTheme="majorHAnsi" w:hAnsiTheme="majorHAnsi" w:cstheme="majorHAnsi"/>
          <w:color w:val="000000" w:themeColor="text1"/>
          <w:sz w:val="24"/>
          <w:szCs w:val="24"/>
          <w:lang w:val="ru-MD"/>
        </w:rPr>
        <w:t>из-за</w:t>
      </w:r>
      <w:r w:rsidRPr="001C65C1">
        <w:rPr>
          <w:rFonts w:asciiTheme="majorHAnsi" w:hAnsiTheme="majorHAnsi" w:cstheme="majorHAnsi"/>
          <w:color w:val="000000" w:themeColor="text1"/>
          <w:sz w:val="24"/>
          <w:szCs w:val="24"/>
          <w:lang w:val="ru-MD"/>
        </w:rPr>
        <w:t xml:space="preserve"> отсутстви</w:t>
      </w:r>
      <w:r w:rsidR="001C65C1" w:rsidRPr="001C65C1">
        <w:rPr>
          <w:rFonts w:asciiTheme="majorHAnsi" w:hAnsiTheme="majorHAnsi" w:cstheme="majorHAnsi"/>
          <w:color w:val="000000" w:themeColor="text1"/>
          <w:sz w:val="24"/>
          <w:szCs w:val="24"/>
          <w:lang w:val="ru-MD"/>
        </w:rPr>
        <w:t>я</w:t>
      </w:r>
      <w:r w:rsidRPr="001C65C1">
        <w:rPr>
          <w:rFonts w:asciiTheme="majorHAnsi" w:hAnsiTheme="majorHAnsi" w:cstheme="majorHAnsi"/>
          <w:color w:val="000000" w:themeColor="text1"/>
          <w:sz w:val="24"/>
          <w:szCs w:val="24"/>
          <w:lang w:val="ru-MD"/>
        </w:rPr>
        <w:t xml:space="preserve"> </w:t>
      </w:r>
      <w:r w:rsidR="001C65C1" w:rsidRPr="001C65C1">
        <w:rPr>
          <w:rFonts w:asciiTheme="majorHAnsi" w:hAnsiTheme="majorHAnsi" w:cstheme="majorHAnsi"/>
          <w:color w:val="000000" w:themeColor="text1"/>
          <w:sz w:val="24"/>
          <w:szCs w:val="24"/>
          <w:lang w:val="ru-MD"/>
        </w:rPr>
        <w:t xml:space="preserve">его </w:t>
      </w:r>
      <w:r w:rsidRPr="001C65C1">
        <w:rPr>
          <w:rFonts w:asciiTheme="majorHAnsi" w:hAnsiTheme="majorHAnsi" w:cstheme="majorHAnsi"/>
          <w:color w:val="000000" w:themeColor="text1"/>
          <w:sz w:val="24"/>
          <w:szCs w:val="24"/>
          <w:lang w:val="ru-MD"/>
        </w:rPr>
        <w:t xml:space="preserve">разграничения в выписке </w:t>
      </w:r>
      <w:r w:rsidR="001C65C1" w:rsidRPr="001C65C1">
        <w:rPr>
          <w:rFonts w:asciiTheme="majorHAnsi" w:hAnsiTheme="majorHAnsi" w:cstheme="majorHAnsi"/>
          <w:color w:val="000000" w:themeColor="text1"/>
          <w:sz w:val="24"/>
          <w:szCs w:val="24"/>
          <w:lang w:val="ru-MD"/>
        </w:rPr>
        <w:t>с</w:t>
      </w:r>
      <w:r w:rsidRPr="001C65C1">
        <w:rPr>
          <w:rFonts w:asciiTheme="majorHAnsi" w:hAnsiTheme="majorHAnsi" w:cstheme="majorHAnsi"/>
          <w:color w:val="000000" w:themeColor="text1"/>
          <w:sz w:val="24"/>
          <w:szCs w:val="24"/>
          <w:lang w:val="ru-MD"/>
        </w:rPr>
        <w:t>о счет</w:t>
      </w:r>
      <w:r w:rsidR="001C65C1" w:rsidRPr="001C65C1">
        <w:rPr>
          <w:rFonts w:asciiTheme="majorHAnsi" w:hAnsiTheme="majorHAnsi" w:cstheme="majorHAnsi"/>
          <w:color w:val="000000" w:themeColor="text1"/>
          <w:sz w:val="24"/>
          <w:szCs w:val="24"/>
          <w:lang w:val="ru-MD"/>
        </w:rPr>
        <w:t>а,</w:t>
      </w:r>
      <w:r w:rsidRPr="001C65C1">
        <w:rPr>
          <w:rFonts w:asciiTheme="majorHAnsi" w:hAnsiTheme="majorHAnsi" w:cstheme="majorHAnsi"/>
          <w:color w:val="000000" w:themeColor="text1"/>
          <w:sz w:val="24"/>
          <w:szCs w:val="24"/>
          <w:lang w:val="ru-MD"/>
        </w:rPr>
        <w:t xml:space="preserve"> и </w:t>
      </w:r>
      <w:r w:rsidR="001C65C1" w:rsidRPr="001C65C1">
        <w:rPr>
          <w:rFonts w:asciiTheme="majorHAnsi" w:hAnsiTheme="majorHAnsi" w:cstheme="majorHAnsi"/>
          <w:color w:val="000000" w:themeColor="text1"/>
          <w:sz w:val="24"/>
          <w:szCs w:val="24"/>
          <w:lang w:val="ru-MD"/>
        </w:rPr>
        <w:t>по</w:t>
      </w:r>
      <w:r w:rsidRPr="001C65C1">
        <w:rPr>
          <w:rFonts w:asciiTheme="majorHAnsi" w:hAnsiTheme="majorHAnsi" w:cstheme="majorHAnsi"/>
          <w:color w:val="000000" w:themeColor="text1"/>
          <w:sz w:val="24"/>
          <w:szCs w:val="24"/>
          <w:lang w:val="ru-MD"/>
        </w:rPr>
        <w:t xml:space="preserve"> </w:t>
      </w:r>
      <w:r w:rsidR="001C65C1" w:rsidRPr="001C65C1">
        <w:rPr>
          <w:rFonts w:asciiTheme="majorHAnsi" w:hAnsiTheme="majorHAnsi" w:cstheme="majorHAnsi"/>
          <w:color w:val="000000" w:themeColor="text1"/>
          <w:sz w:val="24"/>
          <w:szCs w:val="24"/>
          <w:lang w:val="ru-MD"/>
        </w:rPr>
        <w:t xml:space="preserve"> причине непредставления нужной </w:t>
      </w:r>
      <w:r w:rsidRPr="001C65C1">
        <w:rPr>
          <w:rFonts w:asciiTheme="majorHAnsi" w:hAnsiTheme="majorHAnsi" w:cstheme="majorHAnsi"/>
          <w:color w:val="000000" w:themeColor="text1"/>
          <w:sz w:val="24"/>
          <w:szCs w:val="24"/>
          <w:lang w:val="ru-MD"/>
        </w:rPr>
        <w:t>информации</w:t>
      </w:r>
      <w:r w:rsidR="007073CE" w:rsidRPr="001C65C1">
        <w:rPr>
          <w:rFonts w:asciiTheme="majorHAnsi" w:hAnsiTheme="majorHAnsi" w:cstheme="majorHAnsi"/>
          <w:color w:val="000000" w:themeColor="text1"/>
          <w:sz w:val="24"/>
          <w:szCs w:val="24"/>
          <w:lang w:val="ru-MD"/>
        </w:rPr>
        <w:t>.</w:t>
      </w:r>
    </w:p>
    <w:p w14:paraId="440D6704" w14:textId="502BBEF5" w:rsidR="00D30FC7" w:rsidRPr="00385CF2" w:rsidRDefault="00CB3AFB" w:rsidP="00756056">
      <w:pPr>
        <w:shd w:val="clear" w:color="auto" w:fill="FFFFFF" w:themeFill="background1"/>
        <w:spacing w:line="276" w:lineRule="auto"/>
        <w:jc w:val="both"/>
        <w:rPr>
          <w:rFonts w:asciiTheme="majorHAnsi" w:hAnsiTheme="majorHAnsi" w:cstheme="majorHAnsi"/>
          <w:b/>
          <w:i/>
          <w:color w:val="000000" w:themeColor="text1"/>
          <w:sz w:val="24"/>
          <w:szCs w:val="24"/>
          <w:lang w:val="ru-MD"/>
        </w:rPr>
      </w:pPr>
      <w:r w:rsidRPr="00385CF2">
        <w:rPr>
          <w:rFonts w:asciiTheme="majorHAnsi" w:hAnsiTheme="majorHAnsi" w:cstheme="majorHAnsi"/>
          <w:b/>
          <w:i/>
          <w:color w:val="000000" w:themeColor="text1"/>
          <w:sz w:val="24"/>
          <w:szCs w:val="24"/>
          <w:lang w:val="ru-MD"/>
        </w:rPr>
        <w:t>Отме</w:t>
      </w:r>
      <w:r w:rsidR="003C18CA" w:rsidRPr="00385CF2">
        <w:rPr>
          <w:rFonts w:asciiTheme="majorHAnsi" w:hAnsiTheme="majorHAnsi" w:cstheme="majorHAnsi"/>
          <w:b/>
          <w:i/>
          <w:color w:val="000000" w:themeColor="text1"/>
          <w:sz w:val="24"/>
          <w:szCs w:val="24"/>
          <w:lang w:val="ru-MD"/>
        </w:rPr>
        <w:t>чае</w:t>
      </w:r>
      <w:r w:rsidRPr="00385CF2">
        <w:rPr>
          <w:rFonts w:asciiTheme="majorHAnsi" w:hAnsiTheme="majorHAnsi" w:cstheme="majorHAnsi"/>
          <w:b/>
          <w:i/>
          <w:color w:val="000000" w:themeColor="text1"/>
          <w:sz w:val="24"/>
          <w:szCs w:val="24"/>
          <w:lang w:val="ru-MD"/>
        </w:rPr>
        <w:t xml:space="preserve">м, что после представления проекта </w:t>
      </w:r>
      <w:r w:rsidR="003C18CA" w:rsidRPr="00385CF2">
        <w:rPr>
          <w:rFonts w:asciiTheme="majorHAnsi" w:hAnsiTheme="majorHAnsi" w:cstheme="majorHAnsi"/>
          <w:b/>
          <w:i/>
          <w:color w:val="000000" w:themeColor="text1"/>
          <w:sz w:val="24"/>
          <w:szCs w:val="24"/>
          <w:lang w:val="ru-MD"/>
        </w:rPr>
        <w:t>О</w:t>
      </w:r>
      <w:r w:rsidRPr="00385CF2">
        <w:rPr>
          <w:rFonts w:asciiTheme="majorHAnsi" w:hAnsiTheme="majorHAnsi" w:cstheme="majorHAnsi"/>
          <w:b/>
          <w:i/>
          <w:color w:val="000000" w:themeColor="text1"/>
          <w:sz w:val="24"/>
          <w:szCs w:val="24"/>
          <w:lang w:val="ru-MD"/>
        </w:rPr>
        <w:t xml:space="preserve">тчета </w:t>
      </w:r>
      <w:r w:rsidR="003C18CA" w:rsidRPr="00385CF2">
        <w:rPr>
          <w:rFonts w:asciiTheme="majorHAnsi" w:hAnsiTheme="majorHAnsi" w:cstheme="majorHAnsi"/>
          <w:b/>
          <w:i/>
          <w:color w:val="000000" w:themeColor="text1"/>
          <w:sz w:val="24"/>
          <w:szCs w:val="24"/>
          <w:lang w:val="ru-MD"/>
        </w:rPr>
        <w:t>аудита, ЦИТФ</w:t>
      </w:r>
      <w:r w:rsidRPr="00385CF2">
        <w:rPr>
          <w:rFonts w:asciiTheme="majorHAnsi" w:hAnsiTheme="majorHAnsi" w:cstheme="majorHAnsi"/>
          <w:b/>
          <w:i/>
          <w:color w:val="000000" w:themeColor="text1"/>
          <w:sz w:val="24"/>
          <w:szCs w:val="24"/>
          <w:lang w:val="ru-MD"/>
        </w:rPr>
        <w:t xml:space="preserve"> представил информацию (17.05.2023, 21:59, запрос был передан 21.03.2023) о списке экономических агентов, которые подали заявку на получение пособия по технической безработице. В то же время, </w:t>
      </w:r>
      <w:r w:rsidR="003C18CA" w:rsidRPr="00385CF2">
        <w:rPr>
          <w:rFonts w:asciiTheme="majorHAnsi" w:hAnsiTheme="majorHAnsi" w:cstheme="majorHAnsi"/>
          <w:b/>
          <w:i/>
          <w:color w:val="000000" w:themeColor="text1"/>
          <w:sz w:val="24"/>
          <w:szCs w:val="24"/>
          <w:lang w:val="ru-MD"/>
        </w:rPr>
        <w:t xml:space="preserve">согласно законодательным </w:t>
      </w:r>
      <w:r w:rsidRPr="00385CF2">
        <w:rPr>
          <w:rFonts w:asciiTheme="majorHAnsi" w:hAnsiTheme="majorHAnsi" w:cstheme="majorHAnsi"/>
          <w:b/>
          <w:i/>
          <w:color w:val="000000" w:themeColor="text1"/>
          <w:sz w:val="24"/>
          <w:szCs w:val="24"/>
          <w:lang w:val="ru-MD"/>
        </w:rPr>
        <w:t>норм</w:t>
      </w:r>
      <w:r w:rsidR="003C18CA" w:rsidRPr="00385CF2">
        <w:rPr>
          <w:rFonts w:asciiTheme="majorHAnsi" w:hAnsiTheme="majorHAnsi" w:cstheme="majorHAnsi"/>
          <w:b/>
          <w:i/>
          <w:color w:val="000000" w:themeColor="text1"/>
          <w:sz w:val="24"/>
          <w:szCs w:val="24"/>
          <w:lang w:val="ru-MD"/>
        </w:rPr>
        <w:t>ам</w:t>
      </w:r>
      <w:r w:rsidRPr="00385CF2">
        <w:rPr>
          <w:rFonts w:asciiTheme="majorHAnsi" w:hAnsiTheme="majorHAnsi" w:cstheme="majorHAnsi"/>
          <w:b/>
          <w:i/>
          <w:color w:val="000000" w:themeColor="text1"/>
          <w:sz w:val="24"/>
          <w:szCs w:val="24"/>
          <w:lang w:val="ru-MD"/>
        </w:rPr>
        <w:t>, регулирующи</w:t>
      </w:r>
      <w:r w:rsidR="003C18CA" w:rsidRPr="00385CF2">
        <w:rPr>
          <w:rFonts w:asciiTheme="majorHAnsi" w:hAnsiTheme="majorHAnsi" w:cstheme="majorHAnsi"/>
          <w:b/>
          <w:i/>
          <w:color w:val="000000" w:themeColor="text1"/>
          <w:sz w:val="24"/>
          <w:szCs w:val="24"/>
          <w:lang w:val="ru-MD"/>
        </w:rPr>
        <w:t>м</w:t>
      </w:r>
      <w:r w:rsidRPr="00385CF2">
        <w:rPr>
          <w:rFonts w:asciiTheme="majorHAnsi" w:hAnsiTheme="majorHAnsi" w:cstheme="majorHAnsi"/>
          <w:b/>
          <w:i/>
          <w:color w:val="000000" w:themeColor="text1"/>
          <w:sz w:val="24"/>
          <w:szCs w:val="24"/>
          <w:lang w:val="ru-MD"/>
        </w:rPr>
        <w:t xml:space="preserve"> деятельность Счетной палаты, </w:t>
      </w:r>
      <w:r w:rsidR="003C18CA" w:rsidRPr="00385CF2">
        <w:rPr>
          <w:rFonts w:asciiTheme="majorHAnsi" w:hAnsiTheme="majorHAnsi" w:cstheme="majorHAnsi"/>
          <w:b/>
          <w:i/>
          <w:color w:val="000000" w:themeColor="text1"/>
          <w:sz w:val="24"/>
          <w:szCs w:val="24"/>
          <w:lang w:val="ru-MD"/>
        </w:rPr>
        <w:t>О</w:t>
      </w:r>
      <w:r w:rsidRPr="00385CF2">
        <w:rPr>
          <w:rFonts w:asciiTheme="majorHAnsi" w:hAnsiTheme="majorHAnsi" w:cstheme="majorHAnsi"/>
          <w:b/>
          <w:i/>
          <w:color w:val="000000" w:themeColor="text1"/>
          <w:sz w:val="24"/>
          <w:szCs w:val="24"/>
          <w:lang w:val="ru-MD"/>
        </w:rPr>
        <w:t>тчет аудит</w:t>
      </w:r>
      <w:r w:rsidR="003C18CA" w:rsidRPr="00385CF2">
        <w:rPr>
          <w:rFonts w:asciiTheme="majorHAnsi" w:hAnsiTheme="majorHAnsi" w:cstheme="majorHAnsi"/>
          <w:b/>
          <w:i/>
          <w:color w:val="000000" w:themeColor="text1"/>
          <w:sz w:val="24"/>
          <w:szCs w:val="24"/>
          <w:lang w:val="ru-MD"/>
        </w:rPr>
        <w:t>а</w:t>
      </w:r>
      <w:r w:rsidRPr="00385CF2">
        <w:rPr>
          <w:rFonts w:asciiTheme="majorHAnsi" w:hAnsiTheme="majorHAnsi" w:cstheme="majorHAnsi"/>
          <w:b/>
          <w:i/>
          <w:color w:val="000000" w:themeColor="text1"/>
          <w:sz w:val="24"/>
          <w:szCs w:val="24"/>
          <w:lang w:val="ru-MD"/>
        </w:rPr>
        <w:t xml:space="preserve"> </w:t>
      </w:r>
      <w:r w:rsidR="003C18CA" w:rsidRPr="00385CF2">
        <w:rPr>
          <w:rFonts w:asciiTheme="majorHAnsi" w:hAnsiTheme="majorHAnsi" w:cstheme="majorHAnsi"/>
          <w:b/>
          <w:i/>
          <w:color w:val="000000" w:themeColor="text1"/>
          <w:sz w:val="24"/>
          <w:szCs w:val="24"/>
          <w:lang w:val="ru-MD"/>
        </w:rPr>
        <w:t>О</w:t>
      </w:r>
      <w:r w:rsidRPr="00385CF2">
        <w:rPr>
          <w:rFonts w:asciiTheme="majorHAnsi" w:hAnsiTheme="majorHAnsi" w:cstheme="majorHAnsi"/>
          <w:b/>
          <w:i/>
          <w:color w:val="000000" w:themeColor="text1"/>
          <w:sz w:val="24"/>
          <w:szCs w:val="24"/>
          <w:lang w:val="ru-MD"/>
        </w:rPr>
        <w:t xml:space="preserve">тчета </w:t>
      </w:r>
      <w:r w:rsidR="003C18CA" w:rsidRPr="00385CF2">
        <w:rPr>
          <w:rFonts w:asciiTheme="majorHAnsi" w:hAnsiTheme="majorHAnsi" w:cstheme="majorHAnsi"/>
          <w:b/>
          <w:i/>
          <w:color w:val="000000" w:themeColor="text1"/>
          <w:sz w:val="24"/>
          <w:szCs w:val="24"/>
          <w:lang w:val="ru-MD"/>
        </w:rPr>
        <w:t>П</w:t>
      </w:r>
      <w:r w:rsidRPr="00385CF2">
        <w:rPr>
          <w:rFonts w:asciiTheme="majorHAnsi" w:hAnsiTheme="majorHAnsi" w:cstheme="majorHAnsi"/>
          <w:b/>
          <w:i/>
          <w:color w:val="000000" w:themeColor="text1"/>
          <w:sz w:val="24"/>
          <w:szCs w:val="24"/>
          <w:lang w:val="ru-MD"/>
        </w:rPr>
        <w:t>равительства о</w:t>
      </w:r>
      <w:r w:rsidR="003C18CA" w:rsidRPr="00385CF2">
        <w:rPr>
          <w:rFonts w:asciiTheme="majorHAnsi" w:hAnsiTheme="majorHAnsi" w:cstheme="majorHAnsi"/>
          <w:b/>
          <w:i/>
          <w:color w:val="000000" w:themeColor="text1"/>
          <w:sz w:val="24"/>
          <w:szCs w:val="24"/>
          <w:lang w:val="ru-MD"/>
        </w:rPr>
        <w:t>б</w:t>
      </w:r>
      <w:r w:rsidRPr="00385CF2">
        <w:rPr>
          <w:rFonts w:asciiTheme="majorHAnsi" w:hAnsiTheme="majorHAnsi" w:cstheme="majorHAnsi"/>
          <w:b/>
          <w:i/>
          <w:color w:val="000000" w:themeColor="text1"/>
          <w:sz w:val="24"/>
          <w:szCs w:val="24"/>
          <w:lang w:val="ru-MD"/>
        </w:rPr>
        <w:t xml:space="preserve"> </w:t>
      </w:r>
      <w:r w:rsidR="003C18CA" w:rsidRPr="00385CF2">
        <w:rPr>
          <w:rFonts w:asciiTheme="majorHAnsi" w:hAnsiTheme="majorHAnsi" w:cstheme="majorHAnsi"/>
          <w:b/>
          <w:i/>
          <w:color w:val="000000" w:themeColor="text1"/>
          <w:sz w:val="24"/>
          <w:szCs w:val="24"/>
          <w:lang w:val="ru-MD"/>
        </w:rPr>
        <w:t>ис</w:t>
      </w:r>
      <w:r w:rsidRPr="00385CF2">
        <w:rPr>
          <w:rFonts w:asciiTheme="majorHAnsi" w:hAnsiTheme="majorHAnsi" w:cstheme="majorHAnsi"/>
          <w:b/>
          <w:i/>
          <w:color w:val="000000" w:themeColor="text1"/>
          <w:sz w:val="24"/>
          <w:szCs w:val="24"/>
          <w:lang w:val="ru-MD"/>
        </w:rPr>
        <w:t xml:space="preserve">полнении </w:t>
      </w:r>
      <w:r w:rsidR="003C18CA" w:rsidRPr="00385CF2">
        <w:rPr>
          <w:rFonts w:asciiTheme="majorHAnsi" w:hAnsiTheme="majorHAnsi" w:cstheme="majorHAnsi"/>
          <w:b/>
          <w:i/>
          <w:color w:val="000000" w:themeColor="text1"/>
          <w:sz w:val="24"/>
          <w:szCs w:val="24"/>
          <w:lang w:val="ru-MD"/>
        </w:rPr>
        <w:t>БГСС,</w:t>
      </w:r>
      <w:r w:rsidRPr="00385CF2">
        <w:rPr>
          <w:rFonts w:asciiTheme="majorHAnsi" w:hAnsiTheme="majorHAnsi" w:cstheme="majorHAnsi"/>
          <w:b/>
          <w:i/>
          <w:color w:val="000000" w:themeColor="text1"/>
          <w:sz w:val="24"/>
          <w:szCs w:val="24"/>
          <w:lang w:val="ru-MD"/>
        </w:rPr>
        <w:t xml:space="preserve"> в обязательн</w:t>
      </w:r>
      <w:r w:rsidR="003C18CA" w:rsidRPr="00385CF2">
        <w:rPr>
          <w:rFonts w:asciiTheme="majorHAnsi" w:hAnsiTheme="majorHAnsi" w:cstheme="majorHAnsi"/>
          <w:b/>
          <w:i/>
          <w:color w:val="000000" w:themeColor="text1"/>
          <w:sz w:val="24"/>
          <w:szCs w:val="24"/>
          <w:lang w:val="ru-MD"/>
        </w:rPr>
        <w:t xml:space="preserve">ом порядке, </w:t>
      </w:r>
      <w:r w:rsidR="00385CF2" w:rsidRPr="00385CF2">
        <w:rPr>
          <w:rFonts w:asciiTheme="majorHAnsi" w:hAnsiTheme="majorHAnsi" w:cstheme="majorHAnsi"/>
          <w:b/>
          <w:i/>
          <w:color w:val="000000" w:themeColor="text1"/>
          <w:sz w:val="24"/>
          <w:szCs w:val="24"/>
          <w:lang w:val="ru-MD"/>
        </w:rPr>
        <w:t xml:space="preserve">должен быть представлен </w:t>
      </w:r>
      <w:r w:rsidR="003C18CA" w:rsidRPr="00385CF2">
        <w:rPr>
          <w:rFonts w:asciiTheme="majorHAnsi" w:hAnsiTheme="majorHAnsi" w:cstheme="majorHAnsi"/>
          <w:b/>
          <w:i/>
          <w:color w:val="000000" w:themeColor="text1"/>
          <w:sz w:val="24"/>
          <w:szCs w:val="24"/>
          <w:lang w:val="ru-MD"/>
        </w:rPr>
        <w:t>в</w:t>
      </w:r>
      <w:r w:rsidRPr="00385CF2">
        <w:rPr>
          <w:rFonts w:asciiTheme="majorHAnsi" w:hAnsiTheme="majorHAnsi" w:cstheme="majorHAnsi"/>
          <w:b/>
          <w:i/>
          <w:color w:val="000000" w:themeColor="text1"/>
          <w:sz w:val="24"/>
          <w:szCs w:val="24"/>
          <w:lang w:val="ru-MD"/>
        </w:rPr>
        <w:t xml:space="preserve"> </w:t>
      </w:r>
      <w:r w:rsidR="003C18CA" w:rsidRPr="00385CF2">
        <w:rPr>
          <w:rFonts w:asciiTheme="majorHAnsi" w:hAnsiTheme="majorHAnsi" w:cstheme="majorHAnsi"/>
          <w:b/>
          <w:i/>
          <w:color w:val="000000" w:themeColor="text1"/>
          <w:sz w:val="24"/>
          <w:szCs w:val="24"/>
          <w:lang w:val="ru-MD"/>
        </w:rPr>
        <w:t>П</w:t>
      </w:r>
      <w:r w:rsidRPr="00385CF2">
        <w:rPr>
          <w:rFonts w:asciiTheme="majorHAnsi" w:hAnsiTheme="majorHAnsi" w:cstheme="majorHAnsi"/>
          <w:b/>
          <w:i/>
          <w:color w:val="000000" w:themeColor="text1"/>
          <w:sz w:val="24"/>
          <w:szCs w:val="24"/>
          <w:lang w:val="ru-MD"/>
        </w:rPr>
        <w:t>арламент до 01.06.2023</w:t>
      </w:r>
      <w:r w:rsidR="00D30FC7" w:rsidRPr="00385CF2">
        <w:rPr>
          <w:rFonts w:asciiTheme="majorHAnsi" w:hAnsiTheme="majorHAnsi" w:cstheme="majorHAnsi"/>
          <w:b/>
          <w:i/>
          <w:color w:val="000000" w:themeColor="text1"/>
          <w:sz w:val="24"/>
          <w:szCs w:val="24"/>
          <w:lang w:val="ru-MD"/>
        </w:rPr>
        <w:t xml:space="preserve">. </w:t>
      </w:r>
      <w:r w:rsidRPr="00385CF2">
        <w:rPr>
          <w:rFonts w:asciiTheme="majorHAnsi" w:hAnsiTheme="majorHAnsi" w:cstheme="majorHAnsi"/>
          <w:b/>
          <w:i/>
          <w:color w:val="000000" w:themeColor="text1"/>
          <w:sz w:val="24"/>
          <w:szCs w:val="24"/>
          <w:lang w:val="ru-MD"/>
        </w:rPr>
        <w:t xml:space="preserve">Таким образом, аудиторская группа не располагала ресурсами </w:t>
      </w:r>
      <w:r w:rsidR="00385CF2" w:rsidRPr="00385CF2">
        <w:rPr>
          <w:rFonts w:asciiTheme="majorHAnsi" w:hAnsiTheme="majorHAnsi" w:cstheme="majorHAnsi"/>
          <w:b/>
          <w:i/>
          <w:color w:val="000000" w:themeColor="text1"/>
          <w:sz w:val="24"/>
          <w:szCs w:val="24"/>
          <w:lang w:val="ru-MD"/>
        </w:rPr>
        <w:t>для</w:t>
      </w:r>
      <w:r w:rsidRPr="00385CF2">
        <w:rPr>
          <w:rFonts w:asciiTheme="majorHAnsi" w:hAnsiTheme="majorHAnsi" w:cstheme="majorHAnsi"/>
          <w:b/>
          <w:i/>
          <w:color w:val="000000" w:themeColor="text1"/>
          <w:sz w:val="24"/>
          <w:szCs w:val="24"/>
          <w:lang w:val="ru-MD"/>
        </w:rPr>
        <w:t xml:space="preserve"> анализ</w:t>
      </w:r>
      <w:r w:rsidR="00385CF2" w:rsidRPr="00385CF2">
        <w:rPr>
          <w:rFonts w:asciiTheme="majorHAnsi" w:hAnsiTheme="majorHAnsi" w:cstheme="majorHAnsi"/>
          <w:b/>
          <w:i/>
          <w:color w:val="000000" w:themeColor="text1"/>
          <w:sz w:val="24"/>
          <w:szCs w:val="24"/>
          <w:lang w:val="ru-MD"/>
        </w:rPr>
        <w:t>а</w:t>
      </w:r>
      <w:r w:rsidRPr="00385CF2">
        <w:rPr>
          <w:rFonts w:asciiTheme="majorHAnsi" w:hAnsiTheme="majorHAnsi" w:cstheme="majorHAnsi"/>
          <w:b/>
          <w:i/>
          <w:color w:val="000000" w:themeColor="text1"/>
          <w:sz w:val="24"/>
          <w:szCs w:val="24"/>
          <w:lang w:val="ru-MD"/>
        </w:rPr>
        <w:t xml:space="preserve"> и оценк</w:t>
      </w:r>
      <w:r w:rsidR="00385CF2" w:rsidRPr="00385CF2">
        <w:rPr>
          <w:rFonts w:asciiTheme="majorHAnsi" w:hAnsiTheme="majorHAnsi" w:cstheme="majorHAnsi"/>
          <w:b/>
          <w:i/>
          <w:color w:val="000000" w:themeColor="text1"/>
          <w:sz w:val="24"/>
          <w:szCs w:val="24"/>
          <w:lang w:val="ru-MD"/>
        </w:rPr>
        <w:t>и</w:t>
      </w:r>
      <w:r w:rsidRPr="00385CF2">
        <w:rPr>
          <w:rFonts w:asciiTheme="majorHAnsi" w:hAnsiTheme="majorHAnsi" w:cstheme="majorHAnsi"/>
          <w:b/>
          <w:i/>
          <w:color w:val="000000" w:themeColor="text1"/>
          <w:sz w:val="24"/>
          <w:szCs w:val="24"/>
          <w:lang w:val="ru-MD"/>
        </w:rPr>
        <w:t xml:space="preserve"> </w:t>
      </w:r>
      <w:r w:rsidR="00385CF2" w:rsidRPr="00385CF2">
        <w:rPr>
          <w:rFonts w:asciiTheme="majorHAnsi" w:hAnsiTheme="majorHAnsi" w:cstheme="majorHAnsi"/>
          <w:b/>
          <w:i/>
          <w:color w:val="000000" w:themeColor="text1"/>
          <w:sz w:val="24"/>
          <w:szCs w:val="24"/>
          <w:lang w:val="ru-MD"/>
        </w:rPr>
        <w:t xml:space="preserve">информации, </w:t>
      </w:r>
      <w:r w:rsidRPr="00385CF2">
        <w:rPr>
          <w:rFonts w:asciiTheme="majorHAnsi" w:hAnsiTheme="majorHAnsi" w:cstheme="majorHAnsi"/>
          <w:b/>
          <w:i/>
          <w:color w:val="000000" w:themeColor="text1"/>
          <w:sz w:val="24"/>
          <w:szCs w:val="24"/>
          <w:lang w:val="ru-MD"/>
        </w:rPr>
        <w:t>представленной</w:t>
      </w:r>
      <w:r w:rsidR="00385CF2" w:rsidRPr="00385CF2">
        <w:rPr>
          <w:rFonts w:asciiTheme="majorHAnsi" w:hAnsiTheme="majorHAnsi" w:cstheme="majorHAnsi"/>
          <w:b/>
          <w:i/>
          <w:color w:val="000000" w:themeColor="text1"/>
          <w:sz w:val="24"/>
          <w:szCs w:val="24"/>
          <w:lang w:val="ru-MD"/>
        </w:rPr>
        <w:t xml:space="preserve"> с опозданием</w:t>
      </w:r>
      <w:r w:rsidRPr="00385CF2">
        <w:rPr>
          <w:rFonts w:asciiTheme="majorHAnsi" w:hAnsiTheme="majorHAnsi" w:cstheme="majorHAnsi"/>
          <w:b/>
          <w:i/>
          <w:color w:val="000000" w:themeColor="text1"/>
          <w:sz w:val="24"/>
          <w:szCs w:val="24"/>
          <w:lang w:val="ru-MD"/>
        </w:rPr>
        <w:t>. В</w:t>
      </w:r>
      <w:r w:rsidR="00385CF2" w:rsidRPr="00385CF2">
        <w:rPr>
          <w:rFonts w:asciiTheme="majorHAnsi" w:hAnsiTheme="majorHAnsi" w:cstheme="majorHAnsi"/>
          <w:b/>
          <w:i/>
          <w:color w:val="000000" w:themeColor="text1"/>
          <w:sz w:val="24"/>
          <w:szCs w:val="24"/>
          <w:lang w:val="ru-MD"/>
        </w:rPr>
        <w:t xml:space="preserve">месте с тем, </w:t>
      </w:r>
      <w:r w:rsidRPr="00385CF2">
        <w:rPr>
          <w:rFonts w:asciiTheme="majorHAnsi" w:hAnsiTheme="majorHAnsi" w:cstheme="majorHAnsi"/>
          <w:b/>
          <w:i/>
          <w:color w:val="000000" w:themeColor="text1"/>
          <w:sz w:val="24"/>
          <w:szCs w:val="24"/>
          <w:lang w:val="ru-MD"/>
        </w:rPr>
        <w:t xml:space="preserve">предварительные оценки аудита выявили для этих пособий, предоставленных в течение 3 месяцев, </w:t>
      </w:r>
      <w:r w:rsidR="00385CF2" w:rsidRPr="00385CF2">
        <w:rPr>
          <w:rFonts w:asciiTheme="majorHAnsi" w:hAnsiTheme="majorHAnsi" w:cstheme="majorHAnsi"/>
          <w:b/>
          <w:i/>
          <w:color w:val="000000" w:themeColor="text1"/>
          <w:sz w:val="24"/>
          <w:szCs w:val="24"/>
          <w:lang w:val="ru-MD"/>
        </w:rPr>
        <w:t>переплаты в случае</w:t>
      </w:r>
      <w:r w:rsidRPr="00385CF2">
        <w:rPr>
          <w:rFonts w:asciiTheme="majorHAnsi" w:hAnsiTheme="majorHAnsi" w:cstheme="majorHAnsi"/>
          <w:b/>
          <w:i/>
          <w:color w:val="000000" w:themeColor="text1"/>
          <w:sz w:val="24"/>
          <w:szCs w:val="24"/>
          <w:lang w:val="ru-MD"/>
        </w:rPr>
        <w:t xml:space="preserve"> 100 бенефициаров, что указывает на необходимость разработки и утверждения механизмов идентификации и контроля заявок на получение </w:t>
      </w:r>
      <w:r w:rsidR="00385CF2" w:rsidRPr="00385CF2">
        <w:rPr>
          <w:rFonts w:asciiTheme="majorHAnsi" w:hAnsiTheme="majorHAnsi" w:cstheme="majorHAnsi"/>
          <w:b/>
          <w:i/>
          <w:color w:val="000000" w:themeColor="text1"/>
          <w:sz w:val="24"/>
          <w:szCs w:val="24"/>
          <w:lang w:val="ru-MD"/>
        </w:rPr>
        <w:t xml:space="preserve">пособия по </w:t>
      </w:r>
      <w:r w:rsidRPr="00385CF2">
        <w:rPr>
          <w:rFonts w:asciiTheme="majorHAnsi" w:hAnsiTheme="majorHAnsi" w:cstheme="majorHAnsi"/>
          <w:b/>
          <w:i/>
          <w:color w:val="000000" w:themeColor="text1"/>
          <w:sz w:val="24"/>
          <w:szCs w:val="24"/>
          <w:lang w:val="ru-MD"/>
        </w:rPr>
        <w:t>техническо</w:t>
      </w:r>
      <w:r w:rsidR="00385CF2" w:rsidRPr="00385CF2">
        <w:rPr>
          <w:rFonts w:asciiTheme="majorHAnsi" w:hAnsiTheme="majorHAnsi" w:cstheme="majorHAnsi"/>
          <w:b/>
          <w:i/>
          <w:color w:val="000000" w:themeColor="text1"/>
          <w:sz w:val="24"/>
          <w:szCs w:val="24"/>
          <w:lang w:val="ru-MD"/>
        </w:rPr>
        <w:t>й</w:t>
      </w:r>
      <w:r w:rsidRPr="00385CF2">
        <w:rPr>
          <w:rFonts w:asciiTheme="majorHAnsi" w:hAnsiTheme="majorHAnsi" w:cstheme="majorHAnsi"/>
          <w:b/>
          <w:i/>
          <w:color w:val="000000" w:themeColor="text1"/>
          <w:sz w:val="24"/>
          <w:szCs w:val="24"/>
          <w:lang w:val="ru-MD"/>
        </w:rPr>
        <w:t xml:space="preserve"> безработице, финансируемого из государственного бюджета, </w:t>
      </w:r>
      <w:r w:rsidR="00385CF2" w:rsidRPr="00385CF2">
        <w:rPr>
          <w:rFonts w:asciiTheme="majorHAnsi" w:hAnsiTheme="majorHAnsi" w:cstheme="majorHAnsi"/>
          <w:b/>
          <w:i/>
          <w:color w:val="000000" w:themeColor="text1"/>
          <w:sz w:val="24"/>
          <w:szCs w:val="24"/>
          <w:lang w:val="ru-MD"/>
        </w:rPr>
        <w:t>в</w:t>
      </w:r>
      <w:r w:rsidRPr="00385CF2">
        <w:rPr>
          <w:rFonts w:asciiTheme="majorHAnsi" w:hAnsiTheme="majorHAnsi" w:cstheme="majorHAnsi"/>
          <w:b/>
          <w:i/>
          <w:color w:val="000000" w:themeColor="text1"/>
          <w:sz w:val="24"/>
          <w:szCs w:val="24"/>
          <w:lang w:val="ru-MD"/>
        </w:rPr>
        <w:t xml:space="preserve"> цел</w:t>
      </w:r>
      <w:r w:rsidR="00385CF2" w:rsidRPr="00385CF2">
        <w:rPr>
          <w:rFonts w:asciiTheme="majorHAnsi" w:hAnsiTheme="majorHAnsi" w:cstheme="majorHAnsi"/>
          <w:b/>
          <w:i/>
          <w:color w:val="000000" w:themeColor="text1"/>
          <w:sz w:val="24"/>
          <w:szCs w:val="24"/>
          <w:lang w:val="ru-MD"/>
        </w:rPr>
        <w:t>ях</w:t>
      </w:r>
      <w:r w:rsidRPr="00385CF2">
        <w:rPr>
          <w:rFonts w:asciiTheme="majorHAnsi" w:hAnsiTheme="majorHAnsi" w:cstheme="majorHAnsi"/>
          <w:b/>
          <w:i/>
          <w:color w:val="000000" w:themeColor="text1"/>
          <w:sz w:val="24"/>
          <w:szCs w:val="24"/>
          <w:lang w:val="ru-MD"/>
        </w:rPr>
        <w:t xml:space="preserve"> обеспечения соответствия</w:t>
      </w:r>
      <w:r w:rsidR="00385CF2" w:rsidRPr="00385CF2">
        <w:rPr>
          <w:rFonts w:asciiTheme="majorHAnsi" w:hAnsiTheme="majorHAnsi" w:cstheme="majorHAnsi"/>
          <w:b/>
          <w:i/>
          <w:color w:val="000000" w:themeColor="text1"/>
          <w:sz w:val="24"/>
          <w:szCs w:val="24"/>
          <w:lang w:val="ru-MD"/>
        </w:rPr>
        <w:t xml:space="preserve"> его предоставления и достоверно</w:t>
      </w:r>
      <w:r w:rsidR="00385CF2">
        <w:rPr>
          <w:rFonts w:asciiTheme="majorHAnsi" w:hAnsiTheme="majorHAnsi" w:cstheme="majorHAnsi"/>
          <w:b/>
          <w:i/>
          <w:color w:val="000000" w:themeColor="text1"/>
          <w:sz w:val="24"/>
          <w:szCs w:val="24"/>
          <w:lang w:val="ru-MD"/>
        </w:rPr>
        <w:t>го отражения в</w:t>
      </w:r>
      <w:r w:rsidRPr="00385CF2">
        <w:rPr>
          <w:rFonts w:asciiTheme="majorHAnsi" w:hAnsiTheme="majorHAnsi" w:cstheme="majorHAnsi"/>
          <w:b/>
          <w:i/>
          <w:color w:val="000000" w:themeColor="text1"/>
          <w:sz w:val="24"/>
          <w:szCs w:val="24"/>
          <w:lang w:val="ru-MD"/>
        </w:rPr>
        <w:t xml:space="preserve"> отчетности. </w:t>
      </w:r>
    </w:p>
    <w:p w14:paraId="2B5FEE08" w14:textId="38E305C2" w:rsidR="00756056" w:rsidRPr="00B7675F" w:rsidRDefault="00765161" w:rsidP="00756056">
      <w:pPr>
        <w:shd w:val="clear" w:color="auto" w:fill="FFFFFF" w:themeFill="background1"/>
        <w:spacing w:line="276" w:lineRule="auto"/>
        <w:jc w:val="both"/>
        <w:rPr>
          <w:rFonts w:asciiTheme="majorHAnsi" w:eastAsia="Times New Roman" w:hAnsiTheme="majorHAnsi" w:cstheme="majorHAnsi"/>
          <w:color w:val="000000" w:themeColor="text1"/>
          <w:sz w:val="24"/>
          <w:szCs w:val="24"/>
          <w:lang w:val="ro-MD"/>
        </w:rPr>
      </w:pPr>
      <w:r w:rsidRPr="00765161">
        <w:rPr>
          <w:rFonts w:asciiTheme="majorHAnsi" w:hAnsiTheme="majorHAnsi" w:cstheme="majorHAnsi"/>
          <w:color w:val="000000" w:themeColor="text1"/>
          <w:sz w:val="24"/>
          <w:szCs w:val="24"/>
          <w:lang w:val="ru-MD"/>
        </w:rPr>
        <w:t>Также</w:t>
      </w:r>
      <w:r w:rsidR="00CB3AFB" w:rsidRPr="00765161">
        <w:rPr>
          <w:rFonts w:asciiTheme="majorHAnsi" w:hAnsiTheme="majorHAnsi" w:cstheme="majorHAnsi"/>
          <w:color w:val="000000" w:themeColor="text1"/>
          <w:sz w:val="24"/>
          <w:szCs w:val="24"/>
          <w:lang w:val="ru-MD"/>
        </w:rPr>
        <w:t xml:space="preserve"> уточняем, что, хотя нормативн</w:t>
      </w:r>
      <w:r w:rsidR="00A02BAC" w:rsidRPr="00765161">
        <w:rPr>
          <w:rFonts w:asciiTheme="majorHAnsi" w:hAnsiTheme="majorHAnsi" w:cstheme="majorHAnsi"/>
          <w:color w:val="000000" w:themeColor="text1"/>
          <w:sz w:val="24"/>
          <w:szCs w:val="24"/>
          <w:lang w:val="ru-MD"/>
        </w:rPr>
        <w:t>ая</w:t>
      </w:r>
      <w:r w:rsidR="00CB3AFB" w:rsidRPr="00765161">
        <w:rPr>
          <w:rFonts w:asciiTheme="majorHAnsi" w:hAnsiTheme="majorHAnsi" w:cstheme="majorHAnsi"/>
          <w:color w:val="000000" w:themeColor="text1"/>
          <w:sz w:val="24"/>
          <w:szCs w:val="24"/>
          <w:lang w:val="ru-MD"/>
        </w:rPr>
        <w:t xml:space="preserve"> база надел</w:t>
      </w:r>
      <w:r w:rsidR="00A02BAC" w:rsidRPr="00765161">
        <w:rPr>
          <w:rFonts w:asciiTheme="majorHAnsi" w:hAnsiTheme="majorHAnsi" w:cstheme="majorHAnsi"/>
          <w:color w:val="000000" w:themeColor="text1"/>
          <w:sz w:val="24"/>
          <w:szCs w:val="24"/>
          <w:lang w:val="ru-MD"/>
        </w:rPr>
        <w:t>яет</w:t>
      </w:r>
      <w:r w:rsidR="00CB3AFB" w:rsidRPr="00765161">
        <w:rPr>
          <w:rFonts w:asciiTheme="majorHAnsi" w:hAnsiTheme="majorHAnsi" w:cstheme="majorHAnsi"/>
          <w:color w:val="000000" w:themeColor="text1"/>
          <w:sz w:val="24"/>
          <w:szCs w:val="24"/>
          <w:lang w:val="ru-MD"/>
        </w:rPr>
        <w:t xml:space="preserve"> Государственную инспекцию труда </w:t>
      </w:r>
      <w:r w:rsidR="00A02BAC" w:rsidRPr="00765161">
        <w:rPr>
          <w:rFonts w:asciiTheme="majorHAnsi" w:hAnsiTheme="majorHAnsi" w:cstheme="majorHAnsi"/>
          <w:color w:val="000000" w:themeColor="text1"/>
          <w:sz w:val="24"/>
          <w:szCs w:val="24"/>
          <w:lang w:val="ru-MD"/>
        </w:rPr>
        <w:t xml:space="preserve">полномочиями по </w:t>
      </w:r>
      <w:r w:rsidR="00CB3AFB" w:rsidRPr="00765161">
        <w:rPr>
          <w:rFonts w:asciiTheme="majorHAnsi" w:hAnsiTheme="majorHAnsi" w:cstheme="majorHAnsi"/>
          <w:color w:val="000000" w:themeColor="text1"/>
          <w:sz w:val="24"/>
          <w:szCs w:val="24"/>
          <w:lang w:val="ru-MD"/>
        </w:rPr>
        <w:t>контрол</w:t>
      </w:r>
      <w:r w:rsidR="00A02BAC" w:rsidRPr="00765161">
        <w:rPr>
          <w:rFonts w:asciiTheme="majorHAnsi" w:hAnsiTheme="majorHAnsi" w:cstheme="majorHAnsi"/>
          <w:color w:val="000000" w:themeColor="text1"/>
          <w:sz w:val="24"/>
          <w:szCs w:val="24"/>
          <w:lang w:val="ru-MD"/>
        </w:rPr>
        <w:t>ю</w:t>
      </w:r>
      <w:r w:rsidR="00CB3AFB" w:rsidRPr="00765161">
        <w:rPr>
          <w:rFonts w:asciiTheme="majorHAnsi" w:hAnsiTheme="majorHAnsi" w:cstheme="majorHAnsi"/>
          <w:color w:val="000000" w:themeColor="text1"/>
          <w:sz w:val="24"/>
          <w:szCs w:val="24"/>
          <w:lang w:val="ru-MD"/>
        </w:rPr>
        <w:t xml:space="preserve">, </w:t>
      </w:r>
      <w:r w:rsidR="00A02BAC" w:rsidRPr="00765161">
        <w:rPr>
          <w:rFonts w:asciiTheme="majorHAnsi" w:hAnsiTheme="majorHAnsi" w:cstheme="majorHAnsi"/>
          <w:color w:val="000000" w:themeColor="text1"/>
          <w:sz w:val="24"/>
          <w:szCs w:val="24"/>
          <w:lang w:val="ru-MD"/>
        </w:rPr>
        <w:t xml:space="preserve">на запрос </w:t>
      </w:r>
      <w:r w:rsidR="00CB3AFB" w:rsidRPr="00765161">
        <w:rPr>
          <w:rFonts w:asciiTheme="majorHAnsi" w:hAnsiTheme="majorHAnsi" w:cstheme="majorHAnsi"/>
          <w:color w:val="000000" w:themeColor="text1"/>
          <w:sz w:val="24"/>
          <w:szCs w:val="24"/>
          <w:lang w:val="ru-MD"/>
        </w:rPr>
        <w:t>аудит</w:t>
      </w:r>
      <w:r w:rsidR="00A02BAC" w:rsidRPr="00765161">
        <w:rPr>
          <w:rFonts w:asciiTheme="majorHAnsi" w:hAnsiTheme="majorHAnsi" w:cstheme="majorHAnsi"/>
          <w:color w:val="000000" w:themeColor="text1"/>
          <w:sz w:val="24"/>
          <w:szCs w:val="24"/>
          <w:lang w:val="ru-MD"/>
        </w:rPr>
        <w:t>ом информации</w:t>
      </w:r>
      <w:r w:rsidR="00CB3AFB" w:rsidRPr="00765161">
        <w:rPr>
          <w:rFonts w:asciiTheme="majorHAnsi" w:hAnsiTheme="majorHAnsi" w:cstheme="majorHAnsi"/>
          <w:color w:val="000000" w:themeColor="text1"/>
          <w:sz w:val="24"/>
          <w:szCs w:val="24"/>
          <w:lang w:val="ru-MD"/>
        </w:rPr>
        <w:t xml:space="preserve"> </w:t>
      </w:r>
      <w:r w:rsidR="00A02BAC" w:rsidRPr="00765161">
        <w:rPr>
          <w:rFonts w:asciiTheme="majorHAnsi" w:hAnsiTheme="majorHAnsi" w:cstheme="majorHAnsi"/>
          <w:color w:val="000000" w:themeColor="text1"/>
          <w:sz w:val="24"/>
          <w:szCs w:val="24"/>
          <w:lang w:val="ru-MD"/>
        </w:rPr>
        <w:t xml:space="preserve">о принятых </w:t>
      </w:r>
      <w:r w:rsidR="00CB3AFB" w:rsidRPr="00765161">
        <w:rPr>
          <w:rFonts w:asciiTheme="majorHAnsi" w:hAnsiTheme="majorHAnsi" w:cstheme="majorHAnsi"/>
          <w:color w:val="000000" w:themeColor="text1"/>
          <w:sz w:val="24"/>
          <w:szCs w:val="24"/>
          <w:lang w:val="ru-MD"/>
        </w:rPr>
        <w:t>действи</w:t>
      </w:r>
      <w:r w:rsidR="00A02BAC" w:rsidRPr="00765161">
        <w:rPr>
          <w:rFonts w:asciiTheme="majorHAnsi" w:hAnsiTheme="majorHAnsi" w:cstheme="majorHAnsi"/>
          <w:color w:val="000000" w:themeColor="text1"/>
          <w:sz w:val="24"/>
          <w:szCs w:val="24"/>
          <w:lang w:val="ru-MD"/>
        </w:rPr>
        <w:t>ях</w:t>
      </w:r>
      <w:r w:rsidR="00CB3AFB" w:rsidRPr="00765161">
        <w:rPr>
          <w:rFonts w:asciiTheme="majorHAnsi" w:hAnsiTheme="majorHAnsi" w:cstheme="majorHAnsi"/>
          <w:color w:val="000000" w:themeColor="text1"/>
          <w:sz w:val="24"/>
          <w:szCs w:val="24"/>
          <w:lang w:val="ru-MD"/>
        </w:rPr>
        <w:t xml:space="preserve"> было установлено, что он</w:t>
      </w:r>
      <w:r w:rsidR="00A02BAC" w:rsidRPr="00765161">
        <w:rPr>
          <w:rFonts w:asciiTheme="majorHAnsi" w:hAnsiTheme="majorHAnsi" w:cstheme="majorHAnsi"/>
          <w:color w:val="000000" w:themeColor="text1"/>
          <w:sz w:val="24"/>
          <w:szCs w:val="24"/>
          <w:lang w:val="ru-MD"/>
        </w:rPr>
        <w:t>а</w:t>
      </w:r>
      <w:r w:rsidR="00CB3AFB" w:rsidRPr="00765161">
        <w:rPr>
          <w:rFonts w:asciiTheme="majorHAnsi" w:hAnsiTheme="majorHAnsi" w:cstheme="majorHAnsi"/>
          <w:color w:val="000000" w:themeColor="text1"/>
          <w:sz w:val="24"/>
          <w:szCs w:val="24"/>
          <w:lang w:val="ru-MD"/>
        </w:rPr>
        <w:t xml:space="preserve"> не </w:t>
      </w:r>
      <w:r w:rsidR="00A02BAC" w:rsidRPr="00765161">
        <w:rPr>
          <w:rFonts w:asciiTheme="majorHAnsi" w:hAnsiTheme="majorHAnsi" w:cstheme="majorHAnsi"/>
          <w:color w:val="000000" w:themeColor="text1"/>
          <w:sz w:val="24"/>
          <w:szCs w:val="24"/>
          <w:lang w:val="ru-MD"/>
        </w:rPr>
        <w:t>проводи</w:t>
      </w:r>
      <w:r w:rsidR="00CB3AFB" w:rsidRPr="00765161">
        <w:rPr>
          <w:rFonts w:asciiTheme="majorHAnsi" w:hAnsiTheme="majorHAnsi" w:cstheme="majorHAnsi"/>
          <w:color w:val="000000" w:themeColor="text1"/>
          <w:sz w:val="24"/>
          <w:szCs w:val="24"/>
          <w:lang w:val="ru-MD"/>
        </w:rPr>
        <w:t>л</w:t>
      </w:r>
      <w:r w:rsidR="00A02BAC" w:rsidRPr="00765161">
        <w:rPr>
          <w:rFonts w:asciiTheme="majorHAnsi" w:hAnsiTheme="majorHAnsi" w:cstheme="majorHAnsi"/>
          <w:color w:val="000000" w:themeColor="text1"/>
          <w:sz w:val="24"/>
          <w:szCs w:val="24"/>
          <w:lang w:val="ru-MD"/>
        </w:rPr>
        <w:t>а</w:t>
      </w:r>
      <w:r w:rsidR="00CB3AFB" w:rsidRPr="00765161">
        <w:rPr>
          <w:rFonts w:asciiTheme="majorHAnsi" w:hAnsiTheme="majorHAnsi" w:cstheme="majorHAnsi"/>
          <w:color w:val="000000" w:themeColor="text1"/>
          <w:sz w:val="24"/>
          <w:szCs w:val="24"/>
          <w:lang w:val="ru-MD"/>
        </w:rPr>
        <w:t xml:space="preserve"> ни</w:t>
      </w:r>
      <w:r w:rsidR="00A02BAC" w:rsidRPr="00765161">
        <w:rPr>
          <w:rFonts w:asciiTheme="majorHAnsi" w:hAnsiTheme="majorHAnsi" w:cstheme="majorHAnsi"/>
          <w:color w:val="000000" w:themeColor="text1"/>
          <w:sz w:val="24"/>
          <w:szCs w:val="24"/>
          <w:lang w:val="ru-MD"/>
        </w:rPr>
        <w:t xml:space="preserve"> одного</w:t>
      </w:r>
      <w:r w:rsidR="00CB3AFB" w:rsidRPr="00765161">
        <w:rPr>
          <w:rFonts w:asciiTheme="majorHAnsi" w:hAnsiTheme="majorHAnsi" w:cstheme="majorHAnsi"/>
          <w:color w:val="000000" w:themeColor="text1"/>
          <w:sz w:val="24"/>
          <w:szCs w:val="24"/>
          <w:lang w:val="ru-MD"/>
        </w:rPr>
        <w:t xml:space="preserve"> контроля </w:t>
      </w:r>
      <w:r w:rsidR="00A02BAC" w:rsidRPr="00765161">
        <w:rPr>
          <w:rFonts w:asciiTheme="majorHAnsi" w:hAnsiTheme="majorHAnsi" w:cstheme="majorHAnsi"/>
          <w:color w:val="000000" w:themeColor="text1"/>
          <w:sz w:val="24"/>
          <w:szCs w:val="24"/>
          <w:lang w:val="ru-MD"/>
        </w:rPr>
        <w:t>в</w:t>
      </w:r>
      <w:r w:rsidR="00CB3AFB" w:rsidRPr="00765161">
        <w:rPr>
          <w:rFonts w:asciiTheme="majorHAnsi" w:hAnsiTheme="majorHAnsi" w:cstheme="majorHAnsi"/>
          <w:color w:val="000000" w:themeColor="text1"/>
          <w:sz w:val="24"/>
          <w:szCs w:val="24"/>
          <w:lang w:val="ru-MD"/>
        </w:rPr>
        <w:t xml:space="preserve"> этому </w:t>
      </w:r>
      <w:r w:rsidR="00A02BAC" w:rsidRPr="00765161">
        <w:rPr>
          <w:rFonts w:asciiTheme="majorHAnsi" w:hAnsiTheme="majorHAnsi" w:cstheme="majorHAnsi"/>
          <w:color w:val="000000" w:themeColor="text1"/>
          <w:sz w:val="24"/>
          <w:szCs w:val="24"/>
          <w:lang w:val="ru-MD"/>
        </w:rPr>
        <w:t>отношении</w:t>
      </w:r>
      <w:r w:rsidR="00CB3AFB" w:rsidRPr="00765161">
        <w:rPr>
          <w:rFonts w:asciiTheme="majorHAnsi" w:hAnsiTheme="majorHAnsi" w:cstheme="majorHAnsi"/>
          <w:color w:val="000000" w:themeColor="text1"/>
          <w:sz w:val="24"/>
          <w:szCs w:val="24"/>
          <w:lang w:val="ru-MD"/>
        </w:rPr>
        <w:t>.</w:t>
      </w:r>
      <w:r w:rsidR="00756056" w:rsidRPr="00765161">
        <w:rPr>
          <w:rFonts w:asciiTheme="majorHAnsi" w:hAnsiTheme="majorHAnsi" w:cstheme="majorHAnsi"/>
          <w:color w:val="000000" w:themeColor="text1"/>
          <w:sz w:val="24"/>
          <w:szCs w:val="24"/>
          <w:lang w:val="ru-MD"/>
        </w:rPr>
        <w:t xml:space="preserve"> </w:t>
      </w:r>
      <w:r w:rsidR="00A02BAC" w:rsidRPr="00765161">
        <w:rPr>
          <w:rFonts w:asciiTheme="majorHAnsi" w:hAnsiTheme="majorHAnsi" w:cstheme="majorHAnsi"/>
          <w:color w:val="000000" w:themeColor="text1"/>
          <w:sz w:val="24"/>
          <w:szCs w:val="24"/>
          <w:lang w:val="ru-MD"/>
        </w:rPr>
        <w:t>Так</w:t>
      </w:r>
      <w:r w:rsidR="00756056" w:rsidRPr="00765161">
        <w:rPr>
          <w:rFonts w:asciiTheme="majorHAnsi" w:hAnsiTheme="majorHAnsi" w:cstheme="majorHAnsi"/>
          <w:color w:val="000000" w:themeColor="text1"/>
          <w:sz w:val="24"/>
          <w:szCs w:val="24"/>
          <w:lang w:val="ru-MD"/>
        </w:rPr>
        <w:t xml:space="preserve">, </w:t>
      </w:r>
      <w:r w:rsidR="00A02BAC" w:rsidRPr="00765161">
        <w:rPr>
          <w:rFonts w:asciiTheme="majorHAnsi" w:hAnsiTheme="majorHAnsi" w:cstheme="majorHAnsi"/>
          <w:color w:val="000000" w:themeColor="text1"/>
          <w:sz w:val="24"/>
          <w:szCs w:val="24"/>
          <w:lang w:val="ru-MD"/>
        </w:rPr>
        <w:t>ГИТ проинформировала, что</w:t>
      </w:r>
      <w:r w:rsidR="007F4A81" w:rsidRPr="00765161">
        <w:rPr>
          <w:rFonts w:asciiTheme="majorHAnsi" w:hAnsiTheme="majorHAnsi" w:cstheme="majorHAnsi"/>
          <w:color w:val="000000" w:themeColor="text1"/>
          <w:sz w:val="24"/>
          <w:szCs w:val="24"/>
          <w:lang w:val="ru-MD"/>
        </w:rPr>
        <w:t>:</w:t>
      </w:r>
      <w:r w:rsidR="00756056" w:rsidRPr="00765161">
        <w:rPr>
          <w:rFonts w:asciiTheme="majorHAnsi" w:hAnsiTheme="majorHAnsi" w:cstheme="majorHAnsi"/>
          <w:color w:val="000000" w:themeColor="text1"/>
          <w:sz w:val="24"/>
          <w:szCs w:val="24"/>
          <w:lang w:val="ru-MD"/>
        </w:rPr>
        <w:t xml:space="preserve"> </w:t>
      </w:r>
      <w:r w:rsidR="00756056" w:rsidRPr="00765161">
        <w:rPr>
          <w:rFonts w:asciiTheme="majorHAnsi" w:hAnsiTheme="majorHAnsi" w:cstheme="majorHAnsi"/>
          <w:i/>
          <w:color w:val="000000" w:themeColor="text1"/>
          <w:sz w:val="24"/>
          <w:szCs w:val="24"/>
          <w:lang w:val="ru-MD"/>
        </w:rPr>
        <w:t>„</w:t>
      </w:r>
      <w:r w:rsidR="00CB3AFB" w:rsidRPr="00765161">
        <w:rPr>
          <w:rFonts w:asciiTheme="majorHAnsi" w:hAnsiTheme="majorHAnsi" w:cstheme="majorHAnsi"/>
          <w:i/>
          <w:color w:val="000000" w:themeColor="text1"/>
          <w:sz w:val="24"/>
          <w:szCs w:val="24"/>
          <w:lang w:val="ru-MD"/>
        </w:rPr>
        <w:t>Государственная инспекция труда проводит проверки с целью соблюдения трудового законодательства только на основании плана проверок, ежегодно составляемого на следующий год... В то же время</w:t>
      </w:r>
      <w:r w:rsidR="00A02BAC" w:rsidRPr="00765161">
        <w:rPr>
          <w:rFonts w:asciiTheme="majorHAnsi" w:hAnsiTheme="majorHAnsi" w:cstheme="majorHAnsi"/>
          <w:i/>
          <w:color w:val="000000" w:themeColor="text1"/>
          <w:sz w:val="24"/>
          <w:szCs w:val="24"/>
          <w:lang w:val="ru-MD"/>
        </w:rPr>
        <w:t>,</w:t>
      </w:r>
      <w:r w:rsidR="00CB3AFB" w:rsidRPr="00765161">
        <w:rPr>
          <w:rFonts w:asciiTheme="majorHAnsi" w:hAnsiTheme="majorHAnsi" w:cstheme="majorHAnsi"/>
          <w:i/>
          <w:color w:val="000000" w:themeColor="text1"/>
          <w:sz w:val="24"/>
          <w:szCs w:val="24"/>
          <w:lang w:val="ru-MD"/>
        </w:rPr>
        <w:t xml:space="preserve"> жалобы и </w:t>
      </w:r>
      <w:r w:rsidRPr="00765161">
        <w:rPr>
          <w:rFonts w:asciiTheme="majorHAnsi" w:hAnsiTheme="majorHAnsi" w:cstheme="majorHAnsi"/>
          <w:i/>
          <w:color w:val="000000" w:themeColor="text1"/>
          <w:sz w:val="24"/>
          <w:szCs w:val="24"/>
          <w:lang w:val="ru-MD"/>
        </w:rPr>
        <w:t>петиции</w:t>
      </w:r>
      <w:r w:rsidR="00CB3AFB" w:rsidRPr="00765161">
        <w:rPr>
          <w:rFonts w:asciiTheme="majorHAnsi" w:hAnsiTheme="majorHAnsi" w:cstheme="majorHAnsi"/>
          <w:i/>
          <w:color w:val="000000" w:themeColor="text1"/>
          <w:sz w:val="24"/>
          <w:szCs w:val="24"/>
          <w:lang w:val="ru-MD"/>
        </w:rPr>
        <w:t xml:space="preserve">, включая обращения или запросы правоохранительных органов или других государственных органов, могут служить основанием для </w:t>
      </w:r>
      <w:r w:rsidR="00A02BAC" w:rsidRPr="00765161">
        <w:rPr>
          <w:rFonts w:asciiTheme="majorHAnsi" w:hAnsiTheme="majorHAnsi" w:cstheme="majorHAnsi"/>
          <w:i/>
          <w:color w:val="000000" w:themeColor="text1"/>
          <w:sz w:val="24"/>
          <w:szCs w:val="24"/>
          <w:lang w:val="ru-MD"/>
        </w:rPr>
        <w:t>в</w:t>
      </w:r>
      <w:r w:rsidR="00CB3AFB" w:rsidRPr="00765161">
        <w:rPr>
          <w:rFonts w:asciiTheme="majorHAnsi" w:hAnsiTheme="majorHAnsi" w:cstheme="majorHAnsi"/>
          <w:i/>
          <w:color w:val="000000" w:themeColor="text1"/>
          <w:sz w:val="24"/>
          <w:szCs w:val="24"/>
          <w:lang w:val="ru-MD"/>
        </w:rPr>
        <w:t>не</w:t>
      </w:r>
      <w:r w:rsidR="00A02BAC" w:rsidRPr="00765161">
        <w:rPr>
          <w:rFonts w:asciiTheme="majorHAnsi" w:hAnsiTheme="majorHAnsi" w:cstheme="majorHAnsi"/>
          <w:i/>
          <w:color w:val="000000" w:themeColor="text1"/>
          <w:sz w:val="24"/>
          <w:szCs w:val="24"/>
          <w:lang w:val="ru-MD"/>
        </w:rPr>
        <w:t>зап</w:t>
      </w:r>
      <w:r w:rsidR="00CB3AFB" w:rsidRPr="00765161">
        <w:rPr>
          <w:rFonts w:asciiTheme="majorHAnsi" w:hAnsiTheme="majorHAnsi" w:cstheme="majorHAnsi"/>
          <w:i/>
          <w:color w:val="000000" w:themeColor="text1"/>
          <w:sz w:val="24"/>
          <w:szCs w:val="24"/>
          <w:lang w:val="ru-MD"/>
        </w:rPr>
        <w:t>ного контроля только в том случае, если они разумно указывают на возможное нарушение, которое неизбежно при</w:t>
      </w:r>
      <w:r>
        <w:rPr>
          <w:rFonts w:asciiTheme="majorHAnsi" w:hAnsiTheme="majorHAnsi" w:cstheme="majorHAnsi"/>
          <w:i/>
          <w:color w:val="000000" w:themeColor="text1"/>
          <w:sz w:val="24"/>
          <w:szCs w:val="24"/>
          <w:lang w:val="ru-MD"/>
        </w:rPr>
        <w:t>водит к</w:t>
      </w:r>
      <w:r w:rsidR="00CB3AFB" w:rsidRPr="00765161">
        <w:rPr>
          <w:rFonts w:asciiTheme="majorHAnsi" w:hAnsiTheme="majorHAnsi" w:cstheme="majorHAnsi"/>
          <w:i/>
          <w:color w:val="000000" w:themeColor="text1"/>
          <w:sz w:val="24"/>
          <w:szCs w:val="24"/>
          <w:lang w:val="ru-MD"/>
        </w:rPr>
        <w:t xml:space="preserve"> </w:t>
      </w:r>
      <w:r w:rsidRPr="00765161">
        <w:rPr>
          <w:rFonts w:asciiTheme="majorHAnsi" w:hAnsiTheme="majorHAnsi" w:cstheme="majorHAnsi"/>
          <w:i/>
          <w:color w:val="000000" w:themeColor="text1"/>
          <w:sz w:val="24"/>
          <w:szCs w:val="24"/>
          <w:lang w:val="ru-MD"/>
        </w:rPr>
        <w:t>ущерб</w:t>
      </w:r>
      <w:r>
        <w:rPr>
          <w:rFonts w:asciiTheme="majorHAnsi" w:hAnsiTheme="majorHAnsi" w:cstheme="majorHAnsi"/>
          <w:i/>
          <w:color w:val="000000" w:themeColor="text1"/>
          <w:sz w:val="24"/>
          <w:szCs w:val="24"/>
          <w:lang w:val="ru-MD"/>
        </w:rPr>
        <w:t>у</w:t>
      </w:r>
      <w:r w:rsidR="00CB3AFB" w:rsidRPr="00765161">
        <w:rPr>
          <w:rFonts w:asciiTheme="majorHAnsi" w:hAnsiTheme="majorHAnsi" w:cstheme="majorHAnsi"/>
          <w:i/>
          <w:color w:val="000000" w:themeColor="text1"/>
          <w:sz w:val="24"/>
          <w:szCs w:val="24"/>
          <w:lang w:val="ru-MD"/>
        </w:rPr>
        <w:t xml:space="preserve">, и только в том случае, если эти обстоятельства и информация каким-либо образом подтверждаются.... в рамках запланированных и </w:t>
      </w:r>
      <w:r w:rsidRPr="00765161">
        <w:rPr>
          <w:rFonts w:asciiTheme="majorHAnsi" w:hAnsiTheme="majorHAnsi" w:cstheme="majorHAnsi"/>
          <w:i/>
          <w:color w:val="000000" w:themeColor="text1"/>
          <w:sz w:val="24"/>
          <w:szCs w:val="24"/>
          <w:lang w:val="ru-MD"/>
        </w:rPr>
        <w:t>внезап</w:t>
      </w:r>
      <w:r w:rsidR="00CB3AFB" w:rsidRPr="00765161">
        <w:rPr>
          <w:rFonts w:asciiTheme="majorHAnsi" w:hAnsiTheme="majorHAnsi" w:cstheme="majorHAnsi"/>
          <w:i/>
          <w:color w:val="000000" w:themeColor="text1"/>
          <w:sz w:val="24"/>
          <w:szCs w:val="24"/>
          <w:lang w:val="ru-MD"/>
        </w:rPr>
        <w:t>ных проверок, проведенных в 2022 году, случаи объявления работодателем/жалобы на техническую безработицу в результате объявления чрезвычайного положения, осады и военного положения, а также ограничени</w:t>
      </w:r>
      <w:r w:rsidRPr="00765161">
        <w:rPr>
          <w:rFonts w:asciiTheme="majorHAnsi" w:hAnsiTheme="majorHAnsi" w:cstheme="majorHAnsi"/>
          <w:i/>
          <w:color w:val="000000" w:themeColor="text1"/>
          <w:sz w:val="24"/>
          <w:szCs w:val="24"/>
          <w:lang w:val="ru-MD"/>
        </w:rPr>
        <w:t>й</w:t>
      </w:r>
      <w:r w:rsidR="00CB3AFB" w:rsidRPr="00765161">
        <w:rPr>
          <w:rFonts w:asciiTheme="majorHAnsi" w:hAnsiTheme="majorHAnsi" w:cstheme="majorHAnsi"/>
          <w:i/>
          <w:color w:val="000000" w:themeColor="text1"/>
          <w:sz w:val="24"/>
          <w:szCs w:val="24"/>
          <w:lang w:val="ru-MD"/>
        </w:rPr>
        <w:t>, наложенны</w:t>
      </w:r>
      <w:r w:rsidRPr="00765161">
        <w:rPr>
          <w:rFonts w:asciiTheme="majorHAnsi" w:hAnsiTheme="majorHAnsi" w:cstheme="majorHAnsi"/>
          <w:i/>
          <w:color w:val="000000" w:themeColor="text1"/>
          <w:sz w:val="24"/>
          <w:szCs w:val="24"/>
          <w:lang w:val="ru-MD"/>
        </w:rPr>
        <w:t>х</w:t>
      </w:r>
      <w:r w:rsidR="00CB3AFB" w:rsidRPr="00765161">
        <w:rPr>
          <w:rFonts w:asciiTheme="majorHAnsi" w:hAnsiTheme="majorHAnsi" w:cstheme="majorHAnsi"/>
          <w:i/>
          <w:color w:val="000000" w:themeColor="text1"/>
          <w:sz w:val="24"/>
          <w:szCs w:val="24"/>
          <w:lang w:val="ru-MD"/>
        </w:rPr>
        <w:t xml:space="preserve"> чрезвычайн</w:t>
      </w:r>
      <w:r w:rsidRPr="00765161">
        <w:rPr>
          <w:rFonts w:asciiTheme="majorHAnsi" w:hAnsiTheme="majorHAnsi" w:cstheme="majorHAnsi"/>
          <w:i/>
          <w:color w:val="000000" w:themeColor="text1"/>
          <w:sz w:val="24"/>
          <w:szCs w:val="24"/>
          <w:lang w:val="ru-MD"/>
        </w:rPr>
        <w:t>ы</w:t>
      </w:r>
      <w:r w:rsidR="00CB3AFB" w:rsidRPr="00765161">
        <w:rPr>
          <w:rFonts w:asciiTheme="majorHAnsi" w:hAnsiTheme="majorHAnsi" w:cstheme="majorHAnsi"/>
          <w:i/>
          <w:color w:val="000000" w:themeColor="text1"/>
          <w:sz w:val="24"/>
          <w:szCs w:val="24"/>
          <w:lang w:val="ru-MD"/>
        </w:rPr>
        <w:t>м положени</w:t>
      </w:r>
      <w:r w:rsidRPr="00765161">
        <w:rPr>
          <w:rFonts w:asciiTheme="majorHAnsi" w:hAnsiTheme="majorHAnsi" w:cstheme="majorHAnsi"/>
          <w:i/>
          <w:color w:val="000000" w:themeColor="text1"/>
          <w:sz w:val="24"/>
          <w:szCs w:val="24"/>
          <w:lang w:val="ru-MD"/>
        </w:rPr>
        <w:t>ем</w:t>
      </w:r>
      <w:r w:rsidR="00CB3AFB" w:rsidRPr="00765161">
        <w:rPr>
          <w:rFonts w:asciiTheme="majorHAnsi" w:hAnsiTheme="majorHAnsi" w:cstheme="majorHAnsi"/>
          <w:i/>
          <w:color w:val="000000" w:themeColor="text1"/>
          <w:sz w:val="24"/>
          <w:szCs w:val="24"/>
          <w:lang w:val="ru-MD"/>
        </w:rPr>
        <w:t xml:space="preserve"> в области общественного здравоохранения, не были установлены”</w:t>
      </w:r>
      <w:r w:rsidR="00CB3AFB" w:rsidRPr="00765161">
        <w:rPr>
          <w:rFonts w:asciiTheme="majorHAnsi" w:hAnsiTheme="majorHAnsi" w:cstheme="majorHAnsi"/>
          <w:color w:val="000000" w:themeColor="text1"/>
          <w:sz w:val="24"/>
          <w:szCs w:val="24"/>
          <w:lang w:val="ru-MD"/>
        </w:rPr>
        <w:t xml:space="preserve">. </w:t>
      </w:r>
      <w:r w:rsidRPr="00765161">
        <w:rPr>
          <w:rFonts w:asciiTheme="majorHAnsi" w:hAnsiTheme="majorHAnsi" w:cstheme="majorHAnsi"/>
          <w:color w:val="000000" w:themeColor="text1"/>
          <w:sz w:val="24"/>
          <w:szCs w:val="24"/>
          <w:lang w:val="ru-MD"/>
        </w:rPr>
        <w:t>При этом,</w:t>
      </w:r>
      <w:r w:rsidR="00CB3AFB" w:rsidRPr="00765161">
        <w:rPr>
          <w:rFonts w:asciiTheme="majorHAnsi" w:hAnsiTheme="majorHAnsi" w:cstheme="majorHAnsi"/>
          <w:color w:val="000000" w:themeColor="text1"/>
          <w:sz w:val="24"/>
          <w:szCs w:val="24"/>
          <w:lang w:val="ru-MD"/>
        </w:rPr>
        <w:t xml:space="preserve"> </w:t>
      </w:r>
      <w:r w:rsidRPr="00765161">
        <w:rPr>
          <w:rFonts w:asciiTheme="majorHAnsi" w:hAnsiTheme="majorHAnsi" w:cstheme="majorHAnsi"/>
          <w:color w:val="000000" w:themeColor="text1"/>
          <w:sz w:val="24"/>
          <w:szCs w:val="24"/>
          <w:lang w:val="ru-MD"/>
        </w:rPr>
        <w:t>ГНС</w:t>
      </w:r>
      <w:r w:rsidR="00CB3AFB" w:rsidRPr="00765161">
        <w:rPr>
          <w:rFonts w:asciiTheme="majorHAnsi" w:hAnsiTheme="majorHAnsi" w:cstheme="majorHAnsi"/>
          <w:color w:val="000000" w:themeColor="text1"/>
          <w:sz w:val="24"/>
          <w:szCs w:val="24"/>
          <w:lang w:val="ru-MD"/>
        </w:rPr>
        <w:t xml:space="preserve"> сообщила, что </w:t>
      </w:r>
      <w:r w:rsidRPr="00765161">
        <w:rPr>
          <w:rFonts w:asciiTheme="majorHAnsi" w:eastAsia="Times New Roman" w:hAnsiTheme="majorHAnsi" w:cstheme="majorHAnsi"/>
          <w:i/>
          <w:color w:val="000000" w:themeColor="text1"/>
          <w:sz w:val="24"/>
          <w:szCs w:val="24"/>
          <w:lang w:val="ru-MD"/>
        </w:rPr>
        <w:t>„</w:t>
      </w:r>
      <w:r w:rsidR="00CB3AFB" w:rsidRPr="00765161">
        <w:rPr>
          <w:rFonts w:asciiTheme="majorHAnsi" w:hAnsiTheme="majorHAnsi" w:cstheme="majorHAnsi"/>
          <w:i/>
          <w:color w:val="000000" w:themeColor="text1"/>
          <w:sz w:val="24"/>
          <w:szCs w:val="24"/>
          <w:lang w:val="ru-MD"/>
        </w:rPr>
        <w:t>не поступ</w:t>
      </w:r>
      <w:r w:rsidRPr="00765161">
        <w:rPr>
          <w:rFonts w:asciiTheme="majorHAnsi" w:hAnsiTheme="majorHAnsi" w:cstheme="majorHAnsi"/>
          <w:i/>
          <w:color w:val="000000" w:themeColor="text1"/>
          <w:sz w:val="24"/>
          <w:szCs w:val="24"/>
          <w:lang w:val="ru-MD"/>
        </w:rPr>
        <w:t>а</w:t>
      </w:r>
      <w:r w:rsidR="00CB3AFB" w:rsidRPr="00765161">
        <w:rPr>
          <w:rFonts w:asciiTheme="majorHAnsi" w:hAnsiTheme="majorHAnsi" w:cstheme="majorHAnsi"/>
          <w:i/>
          <w:color w:val="000000" w:themeColor="text1"/>
          <w:sz w:val="24"/>
          <w:szCs w:val="24"/>
          <w:lang w:val="ru-MD"/>
        </w:rPr>
        <w:t>л</w:t>
      </w:r>
      <w:r w:rsidRPr="00765161">
        <w:rPr>
          <w:rFonts w:asciiTheme="majorHAnsi" w:hAnsiTheme="majorHAnsi" w:cstheme="majorHAnsi"/>
          <w:i/>
          <w:color w:val="000000" w:themeColor="text1"/>
          <w:sz w:val="24"/>
          <w:szCs w:val="24"/>
          <w:lang w:val="ru-MD"/>
        </w:rPr>
        <w:t>и</w:t>
      </w:r>
      <w:r w:rsidR="00CB3AFB" w:rsidRPr="00765161">
        <w:rPr>
          <w:rFonts w:asciiTheme="majorHAnsi" w:hAnsiTheme="majorHAnsi" w:cstheme="majorHAnsi"/>
          <w:i/>
          <w:color w:val="000000" w:themeColor="text1"/>
          <w:sz w:val="24"/>
          <w:szCs w:val="24"/>
          <w:lang w:val="ru-MD"/>
        </w:rPr>
        <w:t xml:space="preserve"> рекомендаци</w:t>
      </w:r>
      <w:r w:rsidRPr="00765161">
        <w:rPr>
          <w:rFonts w:asciiTheme="majorHAnsi" w:hAnsiTheme="majorHAnsi" w:cstheme="majorHAnsi"/>
          <w:i/>
          <w:color w:val="000000" w:themeColor="text1"/>
          <w:sz w:val="24"/>
          <w:szCs w:val="24"/>
          <w:lang w:val="ru-MD"/>
        </w:rPr>
        <w:t>и</w:t>
      </w:r>
      <w:r w:rsidR="00CB3AFB" w:rsidRPr="00765161">
        <w:rPr>
          <w:rFonts w:asciiTheme="majorHAnsi" w:hAnsiTheme="majorHAnsi" w:cstheme="majorHAnsi"/>
          <w:i/>
          <w:color w:val="000000" w:themeColor="text1"/>
          <w:sz w:val="24"/>
          <w:szCs w:val="24"/>
          <w:lang w:val="ru-MD"/>
        </w:rPr>
        <w:t>/</w:t>
      </w:r>
      <w:r w:rsidRPr="00765161">
        <w:rPr>
          <w:rFonts w:asciiTheme="majorHAnsi" w:hAnsiTheme="majorHAnsi" w:cstheme="majorHAnsi"/>
          <w:i/>
          <w:color w:val="000000" w:themeColor="text1"/>
          <w:sz w:val="24"/>
          <w:szCs w:val="24"/>
          <w:lang w:val="ru-MD"/>
        </w:rPr>
        <w:t>заключения</w:t>
      </w:r>
      <w:r w:rsidR="00CB3AFB" w:rsidRPr="00765161">
        <w:rPr>
          <w:rFonts w:asciiTheme="majorHAnsi" w:hAnsiTheme="majorHAnsi" w:cstheme="majorHAnsi"/>
          <w:i/>
          <w:color w:val="000000" w:themeColor="text1"/>
          <w:sz w:val="24"/>
          <w:szCs w:val="24"/>
          <w:lang w:val="ru-MD"/>
        </w:rPr>
        <w:t xml:space="preserve"> </w:t>
      </w:r>
      <w:r w:rsidRPr="00765161">
        <w:rPr>
          <w:rFonts w:asciiTheme="majorHAnsi" w:hAnsiTheme="majorHAnsi" w:cstheme="majorHAnsi"/>
          <w:i/>
          <w:color w:val="000000" w:themeColor="text1"/>
          <w:sz w:val="24"/>
          <w:szCs w:val="24"/>
          <w:lang w:val="ru-MD"/>
        </w:rPr>
        <w:t>Г</w:t>
      </w:r>
      <w:r w:rsidR="00CB3AFB" w:rsidRPr="00765161">
        <w:rPr>
          <w:rFonts w:asciiTheme="majorHAnsi" w:hAnsiTheme="majorHAnsi" w:cstheme="majorHAnsi"/>
          <w:i/>
          <w:color w:val="000000" w:themeColor="text1"/>
          <w:sz w:val="24"/>
          <w:szCs w:val="24"/>
          <w:lang w:val="ru-MD"/>
        </w:rPr>
        <w:t>осударственной инспекции труда, связанны</w:t>
      </w:r>
      <w:r w:rsidRPr="00765161">
        <w:rPr>
          <w:rFonts w:asciiTheme="majorHAnsi" w:hAnsiTheme="majorHAnsi" w:cstheme="majorHAnsi"/>
          <w:i/>
          <w:color w:val="000000" w:themeColor="text1"/>
          <w:sz w:val="24"/>
          <w:szCs w:val="24"/>
          <w:lang w:val="ru-MD"/>
        </w:rPr>
        <w:t>е</w:t>
      </w:r>
      <w:r w:rsidR="00CB3AFB" w:rsidRPr="00765161">
        <w:rPr>
          <w:rFonts w:asciiTheme="majorHAnsi" w:hAnsiTheme="majorHAnsi" w:cstheme="majorHAnsi"/>
          <w:i/>
          <w:color w:val="000000" w:themeColor="text1"/>
          <w:sz w:val="24"/>
          <w:szCs w:val="24"/>
          <w:lang w:val="ru-MD"/>
        </w:rPr>
        <w:t xml:space="preserve"> с пособиями, предоставленными без юридической основы или на основании ложных данных, указанных работодателем</w:t>
      </w:r>
      <w:r w:rsidRPr="00765161">
        <w:rPr>
          <w:rFonts w:asciiTheme="majorHAnsi" w:eastAsia="Times New Roman" w:hAnsiTheme="majorHAnsi" w:cstheme="majorHAnsi"/>
          <w:i/>
          <w:color w:val="000000" w:themeColor="text1"/>
          <w:sz w:val="24"/>
          <w:szCs w:val="24"/>
          <w:lang w:val="ru-MD"/>
        </w:rPr>
        <w:t>”</w:t>
      </w:r>
      <w:r w:rsidR="00756056" w:rsidRPr="0038225D">
        <w:rPr>
          <w:rFonts w:asciiTheme="majorHAnsi" w:eastAsia="Times New Roman" w:hAnsiTheme="majorHAnsi" w:cstheme="majorHAnsi"/>
          <w:i/>
          <w:color w:val="000000" w:themeColor="text1"/>
          <w:sz w:val="24"/>
          <w:szCs w:val="24"/>
          <w:lang w:val="ro-MD"/>
        </w:rPr>
        <w:t>.</w:t>
      </w:r>
    </w:p>
    <w:p w14:paraId="1A3B7230" w14:textId="03F767A3" w:rsidR="00756056" w:rsidRPr="0079132C" w:rsidRDefault="0079132C" w:rsidP="00756056">
      <w:pPr>
        <w:shd w:val="clear" w:color="auto" w:fill="FFFFFF" w:themeFill="background1"/>
        <w:tabs>
          <w:tab w:val="left" w:pos="851"/>
        </w:tabs>
        <w:spacing w:line="276" w:lineRule="auto"/>
        <w:jc w:val="both"/>
        <w:rPr>
          <w:rFonts w:asciiTheme="majorHAnsi" w:eastAsia="Times New Roman" w:hAnsiTheme="majorHAnsi" w:cstheme="majorHAnsi"/>
          <w:color w:val="000000" w:themeColor="text1"/>
          <w:sz w:val="24"/>
          <w:szCs w:val="24"/>
          <w:lang w:val="ru-MD"/>
        </w:rPr>
      </w:pPr>
      <w:r>
        <w:rPr>
          <w:rFonts w:asciiTheme="majorHAnsi" w:eastAsia="Times New Roman" w:hAnsiTheme="majorHAnsi" w:cstheme="majorHAnsi"/>
          <w:color w:val="000000" w:themeColor="text1"/>
          <w:sz w:val="24"/>
          <w:szCs w:val="24"/>
          <w:lang w:val="ru-MD"/>
        </w:rPr>
        <w:t>Как следствие</w:t>
      </w:r>
      <w:r w:rsidR="00CB3AFB" w:rsidRPr="0079132C">
        <w:rPr>
          <w:rFonts w:asciiTheme="majorHAnsi" w:eastAsia="Times New Roman" w:hAnsiTheme="majorHAnsi" w:cstheme="majorHAnsi"/>
          <w:color w:val="000000" w:themeColor="text1"/>
          <w:sz w:val="24"/>
          <w:szCs w:val="24"/>
          <w:lang w:val="ru-MD"/>
        </w:rPr>
        <w:t>, отсутствие полной информации, ее не</w:t>
      </w:r>
      <w:r w:rsidR="00BF6472" w:rsidRPr="0079132C">
        <w:rPr>
          <w:rFonts w:asciiTheme="majorHAnsi" w:eastAsia="Times New Roman" w:hAnsiTheme="majorHAnsi" w:cstheme="majorHAnsi"/>
          <w:color w:val="000000" w:themeColor="text1"/>
          <w:sz w:val="24"/>
          <w:szCs w:val="24"/>
          <w:lang w:val="ru-MD"/>
        </w:rPr>
        <w:t>представление</w:t>
      </w:r>
      <w:r w:rsidR="00CB3AFB" w:rsidRPr="0079132C">
        <w:rPr>
          <w:rFonts w:asciiTheme="majorHAnsi" w:eastAsia="Times New Roman" w:hAnsiTheme="majorHAnsi" w:cstheme="majorHAnsi"/>
          <w:color w:val="000000" w:themeColor="text1"/>
          <w:sz w:val="24"/>
          <w:szCs w:val="24"/>
          <w:lang w:val="ru-MD"/>
        </w:rPr>
        <w:t xml:space="preserve"> вовлеченными учреждениями, отсутствие контроля, а также отсутствие разграничения отчетности </w:t>
      </w:r>
      <w:r w:rsidR="00BF6472" w:rsidRPr="0079132C">
        <w:rPr>
          <w:rFonts w:asciiTheme="majorHAnsi" w:eastAsia="Times New Roman" w:hAnsiTheme="majorHAnsi" w:cstheme="majorHAnsi"/>
          <w:color w:val="000000" w:themeColor="text1"/>
          <w:sz w:val="24"/>
          <w:szCs w:val="24"/>
          <w:lang w:val="ru-MD"/>
        </w:rPr>
        <w:t>п</w:t>
      </w:r>
      <w:r w:rsidR="00CB3AFB" w:rsidRPr="0079132C">
        <w:rPr>
          <w:rFonts w:asciiTheme="majorHAnsi" w:eastAsia="Times New Roman" w:hAnsiTheme="majorHAnsi" w:cstheme="majorHAnsi"/>
          <w:color w:val="000000" w:themeColor="text1"/>
          <w:sz w:val="24"/>
          <w:szCs w:val="24"/>
          <w:lang w:val="ru-MD"/>
        </w:rPr>
        <w:t>о пособи</w:t>
      </w:r>
      <w:r w:rsidR="00BF6472" w:rsidRPr="0079132C">
        <w:rPr>
          <w:rFonts w:asciiTheme="majorHAnsi" w:eastAsia="Times New Roman" w:hAnsiTheme="majorHAnsi" w:cstheme="majorHAnsi"/>
          <w:color w:val="000000" w:themeColor="text1"/>
          <w:sz w:val="24"/>
          <w:szCs w:val="24"/>
          <w:lang w:val="ru-MD"/>
        </w:rPr>
        <w:t>ю</w:t>
      </w:r>
      <w:r w:rsidR="00CB3AFB" w:rsidRPr="0079132C">
        <w:rPr>
          <w:rFonts w:asciiTheme="majorHAnsi" w:eastAsia="Times New Roman" w:hAnsiTheme="majorHAnsi" w:cstheme="majorHAnsi"/>
          <w:color w:val="000000" w:themeColor="text1"/>
          <w:sz w:val="24"/>
          <w:szCs w:val="24"/>
          <w:lang w:val="ru-MD"/>
        </w:rPr>
        <w:t xml:space="preserve"> от основной деятельности </w:t>
      </w:r>
      <w:r w:rsidR="00BF6472" w:rsidRPr="0079132C">
        <w:rPr>
          <w:rFonts w:asciiTheme="majorHAnsi" w:eastAsia="Times New Roman" w:hAnsiTheme="majorHAnsi" w:cstheme="majorHAnsi"/>
          <w:color w:val="000000" w:themeColor="text1"/>
          <w:sz w:val="24"/>
          <w:szCs w:val="24"/>
          <w:lang w:val="ru-MD"/>
        </w:rPr>
        <w:t>обуслови</w:t>
      </w:r>
      <w:r w:rsidR="00CB3AFB" w:rsidRPr="0079132C">
        <w:rPr>
          <w:rFonts w:asciiTheme="majorHAnsi" w:eastAsia="Times New Roman" w:hAnsiTheme="majorHAnsi" w:cstheme="majorHAnsi"/>
          <w:color w:val="000000" w:themeColor="text1"/>
          <w:sz w:val="24"/>
          <w:szCs w:val="24"/>
          <w:lang w:val="ru-MD"/>
        </w:rPr>
        <w:t>ли невозможност</w:t>
      </w:r>
      <w:r w:rsidRPr="0079132C">
        <w:rPr>
          <w:rFonts w:asciiTheme="majorHAnsi" w:eastAsia="Times New Roman" w:hAnsiTheme="majorHAnsi" w:cstheme="majorHAnsi"/>
          <w:color w:val="000000" w:themeColor="text1"/>
          <w:sz w:val="24"/>
          <w:szCs w:val="24"/>
          <w:lang w:val="ru-MD"/>
        </w:rPr>
        <w:t>ь</w:t>
      </w:r>
      <w:r w:rsidR="00CB3AFB" w:rsidRPr="0079132C">
        <w:rPr>
          <w:rFonts w:asciiTheme="majorHAnsi" w:eastAsia="Times New Roman" w:hAnsiTheme="majorHAnsi" w:cstheme="majorHAnsi"/>
          <w:color w:val="000000" w:themeColor="text1"/>
          <w:sz w:val="24"/>
          <w:szCs w:val="24"/>
          <w:lang w:val="ru-MD"/>
        </w:rPr>
        <w:t>/ограничени</w:t>
      </w:r>
      <w:r w:rsidRPr="0079132C">
        <w:rPr>
          <w:rFonts w:asciiTheme="majorHAnsi" w:eastAsia="Times New Roman" w:hAnsiTheme="majorHAnsi" w:cstheme="majorHAnsi"/>
          <w:color w:val="000000" w:themeColor="text1"/>
          <w:sz w:val="24"/>
          <w:szCs w:val="24"/>
          <w:lang w:val="ru-MD"/>
        </w:rPr>
        <w:t>е</w:t>
      </w:r>
      <w:r w:rsidR="00CB3AFB" w:rsidRPr="0079132C">
        <w:rPr>
          <w:rFonts w:asciiTheme="majorHAnsi" w:eastAsia="Times New Roman" w:hAnsiTheme="majorHAnsi" w:cstheme="majorHAnsi"/>
          <w:color w:val="000000" w:themeColor="text1"/>
          <w:sz w:val="24"/>
          <w:szCs w:val="24"/>
          <w:lang w:val="ru-MD"/>
        </w:rPr>
        <w:t xml:space="preserve"> аудита </w:t>
      </w:r>
      <w:r w:rsidRPr="0079132C">
        <w:rPr>
          <w:rFonts w:asciiTheme="majorHAnsi" w:eastAsia="Times New Roman" w:hAnsiTheme="majorHAnsi" w:cstheme="majorHAnsi"/>
          <w:color w:val="000000" w:themeColor="text1"/>
          <w:sz w:val="24"/>
          <w:szCs w:val="24"/>
          <w:lang w:val="ru-MD"/>
        </w:rPr>
        <w:t>в</w:t>
      </w:r>
      <w:r w:rsidR="00CB3AFB" w:rsidRPr="0079132C">
        <w:rPr>
          <w:rFonts w:asciiTheme="majorHAnsi" w:eastAsia="Times New Roman" w:hAnsiTheme="majorHAnsi" w:cstheme="majorHAnsi"/>
          <w:color w:val="000000" w:themeColor="text1"/>
          <w:sz w:val="24"/>
          <w:szCs w:val="24"/>
          <w:lang w:val="ru-MD"/>
        </w:rPr>
        <w:t xml:space="preserve"> проверке правильности: (i) определени</w:t>
      </w:r>
      <w:r w:rsidRPr="0079132C">
        <w:rPr>
          <w:rFonts w:asciiTheme="majorHAnsi" w:eastAsia="Times New Roman" w:hAnsiTheme="majorHAnsi" w:cstheme="majorHAnsi"/>
          <w:color w:val="000000" w:themeColor="text1"/>
          <w:sz w:val="24"/>
          <w:szCs w:val="24"/>
          <w:lang w:val="ru-MD"/>
        </w:rPr>
        <w:t>я</w:t>
      </w:r>
      <w:r w:rsidR="00CB3AFB" w:rsidRPr="0079132C">
        <w:rPr>
          <w:rFonts w:asciiTheme="majorHAnsi" w:eastAsia="Times New Roman" w:hAnsiTheme="majorHAnsi" w:cstheme="majorHAnsi"/>
          <w:color w:val="000000" w:themeColor="text1"/>
          <w:sz w:val="24"/>
          <w:szCs w:val="24"/>
          <w:lang w:val="ru-MD"/>
        </w:rPr>
        <w:t xml:space="preserve"> </w:t>
      </w:r>
      <w:r>
        <w:rPr>
          <w:rFonts w:asciiTheme="majorHAnsi" w:eastAsia="Times New Roman" w:hAnsiTheme="majorHAnsi" w:cstheme="majorHAnsi"/>
          <w:color w:val="000000" w:themeColor="text1"/>
          <w:sz w:val="24"/>
          <w:szCs w:val="24"/>
          <w:lang w:val="ru-MD"/>
        </w:rPr>
        <w:t>основн</w:t>
      </w:r>
      <w:r w:rsidR="00CB3AFB" w:rsidRPr="0079132C">
        <w:rPr>
          <w:rFonts w:asciiTheme="majorHAnsi" w:eastAsia="Times New Roman" w:hAnsiTheme="majorHAnsi" w:cstheme="majorHAnsi"/>
          <w:color w:val="000000" w:themeColor="text1"/>
          <w:sz w:val="24"/>
          <w:szCs w:val="24"/>
          <w:lang w:val="ru-MD"/>
        </w:rPr>
        <w:t>ой заработной платы; (ii) определени</w:t>
      </w:r>
      <w:r w:rsidRPr="0079132C">
        <w:rPr>
          <w:rFonts w:asciiTheme="majorHAnsi" w:eastAsia="Times New Roman" w:hAnsiTheme="majorHAnsi" w:cstheme="majorHAnsi"/>
          <w:color w:val="000000" w:themeColor="text1"/>
          <w:sz w:val="24"/>
          <w:szCs w:val="24"/>
          <w:lang w:val="ru-MD"/>
        </w:rPr>
        <w:t>я</w:t>
      </w:r>
      <w:r w:rsidR="00CB3AFB" w:rsidRPr="0079132C">
        <w:rPr>
          <w:rFonts w:asciiTheme="majorHAnsi" w:eastAsia="Times New Roman" w:hAnsiTheme="majorHAnsi" w:cstheme="majorHAnsi"/>
          <w:color w:val="000000" w:themeColor="text1"/>
          <w:sz w:val="24"/>
          <w:szCs w:val="24"/>
          <w:lang w:val="ru-MD"/>
        </w:rPr>
        <w:t xml:space="preserve"> размера пособия по </w:t>
      </w:r>
      <w:r w:rsidRPr="0079132C">
        <w:rPr>
          <w:rFonts w:asciiTheme="majorHAnsi" w:eastAsia="Times New Roman" w:hAnsiTheme="majorHAnsi" w:cstheme="majorHAnsi"/>
          <w:color w:val="000000" w:themeColor="text1"/>
          <w:sz w:val="24"/>
          <w:szCs w:val="24"/>
          <w:lang w:val="ru-MD"/>
        </w:rPr>
        <w:t xml:space="preserve">технической </w:t>
      </w:r>
      <w:r w:rsidR="00CB3AFB" w:rsidRPr="0079132C">
        <w:rPr>
          <w:rFonts w:asciiTheme="majorHAnsi" w:eastAsia="Times New Roman" w:hAnsiTheme="majorHAnsi" w:cstheme="majorHAnsi"/>
          <w:color w:val="000000" w:themeColor="text1"/>
          <w:sz w:val="24"/>
          <w:szCs w:val="24"/>
          <w:lang w:val="ru-MD"/>
        </w:rPr>
        <w:t>безработице; (iii) период</w:t>
      </w:r>
      <w:r w:rsidRPr="0079132C">
        <w:rPr>
          <w:rFonts w:asciiTheme="majorHAnsi" w:eastAsia="Times New Roman" w:hAnsiTheme="majorHAnsi" w:cstheme="majorHAnsi"/>
          <w:color w:val="000000" w:themeColor="text1"/>
          <w:sz w:val="24"/>
          <w:szCs w:val="24"/>
          <w:lang w:val="ru-MD"/>
        </w:rPr>
        <w:t>а</w:t>
      </w:r>
      <w:r w:rsidR="00CB3AFB" w:rsidRPr="0079132C">
        <w:rPr>
          <w:rFonts w:asciiTheme="majorHAnsi" w:eastAsia="Times New Roman" w:hAnsiTheme="majorHAnsi" w:cstheme="majorHAnsi"/>
          <w:color w:val="000000" w:themeColor="text1"/>
          <w:sz w:val="24"/>
          <w:szCs w:val="24"/>
          <w:lang w:val="ru-MD"/>
        </w:rPr>
        <w:t xml:space="preserve"> предоставления </w:t>
      </w:r>
      <w:r w:rsidRPr="0079132C">
        <w:rPr>
          <w:rFonts w:asciiTheme="majorHAnsi" w:eastAsia="Times New Roman" w:hAnsiTheme="majorHAnsi" w:cstheme="majorHAnsi"/>
          <w:color w:val="000000" w:themeColor="text1"/>
          <w:sz w:val="24"/>
          <w:szCs w:val="24"/>
          <w:lang w:val="ru-MD"/>
        </w:rPr>
        <w:t>пособия по технической безработице</w:t>
      </w:r>
      <w:r w:rsidR="00CB3AFB" w:rsidRPr="0079132C">
        <w:rPr>
          <w:rFonts w:asciiTheme="majorHAnsi" w:eastAsia="Times New Roman" w:hAnsiTheme="majorHAnsi" w:cstheme="majorHAnsi"/>
          <w:color w:val="000000" w:themeColor="text1"/>
          <w:sz w:val="24"/>
          <w:szCs w:val="24"/>
          <w:lang w:val="ru-MD"/>
        </w:rPr>
        <w:t>, для получения разумно</w:t>
      </w:r>
      <w:r w:rsidRPr="0079132C">
        <w:rPr>
          <w:rFonts w:asciiTheme="majorHAnsi" w:eastAsia="Times New Roman" w:hAnsiTheme="majorHAnsi" w:cstheme="majorHAnsi"/>
          <w:color w:val="000000" w:themeColor="text1"/>
          <w:sz w:val="24"/>
          <w:szCs w:val="24"/>
          <w:lang w:val="ru-MD"/>
        </w:rPr>
        <w:t>й</w:t>
      </w:r>
      <w:r w:rsidR="00CB3AFB" w:rsidRPr="0079132C">
        <w:rPr>
          <w:rFonts w:asciiTheme="majorHAnsi" w:eastAsia="Times New Roman" w:hAnsiTheme="majorHAnsi" w:cstheme="majorHAnsi"/>
          <w:color w:val="000000" w:themeColor="text1"/>
          <w:sz w:val="24"/>
          <w:szCs w:val="24"/>
          <w:lang w:val="ru-MD"/>
        </w:rPr>
        <w:t xml:space="preserve"> </w:t>
      </w:r>
      <w:r w:rsidRPr="0079132C">
        <w:rPr>
          <w:rFonts w:asciiTheme="majorHAnsi" w:eastAsia="Times New Roman" w:hAnsiTheme="majorHAnsi" w:cstheme="majorHAnsi"/>
          <w:color w:val="000000" w:themeColor="text1"/>
          <w:sz w:val="24"/>
          <w:szCs w:val="24"/>
          <w:lang w:val="ru-MD"/>
        </w:rPr>
        <w:t>уверенности</w:t>
      </w:r>
      <w:r w:rsidR="00CB3AFB" w:rsidRPr="0079132C">
        <w:rPr>
          <w:rFonts w:asciiTheme="majorHAnsi" w:eastAsia="Times New Roman" w:hAnsiTheme="majorHAnsi" w:cstheme="majorHAnsi"/>
          <w:color w:val="000000" w:themeColor="text1"/>
          <w:sz w:val="24"/>
          <w:szCs w:val="24"/>
          <w:lang w:val="ru-MD"/>
        </w:rPr>
        <w:t xml:space="preserve"> в том, что </w:t>
      </w:r>
      <w:r w:rsidRPr="0079132C">
        <w:rPr>
          <w:rFonts w:asciiTheme="majorHAnsi" w:eastAsia="Times New Roman" w:hAnsiTheme="majorHAnsi" w:cstheme="majorHAnsi"/>
          <w:color w:val="000000" w:themeColor="text1"/>
          <w:sz w:val="24"/>
          <w:szCs w:val="24"/>
          <w:lang w:val="ru-MD"/>
        </w:rPr>
        <w:t>бенефициар</w:t>
      </w:r>
      <w:r w:rsidR="00CB3AFB" w:rsidRPr="0079132C">
        <w:rPr>
          <w:rFonts w:asciiTheme="majorHAnsi" w:eastAsia="Times New Roman" w:hAnsiTheme="majorHAnsi" w:cstheme="majorHAnsi"/>
          <w:color w:val="000000" w:themeColor="text1"/>
          <w:sz w:val="24"/>
          <w:szCs w:val="24"/>
          <w:lang w:val="ru-MD"/>
        </w:rPr>
        <w:t xml:space="preserve"> соответствует всем условиям приемлемости и что размер </w:t>
      </w:r>
      <w:r w:rsidRPr="0079132C">
        <w:rPr>
          <w:rFonts w:asciiTheme="majorHAnsi" w:eastAsia="Times New Roman" w:hAnsiTheme="majorHAnsi" w:cstheme="majorHAnsi"/>
          <w:color w:val="000000" w:themeColor="text1"/>
          <w:sz w:val="24"/>
          <w:szCs w:val="24"/>
          <w:lang w:val="ru-MD"/>
        </w:rPr>
        <w:t>начисле</w:t>
      </w:r>
      <w:r w:rsidR="00CB3AFB" w:rsidRPr="0079132C">
        <w:rPr>
          <w:rFonts w:asciiTheme="majorHAnsi" w:eastAsia="Times New Roman" w:hAnsiTheme="majorHAnsi" w:cstheme="majorHAnsi"/>
          <w:color w:val="000000" w:themeColor="text1"/>
          <w:sz w:val="24"/>
          <w:szCs w:val="24"/>
          <w:lang w:val="ru-MD"/>
        </w:rPr>
        <w:t>нного социального пособия соответствует законодательной базе. Таким образом, аудит не может выс</w:t>
      </w:r>
      <w:r w:rsidRPr="0079132C">
        <w:rPr>
          <w:rFonts w:asciiTheme="majorHAnsi" w:eastAsia="Times New Roman" w:hAnsiTheme="majorHAnsi" w:cstheme="majorHAnsi"/>
          <w:color w:val="000000" w:themeColor="text1"/>
          <w:sz w:val="24"/>
          <w:szCs w:val="24"/>
          <w:lang w:val="ru-MD"/>
        </w:rPr>
        <w:t xml:space="preserve">казать свое мнение в отношении пособия по технической безработице </w:t>
      </w:r>
      <w:r w:rsidR="00CB3AFB" w:rsidRPr="0079132C">
        <w:rPr>
          <w:rFonts w:asciiTheme="majorHAnsi" w:eastAsia="Times New Roman" w:hAnsiTheme="majorHAnsi" w:cstheme="majorHAnsi"/>
          <w:color w:val="000000" w:themeColor="text1"/>
          <w:sz w:val="24"/>
          <w:szCs w:val="24"/>
          <w:lang w:val="ru-MD"/>
        </w:rPr>
        <w:t>в размере 2 126,9 тыс. леев, которое было профинансировано из государственного бюджета</w:t>
      </w:r>
      <w:r w:rsidR="00756056" w:rsidRPr="0079132C">
        <w:rPr>
          <w:rFonts w:asciiTheme="majorHAnsi" w:eastAsia="Times New Roman" w:hAnsiTheme="majorHAnsi" w:cstheme="majorHAnsi"/>
          <w:color w:val="000000" w:themeColor="text1"/>
          <w:sz w:val="24"/>
          <w:szCs w:val="24"/>
          <w:lang w:val="ru-MD"/>
        </w:rPr>
        <w:t>.</w:t>
      </w:r>
    </w:p>
    <w:p w14:paraId="01AC22C1" w14:textId="65DB6735" w:rsidR="00504EDB" w:rsidRPr="003B164E" w:rsidRDefault="00CB3AFB" w:rsidP="00886613">
      <w:pPr>
        <w:shd w:val="clear" w:color="auto" w:fill="FFFFFF" w:themeFill="background1"/>
        <w:spacing w:line="276" w:lineRule="auto"/>
        <w:jc w:val="both"/>
        <w:rPr>
          <w:rFonts w:asciiTheme="majorHAnsi" w:hAnsiTheme="majorHAnsi" w:cstheme="majorHAnsi"/>
          <w:color w:val="000000" w:themeColor="text1"/>
          <w:sz w:val="24"/>
          <w:szCs w:val="24"/>
          <w:lang w:val="ru-MD"/>
        </w:rPr>
      </w:pPr>
      <w:r w:rsidRPr="003B164E">
        <w:rPr>
          <w:rFonts w:asciiTheme="majorHAnsi" w:hAnsiTheme="majorHAnsi" w:cstheme="majorHAnsi"/>
          <w:color w:val="000000" w:themeColor="text1"/>
          <w:sz w:val="24"/>
          <w:szCs w:val="24"/>
          <w:lang w:val="ru-MD"/>
        </w:rPr>
        <w:t xml:space="preserve">Что касается учета выплат </w:t>
      </w:r>
      <w:r w:rsidR="003B164E" w:rsidRPr="003B164E">
        <w:rPr>
          <w:rFonts w:asciiTheme="majorHAnsi" w:eastAsia="Times New Roman" w:hAnsiTheme="majorHAnsi" w:cstheme="majorHAnsi"/>
          <w:color w:val="000000" w:themeColor="text1"/>
          <w:sz w:val="24"/>
          <w:szCs w:val="24"/>
          <w:lang w:val="ru-MD"/>
        </w:rPr>
        <w:t>пособия по технической безработице</w:t>
      </w:r>
      <w:r w:rsidRPr="003B164E">
        <w:rPr>
          <w:rFonts w:asciiTheme="majorHAnsi" w:hAnsiTheme="majorHAnsi" w:cstheme="majorHAnsi"/>
          <w:color w:val="000000" w:themeColor="text1"/>
          <w:sz w:val="24"/>
          <w:szCs w:val="24"/>
          <w:lang w:val="ru-MD"/>
        </w:rPr>
        <w:t xml:space="preserve">, было установлено, что выплаты, произведенные </w:t>
      </w:r>
      <w:r w:rsidR="003B164E" w:rsidRPr="003B164E">
        <w:rPr>
          <w:rFonts w:asciiTheme="majorHAnsi" w:hAnsiTheme="majorHAnsi" w:cstheme="majorHAnsi"/>
          <w:color w:val="000000" w:themeColor="text1"/>
          <w:sz w:val="24"/>
          <w:szCs w:val="24"/>
          <w:lang w:val="ru-MD"/>
        </w:rPr>
        <w:t>НКСС</w:t>
      </w:r>
      <w:r w:rsidRPr="003B164E">
        <w:rPr>
          <w:rFonts w:asciiTheme="majorHAnsi" w:hAnsiTheme="majorHAnsi" w:cstheme="majorHAnsi"/>
          <w:color w:val="000000" w:themeColor="text1"/>
          <w:sz w:val="24"/>
          <w:szCs w:val="24"/>
          <w:lang w:val="ru-MD"/>
        </w:rPr>
        <w:t xml:space="preserve">, соответствуют </w:t>
      </w:r>
      <w:r w:rsidR="003B164E" w:rsidRPr="003B164E">
        <w:rPr>
          <w:rFonts w:asciiTheme="majorHAnsi" w:hAnsiTheme="majorHAnsi" w:cstheme="majorHAnsi"/>
          <w:color w:val="000000" w:themeColor="text1"/>
          <w:sz w:val="24"/>
          <w:szCs w:val="24"/>
          <w:lang w:val="ru-MD"/>
        </w:rPr>
        <w:t>платежным ведомостям,</w:t>
      </w:r>
      <w:r w:rsidRPr="003B164E">
        <w:rPr>
          <w:rFonts w:asciiTheme="majorHAnsi" w:hAnsiTheme="majorHAnsi" w:cstheme="majorHAnsi"/>
          <w:color w:val="000000" w:themeColor="text1"/>
          <w:sz w:val="24"/>
          <w:szCs w:val="24"/>
          <w:lang w:val="ru-MD"/>
        </w:rPr>
        <w:t xml:space="preserve"> в размере, установленном в решении, и соблюд</w:t>
      </w:r>
      <w:r w:rsidR="003B164E" w:rsidRPr="003B164E">
        <w:rPr>
          <w:rFonts w:asciiTheme="majorHAnsi" w:hAnsiTheme="majorHAnsi" w:cstheme="majorHAnsi"/>
          <w:color w:val="000000" w:themeColor="text1"/>
          <w:sz w:val="24"/>
          <w:szCs w:val="24"/>
          <w:lang w:val="ru-MD"/>
        </w:rPr>
        <w:t>ены</w:t>
      </w:r>
      <w:r w:rsidRPr="003B164E">
        <w:rPr>
          <w:rFonts w:asciiTheme="majorHAnsi" w:hAnsiTheme="majorHAnsi" w:cstheme="majorHAnsi"/>
          <w:color w:val="000000" w:themeColor="text1"/>
          <w:sz w:val="24"/>
          <w:szCs w:val="24"/>
          <w:lang w:val="ru-MD"/>
        </w:rPr>
        <w:t xml:space="preserve"> процедуры учета платежей. В</w:t>
      </w:r>
      <w:r w:rsidR="003B164E" w:rsidRPr="003B164E">
        <w:rPr>
          <w:rFonts w:asciiTheme="majorHAnsi" w:hAnsiTheme="majorHAnsi" w:cstheme="majorHAnsi"/>
          <w:color w:val="000000" w:themeColor="text1"/>
          <w:sz w:val="24"/>
          <w:szCs w:val="24"/>
          <w:lang w:val="ru-MD"/>
        </w:rPr>
        <w:t>месте с тем,</w:t>
      </w:r>
      <w:r w:rsidRPr="003B164E">
        <w:rPr>
          <w:rFonts w:asciiTheme="majorHAnsi" w:hAnsiTheme="majorHAnsi" w:cstheme="majorHAnsi"/>
          <w:color w:val="000000" w:themeColor="text1"/>
          <w:sz w:val="24"/>
          <w:szCs w:val="24"/>
          <w:lang w:val="ru-MD"/>
        </w:rPr>
        <w:t xml:space="preserve"> в 20 случаях (1,5%) 16,6 тыс. леев был</w:t>
      </w:r>
      <w:r w:rsidR="003B164E" w:rsidRPr="003B164E">
        <w:rPr>
          <w:rFonts w:asciiTheme="majorHAnsi" w:hAnsiTheme="majorHAnsi" w:cstheme="majorHAnsi"/>
          <w:color w:val="000000" w:themeColor="text1"/>
          <w:sz w:val="24"/>
          <w:szCs w:val="24"/>
          <w:lang w:val="ru-MD"/>
        </w:rPr>
        <w:t>и</w:t>
      </w:r>
      <w:r w:rsidRPr="003B164E">
        <w:rPr>
          <w:rFonts w:asciiTheme="majorHAnsi" w:hAnsiTheme="majorHAnsi" w:cstheme="majorHAnsi"/>
          <w:color w:val="000000" w:themeColor="text1"/>
          <w:sz w:val="24"/>
          <w:szCs w:val="24"/>
          <w:lang w:val="ru-MD"/>
        </w:rPr>
        <w:t xml:space="preserve"> пере</w:t>
      </w:r>
      <w:r w:rsidR="003B164E" w:rsidRPr="003B164E">
        <w:rPr>
          <w:rFonts w:asciiTheme="majorHAnsi" w:hAnsiTheme="majorHAnsi" w:cstheme="majorHAnsi"/>
          <w:color w:val="000000" w:themeColor="text1"/>
          <w:sz w:val="24"/>
          <w:szCs w:val="24"/>
          <w:lang w:val="ru-MD"/>
        </w:rPr>
        <w:t>числены</w:t>
      </w:r>
      <w:r w:rsidRPr="003B164E">
        <w:rPr>
          <w:rFonts w:asciiTheme="majorHAnsi" w:hAnsiTheme="majorHAnsi" w:cstheme="majorHAnsi"/>
          <w:color w:val="000000" w:themeColor="text1"/>
          <w:sz w:val="24"/>
          <w:szCs w:val="24"/>
          <w:lang w:val="ru-MD"/>
        </w:rPr>
        <w:t xml:space="preserve"> бенефициарам с опозданием от 2 до 60 дней, </w:t>
      </w:r>
      <w:r w:rsidR="003B164E" w:rsidRPr="003B164E">
        <w:rPr>
          <w:rFonts w:asciiTheme="majorHAnsi" w:hAnsiTheme="majorHAnsi" w:cstheme="majorHAnsi"/>
          <w:color w:val="000000" w:themeColor="text1"/>
          <w:sz w:val="24"/>
          <w:szCs w:val="24"/>
          <w:lang w:val="ru-MD"/>
        </w:rPr>
        <w:t>ситуация была</w:t>
      </w:r>
      <w:r w:rsidRPr="003B164E">
        <w:rPr>
          <w:rFonts w:asciiTheme="majorHAnsi" w:hAnsiTheme="majorHAnsi" w:cstheme="majorHAnsi"/>
          <w:color w:val="000000" w:themeColor="text1"/>
          <w:sz w:val="24"/>
          <w:szCs w:val="24"/>
          <w:lang w:val="ru-MD"/>
        </w:rPr>
        <w:t xml:space="preserve"> вызван</w:t>
      </w:r>
      <w:r w:rsidR="003B164E" w:rsidRPr="003B164E">
        <w:rPr>
          <w:rFonts w:asciiTheme="majorHAnsi" w:hAnsiTheme="majorHAnsi" w:cstheme="majorHAnsi"/>
          <w:color w:val="000000" w:themeColor="text1"/>
          <w:sz w:val="24"/>
          <w:szCs w:val="24"/>
          <w:lang w:val="ru-MD"/>
        </w:rPr>
        <w:t>а</w:t>
      </w:r>
      <w:r w:rsidRPr="003B164E">
        <w:rPr>
          <w:rFonts w:asciiTheme="majorHAnsi" w:hAnsiTheme="majorHAnsi" w:cstheme="majorHAnsi"/>
          <w:color w:val="000000" w:themeColor="text1"/>
          <w:sz w:val="24"/>
          <w:szCs w:val="24"/>
          <w:lang w:val="ru-MD"/>
        </w:rPr>
        <w:t xml:space="preserve"> затягиванием пере</w:t>
      </w:r>
      <w:r w:rsidR="003B164E" w:rsidRPr="003B164E">
        <w:rPr>
          <w:rFonts w:asciiTheme="majorHAnsi" w:hAnsiTheme="majorHAnsi" w:cstheme="majorHAnsi"/>
          <w:color w:val="000000" w:themeColor="text1"/>
          <w:sz w:val="24"/>
          <w:szCs w:val="24"/>
          <w:lang w:val="ru-MD"/>
        </w:rPr>
        <w:t>числения</w:t>
      </w:r>
      <w:r w:rsidRPr="003B164E">
        <w:rPr>
          <w:rFonts w:asciiTheme="majorHAnsi" w:hAnsiTheme="majorHAnsi" w:cstheme="majorHAnsi"/>
          <w:color w:val="000000" w:themeColor="text1"/>
          <w:sz w:val="24"/>
          <w:szCs w:val="24"/>
          <w:lang w:val="ru-MD"/>
        </w:rPr>
        <w:t xml:space="preserve"> средств </w:t>
      </w:r>
      <w:r w:rsidR="003B164E" w:rsidRPr="003B164E">
        <w:rPr>
          <w:rFonts w:asciiTheme="majorHAnsi" w:hAnsiTheme="majorHAnsi" w:cstheme="majorHAnsi"/>
          <w:color w:val="000000" w:themeColor="text1"/>
          <w:sz w:val="24"/>
          <w:szCs w:val="24"/>
          <w:lang w:val="ru-MD"/>
        </w:rPr>
        <w:t>из ГБ</w:t>
      </w:r>
      <w:r w:rsidRPr="003B164E">
        <w:rPr>
          <w:rFonts w:asciiTheme="majorHAnsi" w:hAnsiTheme="majorHAnsi" w:cstheme="majorHAnsi"/>
          <w:color w:val="000000" w:themeColor="text1"/>
          <w:sz w:val="24"/>
          <w:szCs w:val="24"/>
          <w:lang w:val="ru-MD"/>
        </w:rPr>
        <w:t>, что привело к лишению бенефициара возможности получить пособие по технической безработице в соответствующий период</w:t>
      </w:r>
      <w:r w:rsidR="00756056" w:rsidRPr="003B164E">
        <w:rPr>
          <w:rFonts w:asciiTheme="majorHAnsi" w:hAnsiTheme="majorHAnsi" w:cstheme="majorHAnsi"/>
          <w:color w:val="000000" w:themeColor="text1"/>
          <w:sz w:val="24"/>
          <w:szCs w:val="24"/>
          <w:lang w:val="ru-MD"/>
        </w:rPr>
        <w:t xml:space="preserve">. </w:t>
      </w:r>
    </w:p>
    <w:p w14:paraId="6EC365F0" w14:textId="44C4D684" w:rsidR="00504EDB" w:rsidRPr="00653E85" w:rsidRDefault="00CB3AFB" w:rsidP="00CB3AFB">
      <w:pPr>
        <w:pStyle w:val="Default"/>
        <w:numPr>
          <w:ilvl w:val="1"/>
          <w:numId w:val="2"/>
        </w:numPr>
        <w:spacing w:after="240" w:line="276" w:lineRule="auto"/>
        <w:ind w:left="0" w:firstLine="0"/>
        <w:jc w:val="both"/>
        <w:outlineLvl w:val="1"/>
        <w:rPr>
          <w:rFonts w:asciiTheme="majorHAnsi" w:hAnsiTheme="majorHAnsi" w:cstheme="majorHAnsi"/>
          <w:b/>
          <w:lang w:val="ro-MD"/>
        </w:rPr>
      </w:pPr>
      <w:r w:rsidRPr="00643905">
        <w:rPr>
          <w:rFonts w:asciiTheme="majorHAnsi" w:hAnsiTheme="majorHAnsi" w:cstheme="majorHAnsi"/>
          <w:b/>
          <w:lang w:val="ru-MD"/>
        </w:rPr>
        <w:t xml:space="preserve">Поддержка сектора </w:t>
      </w:r>
      <w:r w:rsidR="003B164E" w:rsidRPr="00643905">
        <w:rPr>
          <w:rFonts w:asciiTheme="majorHAnsi" w:hAnsiTheme="majorHAnsi" w:cstheme="majorHAnsi"/>
          <w:b/>
          <w:lang w:val="ru-MD"/>
        </w:rPr>
        <w:t>ИТ</w:t>
      </w:r>
      <w:r w:rsidRPr="00643905">
        <w:rPr>
          <w:rFonts w:asciiTheme="majorHAnsi" w:hAnsiTheme="majorHAnsi" w:cstheme="majorHAnsi"/>
          <w:b/>
          <w:lang w:val="ru-MD"/>
        </w:rPr>
        <w:t xml:space="preserve"> путем исключения из единой системы расчета взносов </w:t>
      </w:r>
      <w:r w:rsidR="00643905" w:rsidRPr="00643905">
        <w:rPr>
          <w:rFonts w:asciiTheme="majorHAnsi" w:hAnsiTheme="majorHAnsi" w:cstheme="majorHAnsi"/>
          <w:b/>
          <w:lang w:val="ru-MD"/>
        </w:rPr>
        <w:t>лимитиру</w:t>
      </w:r>
      <w:r w:rsidRPr="00643905">
        <w:rPr>
          <w:rFonts w:asciiTheme="majorHAnsi" w:hAnsiTheme="majorHAnsi" w:cstheme="majorHAnsi"/>
          <w:b/>
          <w:lang w:val="ru-MD"/>
        </w:rPr>
        <w:t xml:space="preserve">ет </w:t>
      </w:r>
      <w:r w:rsidR="00643905">
        <w:rPr>
          <w:rFonts w:asciiTheme="majorHAnsi" w:hAnsiTheme="majorHAnsi" w:cstheme="majorHAnsi"/>
          <w:b/>
          <w:lang w:val="ru-MD"/>
        </w:rPr>
        <w:t>объем</w:t>
      </w:r>
      <w:r w:rsidRPr="00643905">
        <w:rPr>
          <w:rFonts w:asciiTheme="majorHAnsi" w:hAnsiTheme="majorHAnsi" w:cstheme="majorHAnsi"/>
          <w:b/>
          <w:lang w:val="ru-MD"/>
        </w:rPr>
        <w:t xml:space="preserve"> социальных </w:t>
      </w:r>
      <w:r w:rsidR="003B164E" w:rsidRPr="00643905">
        <w:rPr>
          <w:rFonts w:asciiTheme="majorHAnsi" w:hAnsiTheme="majorHAnsi" w:cstheme="majorHAnsi"/>
          <w:b/>
          <w:lang w:val="ru-MD"/>
        </w:rPr>
        <w:t>выплат</w:t>
      </w:r>
      <w:r w:rsidRPr="00643905">
        <w:rPr>
          <w:rFonts w:asciiTheme="majorHAnsi" w:hAnsiTheme="majorHAnsi" w:cstheme="majorHAnsi"/>
          <w:b/>
          <w:lang w:val="ru-MD"/>
        </w:rPr>
        <w:t xml:space="preserve">, а также влияет на доходы </w:t>
      </w:r>
      <w:r w:rsidR="003B164E" w:rsidRPr="00643905">
        <w:rPr>
          <w:rFonts w:asciiTheme="majorHAnsi" w:hAnsiTheme="majorHAnsi" w:cstheme="majorHAnsi"/>
          <w:b/>
          <w:lang w:val="ru-MD"/>
        </w:rPr>
        <w:t>БГСС</w:t>
      </w:r>
      <w:r w:rsidR="00137522" w:rsidRPr="00653E85">
        <w:rPr>
          <w:rFonts w:asciiTheme="majorHAnsi" w:hAnsiTheme="majorHAnsi" w:cstheme="majorHAnsi"/>
          <w:b/>
          <w:lang w:val="ro-MD"/>
        </w:rPr>
        <w:t>.</w:t>
      </w:r>
      <w:r w:rsidR="00504EDB" w:rsidRPr="00653E85">
        <w:rPr>
          <w:rFonts w:asciiTheme="majorHAnsi" w:hAnsiTheme="majorHAnsi" w:cstheme="majorHAnsi"/>
          <w:b/>
          <w:lang w:val="ro-MD"/>
        </w:rPr>
        <w:t xml:space="preserve"> </w:t>
      </w:r>
    </w:p>
    <w:p w14:paraId="3F6270D3" w14:textId="0B91B51E" w:rsidR="00504EDB" w:rsidRPr="001209B3" w:rsidRDefault="00314E76" w:rsidP="00504EDB">
      <w:pPr>
        <w:spacing w:after="0" w:line="276" w:lineRule="auto"/>
        <w:jc w:val="both"/>
        <w:rPr>
          <w:rFonts w:asciiTheme="majorHAnsi" w:eastAsia="Times New Roman" w:hAnsiTheme="majorHAnsi" w:cstheme="majorHAnsi"/>
          <w:sz w:val="24"/>
          <w:szCs w:val="24"/>
          <w:shd w:val="clear" w:color="auto" w:fill="FFFFFF"/>
          <w:lang w:val="ru-MD"/>
        </w:rPr>
      </w:pPr>
      <w:r w:rsidRPr="001209B3">
        <w:rPr>
          <w:rFonts w:asciiTheme="majorHAnsi" w:eastAsia="Times New Roman" w:hAnsiTheme="majorHAnsi" w:cstheme="majorHAnsi"/>
          <w:sz w:val="24"/>
          <w:szCs w:val="24"/>
          <w:shd w:val="clear" w:color="auto" w:fill="FFFFFF"/>
          <w:lang w:val="ru-MD"/>
        </w:rPr>
        <w:t xml:space="preserve">С </w:t>
      </w:r>
      <w:r w:rsidR="00CB3AFB" w:rsidRPr="001209B3">
        <w:rPr>
          <w:rFonts w:asciiTheme="majorHAnsi" w:eastAsia="Times New Roman" w:hAnsiTheme="majorHAnsi" w:cstheme="majorHAnsi"/>
          <w:sz w:val="24"/>
          <w:szCs w:val="24"/>
          <w:shd w:val="clear" w:color="auto" w:fill="FFFFFF"/>
          <w:lang w:val="ru-MD"/>
        </w:rPr>
        <w:t xml:space="preserve">1 января 2018 года начал </w:t>
      </w:r>
      <w:r w:rsidRPr="001209B3">
        <w:rPr>
          <w:rFonts w:asciiTheme="majorHAnsi" w:eastAsia="Times New Roman" w:hAnsiTheme="majorHAnsi" w:cstheme="majorHAnsi"/>
          <w:sz w:val="24"/>
          <w:szCs w:val="24"/>
          <w:shd w:val="clear" w:color="auto" w:fill="FFFFFF"/>
          <w:lang w:val="ru-MD"/>
        </w:rPr>
        <w:t>действовать</w:t>
      </w:r>
      <w:r w:rsidR="00CB3AFB" w:rsidRPr="001209B3">
        <w:rPr>
          <w:rFonts w:asciiTheme="majorHAnsi" w:eastAsia="Times New Roman" w:hAnsiTheme="majorHAnsi" w:cstheme="majorHAnsi"/>
          <w:sz w:val="24"/>
          <w:szCs w:val="24"/>
          <w:shd w:val="clear" w:color="auto" w:fill="FFFFFF"/>
          <w:lang w:val="ru-MD"/>
        </w:rPr>
        <w:t xml:space="preserve"> первый </w:t>
      </w:r>
      <w:r w:rsidRPr="001209B3">
        <w:rPr>
          <w:rFonts w:asciiTheme="majorHAnsi" w:eastAsia="Times New Roman" w:hAnsiTheme="majorHAnsi" w:cstheme="majorHAnsi"/>
          <w:sz w:val="24"/>
          <w:szCs w:val="24"/>
          <w:shd w:val="clear" w:color="auto" w:fill="FFFFFF"/>
          <w:lang w:val="ru-MD"/>
        </w:rPr>
        <w:t>ИТ</w:t>
      </w:r>
      <w:r w:rsidR="00CB3AFB" w:rsidRPr="001209B3">
        <w:rPr>
          <w:rFonts w:asciiTheme="majorHAnsi" w:eastAsia="Times New Roman" w:hAnsiTheme="majorHAnsi" w:cstheme="majorHAnsi"/>
          <w:sz w:val="24"/>
          <w:szCs w:val="24"/>
          <w:shd w:val="clear" w:color="auto" w:fill="FFFFFF"/>
          <w:lang w:val="ru-MD"/>
        </w:rPr>
        <w:t xml:space="preserve"> </w:t>
      </w:r>
      <w:r w:rsidR="00C74D54" w:rsidRPr="001209B3">
        <w:rPr>
          <w:rFonts w:asciiTheme="majorHAnsi" w:eastAsia="Times New Roman" w:hAnsiTheme="majorHAnsi" w:cstheme="majorHAnsi"/>
          <w:sz w:val="24"/>
          <w:szCs w:val="24"/>
          <w:shd w:val="clear" w:color="auto" w:fill="FFFFFF"/>
          <w:lang w:val="ru-MD"/>
        </w:rPr>
        <w:t xml:space="preserve">парк </w:t>
      </w:r>
      <w:r w:rsidR="00CB3AFB" w:rsidRPr="001209B3">
        <w:rPr>
          <w:rFonts w:asciiTheme="majorHAnsi" w:eastAsia="Times New Roman" w:hAnsiTheme="majorHAnsi" w:cstheme="majorHAnsi"/>
          <w:sz w:val="24"/>
          <w:szCs w:val="24"/>
          <w:shd w:val="clear" w:color="auto" w:fill="FFFFFF"/>
          <w:lang w:val="ru-MD"/>
        </w:rPr>
        <w:t>в Республике Молдова</w:t>
      </w:r>
      <w:r w:rsidRPr="001209B3">
        <w:rPr>
          <w:vertAlign w:val="superscript"/>
          <w:lang w:val="ru-MD"/>
        </w:rPr>
        <w:footnoteReference w:id="67"/>
      </w:r>
      <w:r w:rsidR="00CB3AFB" w:rsidRPr="001209B3">
        <w:rPr>
          <w:rFonts w:asciiTheme="majorHAnsi" w:eastAsia="Times New Roman" w:hAnsiTheme="majorHAnsi" w:cstheme="majorHAnsi"/>
          <w:sz w:val="24"/>
          <w:szCs w:val="24"/>
          <w:shd w:val="clear" w:color="auto" w:fill="FFFFFF"/>
          <w:lang w:val="ru-MD"/>
        </w:rPr>
        <w:t xml:space="preserve">, платформа, созданная Правительством для стимулирования инвестиций и развития бизнеса </w:t>
      </w:r>
      <w:r w:rsidRPr="001209B3">
        <w:rPr>
          <w:rFonts w:asciiTheme="majorHAnsi" w:eastAsia="Times New Roman" w:hAnsiTheme="majorHAnsi" w:cstheme="majorHAnsi"/>
          <w:sz w:val="24"/>
          <w:szCs w:val="24"/>
          <w:shd w:val="clear" w:color="auto" w:fill="FFFFFF"/>
          <w:lang w:val="ru-MD"/>
        </w:rPr>
        <w:t>ИТ</w:t>
      </w:r>
      <w:r w:rsidR="00CB3AFB" w:rsidRPr="001209B3">
        <w:rPr>
          <w:rFonts w:asciiTheme="majorHAnsi" w:eastAsia="Times New Roman" w:hAnsiTheme="majorHAnsi" w:cstheme="majorHAnsi"/>
          <w:sz w:val="24"/>
          <w:szCs w:val="24"/>
          <w:shd w:val="clear" w:color="auto" w:fill="FFFFFF"/>
          <w:lang w:val="ru-MD"/>
        </w:rPr>
        <w:t>, исследований, разработок и цифровых инноваций</w:t>
      </w:r>
      <w:r w:rsidR="00504EDB" w:rsidRPr="001209B3">
        <w:rPr>
          <w:rFonts w:asciiTheme="majorHAnsi" w:eastAsia="Times New Roman" w:hAnsiTheme="majorHAnsi" w:cstheme="majorHAnsi"/>
          <w:sz w:val="24"/>
          <w:szCs w:val="24"/>
          <w:shd w:val="clear" w:color="auto" w:fill="FFFFFF"/>
          <w:lang w:val="ru-MD"/>
        </w:rPr>
        <w:t>.</w:t>
      </w:r>
    </w:p>
    <w:p w14:paraId="3E8F2498" w14:textId="75722F59" w:rsidR="00504EDB" w:rsidRPr="001209B3" w:rsidRDefault="00CB3AFB" w:rsidP="00504EDB">
      <w:pPr>
        <w:spacing w:after="0" w:line="276" w:lineRule="auto"/>
        <w:jc w:val="both"/>
        <w:rPr>
          <w:rFonts w:asciiTheme="majorHAnsi" w:eastAsia="Times New Roman" w:hAnsiTheme="majorHAnsi" w:cstheme="majorHAnsi"/>
          <w:sz w:val="24"/>
          <w:szCs w:val="24"/>
          <w:shd w:val="clear" w:color="auto" w:fill="FFFFFF"/>
          <w:lang w:val="ru-MD"/>
        </w:rPr>
      </w:pPr>
      <w:r w:rsidRPr="001209B3">
        <w:rPr>
          <w:rFonts w:asciiTheme="majorHAnsi" w:eastAsia="Times New Roman" w:hAnsiTheme="majorHAnsi" w:cstheme="majorHAnsi"/>
          <w:sz w:val="24"/>
          <w:szCs w:val="24"/>
          <w:shd w:val="clear" w:color="auto" w:fill="FFFFFF"/>
          <w:lang w:val="ru-MD"/>
        </w:rPr>
        <w:t xml:space="preserve">Срок </w:t>
      </w:r>
      <w:r w:rsidR="00C74D54" w:rsidRPr="001209B3">
        <w:rPr>
          <w:rFonts w:asciiTheme="majorHAnsi" w:eastAsia="Times New Roman" w:hAnsiTheme="majorHAnsi" w:cstheme="majorHAnsi"/>
          <w:sz w:val="24"/>
          <w:szCs w:val="24"/>
          <w:shd w:val="clear" w:color="auto" w:fill="FFFFFF"/>
          <w:lang w:val="ru-MD"/>
        </w:rPr>
        <w:t>функционирования</w:t>
      </w:r>
      <w:r w:rsidRPr="001209B3">
        <w:rPr>
          <w:rFonts w:asciiTheme="majorHAnsi" w:eastAsia="Times New Roman" w:hAnsiTheme="majorHAnsi" w:cstheme="majorHAnsi"/>
          <w:sz w:val="24"/>
          <w:szCs w:val="24"/>
          <w:shd w:val="clear" w:color="auto" w:fill="FFFFFF"/>
          <w:lang w:val="ru-MD"/>
        </w:rPr>
        <w:t xml:space="preserve"> парка составляет 10 лет, в течение которых</w:t>
      </w:r>
      <w:r w:rsidR="00C74D54" w:rsidRPr="001209B3">
        <w:rPr>
          <w:rFonts w:asciiTheme="majorHAnsi" w:eastAsia="Times New Roman" w:hAnsiTheme="majorHAnsi" w:cstheme="majorHAnsi"/>
          <w:sz w:val="24"/>
          <w:szCs w:val="24"/>
          <w:shd w:val="clear" w:color="auto" w:fill="FFFFFF"/>
          <w:lang w:val="ru-MD"/>
        </w:rPr>
        <w:t xml:space="preserve"> предполагается</w:t>
      </w:r>
      <w:r w:rsidRPr="001209B3">
        <w:rPr>
          <w:rFonts w:asciiTheme="majorHAnsi" w:eastAsia="Times New Roman" w:hAnsiTheme="majorHAnsi" w:cstheme="majorHAnsi"/>
          <w:sz w:val="24"/>
          <w:szCs w:val="24"/>
          <w:shd w:val="clear" w:color="auto" w:fill="FFFFFF"/>
          <w:lang w:val="ru-MD"/>
        </w:rPr>
        <w:t xml:space="preserve"> привлеч</w:t>
      </w:r>
      <w:r w:rsidR="00C74D54" w:rsidRPr="001209B3">
        <w:rPr>
          <w:rFonts w:asciiTheme="majorHAnsi" w:eastAsia="Times New Roman" w:hAnsiTheme="majorHAnsi" w:cstheme="majorHAnsi"/>
          <w:sz w:val="24"/>
          <w:szCs w:val="24"/>
          <w:shd w:val="clear" w:color="auto" w:fill="FFFFFF"/>
          <w:lang w:val="ru-MD"/>
        </w:rPr>
        <w:t>ь</w:t>
      </w:r>
      <w:r w:rsidRPr="001209B3">
        <w:rPr>
          <w:rFonts w:asciiTheme="majorHAnsi" w:eastAsia="Times New Roman" w:hAnsiTheme="majorHAnsi" w:cstheme="majorHAnsi"/>
          <w:sz w:val="24"/>
          <w:szCs w:val="24"/>
          <w:shd w:val="clear" w:color="auto" w:fill="FFFFFF"/>
          <w:lang w:val="ru-MD"/>
        </w:rPr>
        <w:t xml:space="preserve"> компании-резиденты </w:t>
      </w:r>
      <w:r w:rsidR="00C74D54" w:rsidRPr="001209B3">
        <w:rPr>
          <w:rFonts w:asciiTheme="majorHAnsi" w:eastAsia="Times New Roman" w:hAnsiTheme="majorHAnsi" w:cstheme="majorHAnsi"/>
          <w:sz w:val="24"/>
          <w:szCs w:val="24"/>
          <w:shd w:val="clear" w:color="auto" w:fill="FFFFFF"/>
          <w:lang w:val="ru-MD"/>
        </w:rPr>
        <w:t>ИТ</w:t>
      </w:r>
      <w:r w:rsidR="001209B3" w:rsidRPr="001209B3">
        <w:rPr>
          <w:rFonts w:asciiTheme="majorHAnsi" w:eastAsia="Times New Roman" w:hAnsiTheme="majorHAnsi" w:cstheme="majorHAnsi"/>
          <w:sz w:val="24"/>
          <w:szCs w:val="24"/>
          <w:shd w:val="clear" w:color="auto" w:fill="FFFFFF"/>
          <w:lang w:val="ru-MD"/>
        </w:rPr>
        <w:t>, которые будут осуществлять основные виды деятельности, предусмотренные законодательством</w:t>
      </w:r>
      <w:r w:rsidR="00504EDB" w:rsidRPr="001209B3">
        <w:rPr>
          <w:vertAlign w:val="superscript"/>
          <w:lang w:val="ru-MD"/>
        </w:rPr>
        <w:footnoteReference w:id="68"/>
      </w:r>
      <w:r w:rsidR="00AB40C5" w:rsidRPr="001209B3">
        <w:rPr>
          <w:rFonts w:asciiTheme="majorHAnsi" w:eastAsia="Times New Roman" w:hAnsiTheme="majorHAnsi" w:cstheme="majorHAnsi"/>
          <w:sz w:val="24"/>
          <w:szCs w:val="24"/>
          <w:shd w:val="clear" w:color="auto" w:fill="FFFFFF"/>
          <w:lang w:val="ru-MD"/>
        </w:rPr>
        <w:t>.</w:t>
      </w:r>
    </w:p>
    <w:p w14:paraId="147BC22C" w14:textId="4C3ED973" w:rsidR="00504EDB" w:rsidRPr="001209B3" w:rsidRDefault="00CB3AFB" w:rsidP="00DA562C">
      <w:pPr>
        <w:shd w:val="clear" w:color="auto" w:fill="FFFFFF"/>
        <w:spacing w:line="276" w:lineRule="auto"/>
        <w:jc w:val="both"/>
        <w:rPr>
          <w:rFonts w:asciiTheme="majorHAnsi" w:eastAsia="Times New Roman" w:hAnsiTheme="majorHAnsi" w:cstheme="majorHAnsi"/>
          <w:sz w:val="24"/>
          <w:szCs w:val="24"/>
          <w:shd w:val="clear" w:color="auto" w:fill="FFFFFF"/>
          <w:lang w:val="ru-MD"/>
        </w:rPr>
      </w:pPr>
      <w:r w:rsidRPr="001209B3">
        <w:rPr>
          <w:rFonts w:asciiTheme="majorHAnsi" w:eastAsia="Times New Roman" w:hAnsiTheme="majorHAnsi" w:cstheme="majorHAnsi"/>
          <w:sz w:val="24"/>
          <w:szCs w:val="24"/>
          <w:shd w:val="clear" w:color="auto" w:fill="FFFFFF"/>
          <w:lang w:val="ru-MD"/>
        </w:rPr>
        <w:t xml:space="preserve">В 2022 году в </w:t>
      </w:r>
      <w:r w:rsidR="001209B3" w:rsidRPr="001209B3">
        <w:rPr>
          <w:rFonts w:asciiTheme="majorHAnsi" w:eastAsia="Times New Roman" w:hAnsiTheme="majorHAnsi" w:cstheme="majorHAnsi"/>
          <w:sz w:val="24"/>
          <w:szCs w:val="24"/>
          <w:shd w:val="clear" w:color="auto" w:fill="FFFFFF"/>
          <w:lang w:val="ru-MD"/>
        </w:rPr>
        <w:t>Р</w:t>
      </w:r>
      <w:r w:rsidRPr="001209B3">
        <w:rPr>
          <w:rFonts w:asciiTheme="majorHAnsi" w:eastAsia="Times New Roman" w:hAnsiTheme="majorHAnsi" w:cstheme="majorHAnsi"/>
          <w:sz w:val="24"/>
          <w:szCs w:val="24"/>
          <w:shd w:val="clear" w:color="auto" w:fill="FFFFFF"/>
          <w:lang w:val="ru-MD"/>
        </w:rPr>
        <w:t xml:space="preserve">еестре резидентов было зарегистрировано 3 152 предприятия, из которых 1 621 предприятие имеет </w:t>
      </w:r>
      <w:r w:rsidR="001209B3" w:rsidRPr="001209B3">
        <w:rPr>
          <w:rFonts w:asciiTheme="majorHAnsi" w:eastAsia="Times New Roman" w:hAnsiTheme="majorHAnsi" w:cstheme="majorHAnsi"/>
          <w:sz w:val="24"/>
          <w:szCs w:val="24"/>
          <w:shd w:val="clear" w:color="auto" w:fill="FFFFFF"/>
          <w:lang w:val="ru-MD"/>
        </w:rPr>
        <w:t xml:space="preserve">активный </w:t>
      </w:r>
      <w:r w:rsidRPr="001209B3">
        <w:rPr>
          <w:rFonts w:asciiTheme="majorHAnsi" w:eastAsia="Times New Roman" w:hAnsiTheme="majorHAnsi" w:cstheme="majorHAnsi"/>
          <w:sz w:val="24"/>
          <w:szCs w:val="24"/>
          <w:shd w:val="clear" w:color="auto" w:fill="FFFFFF"/>
          <w:lang w:val="ru-MD"/>
        </w:rPr>
        <w:t>статус</w:t>
      </w:r>
      <w:r w:rsidR="001209B3" w:rsidRPr="001209B3">
        <w:rPr>
          <w:rFonts w:asciiTheme="majorHAnsi" w:eastAsia="Times New Roman" w:hAnsiTheme="majorHAnsi" w:cstheme="majorHAnsi"/>
          <w:sz w:val="24"/>
          <w:szCs w:val="24"/>
          <w:shd w:val="clear" w:color="auto" w:fill="FFFFFF"/>
          <w:lang w:val="ru-MD"/>
        </w:rPr>
        <w:t>,</w:t>
      </w:r>
      <w:r w:rsidRPr="001209B3">
        <w:rPr>
          <w:rFonts w:asciiTheme="majorHAnsi" w:eastAsia="Times New Roman" w:hAnsiTheme="majorHAnsi" w:cstheme="majorHAnsi"/>
          <w:sz w:val="24"/>
          <w:szCs w:val="24"/>
          <w:shd w:val="clear" w:color="auto" w:fill="FFFFFF"/>
          <w:lang w:val="ru-MD"/>
        </w:rPr>
        <w:t xml:space="preserve"> и 1 531 предприятие с неактивным статусом. Ауди</w:t>
      </w:r>
      <w:r w:rsidR="001209B3" w:rsidRPr="001209B3">
        <w:rPr>
          <w:rFonts w:asciiTheme="majorHAnsi" w:eastAsia="Times New Roman" w:hAnsiTheme="majorHAnsi" w:cstheme="majorHAnsi"/>
          <w:sz w:val="24"/>
          <w:szCs w:val="24"/>
          <w:shd w:val="clear" w:color="auto" w:fill="FFFFFF"/>
          <w:lang w:val="ru-MD"/>
        </w:rPr>
        <w:t>рование</w:t>
      </w:r>
      <w:r w:rsidRPr="001209B3">
        <w:rPr>
          <w:rFonts w:asciiTheme="majorHAnsi" w:eastAsia="Times New Roman" w:hAnsiTheme="majorHAnsi" w:cstheme="majorHAnsi"/>
          <w:sz w:val="24"/>
          <w:szCs w:val="24"/>
          <w:shd w:val="clear" w:color="auto" w:fill="FFFFFF"/>
          <w:lang w:val="ru-MD"/>
        </w:rPr>
        <w:t xml:space="preserve"> доходов, </w:t>
      </w:r>
      <w:r w:rsidR="001209B3" w:rsidRPr="001209B3">
        <w:rPr>
          <w:rFonts w:asciiTheme="majorHAnsi" w:eastAsia="Times New Roman" w:hAnsiTheme="majorHAnsi" w:cstheme="majorHAnsi"/>
          <w:sz w:val="24"/>
          <w:szCs w:val="24"/>
          <w:shd w:val="clear" w:color="auto" w:fill="FFFFFF"/>
          <w:lang w:val="ru-MD"/>
        </w:rPr>
        <w:t>генерируем</w:t>
      </w:r>
      <w:r w:rsidRPr="001209B3">
        <w:rPr>
          <w:rFonts w:asciiTheme="majorHAnsi" w:eastAsia="Times New Roman" w:hAnsiTheme="majorHAnsi" w:cstheme="majorHAnsi"/>
          <w:sz w:val="24"/>
          <w:szCs w:val="24"/>
          <w:shd w:val="clear" w:color="auto" w:fill="FFFFFF"/>
          <w:lang w:val="ru-MD"/>
        </w:rPr>
        <w:t>ых этой категори</w:t>
      </w:r>
      <w:r w:rsidR="001209B3" w:rsidRPr="001209B3">
        <w:rPr>
          <w:rFonts w:asciiTheme="majorHAnsi" w:eastAsia="Times New Roman" w:hAnsiTheme="majorHAnsi" w:cstheme="majorHAnsi"/>
          <w:sz w:val="24"/>
          <w:szCs w:val="24"/>
          <w:shd w:val="clear" w:color="auto" w:fill="FFFFFF"/>
          <w:lang w:val="ru-MD"/>
        </w:rPr>
        <w:t>ей</w:t>
      </w:r>
      <w:r w:rsidRPr="001209B3">
        <w:rPr>
          <w:rFonts w:asciiTheme="majorHAnsi" w:eastAsia="Times New Roman" w:hAnsiTheme="majorHAnsi" w:cstheme="majorHAnsi"/>
          <w:sz w:val="24"/>
          <w:szCs w:val="24"/>
          <w:shd w:val="clear" w:color="auto" w:fill="FFFFFF"/>
          <w:lang w:val="ru-MD"/>
        </w:rPr>
        <w:t xml:space="preserve"> налогоплательщиков, установил</w:t>
      </w:r>
      <w:r w:rsidR="001209B3" w:rsidRPr="001209B3">
        <w:rPr>
          <w:rFonts w:asciiTheme="majorHAnsi" w:eastAsia="Times New Roman" w:hAnsiTheme="majorHAnsi" w:cstheme="majorHAnsi"/>
          <w:sz w:val="24"/>
          <w:szCs w:val="24"/>
          <w:shd w:val="clear" w:color="auto" w:fill="FFFFFF"/>
          <w:lang w:val="ru-MD"/>
        </w:rPr>
        <w:t>о</w:t>
      </w:r>
      <w:r w:rsidRPr="001209B3">
        <w:rPr>
          <w:rFonts w:asciiTheme="majorHAnsi" w:eastAsia="Times New Roman" w:hAnsiTheme="majorHAnsi" w:cstheme="majorHAnsi"/>
          <w:sz w:val="24"/>
          <w:szCs w:val="24"/>
          <w:shd w:val="clear" w:color="auto" w:fill="FFFFFF"/>
          <w:lang w:val="ru-MD"/>
        </w:rPr>
        <w:t xml:space="preserve"> следующее</w:t>
      </w:r>
      <w:r w:rsidR="00581109" w:rsidRPr="001209B3">
        <w:rPr>
          <w:rFonts w:asciiTheme="majorHAnsi" w:eastAsia="Times New Roman" w:hAnsiTheme="majorHAnsi" w:cstheme="majorHAnsi"/>
          <w:sz w:val="24"/>
          <w:szCs w:val="24"/>
          <w:shd w:val="clear" w:color="auto" w:fill="FFFFFF"/>
          <w:lang w:val="ru-MD"/>
        </w:rPr>
        <w:t>.</w:t>
      </w:r>
    </w:p>
    <w:p w14:paraId="05F6DB6D" w14:textId="08B16ACA" w:rsidR="00DA562C" w:rsidRPr="00137556" w:rsidRDefault="00CB3AFB" w:rsidP="00CB3AFB">
      <w:pPr>
        <w:pStyle w:val="aa"/>
        <w:numPr>
          <w:ilvl w:val="0"/>
          <w:numId w:val="19"/>
        </w:numPr>
        <w:shd w:val="clear" w:color="auto" w:fill="FFFFFF"/>
        <w:spacing w:after="0" w:line="276" w:lineRule="auto"/>
        <w:ind w:left="0" w:firstLine="360"/>
        <w:jc w:val="both"/>
        <w:rPr>
          <w:rFonts w:asciiTheme="majorHAnsi" w:eastAsia="Times New Roman" w:hAnsiTheme="majorHAnsi" w:cstheme="majorHAnsi"/>
          <w:b/>
          <w:bCs/>
          <w:i/>
          <w:iCs/>
          <w:sz w:val="24"/>
          <w:szCs w:val="24"/>
          <w:shd w:val="clear" w:color="auto" w:fill="FFFFFF"/>
          <w:lang w:val="ru-MD"/>
        </w:rPr>
      </w:pPr>
      <w:r w:rsidRPr="00137556">
        <w:rPr>
          <w:rFonts w:asciiTheme="majorHAnsi" w:eastAsia="Times New Roman" w:hAnsiTheme="majorHAnsi" w:cstheme="majorHAnsi"/>
          <w:b/>
          <w:bCs/>
          <w:i/>
          <w:iCs/>
          <w:sz w:val="24"/>
          <w:szCs w:val="24"/>
          <w:shd w:val="clear" w:color="auto" w:fill="FFFFFF"/>
          <w:lang w:val="ru-MD"/>
        </w:rPr>
        <w:t xml:space="preserve">Сумма </w:t>
      </w:r>
      <w:r w:rsidR="001209B3" w:rsidRPr="00137556">
        <w:rPr>
          <w:rFonts w:asciiTheme="majorHAnsi" w:eastAsia="Times New Roman" w:hAnsiTheme="majorHAnsi" w:cstheme="majorHAnsi"/>
          <w:b/>
          <w:bCs/>
          <w:i/>
          <w:iCs/>
          <w:sz w:val="24"/>
          <w:szCs w:val="24"/>
          <w:shd w:val="clear" w:color="auto" w:fill="FFFFFF"/>
          <w:lang w:val="ru-MD"/>
        </w:rPr>
        <w:t xml:space="preserve">уплаченных </w:t>
      </w:r>
      <w:r w:rsidRPr="00137556">
        <w:rPr>
          <w:rFonts w:asciiTheme="majorHAnsi" w:eastAsia="Times New Roman" w:hAnsiTheme="majorHAnsi" w:cstheme="majorHAnsi"/>
          <w:b/>
          <w:bCs/>
          <w:i/>
          <w:iCs/>
          <w:sz w:val="24"/>
          <w:szCs w:val="24"/>
          <w:shd w:val="clear" w:color="auto" w:fill="FFFFFF"/>
          <w:lang w:val="ru-MD"/>
        </w:rPr>
        <w:t xml:space="preserve">взносов обязательного социального страхования в некоторых случая, не покрывает полную сумму </w:t>
      </w:r>
      <w:r w:rsidR="001209B3" w:rsidRPr="00137556">
        <w:rPr>
          <w:rFonts w:asciiTheme="majorHAnsi" w:eastAsia="Times New Roman" w:hAnsiTheme="majorHAnsi" w:cstheme="majorHAnsi"/>
          <w:b/>
          <w:bCs/>
          <w:i/>
          <w:iCs/>
          <w:sz w:val="24"/>
          <w:szCs w:val="24"/>
          <w:shd w:val="clear" w:color="auto" w:fill="FFFFFF"/>
          <w:lang w:val="ru-MD"/>
        </w:rPr>
        <w:t>начисле</w:t>
      </w:r>
      <w:r w:rsidRPr="00137556">
        <w:rPr>
          <w:rFonts w:asciiTheme="majorHAnsi" w:eastAsia="Times New Roman" w:hAnsiTheme="majorHAnsi" w:cstheme="majorHAnsi"/>
          <w:b/>
          <w:bCs/>
          <w:i/>
          <w:iCs/>
          <w:sz w:val="24"/>
          <w:szCs w:val="24"/>
          <w:shd w:val="clear" w:color="auto" w:fill="FFFFFF"/>
          <w:lang w:val="ru-MD"/>
        </w:rPr>
        <w:t>нных взносов</w:t>
      </w:r>
      <w:r w:rsidR="00581109" w:rsidRPr="00137556">
        <w:rPr>
          <w:rFonts w:asciiTheme="majorHAnsi" w:eastAsia="Times New Roman" w:hAnsiTheme="majorHAnsi" w:cstheme="majorHAnsi"/>
          <w:b/>
          <w:bCs/>
          <w:i/>
          <w:iCs/>
          <w:sz w:val="24"/>
          <w:szCs w:val="24"/>
          <w:shd w:val="clear" w:color="auto" w:fill="FFFFFF"/>
          <w:lang w:val="ru-MD"/>
        </w:rPr>
        <w:t>.</w:t>
      </w:r>
    </w:p>
    <w:p w14:paraId="18C33372" w14:textId="6E2A1709" w:rsidR="00DA562C" w:rsidRPr="00137556" w:rsidRDefault="00976EC4" w:rsidP="00DA562C">
      <w:pPr>
        <w:shd w:val="clear" w:color="auto" w:fill="FFFFFF"/>
        <w:spacing w:after="0" w:line="276" w:lineRule="auto"/>
        <w:jc w:val="both"/>
        <w:rPr>
          <w:rFonts w:asciiTheme="majorHAnsi" w:hAnsiTheme="majorHAnsi" w:cstheme="majorHAnsi"/>
          <w:sz w:val="24"/>
          <w:szCs w:val="24"/>
          <w:shd w:val="clear" w:color="auto" w:fill="FFFFFF"/>
          <w:lang w:val="ru-MD"/>
        </w:rPr>
      </w:pPr>
      <w:r w:rsidRPr="00137556">
        <w:rPr>
          <w:rFonts w:asciiTheme="majorHAnsi" w:hAnsiTheme="majorHAnsi" w:cstheme="majorHAnsi"/>
          <w:sz w:val="24"/>
          <w:szCs w:val="24"/>
          <w:shd w:val="clear" w:color="auto" w:fill="FFFFFF"/>
          <w:lang w:val="ru-MD"/>
        </w:rPr>
        <w:t xml:space="preserve">Единый налог, взимаемый с </w:t>
      </w:r>
      <w:r w:rsidR="001209B3" w:rsidRPr="00137556">
        <w:rPr>
          <w:rFonts w:asciiTheme="majorHAnsi" w:hAnsiTheme="majorHAnsi" w:cstheme="majorHAnsi"/>
          <w:sz w:val="24"/>
          <w:szCs w:val="24"/>
          <w:shd w:val="clear" w:color="auto" w:fill="FFFFFF"/>
          <w:lang w:val="ru-MD"/>
        </w:rPr>
        <w:t>резидентов</w:t>
      </w:r>
      <w:r w:rsidRPr="00137556">
        <w:rPr>
          <w:rFonts w:asciiTheme="majorHAnsi" w:hAnsiTheme="majorHAnsi" w:cstheme="majorHAnsi"/>
          <w:sz w:val="24"/>
          <w:szCs w:val="24"/>
          <w:shd w:val="clear" w:color="auto" w:fill="FFFFFF"/>
          <w:lang w:val="ru-MD"/>
        </w:rPr>
        <w:t xml:space="preserve"> парков информационных технологий, составляет 7% дохода от продаж. </w:t>
      </w:r>
      <w:r w:rsidR="001209B3" w:rsidRPr="00137556">
        <w:rPr>
          <w:rFonts w:asciiTheme="majorHAnsi" w:hAnsiTheme="majorHAnsi" w:cstheme="majorHAnsi"/>
          <w:sz w:val="24"/>
          <w:szCs w:val="24"/>
          <w:shd w:val="clear" w:color="auto" w:fill="FFFFFF"/>
          <w:lang w:val="ru-MD"/>
        </w:rPr>
        <w:t>Одновременно,</w:t>
      </w:r>
      <w:r w:rsidRPr="00137556">
        <w:rPr>
          <w:rFonts w:asciiTheme="majorHAnsi" w:hAnsiTheme="majorHAnsi" w:cstheme="majorHAnsi"/>
          <w:sz w:val="24"/>
          <w:szCs w:val="24"/>
          <w:shd w:val="clear" w:color="auto" w:fill="FFFFFF"/>
          <w:lang w:val="ru-MD"/>
        </w:rPr>
        <w:t xml:space="preserve"> минимальная сумма единовременного налога, взимаемого с </w:t>
      </w:r>
      <w:r w:rsidR="001209B3" w:rsidRPr="00137556">
        <w:rPr>
          <w:rFonts w:asciiTheme="majorHAnsi" w:hAnsiTheme="majorHAnsi" w:cstheme="majorHAnsi"/>
          <w:sz w:val="24"/>
          <w:szCs w:val="24"/>
          <w:shd w:val="clear" w:color="auto" w:fill="FFFFFF"/>
          <w:lang w:val="ru-MD"/>
        </w:rPr>
        <w:t>резидентов</w:t>
      </w:r>
      <w:r w:rsidRPr="00137556">
        <w:rPr>
          <w:rFonts w:asciiTheme="majorHAnsi" w:hAnsiTheme="majorHAnsi" w:cstheme="majorHAnsi"/>
          <w:sz w:val="24"/>
          <w:szCs w:val="24"/>
          <w:shd w:val="clear" w:color="auto" w:fill="FFFFFF"/>
          <w:lang w:val="ru-MD"/>
        </w:rPr>
        <w:t xml:space="preserve"> парков информационных технологий, определяется ежемесячно на одного сотрудника и составляет 30% от суммы среднемесячной заработной платы по экономике, прогнозируемой на год, связанный с налоговым периодом этого налога</w:t>
      </w:r>
      <w:r w:rsidR="001209B3" w:rsidRPr="00137556">
        <w:rPr>
          <w:rStyle w:val="a5"/>
          <w:rFonts w:asciiTheme="majorHAnsi" w:hAnsiTheme="majorHAnsi" w:cstheme="majorHAnsi"/>
          <w:sz w:val="24"/>
          <w:szCs w:val="24"/>
          <w:shd w:val="clear" w:color="auto" w:fill="FFFFFF"/>
          <w:lang w:val="ru-MD"/>
        </w:rPr>
        <w:footnoteReference w:id="69"/>
      </w:r>
      <w:r w:rsidRPr="00137556">
        <w:rPr>
          <w:rFonts w:asciiTheme="majorHAnsi" w:hAnsiTheme="majorHAnsi" w:cstheme="majorHAnsi"/>
          <w:sz w:val="24"/>
          <w:szCs w:val="24"/>
          <w:shd w:val="clear" w:color="auto" w:fill="FFFFFF"/>
          <w:lang w:val="ru-MD"/>
        </w:rPr>
        <w:t xml:space="preserve">. Отмечается, что поступления от единовременного налога, взимаемого с </w:t>
      </w:r>
      <w:r w:rsidR="001209B3" w:rsidRPr="00137556">
        <w:rPr>
          <w:rFonts w:asciiTheme="majorHAnsi" w:hAnsiTheme="majorHAnsi" w:cstheme="majorHAnsi"/>
          <w:sz w:val="24"/>
          <w:szCs w:val="24"/>
          <w:shd w:val="clear" w:color="auto" w:fill="FFFFFF"/>
          <w:lang w:val="ru-MD"/>
        </w:rPr>
        <w:t>резидентов</w:t>
      </w:r>
      <w:r w:rsidRPr="00137556">
        <w:rPr>
          <w:rFonts w:asciiTheme="majorHAnsi" w:hAnsiTheme="majorHAnsi" w:cstheme="majorHAnsi"/>
          <w:sz w:val="24"/>
          <w:szCs w:val="24"/>
          <w:shd w:val="clear" w:color="auto" w:fill="FFFFFF"/>
          <w:lang w:val="ru-MD"/>
        </w:rPr>
        <w:t xml:space="preserve"> парков информационных технологий, осуществляются в гос</w:t>
      </w:r>
      <w:r w:rsidR="001209B3" w:rsidRPr="00137556">
        <w:rPr>
          <w:rFonts w:asciiTheme="majorHAnsi" w:hAnsiTheme="majorHAnsi" w:cstheme="majorHAnsi"/>
          <w:sz w:val="24"/>
          <w:szCs w:val="24"/>
          <w:shd w:val="clear" w:color="auto" w:fill="FFFFFF"/>
          <w:lang w:val="ru-MD"/>
        </w:rPr>
        <w:t xml:space="preserve">ударственный </w:t>
      </w:r>
      <w:r w:rsidRPr="00137556">
        <w:rPr>
          <w:rFonts w:asciiTheme="majorHAnsi" w:hAnsiTheme="majorHAnsi" w:cstheme="majorHAnsi"/>
          <w:sz w:val="24"/>
          <w:szCs w:val="24"/>
          <w:shd w:val="clear" w:color="auto" w:fill="FFFFFF"/>
          <w:lang w:val="ru-MD"/>
        </w:rPr>
        <w:t xml:space="preserve">бюджет с последующим </w:t>
      </w:r>
      <w:r w:rsidR="008860F8" w:rsidRPr="00137556">
        <w:rPr>
          <w:rFonts w:asciiTheme="majorHAnsi" w:hAnsiTheme="majorHAnsi" w:cstheme="majorHAnsi"/>
          <w:sz w:val="24"/>
          <w:szCs w:val="24"/>
          <w:shd w:val="clear" w:color="auto" w:fill="FFFFFF"/>
          <w:lang w:val="ru-MD"/>
        </w:rPr>
        <w:t>отчислением</w:t>
      </w:r>
      <w:r w:rsidRPr="00137556">
        <w:rPr>
          <w:rFonts w:asciiTheme="majorHAnsi" w:hAnsiTheme="majorHAnsi" w:cstheme="majorHAnsi"/>
          <w:sz w:val="24"/>
          <w:szCs w:val="24"/>
          <w:shd w:val="clear" w:color="auto" w:fill="FFFFFF"/>
          <w:lang w:val="ru-MD"/>
        </w:rPr>
        <w:t xml:space="preserve"> доли в размере 54,7% в </w:t>
      </w:r>
      <w:r w:rsidR="008860F8" w:rsidRPr="00137556">
        <w:rPr>
          <w:rFonts w:asciiTheme="majorHAnsi" w:hAnsiTheme="majorHAnsi" w:cstheme="majorHAnsi"/>
          <w:sz w:val="24"/>
          <w:szCs w:val="24"/>
          <w:shd w:val="clear" w:color="auto" w:fill="FFFFFF"/>
          <w:lang w:val="ru-MD"/>
        </w:rPr>
        <w:t>Б</w:t>
      </w:r>
      <w:r w:rsidRPr="00137556">
        <w:rPr>
          <w:rFonts w:asciiTheme="majorHAnsi" w:hAnsiTheme="majorHAnsi" w:cstheme="majorHAnsi"/>
          <w:sz w:val="24"/>
          <w:szCs w:val="24"/>
          <w:shd w:val="clear" w:color="auto" w:fill="FFFFFF"/>
          <w:lang w:val="ru-MD"/>
        </w:rPr>
        <w:t>юджет государственного социального страхования</w:t>
      </w:r>
      <w:r w:rsidR="009973AF" w:rsidRPr="00137556">
        <w:rPr>
          <w:rFonts w:asciiTheme="majorHAnsi" w:eastAsia="Times New Roman" w:hAnsiTheme="majorHAnsi" w:cstheme="majorHAnsi"/>
          <w:sz w:val="24"/>
          <w:szCs w:val="24"/>
          <w:shd w:val="clear" w:color="auto" w:fill="FFFFFF"/>
          <w:lang w:val="ru-MD"/>
        </w:rPr>
        <w:t>.</w:t>
      </w:r>
    </w:p>
    <w:p w14:paraId="17BBCF86" w14:textId="1A251304" w:rsidR="00EC7995" w:rsidRPr="00137556" w:rsidRDefault="008860F8" w:rsidP="004042BC">
      <w:pPr>
        <w:spacing w:after="0" w:line="276" w:lineRule="auto"/>
        <w:jc w:val="both"/>
        <w:rPr>
          <w:rFonts w:asciiTheme="majorHAnsi" w:eastAsia="Times New Roman" w:hAnsiTheme="majorHAnsi" w:cstheme="majorHAnsi"/>
          <w:sz w:val="24"/>
          <w:szCs w:val="24"/>
          <w:shd w:val="clear" w:color="auto" w:fill="FFFFFF"/>
          <w:lang w:val="ru-MD"/>
        </w:rPr>
      </w:pPr>
      <w:r w:rsidRPr="00137556">
        <w:rPr>
          <w:rFonts w:asciiTheme="majorHAnsi" w:hAnsiTheme="majorHAnsi" w:cstheme="majorHAnsi"/>
          <w:sz w:val="24"/>
          <w:szCs w:val="24"/>
          <w:lang w:val="ru-MD"/>
        </w:rPr>
        <w:t xml:space="preserve">Ежемесячный </w:t>
      </w:r>
      <w:r w:rsidR="009F15BE">
        <w:rPr>
          <w:rFonts w:asciiTheme="majorHAnsi" w:hAnsiTheme="majorHAnsi" w:cstheme="majorHAnsi"/>
          <w:sz w:val="24"/>
          <w:szCs w:val="24"/>
          <w:lang w:val="ru-MD"/>
        </w:rPr>
        <w:t>страховой доход</w:t>
      </w:r>
      <w:r w:rsidR="00976EC4" w:rsidRPr="00137556">
        <w:rPr>
          <w:rFonts w:asciiTheme="majorHAnsi" w:hAnsiTheme="majorHAnsi" w:cstheme="majorHAnsi"/>
          <w:sz w:val="24"/>
          <w:szCs w:val="24"/>
          <w:lang w:val="ru-MD"/>
        </w:rPr>
        <w:t xml:space="preserve"> этих работников составляет 68% от среднемесячной заработной платы по экономике</w:t>
      </w:r>
      <w:r w:rsidRPr="00137556">
        <w:rPr>
          <w:rStyle w:val="a5"/>
          <w:rFonts w:asciiTheme="majorHAnsi" w:hAnsiTheme="majorHAnsi" w:cstheme="majorHAnsi"/>
          <w:sz w:val="24"/>
          <w:szCs w:val="24"/>
          <w:lang w:val="ru-MD"/>
        </w:rPr>
        <w:footnoteReference w:id="70"/>
      </w:r>
      <w:r w:rsidR="00976EC4" w:rsidRPr="00137556">
        <w:rPr>
          <w:rFonts w:asciiTheme="majorHAnsi" w:hAnsiTheme="majorHAnsi" w:cstheme="majorHAnsi"/>
          <w:sz w:val="24"/>
          <w:szCs w:val="24"/>
          <w:lang w:val="ru-MD"/>
        </w:rPr>
        <w:t xml:space="preserve">, прогнозируемой на год. </w:t>
      </w:r>
      <w:r w:rsidRPr="00137556">
        <w:rPr>
          <w:rFonts w:asciiTheme="majorHAnsi" w:hAnsiTheme="majorHAnsi" w:cstheme="majorHAnsi"/>
          <w:sz w:val="24"/>
          <w:szCs w:val="24"/>
          <w:lang w:val="ru-MD"/>
        </w:rPr>
        <w:t>З</w:t>
      </w:r>
      <w:r w:rsidR="00976EC4" w:rsidRPr="00137556">
        <w:rPr>
          <w:rFonts w:asciiTheme="majorHAnsi" w:hAnsiTheme="majorHAnsi" w:cstheme="majorHAnsi"/>
          <w:sz w:val="24"/>
          <w:szCs w:val="24"/>
          <w:lang w:val="ru-MD"/>
        </w:rPr>
        <w:t xml:space="preserve">а 2022 год застрахованный ежемесячный доход этой категории плательщиков составляет 6 732 </w:t>
      </w:r>
      <w:r w:rsidRPr="00137556">
        <w:rPr>
          <w:rFonts w:asciiTheme="majorHAnsi" w:hAnsiTheme="majorHAnsi" w:cstheme="majorHAnsi"/>
          <w:sz w:val="24"/>
          <w:szCs w:val="24"/>
          <w:lang w:val="ru-MD"/>
        </w:rPr>
        <w:t>леев</w:t>
      </w:r>
      <w:r w:rsidR="00EC7995" w:rsidRPr="00137556">
        <w:rPr>
          <w:rFonts w:asciiTheme="majorHAnsi" w:eastAsia="Times New Roman" w:hAnsiTheme="majorHAnsi" w:cstheme="majorHAnsi"/>
          <w:sz w:val="24"/>
          <w:szCs w:val="24"/>
          <w:shd w:val="clear" w:color="auto" w:fill="FFFFFF"/>
          <w:lang w:val="ru-MD"/>
        </w:rPr>
        <w:t xml:space="preserve">. </w:t>
      </w:r>
    </w:p>
    <w:p w14:paraId="1BC01328" w14:textId="1AA99E79" w:rsidR="00EC7995" w:rsidRPr="00137556" w:rsidRDefault="00976EC4" w:rsidP="004042BC">
      <w:pPr>
        <w:spacing w:after="0" w:line="276" w:lineRule="auto"/>
        <w:jc w:val="both"/>
        <w:rPr>
          <w:rFonts w:asciiTheme="majorHAnsi" w:hAnsiTheme="majorHAnsi" w:cstheme="majorHAnsi"/>
          <w:sz w:val="24"/>
          <w:szCs w:val="24"/>
          <w:lang w:val="ru-MD"/>
        </w:rPr>
      </w:pPr>
      <w:r w:rsidRPr="00137556">
        <w:rPr>
          <w:rFonts w:asciiTheme="majorHAnsi" w:hAnsiTheme="majorHAnsi" w:cstheme="majorHAnsi"/>
          <w:sz w:val="24"/>
          <w:szCs w:val="24"/>
          <w:lang w:val="ru-MD"/>
        </w:rPr>
        <w:t xml:space="preserve">Анализируя индивидуальные выписки </w:t>
      </w:r>
      <w:r w:rsidR="008860F8" w:rsidRPr="00137556">
        <w:rPr>
          <w:rFonts w:asciiTheme="majorHAnsi" w:hAnsiTheme="majorHAnsi" w:cstheme="majorHAnsi"/>
          <w:sz w:val="24"/>
          <w:szCs w:val="24"/>
          <w:lang w:val="ru-MD"/>
        </w:rPr>
        <w:t>сотруд</w:t>
      </w:r>
      <w:r w:rsidRPr="00137556">
        <w:rPr>
          <w:rFonts w:asciiTheme="majorHAnsi" w:hAnsiTheme="majorHAnsi" w:cstheme="majorHAnsi"/>
          <w:sz w:val="24"/>
          <w:szCs w:val="24"/>
          <w:lang w:val="ru-MD"/>
        </w:rPr>
        <w:t xml:space="preserve">ников парков </w:t>
      </w:r>
      <w:r w:rsidR="008860F8" w:rsidRPr="00137556">
        <w:rPr>
          <w:rFonts w:asciiTheme="majorHAnsi" w:hAnsiTheme="majorHAnsi" w:cstheme="majorHAnsi"/>
          <w:sz w:val="24"/>
          <w:szCs w:val="24"/>
          <w:lang w:val="ru-MD"/>
        </w:rPr>
        <w:t>ИТ</w:t>
      </w:r>
      <w:r w:rsidRPr="00137556">
        <w:rPr>
          <w:rFonts w:asciiTheme="majorHAnsi" w:hAnsiTheme="majorHAnsi" w:cstheme="majorHAnsi"/>
          <w:sz w:val="24"/>
          <w:szCs w:val="24"/>
          <w:lang w:val="ru-MD"/>
        </w:rPr>
        <w:t>, аудит показал, что сумма взносов социального страхования, рассчитанных в отчет</w:t>
      </w:r>
      <w:r w:rsidR="008860F8" w:rsidRPr="00137556">
        <w:rPr>
          <w:rFonts w:asciiTheme="majorHAnsi" w:hAnsiTheme="majorHAnsi" w:cstheme="majorHAnsi"/>
          <w:sz w:val="24"/>
          <w:szCs w:val="24"/>
          <w:lang w:val="ru-MD"/>
        </w:rPr>
        <w:t>а</w:t>
      </w:r>
      <w:r w:rsidRPr="00137556">
        <w:rPr>
          <w:rFonts w:asciiTheme="majorHAnsi" w:hAnsiTheme="majorHAnsi" w:cstheme="majorHAnsi"/>
          <w:sz w:val="24"/>
          <w:szCs w:val="24"/>
          <w:lang w:val="ru-MD"/>
        </w:rPr>
        <w:t xml:space="preserve">х IPC21, составляет 29%, или 1 952,28 </w:t>
      </w:r>
      <w:r w:rsidR="008860F8" w:rsidRPr="00137556">
        <w:rPr>
          <w:rFonts w:asciiTheme="majorHAnsi" w:hAnsiTheme="majorHAnsi" w:cstheme="majorHAnsi"/>
          <w:sz w:val="24"/>
          <w:szCs w:val="24"/>
          <w:lang w:val="ru-MD"/>
        </w:rPr>
        <w:t>леев</w:t>
      </w:r>
      <w:r w:rsidRPr="00137556">
        <w:rPr>
          <w:rFonts w:asciiTheme="majorHAnsi" w:hAnsiTheme="majorHAnsi" w:cstheme="majorHAnsi"/>
          <w:sz w:val="24"/>
          <w:szCs w:val="24"/>
          <w:lang w:val="ru-MD"/>
        </w:rPr>
        <w:t xml:space="preserve">. В то же время аудит отмечает, что </w:t>
      </w:r>
      <w:r w:rsidR="008860F8" w:rsidRPr="00137556">
        <w:rPr>
          <w:rFonts w:asciiTheme="majorHAnsi" w:hAnsiTheme="majorHAnsi" w:cstheme="majorHAnsi"/>
          <w:sz w:val="24"/>
          <w:szCs w:val="24"/>
          <w:lang w:val="ru-MD"/>
        </w:rPr>
        <w:t>законодательн</w:t>
      </w:r>
      <w:r w:rsidRPr="00137556">
        <w:rPr>
          <w:rFonts w:asciiTheme="majorHAnsi" w:hAnsiTheme="majorHAnsi" w:cstheme="majorHAnsi"/>
          <w:sz w:val="24"/>
          <w:szCs w:val="24"/>
          <w:lang w:val="ru-MD"/>
        </w:rPr>
        <w:t xml:space="preserve">ые нормы </w:t>
      </w:r>
      <w:r w:rsidR="008860F8" w:rsidRPr="00137556">
        <w:rPr>
          <w:rFonts w:asciiTheme="majorHAnsi" w:hAnsiTheme="majorHAnsi" w:cstheme="majorHAnsi"/>
          <w:sz w:val="24"/>
          <w:szCs w:val="24"/>
          <w:lang w:val="ru-MD"/>
        </w:rPr>
        <w:t xml:space="preserve">не </w:t>
      </w:r>
      <w:r w:rsidRPr="00137556">
        <w:rPr>
          <w:rFonts w:asciiTheme="majorHAnsi" w:hAnsiTheme="majorHAnsi" w:cstheme="majorHAnsi"/>
          <w:sz w:val="24"/>
          <w:szCs w:val="24"/>
          <w:lang w:val="ru-MD"/>
        </w:rPr>
        <w:t xml:space="preserve">предусматривают </w:t>
      </w:r>
      <w:r w:rsidR="008860F8" w:rsidRPr="00137556">
        <w:rPr>
          <w:rFonts w:asciiTheme="majorHAnsi" w:hAnsiTheme="majorHAnsi" w:cstheme="majorHAnsi"/>
          <w:sz w:val="24"/>
          <w:szCs w:val="24"/>
          <w:lang w:val="ru-MD"/>
        </w:rPr>
        <w:t>квоту</w:t>
      </w:r>
      <w:r w:rsidRPr="00137556">
        <w:rPr>
          <w:rFonts w:asciiTheme="majorHAnsi" w:hAnsiTheme="majorHAnsi" w:cstheme="majorHAnsi"/>
          <w:sz w:val="24"/>
          <w:szCs w:val="24"/>
          <w:lang w:val="ru-MD"/>
        </w:rPr>
        <w:t xml:space="preserve"> для работников </w:t>
      </w:r>
      <w:r w:rsidR="008860F8" w:rsidRPr="00137556">
        <w:rPr>
          <w:rFonts w:asciiTheme="majorHAnsi" w:hAnsiTheme="majorHAnsi" w:cstheme="majorHAnsi"/>
          <w:sz w:val="24"/>
          <w:szCs w:val="24"/>
          <w:lang w:val="ru-MD"/>
        </w:rPr>
        <w:t>ИТ</w:t>
      </w:r>
      <w:r w:rsidRPr="00137556">
        <w:rPr>
          <w:rFonts w:asciiTheme="majorHAnsi" w:hAnsiTheme="majorHAnsi" w:cstheme="majorHAnsi"/>
          <w:sz w:val="24"/>
          <w:szCs w:val="24"/>
          <w:lang w:val="ru-MD"/>
        </w:rPr>
        <w:t>, а только расчетную базу</w:t>
      </w:r>
      <w:r w:rsidR="00EC7995" w:rsidRPr="00137556">
        <w:rPr>
          <w:rFonts w:asciiTheme="majorHAnsi" w:hAnsiTheme="majorHAnsi" w:cstheme="majorHAnsi"/>
          <w:sz w:val="24"/>
          <w:szCs w:val="24"/>
          <w:lang w:val="ru-MD"/>
        </w:rPr>
        <w:t xml:space="preserve">. </w:t>
      </w:r>
    </w:p>
    <w:p w14:paraId="5AD45C00" w14:textId="071615EC" w:rsidR="00634388" w:rsidRPr="00137556" w:rsidRDefault="008860F8" w:rsidP="004042BC">
      <w:pPr>
        <w:spacing w:after="0" w:line="276" w:lineRule="auto"/>
        <w:jc w:val="both"/>
        <w:rPr>
          <w:rFonts w:asciiTheme="majorHAnsi" w:eastAsia="Times New Roman" w:hAnsiTheme="majorHAnsi" w:cstheme="majorHAnsi"/>
          <w:sz w:val="24"/>
          <w:szCs w:val="24"/>
          <w:shd w:val="clear" w:color="auto" w:fill="FFFFFF"/>
          <w:lang w:val="ru-MD"/>
        </w:rPr>
      </w:pPr>
      <w:r w:rsidRPr="00137556">
        <w:rPr>
          <w:rFonts w:asciiTheme="majorHAnsi" w:eastAsia="Times New Roman" w:hAnsiTheme="majorHAnsi" w:cstheme="majorHAnsi"/>
          <w:sz w:val="24"/>
          <w:szCs w:val="24"/>
          <w:shd w:val="clear" w:color="auto" w:fill="FFFFFF"/>
          <w:lang w:val="ru-MD"/>
        </w:rPr>
        <w:t>Как следствие</w:t>
      </w:r>
      <w:r w:rsidR="00976EC4" w:rsidRPr="00137556">
        <w:rPr>
          <w:rFonts w:asciiTheme="majorHAnsi" w:eastAsia="Times New Roman" w:hAnsiTheme="majorHAnsi" w:cstheme="majorHAnsi"/>
          <w:sz w:val="24"/>
          <w:szCs w:val="24"/>
          <w:shd w:val="clear" w:color="auto" w:fill="FFFFFF"/>
          <w:lang w:val="ru-MD"/>
        </w:rPr>
        <w:t xml:space="preserve">, аудит отмечает, что </w:t>
      </w:r>
      <w:r w:rsidRPr="00137556">
        <w:rPr>
          <w:rFonts w:asciiTheme="majorHAnsi" w:eastAsia="Times New Roman" w:hAnsiTheme="majorHAnsi" w:cstheme="majorHAnsi"/>
          <w:sz w:val="24"/>
          <w:szCs w:val="24"/>
          <w:shd w:val="clear" w:color="auto" w:fill="FFFFFF"/>
          <w:lang w:val="ru-MD"/>
        </w:rPr>
        <w:t xml:space="preserve">взносы, рассчитанные </w:t>
      </w:r>
      <w:r w:rsidR="00976EC4" w:rsidRPr="00137556">
        <w:rPr>
          <w:rFonts w:asciiTheme="majorHAnsi" w:eastAsia="Times New Roman" w:hAnsiTheme="majorHAnsi" w:cstheme="majorHAnsi"/>
          <w:sz w:val="24"/>
          <w:szCs w:val="24"/>
          <w:shd w:val="clear" w:color="auto" w:fill="FFFFFF"/>
          <w:lang w:val="ru-MD"/>
        </w:rPr>
        <w:t>в отчет</w:t>
      </w:r>
      <w:r w:rsidRPr="00137556">
        <w:rPr>
          <w:rFonts w:asciiTheme="majorHAnsi" w:eastAsia="Times New Roman" w:hAnsiTheme="majorHAnsi" w:cstheme="majorHAnsi"/>
          <w:sz w:val="24"/>
          <w:szCs w:val="24"/>
          <w:shd w:val="clear" w:color="auto" w:fill="FFFFFF"/>
          <w:lang w:val="ru-MD"/>
        </w:rPr>
        <w:t>ах</w:t>
      </w:r>
      <w:r w:rsidR="00976EC4" w:rsidRPr="00137556">
        <w:rPr>
          <w:rFonts w:asciiTheme="majorHAnsi" w:eastAsia="Times New Roman" w:hAnsiTheme="majorHAnsi" w:cstheme="majorHAnsi"/>
          <w:sz w:val="24"/>
          <w:szCs w:val="24"/>
          <w:shd w:val="clear" w:color="auto" w:fill="FFFFFF"/>
          <w:lang w:val="ru-MD"/>
        </w:rPr>
        <w:t xml:space="preserve"> IU17 и причитающиеся </w:t>
      </w:r>
      <w:r w:rsidRPr="00137556">
        <w:rPr>
          <w:rFonts w:asciiTheme="majorHAnsi" w:eastAsia="Times New Roman" w:hAnsiTheme="majorHAnsi" w:cstheme="majorHAnsi"/>
          <w:sz w:val="24"/>
          <w:szCs w:val="24"/>
          <w:shd w:val="clear" w:color="auto" w:fill="FFFFFF"/>
          <w:lang w:val="ru-MD"/>
        </w:rPr>
        <w:t>в БГСС</w:t>
      </w:r>
      <w:r w:rsidR="00976EC4" w:rsidRPr="00137556">
        <w:rPr>
          <w:rFonts w:asciiTheme="majorHAnsi" w:eastAsia="Times New Roman" w:hAnsiTheme="majorHAnsi" w:cstheme="majorHAnsi"/>
          <w:sz w:val="24"/>
          <w:szCs w:val="24"/>
          <w:shd w:val="clear" w:color="auto" w:fill="FFFFFF"/>
          <w:lang w:val="ru-MD"/>
        </w:rPr>
        <w:t xml:space="preserve">, </w:t>
      </w:r>
      <w:r w:rsidR="00976EC4" w:rsidRPr="00B02631">
        <w:rPr>
          <w:rFonts w:asciiTheme="majorHAnsi" w:eastAsia="Times New Roman" w:hAnsiTheme="majorHAnsi" w:cstheme="majorHAnsi"/>
          <w:sz w:val="24"/>
          <w:szCs w:val="24"/>
          <w:shd w:val="clear" w:color="auto" w:fill="FFFFFF"/>
          <w:lang w:val="ru-MD"/>
        </w:rPr>
        <w:t>если резидент Парка соответствует варианту расчета минимального ежемесячного взноса, причитающегося в размере 30% от суммы среднемесячной заработной платы по экономике,</w:t>
      </w:r>
      <w:r w:rsidR="00976EC4" w:rsidRPr="00137556">
        <w:rPr>
          <w:rFonts w:asciiTheme="majorHAnsi" w:eastAsia="Times New Roman" w:hAnsiTheme="majorHAnsi" w:cstheme="majorHAnsi"/>
          <w:sz w:val="24"/>
          <w:szCs w:val="24"/>
          <w:shd w:val="clear" w:color="auto" w:fill="FFFFFF"/>
          <w:lang w:val="ru-MD"/>
        </w:rPr>
        <w:t xml:space="preserve"> составляет 1 624,59 </w:t>
      </w:r>
      <w:r w:rsidRPr="00137556">
        <w:rPr>
          <w:rFonts w:asciiTheme="majorHAnsi" w:eastAsia="Times New Roman" w:hAnsiTheme="majorHAnsi" w:cstheme="majorHAnsi"/>
          <w:sz w:val="24"/>
          <w:szCs w:val="24"/>
          <w:shd w:val="clear" w:color="auto" w:fill="FFFFFF"/>
          <w:lang w:val="ru-MD"/>
        </w:rPr>
        <w:t>леев</w:t>
      </w:r>
      <w:r w:rsidR="00976EC4" w:rsidRPr="00137556">
        <w:rPr>
          <w:rFonts w:asciiTheme="majorHAnsi" w:eastAsia="Times New Roman" w:hAnsiTheme="majorHAnsi" w:cstheme="majorHAnsi"/>
          <w:sz w:val="24"/>
          <w:szCs w:val="24"/>
          <w:shd w:val="clear" w:color="auto" w:fill="FFFFFF"/>
          <w:lang w:val="ru-MD"/>
        </w:rPr>
        <w:t xml:space="preserve">. Таким образом, </w:t>
      </w:r>
      <w:r w:rsidRPr="00137556">
        <w:rPr>
          <w:rFonts w:asciiTheme="majorHAnsi" w:eastAsia="Times New Roman" w:hAnsiTheme="majorHAnsi" w:cstheme="majorHAnsi"/>
          <w:sz w:val="24"/>
          <w:szCs w:val="24"/>
          <w:shd w:val="clear" w:color="auto" w:fill="FFFFFF"/>
          <w:lang w:val="ru-MD"/>
        </w:rPr>
        <w:t>о</w:t>
      </w:r>
      <w:r w:rsidR="00976EC4" w:rsidRPr="00137556">
        <w:rPr>
          <w:rFonts w:asciiTheme="majorHAnsi" w:eastAsia="Times New Roman" w:hAnsiTheme="majorHAnsi" w:cstheme="majorHAnsi"/>
          <w:sz w:val="24"/>
          <w:szCs w:val="24"/>
          <w:shd w:val="clear" w:color="auto" w:fill="FFFFFF"/>
          <w:lang w:val="ru-MD"/>
        </w:rPr>
        <w:t xml:space="preserve">плаченные взносы </w:t>
      </w:r>
      <w:r w:rsidRPr="00137556">
        <w:rPr>
          <w:rFonts w:asciiTheme="majorHAnsi" w:eastAsia="Times New Roman" w:hAnsiTheme="majorHAnsi" w:cstheme="majorHAnsi"/>
          <w:sz w:val="24"/>
          <w:szCs w:val="24"/>
          <w:shd w:val="clear" w:color="auto" w:fill="FFFFFF"/>
          <w:lang w:val="ru-MD"/>
        </w:rPr>
        <w:t>меньше</w:t>
      </w:r>
      <w:r w:rsidR="00976EC4" w:rsidRPr="00137556">
        <w:rPr>
          <w:rFonts w:asciiTheme="majorHAnsi" w:eastAsia="Times New Roman" w:hAnsiTheme="majorHAnsi" w:cstheme="majorHAnsi"/>
          <w:sz w:val="24"/>
          <w:szCs w:val="24"/>
          <w:shd w:val="clear" w:color="auto" w:fill="FFFFFF"/>
          <w:lang w:val="ru-MD"/>
        </w:rPr>
        <w:t xml:space="preserve"> на 327,69 леев на одного работника</w:t>
      </w:r>
      <w:r w:rsidRPr="00137556">
        <w:rPr>
          <w:rFonts w:asciiTheme="majorHAnsi" w:eastAsia="Times New Roman" w:hAnsiTheme="majorHAnsi" w:cstheme="majorHAnsi"/>
          <w:sz w:val="24"/>
          <w:szCs w:val="24"/>
          <w:shd w:val="clear" w:color="auto" w:fill="FFFFFF"/>
          <w:lang w:val="ru-MD"/>
        </w:rPr>
        <w:t>,</w:t>
      </w:r>
      <w:r w:rsidR="00976EC4" w:rsidRPr="00137556">
        <w:rPr>
          <w:rFonts w:asciiTheme="majorHAnsi" w:eastAsia="Times New Roman" w:hAnsiTheme="majorHAnsi" w:cstheme="majorHAnsi"/>
          <w:sz w:val="24"/>
          <w:szCs w:val="24"/>
          <w:shd w:val="clear" w:color="auto" w:fill="FFFFFF"/>
          <w:lang w:val="ru-MD"/>
        </w:rPr>
        <w:t xml:space="preserve"> по сравнению с </w:t>
      </w:r>
      <w:r w:rsidRPr="00C87873">
        <w:rPr>
          <w:rFonts w:asciiTheme="majorHAnsi" w:eastAsia="Times New Roman" w:hAnsiTheme="majorHAnsi" w:cstheme="majorHAnsi"/>
          <w:sz w:val="24"/>
          <w:szCs w:val="24"/>
          <w:shd w:val="clear" w:color="auto" w:fill="FFFFFF"/>
          <w:lang w:val="ru-MD"/>
        </w:rPr>
        <w:t>причитающимися</w:t>
      </w:r>
      <w:r w:rsidR="00504985" w:rsidRPr="00137556">
        <w:rPr>
          <w:rFonts w:asciiTheme="majorHAnsi" w:eastAsia="Times New Roman" w:hAnsiTheme="majorHAnsi" w:cstheme="majorHAnsi"/>
          <w:sz w:val="24"/>
          <w:szCs w:val="24"/>
          <w:shd w:val="clear" w:color="auto" w:fill="FFFFFF"/>
          <w:lang w:val="ru-MD"/>
        </w:rPr>
        <w:t>.</w:t>
      </w:r>
    </w:p>
    <w:p w14:paraId="5255E6A1" w14:textId="21B9D04C" w:rsidR="009973AF" w:rsidRPr="00B02631" w:rsidRDefault="00336C93" w:rsidP="00490517">
      <w:pPr>
        <w:pStyle w:val="aa"/>
        <w:shd w:val="clear" w:color="auto" w:fill="FFFFFF"/>
        <w:spacing w:after="0" w:line="276" w:lineRule="auto"/>
        <w:ind w:left="0"/>
        <w:jc w:val="right"/>
        <w:rPr>
          <w:rFonts w:asciiTheme="majorHAnsi" w:eastAsia="Times New Roman" w:hAnsiTheme="majorHAnsi" w:cstheme="majorHAnsi"/>
          <w:b/>
          <w:sz w:val="24"/>
          <w:szCs w:val="24"/>
          <w:shd w:val="clear" w:color="auto" w:fill="FFFFFF"/>
          <w:lang w:val="ru-MD"/>
        </w:rPr>
      </w:pPr>
      <w:r w:rsidRPr="00B02631">
        <w:rPr>
          <w:rFonts w:asciiTheme="majorHAnsi" w:eastAsia="Times New Roman" w:hAnsiTheme="majorHAnsi" w:cstheme="majorHAnsi"/>
          <w:b/>
          <w:sz w:val="24"/>
          <w:szCs w:val="24"/>
          <w:shd w:val="clear" w:color="auto" w:fill="FFFFFF"/>
          <w:lang w:val="ru-MD"/>
        </w:rPr>
        <w:t>Таблица №</w:t>
      </w:r>
      <w:r w:rsidR="00490517" w:rsidRPr="00B02631">
        <w:rPr>
          <w:rFonts w:asciiTheme="majorHAnsi" w:eastAsia="Times New Roman" w:hAnsiTheme="majorHAnsi" w:cstheme="majorHAnsi"/>
          <w:b/>
          <w:sz w:val="24"/>
          <w:szCs w:val="24"/>
          <w:shd w:val="clear" w:color="auto" w:fill="FFFFFF"/>
          <w:lang w:val="ru-MD"/>
        </w:rPr>
        <w:t>1</w:t>
      </w:r>
      <w:r w:rsidR="008D1DF2" w:rsidRPr="00B02631">
        <w:rPr>
          <w:rFonts w:asciiTheme="majorHAnsi" w:eastAsia="Times New Roman" w:hAnsiTheme="majorHAnsi" w:cstheme="majorHAnsi"/>
          <w:b/>
          <w:sz w:val="24"/>
          <w:szCs w:val="24"/>
          <w:shd w:val="clear" w:color="auto" w:fill="FFFFFF"/>
          <w:lang w:val="ru-MD"/>
        </w:rPr>
        <w:t>3</w:t>
      </w:r>
    </w:p>
    <w:p w14:paraId="54E01B73" w14:textId="6E84B11F" w:rsidR="00B13C6C" w:rsidRPr="00B02631" w:rsidRDefault="007B3E87" w:rsidP="00981AF2">
      <w:pPr>
        <w:pStyle w:val="aa"/>
        <w:shd w:val="clear" w:color="auto" w:fill="FFFFFF"/>
        <w:spacing w:after="0" w:line="276" w:lineRule="auto"/>
        <w:ind w:left="0"/>
        <w:jc w:val="center"/>
        <w:rPr>
          <w:rFonts w:asciiTheme="majorHAnsi" w:eastAsia="Times New Roman" w:hAnsiTheme="majorHAnsi" w:cstheme="majorHAnsi"/>
          <w:b/>
          <w:sz w:val="24"/>
          <w:szCs w:val="24"/>
          <w:shd w:val="clear" w:color="auto" w:fill="FFFFFF"/>
          <w:lang w:val="ru-MD"/>
        </w:rPr>
      </w:pPr>
      <w:r w:rsidRPr="00B02631">
        <w:rPr>
          <w:rFonts w:asciiTheme="majorHAnsi" w:eastAsia="Times New Roman" w:hAnsiTheme="majorHAnsi" w:cstheme="majorHAnsi"/>
          <w:b/>
          <w:sz w:val="24"/>
          <w:szCs w:val="24"/>
          <w:shd w:val="clear" w:color="auto" w:fill="FFFFFF"/>
          <w:lang w:val="ru-MD"/>
        </w:rPr>
        <w:t xml:space="preserve">Аудиторский анализ покрытия взносов социального страхования, перечисленных ИТ парками </w:t>
      </w:r>
    </w:p>
    <w:tbl>
      <w:tblPr>
        <w:tblStyle w:val="af1"/>
        <w:tblW w:w="10097" w:type="dxa"/>
        <w:tblLook w:val="04A0" w:firstRow="1" w:lastRow="0" w:firstColumn="1" w:lastColumn="0" w:noHBand="0" w:noVBand="1"/>
      </w:tblPr>
      <w:tblGrid>
        <w:gridCol w:w="5221"/>
        <w:gridCol w:w="3154"/>
        <w:gridCol w:w="1722"/>
      </w:tblGrid>
      <w:tr w:rsidR="00787F4E" w:rsidRPr="00B02631" w14:paraId="3E1B5AFB" w14:textId="77777777" w:rsidTr="00787F4E">
        <w:trPr>
          <w:trHeight w:val="563"/>
        </w:trPr>
        <w:tc>
          <w:tcPr>
            <w:tcW w:w="5221" w:type="dxa"/>
            <w:vAlign w:val="center"/>
          </w:tcPr>
          <w:p w14:paraId="0553CB71" w14:textId="26909BA4" w:rsidR="00787F4E" w:rsidRPr="00B02631" w:rsidRDefault="007B3E87" w:rsidP="007568BB">
            <w:pPr>
              <w:pStyle w:val="aa"/>
              <w:ind w:left="0"/>
              <w:contextualSpacing w:val="0"/>
              <w:jc w:val="center"/>
              <w:rPr>
                <w:rFonts w:asciiTheme="majorHAnsi" w:eastAsia="Times New Roman" w:hAnsiTheme="majorHAnsi" w:cstheme="majorHAnsi"/>
                <w:b/>
                <w:szCs w:val="24"/>
                <w:shd w:val="clear" w:color="auto" w:fill="FFFFFF"/>
                <w:lang w:val="ru-MD"/>
              </w:rPr>
            </w:pPr>
            <w:r w:rsidRPr="00B02631">
              <w:rPr>
                <w:rFonts w:asciiTheme="majorHAnsi" w:eastAsia="Times New Roman" w:hAnsiTheme="majorHAnsi" w:cstheme="majorHAnsi"/>
                <w:b/>
                <w:szCs w:val="24"/>
                <w:shd w:val="clear" w:color="auto" w:fill="FFFFFF"/>
                <w:lang w:val="ru-MD"/>
              </w:rPr>
              <w:t>Показатель</w:t>
            </w:r>
          </w:p>
        </w:tc>
        <w:tc>
          <w:tcPr>
            <w:tcW w:w="3154" w:type="dxa"/>
            <w:vAlign w:val="center"/>
          </w:tcPr>
          <w:p w14:paraId="7AB06186" w14:textId="72D38301" w:rsidR="00787F4E" w:rsidRPr="00B02631" w:rsidRDefault="00F0530B" w:rsidP="00F0530B">
            <w:pPr>
              <w:pStyle w:val="aa"/>
              <w:ind w:left="0"/>
              <w:contextualSpacing w:val="0"/>
              <w:jc w:val="center"/>
              <w:rPr>
                <w:rFonts w:asciiTheme="majorHAnsi" w:eastAsia="Times New Roman" w:hAnsiTheme="majorHAnsi" w:cstheme="majorHAnsi"/>
                <w:b/>
                <w:szCs w:val="24"/>
                <w:shd w:val="clear" w:color="auto" w:fill="FFFFFF"/>
                <w:lang w:val="ru-MD"/>
              </w:rPr>
            </w:pPr>
            <w:r w:rsidRPr="00B02631">
              <w:rPr>
                <w:rFonts w:asciiTheme="majorHAnsi" w:eastAsia="Times New Roman" w:hAnsiTheme="majorHAnsi" w:cstheme="majorHAnsi"/>
                <w:b/>
                <w:szCs w:val="24"/>
                <w:shd w:val="clear" w:color="auto" w:fill="FFFFFF"/>
                <w:lang w:val="ru-MD"/>
              </w:rPr>
              <w:t>Формула расчета</w:t>
            </w:r>
          </w:p>
        </w:tc>
        <w:tc>
          <w:tcPr>
            <w:tcW w:w="1722" w:type="dxa"/>
            <w:vAlign w:val="center"/>
          </w:tcPr>
          <w:p w14:paraId="5B9A49B7" w14:textId="2B2DCE71" w:rsidR="00787F4E" w:rsidRPr="00B02631" w:rsidRDefault="00F0530B" w:rsidP="00F0530B">
            <w:pPr>
              <w:pStyle w:val="aa"/>
              <w:ind w:left="0"/>
              <w:contextualSpacing w:val="0"/>
              <w:jc w:val="center"/>
              <w:rPr>
                <w:rFonts w:asciiTheme="majorHAnsi" w:eastAsia="Times New Roman" w:hAnsiTheme="majorHAnsi" w:cstheme="majorHAnsi"/>
                <w:b/>
                <w:szCs w:val="24"/>
                <w:shd w:val="clear" w:color="auto" w:fill="FFFFFF"/>
                <w:lang w:val="ru-MD"/>
              </w:rPr>
            </w:pPr>
            <w:r w:rsidRPr="00B02631">
              <w:rPr>
                <w:rFonts w:asciiTheme="majorHAnsi" w:eastAsia="Times New Roman" w:hAnsiTheme="majorHAnsi" w:cstheme="majorHAnsi"/>
                <w:b/>
                <w:szCs w:val="24"/>
                <w:shd w:val="clear" w:color="auto" w:fill="FFFFFF"/>
                <w:lang w:val="ru-MD"/>
              </w:rPr>
              <w:t>Сумма</w:t>
            </w:r>
          </w:p>
        </w:tc>
      </w:tr>
      <w:tr w:rsidR="00787F4E" w:rsidRPr="00B02631" w14:paraId="205A82A3" w14:textId="77777777" w:rsidTr="00787F4E">
        <w:trPr>
          <w:trHeight w:val="302"/>
        </w:trPr>
        <w:tc>
          <w:tcPr>
            <w:tcW w:w="5221" w:type="dxa"/>
          </w:tcPr>
          <w:p w14:paraId="3A7E12B2" w14:textId="6F6D5690" w:rsidR="00787F4E" w:rsidRPr="00B02631" w:rsidRDefault="007B3E87" w:rsidP="007568BB">
            <w:pPr>
              <w:pStyle w:val="aa"/>
              <w:ind w:left="0"/>
              <w:contextualSpacing w:val="0"/>
              <w:jc w:val="both"/>
              <w:rPr>
                <w:rFonts w:asciiTheme="majorHAnsi" w:eastAsia="Times New Roman" w:hAnsiTheme="majorHAnsi" w:cstheme="majorHAnsi"/>
                <w:b/>
                <w:szCs w:val="24"/>
                <w:shd w:val="clear" w:color="auto" w:fill="FFFFFF"/>
                <w:lang w:val="ru-MD"/>
              </w:rPr>
            </w:pPr>
            <w:r w:rsidRPr="00B02631">
              <w:rPr>
                <w:rFonts w:asciiTheme="majorHAnsi" w:eastAsia="Times New Roman" w:hAnsiTheme="majorHAnsi" w:cstheme="majorHAnsi"/>
                <w:b/>
                <w:szCs w:val="24"/>
                <w:shd w:val="clear" w:color="auto" w:fill="FFFFFF"/>
                <w:lang w:val="ru-MD"/>
              </w:rPr>
              <w:t>Средняя заработная плата по экономике в 2022 году</w:t>
            </w:r>
            <w:r w:rsidR="00490517" w:rsidRPr="00B02631">
              <w:rPr>
                <w:rFonts w:asciiTheme="majorHAnsi" w:eastAsia="Times New Roman" w:hAnsiTheme="majorHAnsi" w:cstheme="majorHAnsi"/>
                <w:b/>
                <w:szCs w:val="24"/>
                <w:shd w:val="clear" w:color="auto" w:fill="FFFFFF"/>
                <w:lang w:val="ru-MD"/>
              </w:rPr>
              <w:t xml:space="preserve">, </w:t>
            </w:r>
            <w:r w:rsidRPr="00B02631">
              <w:rPr>
                <w:rFonts w:asciiTheme="majorHAnsi" w:eastAsia="Times New Roman" w:hAnsiTheme="majorHAnsi" w:cstheme="majorHAnsi"/>
                <w:b/>
                <w:szCs w:val="24"/>
                <w:shd w:val="clear" w:color="auto" w:fill="FFFFFF"/>
                <w:lang w:val="ru-MD"/>
              </w:rPr>
              <w:t>леев</w:t>
            </w:r>
          </w:p>
        </w:tc>
        <w:tc>
          <w:tcPr>
            <w:tcW w:w="3154" w:type="dxa"/>
          </w:tcPr>
          <w:p w14:paraId="11A00365" w14:textId="05D0222F" w:rsidR="00787F4E" w:rsidRPr="00B02631" w:rsidRDefault="00787F4E" w:rsidP="007568BB">
            <w:pPr>
              <w:pStyle w:val="aa"/>
              <w:ind w:left="0"/>
              <w:contextualSpacing w:val="0"/>
              <w:jc w:val="right"/>
              <w:rPr>
                <w:rFonts w:asciiTheme="majorHAnsi" w:eastAsia="Times New Roman" w:hAnsiTheme="majorHAnsi" w:cstheme="majorHAnsi"/>
                <w:szCs w:val="24"/>
                <w:shd w:val="clear" w:color="auto" w:fill="FFFFFF"/>
                <w:lang w:val="ru-MD"/>
              </w:rPr>
            </w:pPr>
            <w:r w:rsidRPr="00B02631">
              <w:rPr>
                <w:rFonts w:asciiTheme="majorHAnsi" w:eastAsia="Times New Roman" w:hAnsiTheme="majorHAnsi" w:cstheme="majorHAnsi"/>
                <w:szCs w:val="24"/>
                <w:shd w:val="clear" w:color="auto" w:fill="FFFFFF"/>
                <w:lang w:val="ru-MD"/>
              </w:rPr>
              <w:t>x</w:t>
            </w:r>
          </w:p>
        </w:tc>
        <w:tc>
          <w:tcPr>
            <w:tcW w:w="1722" w:type="dxa"/>
          </w:tcPr>
          <w:p w14:paraId="42AEED2B" w14:textId="41BF5204" w:rsidR="00787F4E" w:rsidRPr="00B02631" w:rsidRDefault="00787F4E" w:rsidP="007568BB">
            <w:pPr>
              <w:pStyle w:val="aa"/>
              <w:ind w:left="0"/>
              <w:contextualSpacing w:val="0"/>
              <w:jc w:val="right"/>
              <w:rPr>
                <w:rFonts w:asciiTheme="majorHAnsi" w:eastAsia="Times New Roman" w:hAnsiTheme="majorHAnsi" w:cstheme="majorHAnsi"/>
                <w:szCs w:val="24"/>
                <w:shd w:val="clear" w:color="auto" w:fill="FFFFFF"/>
                <w:lang w:val="ru-MD"/>
              </w:rPr>
            </w:pPr>
            <w:r w:rsidRPr="00B02631">
              <w:rPr>
                <w:rFonts w:asciiTheme="majorHAnsi" w:eastAsia="Times New Roman" w:hAnsiTheme="majorHAnsi" w:cstheme="majorHAnsi"/>
                <w:szCs w:val="24"/>
                <w:shd w:val="clear" w:color="auto" w:fill="FFFFFF"/>
                <w:lang w:val="ru-MD"/>
              </w:rPr>
              <w:t>9</w:t>
            </w:r>
            <w:r w:rsidR="00415A0B" w:rsidRPr="00B02631">
              <w:rPr>
                <w:rFonts w:asciiTheme="majorHAnsi" w:eastAsia="Times New Roman" w:hAnsiTheme="majorHAnsi" w:cstheme="majorHAnsi"/>
                <w:szCs w:val="24"/>
                <w:shd w:val="clear" w:color="auto" w:fill="FFFFFF"/>
                <w:lang w:val="ru-MD"/>
              </w:rPr>
              <w:t xml:space="preserve"> </w:t>
            </w:r>
            <w:r w:rsidRPr="00B02631">
              <w:rPr>
                <w:rFonts w:asciiTheme="majorHAnsi" w:eastAsia="Times New Roman" w:hAnsiTheme="majorHAnsi" w:cstheme="majorHAnsi"/>
                <w:szCs w:val="24"/>
                <w:shd w:val="clear" w:color="auto" w:fill="FFFFFF"/>
                <w:lang w:val="ru-MD"/>
              </w:rPr>
              <w:t>900</w:t>
            </w:r>
          </w:p>
        </w:tc>
      </w:tr>
      <w:tr w:rsidR="00787F4E" w:rsidRPr="00B02631" w14:paraId="45F9E6EF" w14:textId="77777777" w:rsidTr="00787F4E">
        <w:trPr>
          <w:trHeight w:val="302"/>
        </w:trPr>
        <w:tc>
          <w:tcPr>
            <w:tcW w:w="5221" w:type="dxa"/>
          </w:tcPr>
          <w:p w14:paraId="4B527571" w14:textId="041A32AE" w:rsidR="00787F4E" w:rsidRPr="00B02631" w:rsidRDefault="007B3E87" w:rsidP="007568BB">
            <w:pPr>
              <w:pStyle w:val="aa"/>
              <w:ind w:left="0"/>
              <w:contextualSpacing w:val="0"/>
              <w:jc w:val="both"/>
              <w:rPr>
                <w:rFonts w:asciiTheme="majorHAnsi" w:eastAsia="Times New Roman" w:hAnsiTheme="majorHAnsi" w:cstheme="majorHAnsi"/>
                <w:b/>
                <w:szCs w:val="24"/>
                <w:shd w:val="clear" w:color="auto" w:fill="FFFFFF"/>
                <w:lang w:val="ru-MD"/>
              </w:rPr>
            </w:pPr>
            <w:r w:rsidRPr="00B02631">
              <w:rPr>
                <w:rFonts w:asciiTheme="majorHAnsi" w:eastAsia="Times New Roman" w:hAnsiTheme="majorHAnsi" w:cstheme="majorHAnsi"/>
                <w:b/>
                <w:szCs w:val="24"/>
                <w:shd w:val="clear" w:color="auto" w:fill="FFFFFF"/>
                <w:lang w:val="ru-MD"/>
              </w:rPr>
              <w:t>Застрахованный ежемесячный доход</w:t>
            </w:r>
            <w:r w:rsidR="00490517" w:rsidRPr="00B02631">
              <w:rPr>
                <w:rFonts w:asciiTheme="majorHAnsi" w:eastAsia="Times New Roman" w:hAnsiTheme="majorHAnsi" w:cstheme="majorHAnsi"/>
                <w:b/>
                <w:szCs w:val="24"/>
                <w:shd w:val="clear" w:color="auto" w:fill="FFFFFF"/>
                <w:lang w:val="ru-MD"/>
              </w:rPr>
              <w:t xml:space="preserve">, </w:t>
            </w:r>
            <w:r w:rsidRPr="00B02631">
              <w:rPr>
                <w:rFonts w:asciiTheme="majorHAnsi" w:eastAsia="Times New Roman" w:hAnsiTheme="majorHAnsi" w:cstheme="majorHAnsi"/>
                <w:b/>
                <w:szCs w:val="24"/>
                <w:shd w:val="clear" w:color="auto" w:fill="FFFFFF"/>
                <w:lang w:val="ru-MD"/>
              </w:rPr>
              <w:t>леев</w:t>
            </w:r>
          </w:p>
        </w:tc>
        <w:tc>
          <w:tcPr>
            <w:tcW w:w="3154" w:type="dxa"/>
          </w:tcPr>
          <w:p w14:paraId="35703BCE" w14:textId="3F912D95" w:rsidR="00787F4E" w:rsidRPr="00B02631" w:rsidRDefault="00787F4E" w:rsidP="007568BB">
            <w:pPr>
              <w:pStyle w:val="aa"/>
              <w:ind w:left="0"/>
              <w:contextualSpacing w:val="0"/>
              <w:jc w:val="right"/>
              <w:rPr>
                <w:rFonts w:asciiTheme="majorHAnsi" w:eastAsia="Times New Roman" w:hAnsiTheme="majorHAnsi" w:cstheme="majorHAnsi"/>
                <w:szCs w:val="24"/>
                <w:shd w:val="clear" w:color="auto" w:fill="FFFFFF"/>
                <w:lang w:val="ru-MD"/>
              </w:rPr>
            </w:pPr>
            <w:r w:rsidRPr="00B02631">
              <w:rPr>
                <w:rFonts w:asciiTheme="majorHAnsi" w:eastAsia="Times New Roman" w:hAnsiTheme="majorHAnsi" w:cstheme="majorHAnsi"/>
                <w:szCs w:val="24"/>
                <w:shd w:val="clear" w:color="auto" w:fill="FFFFFF"/>
                <w:lang w:val="ru-MD"/>
              </w:rPr>
              <w:t>9</w:t>
            </w:r>
            <w:r w:rsidR="00415A0B" w:rsidRPr="00B02631">
              <w:rPr>
                <w:rFonts w:asciiTheme="majorHAnsi" w:eastAsia="Times New Roman" w:hAnsiTheme="majorHAnsi" w:cstheme="majorHAnsi"/>
                <w:szCs w:val="24"/>
                <w:shd w:val="clear" w:color="auto" w:fill="FFFFFF"/>
                <w:lang w:val="ru-MD"/>
              </w:rPr>
              <w:t xml:space="preserve"> </w:t>
            </w:r>
            <w:r w:rsidRPr="00B02631">
              <w:rPr>
                <w:rFonts w:asciiTheme="majorHAnsi" w:eastAsia="Times New Roman" w:hAnsiTheme="majorHAnsi" w:cstheme="majorHAnsi"/>
                <w:szCs w:val="24"/>
                <w:shd w:val="clear" w:color="auto" w:fill="FFFFFF"/>
                <w:lang w:val="ru-MD"/>
              </w:rPr>
              <w:t>900*68%</w:t>
            </w:r>
          </w:p>
        </w:tc>
        <w:tc>
          <w:tcPr>
            <w:tcW w:w="1722" w:type="dxa"/>
          </w:tcPr>
          <w:p w14:paraId="2DB319D1" w14:textId="6A64F7B7" w:rsidR="00787F4E" w:rsidRPr="00B02631" w:rsidRDefault="00787F4E" w:rsidP="007568BB">
            <w:pPr>
              <w:pStyle w:val="aa"/>
              <w:ind w:left="0"/>
              <w:contextualSpacing w:val="0"/>
              <w:jc w:val="right"/>
              <w:rPr>
                <w:rFonts w:asciiTheme="majorHAnsi" w:eastAsia="Times New Roman" w:hAnsiTheme="majorHAnsi" w:cstheme="majorHAnsi"/>
                <w:szCs w:val="24"/>
                <w:shd w:val="clear" w:color="auto" w:fill="FFFFFF"/>
                <w:lang w:val="ru-MD"/>
              </w:rPr>
            </w:pPr>
            <w:r w:rsidRPr="00B02631">
              <w:rPr>
                <w:rFonts w:asciiTheme="majorHAnsi" w:eastAsia="Times New Roman" w:hAnsiTheme="majorHAnsi" w:cstheme="majorHAnsi"/>
                <w:szCs w:val="24"/>
                <w:shd w:val="clear" w:color="auto" w:fill="FFFFFF"/>
                <w:lang w:val="ru-MD"/>
              </w:rPr>
              <w:t>6</w:t>
            </w:r>
            <w:r w:rsidR="00415A0B" w:rsidRPr="00B02631">
              <w:rPr>
                <w:rFonts w:asciiTheme="majorHAnsi" w:eastAsia="Times New Roman" w:hAnsiTheme="majorHAnsi" w:cstheme="majorHAnsi"/>
                <w:szCs w:val="24"/>
                <w:shd w:val="clear" w:color="auto" w:fill="FFFFFF"/>
                <w:lang w:val="ru-MD"/>
              </w:rPr>
              <w:t xml:space="preserve"> </w:t>
            </w:r>
            <w:r w:rsidRPr="00B02631">
              <w:rPr>
                <w:rFonts w:asciiTheme="majorHAnsi" w:eastAsia="Times New Roman" w:hAnsiTheme="majorHAnsi" w:cstheme="majorHAnsi"/>
                <w:szCs w:val="24"/>
                <w:shd w:val="clear" w:color="auto" w:fill="FFFFFF"/>
                <w:lang w:val="ru-MD"/>
              </w:rPr>
              <w:t>732</w:t>
            </w:r>
          </w:p>
        </w:tc>
      </w:tr>
      <w:tr w:rsidR="00787F4E" w:rsidRPr="00B02631" w14:paraId="300CDAD3" w14:textId="77777777" w:rsidTr="00787F4E">
        <w:trPr>
          <w:trHeight w:val="302"/>
        </w:trPr>
        <w:tc>
          <w:tcPr>
            <w:tcW w:w="5221" w:type="dxa"/>
          </w:tcPr>
          <w:p w14:paraId="1F1D3478" w14:textId="7A7B72A8" w:rsidR="00787F4E" w:rsidRPr="00B02631" w:rsidRDefault="007B3E87" w:rsidP="007B3E87">
            <w:pPr>
              <w:pStyle w:val="aa"/>
              <w:ind w:left="0"/>
              <w:contextualSpacing w:val="0"/>
              <w:jc w:val="both"/>
              <w:rPr>
                <w:rFonts w:asciiTheme="majorHAnsi" w:eastAsia="Times New Roman" w:hAnsiTheme="majorHAnsi" w:cstheme="majorHAnsi"/>
                <w:b/>
                <w:szCs w:val="24"/>
                <w:shd w:val="clear" w:color="auto" w:fill="FFFFFF"/>
                <w:lang w:val="ru-MD"/>
              </w:rPr>
            </w:pPr>
            <w:r w:rsidRPr="00B02631">
              <w:rPr>
                <w:rFonts w:asciiTheme="majorHAnsi" w:eastAsia="Times New Roman" w:hAnsiTheme="majorHAnsi" w:cstheme="majorHAnsi"/>
                <w:b/>
                <w:szCs w:val="24"/>
                <w:shd w:val="clear" w:color="auto" w:fill="FFFFFF"/>
                <w:lang w:val="ru-MD"/>
              </w:rPr>
              <w:t>Задекларированные взносы в БГСС, согласно индивидуальной выписке</w:t>
            </w:r>
            <w:r w:rsidR="00490517" w:rsidRPr="00B02631">
              <w:rPr>
                <w:rFonts w:asciiTheme="majorHAnsi" w:eastAsia="Times New Roman" w:hAnsiTheme="majorHAnsi" w:cstheme="majorHAnsi"/>
                <w:b/>
                <w:szCs w:val="24"/>
                <w:shd w:val="clear" w:color="auto" w:fill="FFFFFF"/>
                <w:lang w:val="ru-MD"/>
              </w:rPr>
              <w:t xml:space="preserve">, </w:t>
            </w:r>
            <w:r w:rsidRPr="00B02631">
              <w:rPr>
                <w:rFonts w:asciiTheme="majorHAnsi" w:eastAsia="Times New Roman" w:hAnsiTheme="majorHAnsi" w:cstheme="majorHAnsi"/>
                <w:b/>
                <w:szCs w:val="24"/>
                <w:shd w:val="clear" w:color="auto" w:fill="FFFFFF"/>
                <w:lang w:val="ru-MD"/>
              </w:rPr>
              <w:t>леев</w:t>
            </w:r>
          </w:p>
        </w:tc>
        <w:tc>
          <w:tcPr>
            <w:tcW w:w="3154" w:type="dxa"/>
          </w:tcPr>
          <w:p w14:paraId="3E72AAAC" w14:textId="250516F5" w:rsidR="00787F4E" w:rsidRPr="00B02631" w:rsidRDefault="00787F4E" w:rsidP="007568BB">
            <w:pPr>
              <w:pStyle w:val="aa"/>
              <w:ind w:left="0"/>
              <w:contextualSpacing w:val="0"/>
              <w:jc w:val="right"/>
              <w:rPr>
                <w:rFonts w:asciiTheme="majorHAnsi" w:eastAsia="Times New Roman" w:hAnsiTheme="majorHAnsi" w:cstheme="majorHAnsi"/>
                <w:szCs w:val="24"/>
                <w:shd w:val="clear" w:color="auto" w:fill="FFFFFF"/>
                <w:lang w:val="ru-MD"/>
              </w:rPr>
            </w:pPr>
            <w:r w:rsidRPr="00B02631">
              <w:rPr>
                <w:rFonts w:asciiTheme="majorHAnsi" w:eastAsia="Times New Roman" w:hAnsiTheme="majorHAnsi" w:cstheme="majorHAnsi"/>
                <w:szCs w:val="24"/>
                <w:shd w:val="clear" w:color="auto" w:fill="FFFFFF"/>
                <w:lang w:val="ru-MD"/>
              </w:rPr>
              <w:t>6</w:t>
            </w:r>
            <w:r w:rsidR="00415A0B" w:rsidRPr="00B02631">
              <w:rPr>
                <w:rFonts w:asciiTheme="majorHAnsi" w:eastAsia="Times New Roman" w:hAnsiTheme="majorHAnsi" w:cstheme="majorHAnsi"/>
                <w:szCs w:val="24"/>
                <w:shd w:val="clear" w:color="auto" w:fill="FFFFFF"/>
                <w:lang w:val="ru-MD"/>
              </w:rPr>
              <w:t xml:space="preserve"> </w:t>
            </w:r>
            <w:r w:rsidRPr="00B02631">
              <w:rPr>
                <w:rFonts w:asciiTheme="majorHAnsi" w:eastAsia="Times New Roman" w:hAnsiTheme="majorHAnsi" w:cstheme="majorHAnsi"/>
                <w:szCs w:val="24"/>
                <w:shd w:val="clear" w:color="auto" w:fill="FFFFFF"/>
                <w:lang w:val="ru-MD"/>
              </w:rPr>
              <w:t>732*29%</w:t>
            </w:r>
          </w:p>
        </w:tc>
        <w:tc>
          <w:tcPr>
            <w:tcW w:w="1722" w:type="dxa"/>
          </w:tcPr>
          <w:p w14:paraId="500A6279" w14:textId="4AB5C6C0" w:rsidR="00787F4E" w:rsidRPr="00B02631" w:rsidRDefault="00787F4E" w:rsidP="007568BB">
            <w:pPr>
              <w:pStyle w:val="aa"/>
              <w:ind w:left="0"/>
              <w:contextualSpacing w:val="0"/>
              <w:jc w:val="right"/>
              <w:rPr>
                <w:rFonts w:asciiTheme="majorHAnsi" w:eastAsia="Times New Roman" w:hAnsiTheme="majorHAnsi" w:cstheme="majorHAnsi"/>
                <w:szCs w:val="24"/>
                <w:shd w:val="clear" w:color="auto" w:fill="FFFFFF"/>
                <w:lang w:val="ru-MD"/>
              </w:rPr>
            </w:pPr>
            <w:r w:rsidRPr="00B02631">
              <w:rPr>
                <w:rFonts w:asciiTheme="majorHAnsi" w:eastAsia="Times New Roman" w:hAnsiTheme="majorHAnsi" w:cstheme="majorHAnsi"/>
                <w:szCs w:val="24"/>
                <w:shd w:val="clear" w:color="auto" w:fill="FFFFFF"/>
                <w:lang w:val="ru-MD"/>
              </w:rPr>
              <w:t>1</w:t>
            </w:r>
            <w:r w:rsidR="00415A0B" w:rsidRPr="00B02631">
              <w:rPr>
                <w:rFonts w:asciiTheme="majorHAnsi" w:eastAsia="Times New Roman" w:hAnsiTheme="majorHAnsi" w:cstheme="majorHAnsi"/>
                <w:szCs w:val="24"/>
                <w:shd w:val="clear" w:color="auto" w:fill="FFFFFF"/>
                <w:lang w:val="ru-MD"/>
              </w:rPr>
              <w:t xml:space="preserve"> </w:t>
            </w:r>
            <w:r w:rsidRPr="00B02631">
              <w:rPr>
                <w:rFonts w:asciiTheme="majorHAnsi" w:eastAsia="Times New Roman" w:hAnsiTheme="majorHAnsi" w:cstheme="majorHAnsi"/>
                <w:szCs w:val="24"/>
                <w:shd w:val="clear" w:color="auto" w:fill="FFFFFF"/>
                <w:lang w:val="ru-MD"/>
              </w:rPr>
              <w:t>952,28</w:t>
            </w:r>
          </w:p>
        </w:tc>
      </w:tr>
      <w:tr w:rsidR="00787F4E" w:rsidRPr="00B02631" w14:paraId="7929C508" w14:textId="77777777" w:rsidTr="00787F4E">
        <w:trPr>
          <w:trHeight w:val="594"/>
        </w:trPr>
        <w:tc>
          <w:tcPr>
            <w:tcW w:w="5221" w:type="dxa"/>
          </w:tcPr>
          <w:p w14:paraId="3D3CC45F" w14:textId="314CD91F" w:rsidR="00787F4E" w:rsidRPr="00B02631" w:rsidRDefault="007B3E87" w:rsidP="007568BB">
            <w:pPr>
              <w:pStyle w:val="aa"/>
              <w:ind w:left="0"/>
              <w:contextualSpacing w:val="0"/>
              <w:jc w:val="both"/>
              <w:rPr>
                <w:rFonts w:asciiTheme="majorHAnsi" w:eastAsia="Times New Roman" w:hAnsiTheme="majorHAnsi" w:cstheme="majorHAnsi"/>
                <w:b/>
                <w:szCs w:val="24"/>
                <w:shd w:val="clear" w:color="auto" w:fill="FFFFFF"/>
                <w:lang w:val="ru-MD"/>
              </w:rPr>
            </w:pPr>
            <w:r w:rsidRPr="00B02631">
              <w:rPr>
                <w:rFonts w:asciiTheme="majorHAnsi" w:eastAsia="Times New Roman" w:hAnsiTheme="majorHAnsi" w:cstheme="majorHAnsi"/>
                <w:b/>
                <w:szCs w:val="24"/>
                <w:shd w:val="clear" w:color="auto" w:fill="FFFFFF"/>
                <w:lang w:val="ru-MD"/>
              </w:rPr>
              <w:t>Уплаченные взносы в БГСС,  в случае применения минимального тарифа в соответствии с отчетами IU</w:t>
            </w:r>
            <w:r w:rsidR="00490517" w:rsidRPr="00B02631">
              <w:rPr>
                <w:rFonts w:asciiTheme="majorHAnsi" w:eastAsia="Times New Roman" w:hAnsiTheme="majorHAnsi" w:cstheme="majorHAnsi"/>
                <w:b/>
                <w:szCs w:val="24"/>
                <w:shd w:val="clear" w:color="auto" w:fill="FFFFFF"/>
                <w:lang w:val="ru-MD"/>
              </w:rPr>
              <w:t xml:space="preserve">, </w:t>
            </w:r>
            <w:r w:rsidRPr="00B02631">
              <w:rPr>
                <w:rFonts w:asciiTheme="majorHAnsi" w:eastAsia="Times New Roman" w:hAnsiTheme="majorHAnsi" w:cstheme="majorHAnsi"/>
                <w:b/>
                <w:szCs w:val="24"/>
                <w:shd w:val="clear" w:color="auto" w:fill="FFFFFF"/>
                <w:lang w:val="ru-MD"/>
              </w:rPr>
              <w:t>леев</w:t>
            </w:r>
          </w:p>
        </w:tc>
        <w:tc>
          <w:tcPr>
            <w:tcW w:w="3154" w:type="dxa"/>
          </w:tcPr>
          <w:p w14:paraId="5F464C72" w14:textId="18D07D24" w:rsidR="00787F4E" w:rsidRPr="00B02631" w:rsidRDefault="00787F4E" w:rsidP="007568BB">
            <w:pPr>
              <w:pStyle w:val="aa"/>
              <w:ind w:left="0"/>
              <w:contextualSpacing w:val="0"/>
              <w:jc w:val="right"/>
              <w:rPr>
                <w:rFonts w:asciiTheme="majorHAnsi" w:eastAsia="Times New Roman" w:hAnsiTheme="majorHAnsi" w:cstheme="majorHAnsi"/>
                <w:szCs w:val="24"/>
                <w:shd w:val="clear" w:color="auto" w:fill="FFFFFF"/>
                <w:lang w:val="ru-MD"/>
              </w:rPr>
            </w:pPr>
            <w:r w:rsidRPr="00B02631">
              <w:rPr>
                <w:rFonts w:asciiTheme="majorHAnsi" w:eastAsia="Times New Roman" w:hAnsiTheme="majorHAnsi" w:cstheme="majorHAnsi"/>
                <w:szCs w:val="24"/>
                <w:shd w:val="clear" w:color="auto" w:fill="FFFFFF"/>
                <w:lang w:val="ru-MD"/>
              </w:rPr>
              <w:t>9</w:t>
            </w:r>
            <w:r w:rsidR="00415A0B" w:rsidRPr="00B02631">
              <w:rPr>
                <w:rFonts w:asciiTheme="majorHAnsi" w:eastAsia="Times New Roman" w:hAnsiTheme="majorHAnsi" w:cstheme="majorHAnsi"/>
                <w:szCs w:val="24"/>
                <w:shd w:val="clear" w:color="auto" w:fill="FFFFFF"/>
                <w:lang w:val="ru-MD"/>
              </w:rPr>
              <w:t xml:space="preserve"> </w:t>
            </w:r>
            <w:r w:rsidRPr="00B02631">
              <w:rPr>
                <w:rFonts w:asciiTheme="majorHAnsi" w:eastAsia="Times New Roman" w:hAnsiTheme="majorHAnsi" w:cstheme="majorHAnsi"/>
                <w:szCs w:val="24"/>
                <w:shd w:val="clear" w:color="auto" w:fill="FFFFFF"/>
                <w:lang w:val="ru-MD"/>
              </w:rPr>
              <w:t>900*30%*54,7%</w:t>
            </w:r>
          </w:p>
        </w:tc>
        <w:tc>
          <w:tcPr>
            <w:tcW w:w="1722" w:type="dxa"/>
          </w:tcPr>
          <w:p w14:paraId="26EFACBF" w14:textId="7AC97AAF" w:rsidR="00787F4E" w:rsidRPr="00B02631" w:rsidRDefault="00787F4E" w:rsidP="007568BB">
            <w:pPr>
              <w:pStyle w:val="aa"/>
              <w:ind w:left="0"/>
              <w:contextualSpacing w:val="0"/>
              <w:jc w:val="right"/>
              <w:rPr>
                <w:rFonts w:asciiTheme="majorHAnsi" w:eastAsia="Times New Roman" w:hAnsiTheme="majorHAnsi" w:cstheme="majorHAnsi"/>
                <w:szCs w:val="24"/>
                <w:shd w:val="clear" w:color="auto" w:fill="FFFFFF"/>
                <w:lang w:val="ru-MD"/>
              </w:rPr>
            </w:pPr>
            <w:r w:rsidRPr="00B02631">
              <w:rPr>
                <w:rFonts w:asciiTheme="majorHAnsi" w:eastAsia="Times New Roman" w:hAnsiTheme="majorHAnsi" w:cstheme="majorHAnsi"/>
                <w:szCs w:val="24"/>
                <w:shd w:val="clear" w:color="auto" w:fill="FFFFFF"/>
                <w:lang w:val="ru-MD"/>
              </w:rPr>
              <w:t>1</w:t>
            </w:r>
            <w:r w:rsidR="00415A0B" w:rsidRPr="00B02631">
              <w:rPr>
                <w:rFonts w:asciiTheme="majorHAnsi" w:eastAsia="Times New Roman" w:hAnsiTheme="majorHAnsi" w:cstheme="majorHAnsi"/>
                <w:szCs w:val="24"/>
                <w:shd w:val="clear" w:color="auto" w:fill="FFFFFF"/>
                <w:lang w:val="ru-MD"/>
              </w:rPr>
              <w:t xml:space="preserve"> </w:t>
            </w:r>
            <w:r w:rsidRPr="00B02631">
              <w:rPr>
                <w:rFonts w:asciiTheme="majorHAnsi" w:eastAsia="Times New Roman" w:hAnsiTheme="majorHAnsi" w:cstheme="majorHAnsi"/>
                <w:szCs w:val="24"/>
                <w:shd w:val="clear" w:color="auto" w:fill="FFFFFF"/>
                <w:lang w:val="ru-MD"/>
              </w:rPr>
              <w:t>624,59</w:t>
            </w:r>
          </w:p>
        </w:tc>
      </w:tr>
      <w:tr w:rsidR="00787F4E" w:rsidRPr="00B02631" w14:paraId="2B1BD1D3" w14:textId="77777777" w:rsidTr="00787F4E">
        <w:trPr>
          <w:trHeight w:val="594"/>
        </w:trPr>
        <w:tc>
          <w:tcPr>
            <w:tcW w:w="5221" w:type="dxa"/>
          </w:tcPr>
          <w:p w14:paraId="30CF0196" w14:textId="1BC2048E" w:rsidR="00787F4E" w:rsidRPr="00B02631" w:rsidRDefault="00F0530B" w:rsidP="007568BB">
            <w:pPr>
              <w:pStyle w:val="aa"/>
              <w:ind w:left="0"/>
              <w:contextualSpacing w:val="0"/>
              <w:jc w:val="both"/>
              <w:rPr>
                <w:rFonts w:asciiTheme="majorHAnsi" w:eastAsia="Times New Roman" w:hAnsiTheme="majorHAnsi" w:cstheme="majorHAnsi"/>
                <w:b/>
                <w:szCs w:val="24"/>
                <w:shd w:val="clear" w:color="auto" w:fill="FFFFFF"/>
                <w:lang w:val="ru-MD"/>
              </w:rPr>
            </w:pPr>
            <w:r w:rsidRPr="00B02631">
              <w:rPr>
                <w:rFonts w:asciiTheme="majorHAnsi" w:eastAsia="Times New Roman" w:hAnsiTheme="majorHAnsi" w:cstheme="majorHAnsi"/>
                <w:b/>
                <w:szCs w:val="24"/>
                <w:shd w:val="clear" w:color="auto" w:fill="FFFFFF"/>
                <w:lang w:val="ru-MD"/>
              </w:rPr>
              <w:t>Разница между задекларированными и уплаченными взносами</w:t>
            </w:r>
            <w:r w:rsidR="00490517" w:rsidRPr="00B02631">
              <w:rPr>
                <w:rFonts w:asciiTheme="majorHAnsi" w:eastAsia="Times New Roman" w:hAnsiTheme="majorHAnsi" w:cstheme="majorHAnsi"/>
                <w:b/>
                <w:szCs w:val="24"/>
                <w:shd w:val="clear" w:color="auto" w:fill="FFFFFF"/>
                <w:lang w:val="ru-MD"/>
              </w:rPr>
              <w:t xml:space="preserve">, </w:t>
            </w:r>
            <w:r w:rsidR="007B3E87" w:rsidRPr="00B02631">
              <w:rPr>
                <w:rFonts w:asciiTheme="majorHAnsi" w:eastAsia="Times New Roman" w:hAnsiTheme="majorHAnsi" w:cstheme="majorHAnsi"/>
                <w:b/>
                <w:szCs w:val="24"/>
                <w:shd w:val="clear" w:color="auto" w:fill="FFFFFF"/>
                <w:lang w:val="ru-MD"/>
              </w:rPr>
              <w:t>леев</w:t>
            </w:r>
          </w:p>
        </w:tc>
        <w:tc>
          <w:tcPr>
            <w:tcW w:w="3154" w:type="dxa"/>
          </w:tcPr>
          <w:p w14:paraId="107C9E01" w14:textId="5682E1C3" w:rsidR="00787F4E" w:rsidRPr="00B02631" w:rsidRDefault="00787F4E" w:rsidP="007568BB">
            <w:pPr>
              <w:pStyle w:val="aa"/>
              <w:ind w:left="0"/>
              <w:contextualSpacing w:val="0"/>
              <w:jc w:val="right"/>
              <w:rPr>
                <w:rFonts w:asciiTheme="majorHAnsi" w:eastAsia="Times New Roman" w:hAnsiTheme="majorHAnsi" w:cstheme="majorHAnsi"/>
                <w:szCs w:val="24"/>
                <w:shd w:val="clear" w:color="auto" w:fill="FFFFFF"/>
                <w:lang w:val="ru-MD"/>
              </w:rPr>
            </w:pPr>
            <w:r w:rsidRPr="00B02631">
              <w:rPr>
                <w:rFonts w:asciiTheme="majorHAnsi" w:eastAsia="Times New Roman" w:hAnsiTheme="majorHAnsi" w:cstheme="majorHAnsi"/>
                <w:szCs w:val="24"/>
                <w:shd w:val="clear" w:color="auto" w:fill="FFFFFF"/>
                <w:lang w:val="ru-MD"/>
              </w:rPr>
              <w:t>1</w:t>
            </w:r>
            <w:r w:rsidR="00415A0B" w:rsidRPr="00B02631">
              <w:rPr>
                <w:rFonts w:asciiTheme="majorHAnsi" w:eastAsia="Times New Roman" w:hAnsiTheme="majorHAnsi" w:cstheme="majorHAnsi"/>
                <w:szCs w:val="24"/>
                <w:shd w:val="clear" w:color="auto" w:fill="FFFFFF"/>
                <w:lang w:val="ru-MD"/>
              </w:rPr>
              <w:t xml:space="preserve"> </w:t>
            </w:r>
            <w:r w:rsidRPr="00B02631">
              <w:rPr>
                <w:rFonts w:asciiTheme="majorHAnsi" w:eastAsia="Times New Roman" w:hAnsiTheme="majorHAnsi" w:cstheme="majorHAnsi"/>
                <w:szCs w:val="24"/>
                <w:shd w:val="clear" w:color="auto" w:fill="FFFFFF"/>
                <w:lang w:val="ru-MD"/>
              </w:rPr>
              <w:t>952,28-1</w:t>
            </w:r>
            <w:r w:rsidR="00415A0B" w:rsidRPr="00B02631">
              <w:rPr>
                <w:rFonts w:asciiTheme="majorHAnsi" w:eastAsia="Times New Roman" w:hAnsiTheme="majorHAnsi" w:cstheme="majorHAnsi"/>
                <w:szCs w:val="24"/>
                <w:shd w:val="clear" w:color="auto" w:fill="FFFFFF"/>
                <w:lang w:val="ru-MD"/>
              </w:rPr>
              <w:t xml:space="preserve"> </w:t>
            </w:r>
            <w:r w:rsidRPr="00B02631">
              <w:rPr>
                <w:rFonts w:asciiTheme="majorHAnsi" w:eastAsia="Times New Roman" w:hAnsiTheme="majorHAnsi" w:cstheme="majorHAnsi"/>
                <w:szCs w:val="24"/>
                <w:shd w:val="clear" w:color="auto" w:fill="FFFFFF"/>
                <w:lang w:val="ru-MD"/>
              </w:rPr>
              <w:t>624,59</w:t>
            </w:r>
          </w:p>
        </w:tc>
        <w:tc>
          <w:tcPr>
            <w:tcW w:w="1722" w:type="dxa"/>
          </w:tcPr>
          <w:p w14:paraId="17C63CEB" w14:textId="101AADD2" w:rsidR="00787F4E" w:rsidRPr="00B02631" w:rsidRDefault="00787F4E" w:rsidP="007568BB">
            <w:pPr>
              <w:pStyle w:val="aa"/>
              <w:ind w:left="0"/>
              <w:contextualSpacing w:val="0"/>
              <w:jc w:val="right"/>
              <w:rPr>
                <w:rFonts w:asciiTheme="majorHAnsi" w:eastAsia="Times New Roman" w:hAnsiTheme="majorHAnsi" w:cstheme="majorHAnsi"/>
                <w:b/>
                <w:szCs w:val="24"/>
                <w:shd w:val="clear" w:color="auto" w:fill="FFFFFF"/>
                <w:lang w:val="ru-MD"/>
              </w:rPr>
            </w:pPr>
            <w:r w:rsidRPr="00B02631">
              <w:rPr>
                <w:rFonts w:asciiTheme="majorHAnsi" w:eastAsia="Times New Roman" w:hAnsiTheme="majorHAnsi" w:cstheme="majorHAnsi"/>
                <w:b/>
                <w:szCs w:val="24"/>
                <w:shd w:val="clear" w:color="auto" w:fill="FFFFFF"/>
                <w:lang w:val="ru-MD"/>
              </w:rPr>
              <w:t>327,69</w:t>
            </w:r>
          </w:p>
        </w:tc>
      </w:tr>
      <w:tr w:rsidR="00787F4E" w:rsidRPr="00B02631" w14:paraId="35887A2C" w14:textId="77777777" w:rsidTr="005A2FAD">
        <w:trPr>
          <w:trHeight w:val="594"/>
        </w:trPr>
        <w:tc>
          <w:tcPr>
            <w:tcW w:w="5221" w:type="dxa"/>
            <w:shd w:val="clear" w:color="auto" w:fill="FFFFFF" w:themeFill="background1"/>
          </w:tcPr>
          <w:p w14:paraId="76844099" w14:textId="55143A20" w:rsidR="00787F4E" w:rsidRPr="00B02631" w:rsidRDefault="00F0530B" w:rsidP="007568BB">
            <w:pPr>
              <w:pStyle w:val="aa"/>
              <w:ind w:left="0"/>
              <w:contextualSpacing w:val="0"/>
              <w:jc w:val="both"/>
              <w:rPr>
                <w:rFonts w:asciiTheme="majorHAnsi" w:eastAsia="Times New Roman" w:hAnsiTheme="majorHAnsi" w:cstheme="majorHAnsi"/>
                <w:b/>
                <w:szCs w:val="24"/>
                <w:highlight w:val="yellow"/>
                <w:shd w:val="clear" w:color="auto" w:fill="FFFFFF"/>
                <w:lang w:val="ru-MD"/>
              </w:rPr>
            </w:pPr>
            <w:r w:rsidRPr="00B02631">
              <w:rPr>
                <w:rFonts w:asciiTheme="majorHAnsi" w:eastAsia="Times New Roman" w:hAnsiTheme="majorHAnsi" w:cstheme="majorHAnsi"/>
                <w:b/>
                <w:szCs w:val="24"/>
                <w:shd w:val="clear" w:color="auto" w:fill="FFFFFF"/>
                <w:lang w:val="ru-MD"/>
              </w:rPr>
              <w:t>Количество ИТ сотрудников, застрахованных по минимальному тарифу</w:t>
            </w:r>
          </w:p>
        </w:tc>
        <w:tc>
          <w:tcPr>
            <w:tcW w:w="3154" w:type="dxa"/>
          </w:tcPr>
          <w:p w14:paraId="4AAF1402" w14:textId="25A8F866" w:rsidR="00787F4E" w:rsidRPr="00B02631" w:rsidRDefault="00F0530B" w:rsidP="007568BB">
            <w:pPr>
              <w:pStyle w:val="aa"/>
              <w:ind w:left="0"/>
              <w:contextualSpacing w:val="0"/>
              <w:jc w:val="right"/>
              <w:rPr>
                <w:rFonts w:asciiTheme="majorHAnsi" w:eastAsia="Times New Roman" w:hAnsiTheme="majorHAnsi" w:cstheme="majorHAnsi"/>
                <w:szCs w:val="24"/>
                <w:shd w:val="clear" w:color="auto" w:fill="FFFFFF"/>
                <w:lang w:val="ru-MD"/>
              </w:rPr>
            </w:pPr>
            <w:r w:rsidRPr="00B02631">
              <w:rPr>
                <w:rFonts w:asciiTheme="majorHAnsi" w:eastAsia="Times New Roman" w:hAnsiTheme="majorHAnsi" w:cstheme="majorHAnsi"/>
                <w:szCs w:val="24"/>
                <w:shd w:val="clear" w:color="auto" w:fill="FFFFFF"/>
                <w:lang w:val="ru-MD"/>
              </w:rPr>
              <w:t>Варьирует ежемесячно от 1056 до 8542 сотрудников</w:t>
            </w:r>
          </w:p>
        </w:tc>
        <w:tc>
          <w:tcPr>
            <w:tcW w:w="1722" w:type="dxa"/>
          </w:tcPr>
          <w:p w14:paraId="399F7641" w14:textId="35A8018E" w:rsidR="00787F4E" w:rsidRPr="00B02631" w:rsidRDefault="005A2FAD" w:rsidP="007568BB">
            <w:pPr>
              <w:pStyle w:val="aa"/>
              <w:ind w:left="0"/>
              <w:contextualSpacing w:val="0"/>
              <w:jc w:val="right"/>
              <w:rPr>
                <w:rFonts w:asciiTheme="majorHAnsi" w:eastAsia="Times New Roman" w:hAnsiTheme="majorHAnsi" w:cstheme="majorHAnsi"/>
                <w:szCs w:val="24"/>
                <w:shd w:val="clear" w:color="auto" w:fill="FFFFFF"/>
                <w:lang w:val="ru-MD"/>
              </w:rPr>
            </w:pPr>
            <w:r w:rsidRPr="00B02631">
              <w:rPr>
                <w:rFonts w:asciiTheme="majorHAnsi" w:eastAsia="Times New Roman" w:hAnsiTheme="majorHAnsi" w:cstheme="majorHAnsi"/>
                <w:szCs w:val="24"/>
                <w:shd w:val="clear" w:color="auto" w:fill="FFFFFF"/>
                <w:lang w:val="ru-MD"/>
              </w:rPr>
              <w:t>x</w:t>
            </w:r>
          </w:p>
        </w:tc>
      </w:tr>
      <w:tr w:rsidR="00787F4E" w:rsidRPr="00B02631" w14:paraId="360649E2" w14:textId="77777777" w:rsidTr="005A2FAD">
        <w:trPr>
          <w:trHeight w:val="308"/>
        </w:trPr>
        <w:tc>
          <w:tcPr>
            <w:tcW w:w="5221" w:type="dxa"/>
            <w:shd w:val="clear" w:color="auto" w:fill="auto"/>
          </w:tcPr>
          <w:p w14:paraId="70134FB8" w14:textId="2FD5AACD" w:rsidR="00787F4E" w:rsidRPr="00B02631" w:rsidRDefault="00F0530B" w:rsidP="007B3E87">
            <w:pPr>
              <w:pStyle w:val="aa"/>
              <w:ind w:left="0"/>
              <w:contextualSpacing w:val="0"/>
              <w:jc w:val="both"/>
              <w:rPr>
                <w:rFonts w:asciiTheme="majorHAnsi" w:eastAsia="Times New Roman" w:hAnsiTheme="majorHAnsi" w:cstheme="majorHAnsi"/>
                <w:b/>
                <w:szCs w:val="24"/>
                <w:highlight w:val="yellow"/>
                <w:shd w:val="clear" w:color="auto" w:fill="FFFFFF"/>
                <w:lang w:val="ru-MD"/>
              </w:rPr>
            </w:pPr>
            <w:r w:rsidRPr="00B02631">
              <w:rPr>
                <w:rFonts w:asciiTheme="majorHAnsi" w:eastAsia="Times New Roman" w:hAnsiTheme="majorHAnsi" w:cstheme="majorHAnsi"/>
                <w:b/>
                <w:szCs w:val="24"/>
                <w:shd w:val="clear" w:color="auto" w:fill="FFFFFF"/>
                <w:lang w:val="ru-MD"/>
              </w:rPr>
              <w:t>Убытки БГСС, оцененные аудитом</w:t>
            </w:r>
            <w:r w:rsidR="00C10267" w:rsidRPr="00B02631">
              <w:rPr>
                <w:rFonts w:asciiTheme="majorHAnsi" w:eastAsia="Times New Roman" w:hAnsiTheme="majorHAnsi" w:cstheme="majorHAnsi"/>
                <w:b/>
                <w:szCs w:val="24"/>
                <w:shd w:val="clear" w:color="auto" w:fill="FFFFFF"/>
                <w:lang w:val="ru-MD"/>
              </w:rPr>
              <w:t>,</w:t>
            </w:r>
            <w:r w:rsidR="005A2FAD" w:rsidRPr="00B02631">
              <w:rPr>
                <w:rFonts w:asciiTheme="majorHAnsi" w:eastAsia="Times New Roman" w:hAnsiTheme="majorHAnsi" w:cstheme="majorHAnsi"/>
                <w:b/>
                <w:szCs w:val="24"/>
                <w:shd w:val="clear" w:color="auto" w:fill="FFFFFF"/>
                <w:lang w:val="ru-MD"/>
              </w:rPr>
              <w:t xml:space="preserve"> </w:t>
            </w:r>
            <w:r w:rsidR="007B3E87" w:rsidRPr="00B02631">
              <w:rPr>
                <w:rFonts w:asciiTheme="majorHAnsi" w:eastAsia="Times New Roman" w:hAnsiTheme="majorHAnsi" w:cstheme="majorHAnsi"/>
                <w:b/>
                <w:szCs w:val="24"/>
                <w:shd w:val="clear" w:color="auto" w:fill="FFFFFF"/>
                <w:lang w:val="ru-MD"/>
              </w:rPr>
              <w:t>тыс. леев</w:t>
            </w:r>
          </w:p>
        </w:tc>
        <w:tc>
          <w:tcPr>
            <w:tcW w:w="3154" w:type="dxa"/>
          </w:tcPr>
          <w:p w14:paraId="2FE62800" w14:textId="1B71937A" w:rsidR="00787F4E" w:rsidRPr="00B02631" w:rsidRDefault="00F0530B" w:rsidP="007568BB">
            <w:pPr>
              <w:pStyle w:val="aa"/>
              <w:ind w:left="0"/>
              <w:contextualSpacing w:val="0"/>
              <w:jc w:val="both"/>
              <w:rPr>
                <w:rFonts w:asciiTheme="majorHAnsi" w:eastAsia="Times New Roman" w:hAnsiTheme="majorHAnsi" w:cstheme="majorHAnsi"/>
                <w:szCs w:val="24"/>
                <w:shd w:val="clear" w:color="auto" w:fill="FFFFFF"/>
                <w:lang w:val="ru-MD"/>
              </w:rPr>
            </w:pPr>
            <w:r w:rsidRPr="00B02631">
              <w:rPr>
                <w:rFonts w:asciiTheme="majorHAnsi" w:eastAsia="Times New Roman" w:hAnsiTheme="majorHAnsi" w:cstheme="majorHAnsi"/>
                <w:szCs w:val="24"/>
                <w:shd w:val="clear" w:color="auto" w:fill="FFFFFF"/>
                <w:lang w:val="ru-MD"/>
              </w:rPr>
              <w:t>Ежемесячное количество работников по минимальному тарифу</w:t>
            </w:r>
            <w:r w:rsidR="005A2FAD" w:rsidRPr="00B02631">
              <w:rPr>
                <w:rFonts w:asciiTheme="majorHAnsi" w:eastAsia="Times New Roman" w:hAnsiTheme="majorHAnsi" w:cstheme="majorHAnsi"/>
                <w:szCs w:val="24"/>
                <w:shd w:val="clear" w:color="auto" w:fill="FFFFFF"/>
                <w:lang w:val="ru-MD"/>
              </w:rPr>
              <w:t xml:space="preserve"> x 327,69</w:t>
            </w:r>
          </w:p>
        </w:tc>
        <w:tc>
          <w:tcPr>
            <w:tcW w:w="1722" w:type="dxa"/>
          </w:tcPr>
          <w:p w14:paraId="2B99600B" w14:textId="4DA837A0" w:rsidR="00787F4E" w:rsidRPr="00B02631" w:rsidRDefault="005A2FAD" w:rsidP="007568BB">
            <w:pPr>
              <w:pStyle w:val="aa"/>
              <w:ind w:left="0"/>
              <w:contextualSpacing w:val="0"/>
              <w:jc w:val="right"/>
              <w:rPr>
                <w:rFonts w:asciiTheme="majorHAnsi" w:eastAsia="Times New Roman" w:hAnsiTheme="majorHAnsi" w:cstheme="majorHAnsi"/>
                <w:szCs w:val="24"/>
                <w:shd w:val="clear" w:color="auto" w:fill="FFFFFF"/>
                <w:lang w:val="ru-MD"/>
              </w:rPr>
            </w:pPr>
            <w:r w:rsidRPr="00B02631">
              <w:rPr>
                <w:rFonts w:asciiTheme="majorHAnsi" w:eastAsia="Times New Roman" w:hAnsiTheme="majorHAnsi" w:cstheme="majorHAnsi"/>
                <w:szCs w:val="24"/>
                <w:shd w:val="clear" w:color="auto" w:fill="FFFFFF"/>
                <w:lang w:val="ru-MD"/>
              </w:rPr>
              <w:t>9012,5</w:t>
            </w:r>
          </w:p>
        </w:tc>
      </w:tr>
    </w:tbl>
    <w:p w14:paraId="092FFEF7" w14:textId="2A286186" w:rsidR="009973AF" w:rsidRPr="00B02631" w:rsidRDefault="00281F6D" w:rsidP="00DA562C">
      <w:pPr>
        <w:pStyle w:val="aa"/>
        <w:shd w:val="clear" w:color="auto" w:fill="FFFFFF"/>
        <w:spacing w:after="0" w:line="276" w:lineRule="auto"/>
        <w:ind w:left="0"/>
        <w:jc w:val="both"/>
        <w:rPr>
          <w:rFonts w:asciiTheme="majorHAnsi" w:eastAsia="Times New Roman" w:hAnsiTheme="majorHAnsi" w:cstheme="majorHAnsi"/>
          <w:i/>
          <w:sz w:val="20"/>
          <w:szCs w:val="18"/>
          <w:shd w:val="clear" w:color="auto" w:fill="FFFFFF"/>
          <w:lang w:val="ru-MD"/>
        </w:rPr>
      </w:pPr>
      <w:r w:rsidRPr="00B02631">
        <w:rPr>
          <w:rFonts w:asciiTheme="majorHAnsi" w:eastAsia="Times New Roman" w:hAnsiTheme="majorHAnsi" w:cstheme="majorHAnsi"/>
          <w:i/>
          <w:sz w:val="20"/>
          <w:szCs w:val="18"/>
          <w:shd w:val="clear" w:color="auto" w:fill="FFFFFF"/>
          <w:lang w:val="ru-MD"/>
        </w:rPr>
        <w:t>Источник</w:t>
      </w:r>
      <w:r w:rsidR="00B13C6C" w:rsidRPr="00B02631">
        <w:rPr>
          <w:rFonts w:asciiTheme="majorHAnsi" w:eastAsia="Times New Roman" w:hAnsiTheme="majorHAnsi" w:cstheme="majorHAnsi"/>
          <w:i/>
          <w:sz w:val="20"/>
          <w:szCs w:val="18"/>
          <w:shd w:val="clear" w:color="auto" w:fill="FFFFFF"/>
          <w:lang w:val="ru-MD"/>
        </w:rPr>
        <w:t xml:space="preserve">: </w:t>
      </w:r>
      <w:r w:rsidR="007B3E87" w:rsidRPr="00B02631">
        <w:rPr>
          <w:rFonts w:asciiTheme="majorHAnsi" w:eastAsia="Times New Roman" w:hAnsiTheme="majorHAnsi" w:cstheme="majorHAnsi"/>
          <w:i/>
          <w:sz w:val="20"/>
          <w:szCs w:val="18"/>
          <w:shd w:val="clear" w:color="auto" w:fill="FFFFFF"/>
          <w:lang w:val="ru-MD"/>
        </w:rPr>
        <w:t>Разработано аудитом</w:t>
      </w:r>
      <w:r w:rsidR="00C10267" w:rsidRPr="00B02631">
        <w:rPr>
          <w:rFonts w:asciiTheme="majorHAnsi" w:eastAsia="Times New Roman" w:hAnsiTheme="majorHAnsi" w:cstheme="majorHAnsi"/>
          <w:i/>
          <w:sz w:val="20"/>
          <w:szCs w:val="18"/>
          <w:shd w:val="clear" w:color="auto" w:fill="FFFFFF"/>
          <w:lang w:val="ru-MD"/>
        </w:rPr>
        <w:t>.</w:t>
      </w:r>
    </w:p>
    <w:p w14:paraId="7B343E36" w14:textId="77777777" w:rsidR="00B13C6C" w:rsidRPr="00B02631" w:rsidRDefault="00B13C6C" w:rsidP="00DA562C">
      <w:pPr>
        <w:pStyle w:val="aa"/>
        <w:shd w:val="clear" w:color="auto" w:fill="FFFFFF"/>
        <w:spacing w:after="0" w:line="276" w:lineRule="auto"/>
        <w:ind w:left="0"/>
        <w:jc w:val="both"/>
        <w:rPr>
          <w:rFonts w:asciiTheme="majorHAnsi" w:eastAsia="Times New Roman" w:hAnsiTheme="majorHAnsi" w:cstheme="majorHAnsi"/>
          <w:sz w:val="18"/>
          <w:szCs w:val="18"/>
          <w:shd w:val="clear" w:color="auto" w:fill="FFFFFF"/>
          <w:lang w:val="ru-MD"/>
        </w:rPr>
      </w:pPr>
    </w:p>
    <w:p w14:paraId="5C4B6939" w14:textId="50127E4B" w:rsidR="00DA562C" w:rsidRPr="004D6499" w:rsidRDefault="00976EC4" w:rsidP="004042BC">
      <w:pPr>
        <w:pStyle w:val="aa"/>
        <w:shd w:val="clear" w:color="auto" w:fill="FFFFFF"/>
        <w:spacing w:after="0" w:line="276" w:lineRule="auto"/>
        <w:ind w:left="0"/>
        <w:jc w:val="both"/>
        <w:rPr>
          <w:rFonts w:asciiTheme="majorHAnsi" w:eastAsia="Times New Roman" w:hAnsiTheme="majorHAnsi" w:cstheme="majorHAnsi"/>
          <w:sz w:val="24"/>
          <w:szCs w:val="24"/>
          <w:shd w:val="clear" w:color="auto" w:fill="FFFFFF"/>
          <w:lang w:val="ru-MD"/>
        </w:rPr>
      </w:pPr>
      <w:r w:rsidRPr="004D6499">
        <w:rPr>
          <w:rFonts w:asciiTheme="majorHAnsi" w:eastAsia="Times New Roman" w:hAnsiTheme="majorHAnsi" w:cstheme="majorHAnsi"/>
          <w:sz w:val="24"/>
          <w:szCs w:val="24"/>
          <w:shd w:val="clear" w:color="auto" w:fill="FFFFFF"/>
          <w:lang w:val="ru-MD"/>
        </w:rPr>
        <w:t xml:space="preserve">Так, анализ информации </w:t>
      </w:r>
      <w:r w:rsidR="004D6499" w:rsidRPr="004D6499">
        <w:rPr>
          <w:rFonts w:asciiTheme="majorHAnsi" w:eastAsia="Times New Roman" w:hAnsiTheme="majorHAnsi" w:cstheme="majorHAnsi"/>
          <w:sz w:val="24"/>
          <w:szCs w:val="24"/>
          <w:shd w:val="clear" w:color="auto" w:fill="FFFFFF"/>
          <w:lang w:val="ru-MD"/>
        </w:rPr>
        <w:t>из ИС</w:t>
      </w:r>
      <w:r w:rsidRPr="004D6499">
        <w:rPr>
          <w:rFonts w:asciiTheme="majorHAnsi" w:eastAsia="Times New Roman" w:hAnsiTheme="majorHAnsi" w:cstheme="majorHAnsi"/>
          <w:sz w:val="24"/>
          <w:szCs w:val="24"/>
          <w:shd w:val="clear" w:color="auto" w:fill="FFFFFF"/>
          <w:lang w:val="ru-MD"/>
        </w:rPr>
        <w:t xml:space="preserve"> </w:t>
      </w:r>
      <w:r w:rsidR="004D6499" w:rsidRPr="004D6499">
        <w:rPr>
          <w:rFonts w:asciiTheme="majorHAnsi" w:eastAsia="Times New Roman" w:hAnsiTheme="majorHAnsi" w:cstheme="majorHAnsi"/>
          <w:sz w:val="24"/>
          <w:szCs w:val="24"/>
          <w:shd w:val="clear" w:color="auto" w:fill="FFFFFF"/>
          <w:lang w:val="ru-MD"/>
        </w:rPr>
        <w:t>„</w:t>
      </w:r>
      <w:r w:rsidRPr="004D6499">
        <w:rPr>
          <w:rFonts w:asciiTheme="majorHAnsi" w:eastAsia="Times New Roman" w:hAnsiTheme="majorHAnsi" w:cstheme="majorHAnsi"/>
          <w:sz w:val="24"/>
          <w:szCs w:val="24"/>
          <w:shd w:val="clear" w:color="auto" w:fill="FFFFFF"/>
          <w:lang w:val="ru-MD"/>
        </w:rPr>
        <w:t>Социальная защита</w:t>
      </w:r>
      <w:r w:rsidR="004D6499" w:rsidRPr="004D6499">
        <w:rPr>
          <w:rFonts w:asciiTheme="majorHAnsi" w:eastAsia="Times New Roman" w:hAnsiTheme="majorHAnsi" w:cstheme="majorHAnsi"/>
          <w:sz w:val="24"/>
          <w:szCs w:val="24"/>
          <w:shd w:val="clear" w:color="auto" w:fill="FFFFFF"/>
          <w:lang w:val="ru-MD"/>
        </w:rPr>
        <w:t>”</w:t>
      </w:r>
      <w:r w:rsidRPr="004D6499">
        <w:rPr>
          <w:rFonts w:asciiTheme="majorHAnsi" w:eastAsia="Times New Roman" w:hAnsiTheme="majorHAnsi" w:cstheme="majorHAnsi"/>
          <w:sz w:val="24"/>
          <w:szCs w:val="24"/>
          <w:shd w:val="clear" w:color="auto" w:fill="FFFFFF"/>
          <w:lang w:val="ru-MD"/>
        </w:rPr>
        <w:t xml:space="preserve">, просмотр текущего счета плательщика в </w:t>
      </w:r>
      <w:r w:rsidR="004D6499" w:rsidRPr="004D6499">
        <w:rPr>
          <w:rFonts w:asciiTheme="majorHAnsi" w:eastAsia="Times New Roman" w:hAnsiTheme="majorHAnsi" w:cstheme="majorHAnsi"/>
          <w:sz w:val="24"/>
          <w:szCs w:val="24"/>
          <w:shd w:val="clear" w:color="auto" w:fill="FFFFFF"/>
          <w:lang w:val="ru-MD"/>
        </w:rPr>
        <w:t>БГСС</w:t>
      </w:r>
      <w:r w:rsidRPr="004D6499">
        <w:rPr>
          <w:rFonts w:asciiTheme="majorHAnsi" w:eastAsia="Times New Roman" w:hAnsiTheme="majorHAnsi" w:cstheme="majorHAnsi"/>
          <w:sz w:val="24"/>
          <w:szCs w:val="24"/>
          <w:shd w:val="clear" w:color="auto" w:fill="FFFFFF"/>
          <w:lang w:val="ru-MD"/>
        </w:rPr>
        <w:t xml:space="preserve"> и выписки </w:t>
      </w:r>
      <w:r w:rsidR="004D6499" w:rsidRPr="004D6499">
        <w:rPr>
          <w:rFonts w:asciiTheme="majorHAnsi" w:eastAsia="Times New Roman" w:hAnsiTheme="majorHAnsi" w:cstheme="majorHAnsi"/>
          <w:sz w:val="24"/>
          <w:szCs w:val="24"/>
          <w:shd w:val="clear" w:color="auto" w:fill="FFFFFF"/>
          <w:lang w:val="ru-MD"/>
        </w:rPr>
        <w:t>с</w:t>
      </w:r>
      <w:r w:rsidRPr="004D6499">
        <w:rPr>
          <w:rFonts w:asciiTheme="majorHAnsi" w:eastAsia="Times New Roman" w:hAnsiTheme="majorHAnsi" w:cstheme="majorHAnsi"/>
          <w:sz w:val="24"/>
          <w:szCs w:val="24"/>
          <w:shd w:val="clear" w:color="auto" w:fill="FFFFFF"/>
          <w:lang w:val="ru-MD"/>
        </w:rPr>
        <w:t xml:space="preserve"> ли</w:t>
      </w:r>
      <w:r w:rsidR="004D6499" w:rsidRPr="004D6499">
        <w:rPr>
          <w:rFonts w:asciiTheme="majorHAnsi" w:eastAsia="Times New Roman" w:hAnsiTheme="majorHAnsi" w:cstheme="majorHAnsi"/>
          <w:sz w:val="24"/>
          <w:szCs w:val="24"/>
          <w:shd w:val="clear" w:color="auto" w:fill="FFFFFF"/>
          <w:lang w:val="ru-MD"/>
        </w:rPr>
        <w:t>цево</w:t>
      </w:r>
      <w:r w:rsidRPr="004D6499">
        <w:rPr>
          <w:rFonts w:asciiTheme="majorHAnsi" w:eastAsia="Times New Roman" w:hAnsiTheme="majorHAnsi" w:cstheme="majorHAnsi"/>
          <w:sz w:val="24"/>
          <w:szCs w:val="24"/>
          <w:shd w:val="clear" w:color="auto" w:fill="FFFFFF"/>
          <w:lang w:val="ru-MD"/>
        </w:rPr>
        <w:t>го счета показ</w:t>
      </w:r>
      <w:r w:rsidR="004D6499" w:rsidRPr="004D6499">
        <w:rPr>
          <w:rFonts w:asciiTheme="majorHAnsi" w:eastAsia="Times New Roman" w:hAnsiTheme="majorHAnsi" w:cstheme="majorHAnsi"/>
          <w:sz w:val="24"/>
          <w:szCs w:val="24"/>
          <w:shd w:val="clear" w:color="auto" w:fill="FFFFFF"/>
          <w:lang w:val="ru-MD"/>
        </w:rPr>
        <w:t>али</w:t>
      </w:r>
      <w:r w:rsidRPr="004D6499">
        <w:rPr>
          <w:rFonts w:asciiTheme="majorHAnsi" w:eastAsia="Times New Roman" w:hAnsiTheme="majorHAnsi" w:cstheme="majorHAnsi"/>
          <w:sz w:val="24"/>
          <w:szCs w:val="24"/>
          <w:shd w:val="clear" w:color="auto" w:fill="FFFFFF"/>
          <w:lang w:val="ru-MD"/>
        </w:rPr>
        <w:t>, что сумма взносов социального страхования, определенных для пере</w:t>
      </w:r>
      <w:r w:rsidR="004D6499" w:rsidRPr="004D6499">
        <w:rPr>
          <w:rFonts w:asciiTheme="majorHAnsi" w:eastAsia="Times New Roman" w:hAnsiTheme="majorHAnsi" w:cstheme="majorHAnsi"/>
          <w:sz w:val="24"/>
          <w:szCs w:val="24"/>
          <w:shd w:val="clear" w:color="auto" w:fill="FFFFFF"/>
          <w:lang w:val="ru-MD"/>
        </w:rPr>
        <w:t>числения</w:t>
      </w:r>
      <w:r w:rsidRPr="004D6499">
        <w:rPr>
          <w:rFonts w:asciiTheme="majorHAnsi" w:eastAsia="Times New Roman" w:hAnsiTheme="majorHAnsi" w:cstheme="majorHAnsi"/>
          <w:sz w:val="24"/>
          <w:szCs w:val="24"/>
          <w:shd w:val="clear" w:color="auto" w:fill="FFFFFF"/>
          <w:lang w:val="ru-MD"/>
        </w:rPr>
        <w:t xml:space="preserve"> в </w:t>
      </w:r>
      <w:r w:rsidR="004D6499" w:rsidRPr="004D6499">
        <w:rPr>
          <w:rFonts w:asciiTheme="majorHAnsi" w:eastAsia="Times New Roman" w:hAnsiTheme="majorHAnsi" w:cstheme="majorHAnsi"/>
          <w:sz w:val="24"/>
          <w:szCs w:val="24"/>
          <w:shd w:val="clear" w:color="auto" w:fill="FFFFFF"/>
          <w:lang w:val="ru-MD"/>
        </w:rPr>
        <w:t>БГСС</w:t>
      </w:r>
      <w:r w:rsidRPr="004D6499">
        <w:rPr>
          <w:rFonts w:asciiTheme="majorHAnsi" w:eastAsia="Times New Roman" w:hAnsiTheme="majorHAnsi" w:cstheme="majorHAnsi"/>
          <w:sz w:val="24"/>
          <w:szCs w:val="24"/>
          <w:shd w:val="clear" w:color="auto" w:fill="FFFFFF"/>
          <w:lang w:val="ru-MD"/>
        </w:rPr>
        <w:t xml:space="preserve">, в некоторых случаях не покрывает </w:t>
      </w:r>
      <w:r w:rsidR="004D6499" w:rsidRPr="004D6499">
        <w:rPr>
          <w:rFonts w:asciiTheme="majorHAnsi" w:eastAsia="Times New Roman" w:hAnsiTheme="majorHAnsi" w:cstheme="majorHAnsi"/>
          <w:sz w:val="24"/>
          <w:szCs w:val="24"/>
          <w:shd w:val="clear" w:color="auto" w:fill="FFFFFF"/>
          <w:lang w:val="ru-MD"/>
        </w:rPr>
        <w:t xml:space="preserve">полностью </w:t>
      </w:r>
      <w:r w:rsidRPr="004D6499">
        <w:rPr>
          <w:rFonts w:asciiTheme="majorHAnsi" w:eastAsia="Times New Roman" w:hAnsiTheme="majorHAnsi" w:cstheme="majorHAnsi"/>
          <w:sz w:val="24"/>
          <w:szCs w:val="24"/>
          <w:shd w:val="clear" w:color="auto" w:fill="FFFFFF"/>
          <w:lang w:val="ru-MD"/>
        </w:rPr>
        <w:t xml:space="preserve">сумму </w:t>
      </w:r>
      <w:r w:rsidR="004D6499" w:rsidRPr="004D6499">
        <w:rPr>
          <w:rFonts w:asciiTheme="majorHAnsi" w:eastAsia="Times New Roman" w:hAnsiTheme="majorHAnsi" w:cstheme="majorHAnsi"/>
          <w:sz w:val="24"/>
          <w:szCs w:val="24"/>
          <w:shd w:val="clear" w:color="auto" w:fill="FFFFFF"/>
          <w:lang w:val="ru-MD"/>
        </w:rPr>
        <w:t xml:space="preserve">рассчитанных </w:t>
      </w:r>
      <w:r w:rsidRPr="004D6499">
        <w:rPr>
          <w:rFonts w:asciiTheme="majorHAnsi" w:eastAsia="Times New Roman" w:hAnsiTheme="majorHAnsi" w:cstheme="majorHAnsi"/>
          <w:sz w:val="24"/>
          <w:szCs w:val="24"/>
          <w:shd w:val="clear" w:color="auto" w:fill="FFFFFF"/>
          <w:lang w:val="ru-MD"/>
        </w:rPr>
        <w:t>взносов социального страхования, обеспечива</w:t>
      </w:r>
      <w:r w:rsidR="004D6499" w:rsidRPr="004D6499">
        <w:rPr>
          <w:rFonts w:asciiTheme="majorHAnsi" w:eastAsia="Times New Roman" w:hAnsiTheme="majorHAnsi" w:cstheme="majorHAnsi"/>
          <w:sz w:val="24"/>
          <w:szCs w:val="24"/>
          <w:shd w:val="clear" w:color="auto" w:fill="FFFFFF"/>
          <w:lang w:val="ru-MD"/>
        </w:rPr>
        <w:t>ющих</w:t>
      </w:r>
      <w:r w:rsidRPr="004D6499">
        <w:rPr>
          <w:rFonts w:asciiTheme="majorHAnsi" w:eastAsia="Times New Roman" w:hAnsiTheme="majorHAnsi" w:cstheme="majorHAnsi"/>
          <w:sz w:val="24"/>
          <w:szCs w:val="24"/>
          <w:shd w:val="clear" w:color="auto" w:fill="FFFFFF"/>
          <w:lang w:val="ru-MD"/>
        </w:rPr>
        <w:t xml:space="preserve"> расчетную базу, что </w:t>
      </w:r>
      <w:r w:rsidR="004D6499">
        <w:rPr>
          <w:rFonts w:asciiTheme="majorHAnsi" w:eastAsia="Times New Roman" w:hAnsiTheme="majorHAnsi" w:cstheme="majorHAnsi"/>
          <w:sz w:val="24"/>
          <w:szCs w:val="24"/>
          <w:shd w:val="clear" w:color="auto" w:fill="FFFFFF"/>
          <w:lang w:val="ru-MD"/>
        </w:rPr>
        <w:t>приводит к</w:t>
      </w:r>
      <w:r w:rsidRPr="004D6499">
        <w:rPr>
          <w:rFonts w:asciiTheme="majorHAnsi" w:eastAsia="Times New Roman" w:hAnsiTheme="majorHAnsi" w:cstheme="majorHAnsi"/>
          <w:sz w:val="24"/>
          <w:szCs w:val="24"/>
          <w:shd w:val="clear" w:color="auto" w:fill="FFFFFF"/>
          <w:lang w:val="ru-MD"/>
        </w:rPr>
        <w:t xml:space="preserve"> </w:t>
      </w:r>
      <w:r w:rsidR="004D6499" w:rsidRPr="004D6499">
        <w:rPr>
          <w:rFonts w:asciiTheme="majorHAnsi" w:eastAsia="Times New Roman" w:hAnsiTheme="majorHAnsi" w:cstheme="majorHAnsi"/>
          <w:sz w:val="24"/>
          <w:szCs w:val="24"/>
          <w:shd w:val="clear" w:color="auto" w:fill="FFFFFF"/>
          <w:lang w:val="ru-MD"/>
        </w:rPr>
        <w:t>у</w:t>
      </w:r>
      <w:r w:rsidRPr="004D6499">
        <w:rPr>
          <w:rFonts w:asciiTheme="majorHAnsi" w:eastAsia="Times New Roman" w:hAnsiTheme="majorHAnsi" w:cstheme="majorHAnsi"/>
          <w:sz w:val="24"/>
          <w:szCs w:val="24"/>
          <w:shd w:val="clear" w:color="auto" w:fill="FFFFFF"/>
          <w:lang w:val="ru-MD"/>
        </w:rPr>
        <w:t>пущен</w:t>
      </w:r>
      <w:r w:rsidR="004D6499" w:rsidRPr="004D6499">
        <w:rPr>
          <w:rFonts w:asciiTheme="majorHAnsi" w:eastAsia="Times New Roman" w:hAnsiTheme="majorHAnsi" w:cstheme="majorHAnsi"/>
          <w:sz w:val="24"/>
          <w:szCs w:val="24"/>
          <w:shd w:val="clear" w:color="auto" w:fill="FFFFFF"/>
          <w:lang w:val="ru-MD"/>
        </w:rPr>
        <w:t>и</w:t>
      </w:r>
      <w:r w:rsidR="004D6499">
        <w:rPr>
          <w:rFonts w:asciiTheme="majorHAnsi" w:eastAsia="Times New Roman" w:hAnsiTheme="majorHAnsi" w:cstheme="majorHAnsi"/>
          <w:sz w:val="24"/>
          <w:szCs w:val="24"/>
          <w:shd w:val="clear" w:color="auto" w:fill="FFFFFF"/>
          <w:lang w:val="ru-MD"/>
        </w:rPr>
        <w:t>ю</w:t>
      </w:r>
      <w:r w:rsidRPr="004D6499">
        <w:rPr>
          <w:rFonts w:asciiTheme="majorHAnsi" w:eastAsia="Times New Roman" w:hAnsiTheme="majorHAnsi" w:cstheme="majorHAnsi"/>
          <w:sz w:val="24"/>
          <w:szCs w:val="24"/>
          <w:shd w:val="clear" w:color="auto" w:fill="FFFFFF"/>
          <w:lang w:val="ru-MD"/>
        </w:rPr>
        <w:t xml:space="preserve"> доход</w:t>
      </w:r>
      <w:r w:rsidR="004D6499" w:rsidRPr="004D6499">
        <w:rPr>
          <w:rFonts w:asciiTheme="majorHAnsi" w:eastAsia="Times New Roman" w:hAnsiTheme="majorHAnsi" w:cstheme="majorHAnsi"/>
          <w:sz w:val="24"/>
          <w:szCs w:val="24"/>
          <w:shd w:val="clear" w:color="auto" w:fill="FFFFFF"/>
          <w:lang w:val="ru-MD"/>
        </w:rPr>
        <w:t>ов</w:t>
      </w:r>
      <w:r w:rsidRPr="004D6499">
        <w:rPr>
          <w:rFonts w:asciiTheme="majorHAnsi" w:eastAsia="Times New Roman" w:hAnsiTheme="majorHAnsi" w:cstheme="majorHAnsi"/>
          <w:sz w:val="24"/>
          <w:szCs w:val="24"/>
          <w:shd w:val="clear" w:color="auto" w:fill="FFFFFF"/>
          <w:lang w:val="ru-MD"/>
        </w:rPr>
        <w:t>, оцененны</w:t>
      </w:r>
      <w:r w:rsidR="004D6499" w:rsidRPr="004D6499">
        <w:rPr>
          <w:rFonts w:asciiTheme="majorHAnsi" w:eastAsia="Times New Roman" w:hAnsiTheme="majorHAnsi" w:cstheme="majorHAnsi"/>
          <w:sz w:val="24"/>
          <w:szCs w:val="24"/>
          <w:shd w:val="clear" w:color="auto" w:fill="FFFFFF"/>
          <w:lang w:val="ru-MD"/>
        </w:rPr>
        <w:t>х</w:t>
      </w:r>
      <w:r w:rsidRPr="004D6499">
        <w:rPr>
          <w:rFonts w:asciiTheme="majorHAnsi" w:eastAsia="Times New Roman" w:hAnsiTheme="majorHAnsi" w:cstheme="majorHAnsi"/>
          <w:sz w:val="24"/>
          <w:szCs w:val="24"/>
          <w:shd w:val="clear" w:color="auto" w:fill="FFFFFF"/>
          <w:lang w:val="ru-MD"/>
        </w:rPr>
        <w:t xml:space="preserve"> аудитом </w:t>
      </w:r>
      <w:r w:rsidR="004D6499" w:rsidRPr="004D6499">
        <w:rPr>
          <w:rFonts w:asciiTheme="majorHAnsi" w:eastAsia="Times New Roman" w:hAnsiTheme="majorHAnsi" w:cstheme="majorHAnsi"/>
          <w:sz w:val="24"/>
          <w:szCs w:val="24"/>
          <w:shd w:val="clear" w:color="auto" w:fill="FFFFFF"/>
          <w:lang w:val="ru-MD"/>
        </w:rPr>
        <w:t>за</w:t>
      </w:r>
      <w:r w:rsidRPr="004D6499">
        <w:rPr>
          <w:rFonts w:asciiTheme="majorHAnsi" w:eastAsia="Times New Roman" w:hAnsiTheme="majorHAnsi" w:cstheme="majorHAnsi"/>
          <w:sz w:val="24"/>
          <w:szCs w:val="24"/>
          <w:shd w:val="clear" w:color="auto" w:fill="FFFFFF"/>
          <w:lang w:val="ru-MD"/>
        </w:rPr>
        <w:t xml:space="preserve"> 2022 год в 9 012,5 тыс. леев</w:t>
      </w:r>
      <w:r w:rsidR="004D6499" w:rsidRPr="004D6499">
        <w:rPr>
          <w:rFonts w:asciiTheme="majorHAnsi" w:eastAsia="Times New Roman" w:hAnsiTheme="majorHAnsi" w:cstheme="majorHAnsi"/>
          <w:sz w:val="24"/>
          <w:szCs w:val="24"/>
          <w:shd w:val="clear" w:color="auto" w:fill="FFFFFF"/>
          <w:lang w:val="ru-MD"/>
        </w:rPr>
        <w:t>,</w:t>
      </w:r>
      <w:r w:rsidRPr="004D6499">
        <w:rPr>
          <w:rFonts w:asciiTheme="majorHAnsi" w:eastAsia="Times New Roman" w:hAnsiTheme="majorHAnsi" w:cstheme="majorHAnsi"/>
          <w:sz w:val="24"/>
          <w:szCs w:val="24"/>
          <w:shd w:val="clear" w:color="auto" w:fill="FFFFFF"/>
          <w:lang w:val="ru-MD"/>
        </w:rPr>
        <w:t xml:space="preserve"> и</w:t>
      </w:r>
      <w:r w:rsidR="004D6499" w:rsidRPr="004D6499">
        <w:rPr>
          <w:rFonts w:asciiTheme="majorHAnsi" w:eastAsia="Times New Roman" w:hAnsiTheme="majorHAnsi" w:cstheme="majorHAnsi"/>
          <w:sz w:val="24"/>
          <w:szCs w:val="24"/>
          <w:shd w:val="clear" w:color="auto" w:fill="FFFFFF"/>
          <w:lang w:val="ru-MD"/>
        </w:rPr>
        <w:t>, соответственно, оказывает</w:t>
      </w:r>
      <w:r w:rsidRPr="004D6499">
        <w:rPr>
          <w:rFonts w:asciiTheme="majorHAnsi" w:eastAsia="Times New Roman" w:hAnsiTheme="majorHAnsi" w:cstheme="majorHAnsi"/>
          <w:sz w:val="24"/>
          <w:szCs w:val="24"/>
          <w:shd w:val="clear" w:color="auto" w:fill="FFFFFF"/>
          <w:lang w:val="ru-MD"/>
        </w:rPr>
        <w:t xml:space="preserve"> давление на </w:t>
      </w:r>
      <w:r w:rsidR="004D6499" w:rsidRPr="004D6499">
        <w:rPr>
          <w:rFonts w:asciiTheme="majorHAnsi" w:eastAsia="Times New Roman" w:hAnsiTheme="majorHAnsi" w:cstheme="majorHAnsi"/>
          <w:sz w:val="24"/>
          <w:szCs w:val="24"/>
          <w:shd w:val="clear" w:color="auto" w:fill="FFFFFF"/>
          <w:lang w:val="ru-MD"/>
        </w:rPr>
        <w:t>БГСС</w:t>
      </w:r>
      <w:r w:rsidRPr="004D6499">
        <w:rPr>
          <w:rFonts w:asciiTheme="majorHAnsi" w:eastAsia="Times New Roman" w:hAnsiTheme="majorHAnsi" w:cstheme="majorHAnsi"/>
          <w:sz w:val="24"/>
          <w:szCs w:val="24"/>
          <w:shd w:val="clear" w:color="auto" w:fill="FFFFFF"/>
          <w:lang w:val="ru-MD"/>
        </w:rPr>
        <w:t xml:space="preserve"> при </w:t>
      </w:r>
      <w:r w:rsidR="004D6499" w:rsidRPr="004D6499">
        <w:rPr>
          <w:rFonts w:asciiTheme="majorHAnsi" w:eastAsia="Times New Roman" w:hAnsiTheme="majorHAnsi" w:cstheme="majorHAnsi"/>
          <w:sz w:val="24"/>
          <w:szCs w:val="24"/>
          <w:shd w:val="clear" w:color="auto" w:fill="FFFFFF"/>
          <w:lang w:val="ru-MD"/>
        </w:rPr>
        <w:t>начислении</w:t>
      </w:r>
      <w:r w:rsidRPr="004D6499">
        <w:rPr>
          <w:rFonts w:asciiTheme="majorHAnsi" w:eastAsia="Times New Roman" w:hAnsiTheme="majorHAnsi" w:cstheme="majorHAnsi"/>
          <w:sz w:val="24"/>
          <w:szCs w:val="24"/>
          <w:shd w:val="clear" w:color="auto" w:fill="FFFFFF"/>
          <w:lang w:val="ru-MD"/>
        </w:rPr>
        <w:t xml:space="preserve"> пособий. </w:t>
      </w:r>
    </w:p>
    <w:p w14:paraId="4AFC3A39" w14:textId="77777777" w:rsidR="00EC7995" w:rsidRPr="00653E85" w:rsidRDefault="00EC7995" w:rsidP="004042BC">
      <w:pPr>
        <w:pStyle w:val="aa"/>
        <w:shd w:val="clear" w:color="auto" w:fill="FFFFFF"/>
        <w:spacing w:after="0" w:line="276" w:lineRule="auto"/>
        <w:ind w:left="0"/>
        <w:jc w:val="both"/>
        <w:rPr>
          <w:rFonts w:asciiTheme="majorHAnsi" w:eastAsia="Times New Roman" w:hAnsiTheme="majorHAnsi" w:cstheme="majorHAnsi"/>
          <w:sz w:val="24"/>
          <w:szCs w:val="24"/>
          <w:shd w:val="clear" w:color="auto" w:fill="FFFFFF"/>
          <w:lang w:val="ro-MD"/>
        </w:rPr>
      </w:pPr>
    </w:p>
    <w:p w14:paraId="5434BF30" w14:textId="016E8404" w:rsidR="00DA562C" w:rsidRPr="00B03639" w:rsidRDefault="00976EC4" w:rsidP="00976EC4">
      <w:pPr>
        <w:pStyle w:val="aa"/>
        <w:numPr>
          <w:ilvl w:val="0"/>
          <w:numId w:val="19"/>
        </w:numPr>
        <w:shd w:val="clear" w:color="auto" w:fill="FFFFFF"/>
        <w:tabs>
          <w:tab w:val="left" w:pos="360"/>
        </w:tabs>
        <w:spacing w:after="0" w:line="276" w:lineRule="auto"/>
        <w:ind w:left="0" w:firstLine="0"/>
        <w:jc w:val="both"/>
        <w:rPr>
          <w:rFonts w:asciiTheme="majorHAnsi" w:eastAsia="Times New Roman" w:hAnsiTheme="majorHAnsi" w:cstheme="majorHAnsi"/>
          <w:b/>
          <w:bCs/>
          <w:i/>
          <w:iCs/>
          <w:sz w:val="24"/>
          <w:szCs w:val="24"/>
          <w:shd w:val="clear" w:color="auto" w:fill="FFFFFF"/>
          <w:lang w:val="ru-MD"/>
        </w:rPr>
      </w:pPr>
      <w:r w:rsidRPr="00B03639">
        <w:rPr>
          <w:rFonts w:asciiTheme="majorHAnsi" w:eastAsia="Times New Roman" w:hAnsiTheme="majorHAnsi" w:cstheme="majorHAnsi"/>
          <w:b/>
          <w:bCs/>
          <w:i/>
          <w:iCs/>
          <w:sz w:val="24"/>
          <w:szCs w:val="24"/>
          <w:shd w:val="clear" w:color="auto" w:fill="FFFFFF"/>
          <w:lang w:val="ru-MD"/>
        </w:rPr>
        <w:t xml:space="preserve">Размер пособий, установленных для работников </w:t>
      </w:r>
      <w:r w:rsidR="00B03639" w:rsidRPr="00B03639">
        <w:rPr>
          <w:rFonts w:asciiTheme="majorHAnsi" w:eastAsia="Times New Roman" w:hAnsiTheme="majorHAnsi" w:cstheme="majorHAnsi"/>
          <w:b/>
          <w:bCs/>
          <w:i/>
          <w:iCs/>
          <w:sz w:val="24"/>
          <w:szCs w:val="24"/>
          <w:shd w:val="clear" w:color="auto" w:fill="FFFFFF"/>
          <w:lang w:val="ru-MD"/>
        </w:rPr>
        <w:t>ИТ</w:t>
      </w:r>
      <w:r w:rsidRPr="00B03639">
        <w:rPr>
          <w:rFonts w:asciiTheme="majorHAnsi" w:eastAsia="Times New Roman" w:hAnsiTheme="majorHAnsi" w:cstheme="majorHAnsi"/>
          <w:b/>
          <w:bCs/>
          <w:i/>
          <w:iCs/>
          <w:sz w:val="24"/>
          <w:szCs w:val="24"/>
          <w:shd w:val="clear" w:color="auto" w:fill="FFFFFF"/>
          <w:lang w:val="ru-MD"/>
        </w:rPr>
        <w:t xml:space="preserve">, напрямую зависит от установленных законом положений о </w:t>
      </w:r>
      <w:r w:rsidR="00B03639" w:rsidRPr="00B03639">
        <w:rPr>
          <w:rFonts w:asciiTheme="majorHAnsi" w:eastAsia="Times New Roman" w:hAnsiTheme="majorHAnsi" w:cstheme="majorHAnsi"/>
          <w:b/>
          <w:bCs/>
          <w:i/>
          <w:iCs/>
          <w:sz w:val="24"/>
          <w:szCs w:val="24"/>
          <w:shd w:val="clear" w:color="auto" w:fill="FFFFFF"/>
          <w:lang w:val="ru-MD"/>
        </w:rPr>
        <w:t xml:space="preserve">порядке </w:t>
      </w:r>
      <w:r w:rsidRPr="00B03639">
        <w:rPr>
          <w:rFonts w:asciiTheme="majorHAnsi" w:eastAsia="Times New Roman" w:hAnsiTheme="majorHAnsi" w:cstheme="majorHAnsi"/>
          <w:b/>
          <w:bCs/>
          <w:i/>
          <w:iCs/>
          <w:sz w:val="24"/>
          <w:szCs w:val="24"/>
          <w:shd w:val="clear" w:color="auto" w:fill="FFFFFF"/>
          <w:lang w:val="ru-MD"/>
        </w:rPr>
        <w:t>расчет</w:t>
      </w:r>
      <w:r w:rsidR="00B03639" w:rsidRPr="00B03639">
        <w:rPr>
          <w:rFonts w:asciiTheme="majorHAnsi" w:eastAsia="Times New Roman" w:hAnsiTheme="majorHAnsi" w:cstheme="majorHAnsi"/>
          <w:b/>
          <w:bCs/>
          <w:i/>
          <w:iCs/>
          <w:sz w:val="24"/>
          <w:szCs w:val="24"/>
          <w:shd w:val="clear" w:color="auto" w:fill="FFFFFF"/>
          <w:lang w:val="ru-MD"/>
        </w:rPr>
        <w:t>а</w:t>
      </w:r>
      <w:r w:rsidRPr="00B03639">
        <w:rPr>
          <w:rFonts w:asciiTheme="majorHAnsi" w:eastAsia="Times New Roman" w:hAnsiTheme="majorHAnsi" w:cstheme="majorHAnsi"/>
          <w:b/>
          <w:bCs/>
          <w:i/>
          <w:iCs/>
          <w:sz w:val="24"/>
          <w:szCs w:val="24"/>
          <w:shd w:val="clear" w:color="auto" w:fill="FFFFFF"/>
          <w:lang w:val="ru-MD"/>
        </w:rPr>
        <w:t xml:space="preserve"> и выплат</w:t>
      </w:r>
      <w:r w:rsidR="00B03639" w:rsidRPr="00B03639">
        <w:rPr>
          <w:rFonts w:asciiTheme="majorHAnsi" w:eastAsia="Times New Roman" w:hAnsiTheme="majorHAnsi" w:cstheme="majorHAnsi"/>
          <w:b/>
          <w:bCs/>
          <w:i/>
          <w:iCs/>
          <w:sz w:val="24"/>
          <w:szCs w:val="24"/>
          <w:shd w:val="clear" w:color="auto" w:fill="FFFFFF"/>
          <w:lang w:val="ru-MD"/>
        </w:rPr>
        <w:t>ы</w:t>
      </w:r>
      <w:r w:rsidRPr="00B03639">
        <w:rPr>
          <w:rFonts w:asciiTheme="majorHAnsi" w:eastAsia="Times New Roman" w:hAnsiTheme="majorHAnsi" w:cstheme="majorHAnsi"/>
          <w:b/>
          <w:bCs/>
          <w:i/>
          <w:iCs/>
          <w:sz w:val="24"/>
          <w:szCs w:val="24"/>
          <w:shd w:val="clear" w:color="auto" w:fill="FFFFFF"/>
          <w:lang w:val="ru-MD"/>
        </w:rPr>
        <w:t xml:space="preserve"> взносов социального страхования, поэтому они ограничены в получении социальных </w:t>
      </w:r>
      <w:r w:rsidR="00B03639" w:rsidRPr="00B03639">
        <w:rPr>
          <w:rFonts w:asciiTheme="majorHAnsi" w:eastAsia="Times New Roman" w:hAnsiTheme="majorHAnsi" w:cstheme="majorHAnsi"/>
          <w:b/>
          <w:bCs/>
          <w:i/>
          <w:iCs/>
          <w:sz w:val="24"/>
          <w:szCs w:val="24"/>
          <w:shd w:val="clear" w:color="auto" w:fill="FFFFFF"/>
          <w:lang w:val="ru-MD"/>
        </w:rPr>
        <w:t>пособий</w:t>
      </w:r>
      <w:r w:rsidR="007869E6" w:rsidRPr="00B03639">
        <w:rPr>
          <w:rFonts w:asciiTheme="majorHAnsi" w:eastAsia="Times New Roman" w:hAnsiTheme="majorHAnsi" w:cstheme="majorHAnsi"/>
          <w:b/>
          <w:bCs/>
          <w:i/>
          <w:iCs/>
          <w:sz w:val="24"/>
          <w:szCs w:val="24"/>
          <w:shd w:val="clear" w:color="auto" w:fill="FFFFFF"/>
          <w:lang w:val="ru-MD"/>
        </w:rPr>
        <w:t>.</w:t>
      </w:r>
    </w:p>
    <w:p w14:paraId="06976F41" w14:textId="0883502F" w:rsidR="00DA562C" w:rsidRPr="00B03639" w:rsidRDefault="00B03639" w:rsidP="00DA562C">
      <w:pPr>
        <w:shd w:val="clear" w:color="auto" w:fill="FFFFFF"/>
        <w:spacing w:after="0" w:line="276" w:lineRule="auto"/>
        <w:jc w:val="both"/>
        <w:rPr>
          <w:rFonts w:asciiTheme="majorHAnsi" w:hAnsiTheme="majorHAnsi" w:cstheme="majorHAnsi"/>
          <w:color w:val="333333"/>
          <w:sz w:val="24"/>
          <w:szCs w:val="24"/>
          <w:shd w:val="clear" w:color="auto" w:fill="FFFFFF"/>
          <w:lang w:val="ru-MD"/>
        </w:rPr>
      </w:pPr>
      <w:r w:rsidRPr="00B03639">
        <w:rPr>
          <w:rFonts w:asciiTheme="majorHAnsi" w:eastAsia="Times New Roman" w:hAnsiTheme="majorHAnsi" w:cstheme="majorHAnsi"/>
          <w:sz w:val="24"/>
          <w:szCs w:val="24"/>
          <w:shd w:val="clear" w:color="auto" w:fill="FFFFFF"/>
          <w:lang w:val="ru-MD"/>
        </w:rPr>
        <w:t>Расчетной б</w:t>
      </w:r>
      <w:r w:rsidR="00976EC4" w:rsidRPr="00B03639">
        <w:rPr>
          <w:rFonts w:asciiTheme="majorHAnsi" w:eastAsia="Times New Roman" w:hAnsiTheme="majorHAnsi" w:cstheme="majorHAnsi"/>
          <w:sz w:val="24"/>
          <w:szCs w:val="24"/>
          <w:shd w:val="clear" w:color="auto" w:fill="FFFFFF"/>
          <w:lang w:val="ru-MD"/>
        </w:rPr>
        <w:t>аз</w:t>
      </w:r>
      <w:r w:rsidRPr="00B03639">
        <w:rPr>
          <w:rFonts w:asciiTheme="majorHAnsi" w:eastAsia="Times New Roman" w:hAnsiTheme="majorHAnsi" w:cstheme="majorHAnsi"/>
          <w:sz w:val="24"/>
          <w:szCs w:val="24"/>
          <w:shd w:val="clear" w:color="auto" w:fill="FFFFFF"/>
          <w:lang w:val="ru-MD"/>
        </w:rPr>
        <w:t>ой</w:t>
      </w:r>
      <w:r w:rsidR="00976EC4" w:rsidRPr="00B03639">
        <w:rPr>
          <w:rFonts w:asciiTheme="majorHAnsi" w:eastAsia="Times New Roman" w:hAnsiTheme="majorHAnsi" w:cstheme="majorHAnsi"/>
          <w:sz w:val="24"/>
          <w:szCs w:val="24"/>
          <w:shd w:val="clear" w:color="auto" w:fill="FFFFFF"/>
          <w:lang w:val="ru-MD"/>
        </w:rPr>
        <w:t xml:space="preserve"> пособий социально</w:t>
      </w:r>
      <w:r w:rsidRPr="00B03639">
        <w:rPr>
          <w:rFonts w:asciiTheme="majorHAnsi" w:eastAsia="Times New Roman" w:hAnsiTheme="majorHAnsi" w:cstheme="majorHAnsi"/>
          <w:sz w:val="24"/>
          <w:szCs w:val="24"/>
          <w:shd w:val="clear" w:color="auto" w:fill="FFFFFF"/>
          <w:lang w:val="ru-MD"/>
        </w:rPr>
        <w:t>го</w:t>
      </w:r>
      <w:r w:rsidR="00976EC4" w:rsidRPr="00B03639">
        <w:rPr>
          <w:rFonts w:asciiTheme="majorHAnsi" w:eastAsia="Times New Roman" w:hAnsiTheme="majorHAnsi" w:cstheme="majorHAnsi"/>
          <w:sz w:val="24"/>
          <w:szCs w:val="24"/>
          <w:shd w:val="clear" w:color="auto" w:fill="FFFFFF"/>
          <w:lang w:val="ru-MD"/>
        </w:rPr>
        <w:t xml:space="preserve"> </w:t>
      </w:r>
      <w:r w:rsidRPr="00B03639">
        <w:rPr>
          <w:rFonts w:asciiTheme="majorHAnsi" w:eastAsia="Times New Roman" w:hAnsiTheme="majorHAnsi" w:cstheme="majorHAnsi"/>
          <w:sz w:val="24"/>
          <w:szCs w:val="24"/>
          <w:shd w:val="clear" w:color="auto" w:fill="FFFFFF"/>
          <w:lang w:val="ru-MD"/>
        </w:rPr>
        <w:t>страхования</w:t>
      </w:r>
      <w:r w:rsidR="00976EC4" w:rsidRPr="00B03639">
        <w:rPr>
          <w:rFonts w:asciiTheme="majorHAnsi" w:eastAsia="Times New Roman" w:hAnsiTheme="majorHAnsi" w:cstheme="majorHAnsi"/>
          <w:sz w:val="24"/>
          <w:szCs w:val="24"/>
          <w:shd w:val="clear" w:color="auto" w:fill="FFFFFF"/>
          <w:lang w:val="ru-MD"/>
        </w:rPr>
        <w:t xml:space="preserve"> </w:t>
      </w:r>
      <w:r w:rsidRPr="00B03639">
        <w:rPr>
          <w:rFonts w:asciiTheme="majorHAnsi" w:eastAsia="Times New Roman" w:hAnsiTheme="majorHAnsi" w:cstheme="majorHAnsi"/>
          <w:sz w:val="24"/>
          <w:szCs w:val="24"/>
          <w:shd w:val="clear" w:color="auto" w:fill="FFFFFF"/>
          <w:lang w:val="ru-MD"/>
        </w:rPr>
        <w:t>является</w:t>
      </w:r>
      <w:r w:rsidR="00976EC4" w:rsidRPr="00B03639">
        <w:rPr>
          <w:rFonts w:asciiTheme="majorHAnsi" w:eastAsia="Times New Roman" w:hAnsiTheme="majorHAnsi" w:cstheme="majorHAnsi"/>
          <w:sz w:val="24"/>
          <w:szCs w:val="24"/>
          <w:shd w:val="clear" w:color="auto" w:fill="FFFFFF"/>
          <w:lang w:val="ru-MD"/>
        </w:rPr>
        <w:t xml:space="preserve"> застрахованный ежемесячный доход, доход от которого на дату установления пособия </w:t>
      </w:r>
      <w:r w:rsidRPr="00B03639">
        <w:rPr>
          <w:rFonts w:asciiTheme="majorHAnsi" w:eastAsia="Times New Roman" w:hAnsiTheme="majorHAnsi" w:cstheme="majorHAnsi"/>
          <w:sz w:val="24"/>
          <w:szCs w:val="24"/>
          <w:shd w:val="clear" w:color="auto" w:fill="FFFFFF"/>
          <w:lang w:val="ru-MD"/>
        </w:rPr>
        <w:t>начисля</w:t>
      </w:r>
      <w:r w:rsidR="00976EC4" w:rsidRPr="00B03639">
        <w:rPr>
          <w:rFonts w:asciiTheme="majorHAnsi" w:eastAsia="Times New Roman" w:hAnsiTheme="majorHAnsi" w:cstheme="majorHAnsi"/>
          <w:sz w:val="24"/>
          <w:szCs w:val="24"/>
          <w:shd w:val="clear" w:color="auto" w:fill="FFFFFF"/>
          <w:lang w:val="ru-MD"/>
        </w:rPr>
        <w:t xml:space="preserve">лись и выплачивались взносы. </w:t>
      </w:r>
      <w:r w:rsidR="009F15BE">
        <w:rPr>
          <w:rFonts w:asciiTheme="majorHAnsi" w:eastAsia="Times New Roman" w:hAnsiTheme="majorHAnsi" w:cstheme="majorHAnsi"/>
          <w:sz w:val="24"/>
          <w:szCs w:val="24"/>
          <w:shd w:val="clear" w:color="auto" w:fill="FFFFFF"/>
          <w:lang w:val="ru-MD"/>
        </w:rPr>
        <w:t>Страховой доход</w:t>
      </w:r>
      <w:r w:rsidR="00976EC4" w:rsidRPr="00B03639">
        <w:rPr>
          <w:rFonts w:asciiTheme="majorHAnsi" w:eastAsia="Times New Roman" w:hAnsiTheme="majorHAnsi" w:cstheme="majorHAnsi"/>
          <w:sz w:val="24"/>
          <w:szCs w:val="24"/>
          <w:shd w:val="clear" w:color="auto" w:fill="FFFFFF"/>
          <w:lang w:val="ru-MD"/>
        </w:rPr>
        <w:t xml:space="preserve"> в секторе </w:t>
      </w:r>
      <w:r w:rsidRPr="00B03639">
        <w:rPr>
          <w:rFonts w:asciiTheme="majorHAnsi" w:eastAsia="Times New Roman" w:hAnsiTheme="majorHAnsi" w:cstheme="majorHAnsi"/>
          <w:sz w:val="24"/>
          <w:szCs w:val="24"/>
          <w:shd w:val="clear" w:color="auto" w:fill="FFFFFF"/>
          <w:lang w:val="ru-MD"/>
        </w:rPr>
        <w:t>ИТ</w:t>
      </w:r>
      <w:r w:rsidR="00976EC4" w:rsidRPr="00B03639">
        <w:rPr>
          <w:rFonts w:asciiTheme="majorHAnsi" w:eastAsia="Times New Roman" w:hAnsiTheme="majorHAnsi" w:cstheme="majorHAnsi"/>
          <w:sz w:val="24"/>
          <w:szCs w:val="24"/>
          <w:shd w:val="clear" w:color="auto" w:fill="FFFFFF"/>
          <w:lang w:val="ru-MD"/>
        </w:rPr>
        <w:t xml:space="preserve"> варьировал от 4 771,8 леев в 2020 году до 6 732 леев в 2022 году (см. таблицу ниже)</w:t>
      </w:r>
      <w:r w:rsidR="008C7F4E" w:rsidRPr="00B03639">
        <w:rPr>
          <w:rFonts w:asciiTheme="majorHAnsi" w:hAnsiTheme="majorHAnsi" w:cstheme="majorHAnsi"/>
          <w:color w:val="333333"/>
          <w:sz w:val="24"/>
          <w:szCs w:val="24"/>
          <w:shd w:val="clear" w:color="auto" w:fill="FFFFFF"/>
          <w:lang w:val="ru-MD"/>
        </w:rPr>
        <w:t>.</w:t>
      </w:r>
    </w:p>
    <w:p w14:paraId="7A93C9C8" w14:textId="05BDC434" w:rsidR="00DA562C" w:rsidRPr="00B03639" w:rsidRDefault="00336C93" w:rsidP="00415A0B">
      <w:pPr>
        <w:shd w:val="clear" w:color="auto" w:fill="FFFFFF"/>
        <w:spacing w:after="0" w:line="276" w:lineRule="auto"/>
        <w:jc w:val="right"/>
        <w:rPr>
          <w:rFonts w:asciiTheme="majorHAnsi" w:hAnsiTheme="majorHAnsi" w:cstheme="majorHAnsi"/>
          <w:b/>
          <w:color w:val="333333"/>
          <w:sz w:val="24"/>
          <w:szCs w:val="24"/>
          <w:shd w:val="clear" w:color="auto" w:fill="FFFFFF"/>
          <w:lang w:val="ru-MD"/>
        </w:rPr>
      </w:pPr>
      <w:r w:rsidRPr="00B03639">
        <w:rPr>
          <w:rFonts w:asciiTheme="majorHAnsi" w:hAnsiTheme="majorHAnsi" w:cstheme="majorHAnsi"/>
          <w:b/>
          <w:color w:val="333333"/>
          <w:sz w:val="24"/>
          <w:szCs w:val="24"/>
          <w:shd w:val="clear" w:color="auto" w:fill="FFFFFF"/>
          <w:lang w:val="ru-MD"/>
        </w:rPr>
        <w:t>Таблица №</w:t>
      </w:r>
      <w:r w:rsidR="00415A0B" w:rsidRPr="00B03639">
        <w:rPr>
          <w:rFonts w:asciiTheme="majorHAnsi" w:hAnsiTheme="majorHAnsi" w:cstheme="majorHAnsi"/>
          <w:b/>
          <w:color w:val="333333"/>
          <w:sz w:val="24"/>
          <w:szCs w:val="24"/>
          <w:shd w:val="clear" w:color="auto" w:fill="FFFFFF"/>
          <w:lang w:val="ru-MD"/>
        </w:rPr>
        <w:t>1</w:t>
      </w:r>
      <w:r w:rsidR="008D1DF2" w:rsidRPr="00B03639">
        <w:rPr>
          <w:rFonts w:asciiTheme="majorHAnsi" w:hAnsiTheme="majorHAnsi" w:cstheme="majorHAnsi"/>
          <w:b/>
          <w:color w:val="333333"/>
          <w:sz w:val="24"/>
          <w:szCs w:val="24"/>
          <w:shd w:val="clear" w:color="auto" w:fill="FFFFFF"/>
          <w:lang w:val="ru-MD"/>
        </w:rPr>
        <w:t>4</w:t>
      </w:r>
    </w:p>
    <w:p w14:paraId="1D9F577D" w14:textId="5E576876" w:rsidR="002A7C93" w:rsidRPr="00C070A5" w:rsidRDefault="00835290" w:rsidP="002A7C93">
      <w:pPr>
        <w:shd w:val="clear" w:color="auto" w:fill="FFFFFF"/>
        <w:spacing w:after="0" w:line="276" w:lineRule="auto"/>
        <w:jc w:val="center"/>
        <w:rPr>
          <w:rFonts w:asciiTheme="majorHAnsi" w:hAnsiTheme="majorHAnsi" w:cstheme="majorHAnsi"/>
          <w:b/>
          <w:color w:val="333333"/>
          <w:sz w:val="24"/>
          <w:szCs w:val="24"/>
          <w:shd w:val="clear" w:color="auto" w:fill="FFFFFF"/>
          <w:lang w:val="ru-MD"/>
        </w:rPr>
      </w:pPr>
      <w:r w:rsidRPr="00C070A5">
        <w:rPr>
          <w:rFonts w:asciiTheme="majorHAnsi" w:hAnsiTheme="majorHAnsi" w:cstheme="majorHAnsi"/>
          <w:b/>
          <w:color w:val="333333"/>
          <w:sz w:val="24"/>
          <w:szCs w:val="24"/>
          <w:shd w:val="clear" w:color="auto" w:fill="FFFFFF"/>
          <w:lang w:val="ru-MD"/>
        </w:rPr>
        <w:t>Страховой тариф и расчетная база в области ИТ</w:t>
      </w:r>
    </w:p>
    <w:tbl>
      <w:tblPr>
        <w:tblW w:w="9557" w:type="dxa"/>
        <w:tblLook w:val="04A0" w:firstRow="1" w:lastRow="0" w:firstColumn="1" w:lastColumn="0" w:noHBand="0" w:noVBand="1"/>
      </w:tblPr>
      <w:tblGrid>
        <w:gridCol w:w="4495"/>
        <w:gridCol w:w="1759"/>
        <w:gridCol w:w="1759"/>
        <w:gridCol w:w="1005"/>
        <w:gridCol w:w="1005"/>
      </w:tblGrid>
      <w:tr w:rsidR="00DA562C" w:rsidRPr="00C070A5" w14:paraId="7FBFDF97" w14:textId="77777777" w:rsidTr="006B497E">
        <w:trPr>
          <w:trHeight w:val="288"/>
        </w:trPr>
        <w:tc>
          <w:tcPr>
            <w:tcW w:w="449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2B0EE34" w14:textId="349C8D2E" w:rsidR="00DA562C" w:rsidRPr="00C070A5" w:rsidRDefault="00835290" w:rsidP="00D3178C">
            <w:pPr>
              <w:spacing w:after="0" w:line="276" w:lineRule="auto"/>
              <w:jc w:val="center"/>
              <w:rPr>
                <w:rFonts w:asciiTheme="majorHAnsi" w:eastAsia="Times New Roman" w:hAnsiTheme="majorHAnsi" w:cstheme="majorHAnsi"/>
                <w:b/>
                <w:color w:val="000000"/>
                <w:sz w:val="24"/>
                <w:lang w:val="ru-MD"/>
              </w:rPr>
            </w:pPr>
            <w:r w:rsidRPr="00C070A5">
              <w:rPr>
                <w:rFonts w:asciiTheme="majorHAnsi" w:eastAsia="Times New Roman" w:hAnsiTheme="majorHAnsi" w:cstheme="majorHAnsi"/>
                <w:b/>
                <w:color w:val="000000"/>
                <w:sz w:val="24"/>
                <w:lang w:val="ru-MD"/>
              </w:rPr>
              <w:t>Год</w:t>
            </w:r>
          </w:p>
        </w:tc>
        <w:tc>
          <w:tcPr>
            <w:tcW w:w="318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AEEDC6" w14:textId="2402F020" w:rsidR="00DA562C" w:rsidRPr="00C070A5" w:rsidRDefault="00DA562C" w:rsidP="00D3178C">
            <w:pPr>
              <w:spacing w:after="0" w:line="276" w:lineRule="auto"/>
              <w:jc w:val="center"/>
              <w:rPr>
                <w:rFonts w:asciiTheme="majorHAnsi" w:eastAsia="Times New Roman" w:hAnsiTheme="majorHAnsi" w:cstheme="majorHAnsi"/>
                <w:b/>
                <w:color w:val="000000"/>
                <w:sz w:val="24"/>
                <w:lang w:val="ru-MD"/>
              </w:rPr>
            </w:pPr>
            <w:r w:rsidRPr="00C070A5">
              <w:rPr>
                <w:rFonts w:asciiTheme="majorHAnsi" w:eastAsia="Times New Roman" w:hAnsiTheme="majorHAnsi" w:cstheme="majorHAnsi"/>
                <w:b/>
                <w:color w:val="000000"/>
                <w:sz w:val="24"/>
                <w:lang w:val="ru-MD"/>
              </w:rPr>
              <w:t>2020</w:t>
            </w:r>
            <w:r w:rsidR="00835290" w:rsidRPr="00C070A5">
              <w:rPr>
                <w:rFonts w:asciiTheme="majorHAnsi" w:eastAsia="Times New Roman" w:hAnsiTheme="majorHAnsi" w:cstheme="majorHAnsi"/>
                <w:b/>
                <w:color w:val="000000"/>
                <w:sz w:val="24"/>
                <w:lang w:val="ru-MD"/>
              </w:rPr>
              <w:t xml:space="preserve"> год</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9E49733" w14:textId="77777777" w:rsidR="00DA562C" w:rsidRPr="00C070A5" w:rsidRDefault="00DA562C" w:rsidP="00D3178C">
            <w:pPr>
              <w:spacing w:after="0" w:line="276" w:lineRule="auto"/>
              <w:jc w:val="center"/>
              <w:rPr>
                <w:rFonts w:asciiTheme="majorHAnsi" w:eastAsia="Times New Roman" w:hAnsiTheme="majorHAnsi" w:cstheme="majorHAnsi"/>
                <w:b/>
                <w:color w:val="000000"/>
                <w:sz w:val="24"/>
                <w:lang w:val="ru-MD"/>
              </w:rPr>
            </w:pPr>
            <w:r w:rsidRPr="00C070A5">
              <w:rPr>
                <w:rFonts w:asciiTheme="majorHAnsi" w:eastAsia="Times New Roman" w:hAnsiTheme="majorHAnsi" w:cstheme="majorHAnsi"/>
                <w:b/>
                <w:color w:val="000000"/>
                <w:sz w:val="24"/>
                <w:lang w:val="ru-MD"/>
              </w:rPr>
              <w:t>2021</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1896A4D" w14:textId="77777777" w:rsidR="00DA562C" w:rsidRPr="00C070A5" w:rsidRDefault="00DA562C" w:rsidP="00D3178C">
            <w:pPr>
              <w:spacing w:after="0" w:line="276" w:lineRule="auto"/>
              <w:jc w:val="center"/>
              <w:rPr>
                <w:rFonts w:asciiTheme="majorHAnsi" w:eastAsia="Times New Roman" w:hAnsiTheme="majorHAnsi" w:cstheme="majorHAnsi"/>
                <w:b/>
                <w:color w:val="000000"/>
                <w:sz w:val="24"/>
                <w:lang w:val="ru-MD"/>
              </w:rPr>
            </w:pPr>
            <w:r w:rsidRPr="00C070A5">
              <w:rPr>
                <w:rFonts w:asciiTheme="majorHAnsi" w:eastAsia="Times New Roman" w:hAnsiTheme="majorHAnsi" w:cstheme="majorHAnsi"/>
                <w:b/>
                <w:color w:val="000000"/>
                <w:sz w:val="24"/>
                <w:lang w:val="ru-MD"/>
              </w:rPr>
              <w:t>2022</w:t>
            </w:r>
          </w:p>
        </w:tc>
      </w:tr>
      <w:tr w:rsidR="00DA562C" w:rsidRPr="00C070A5" w14:paraId="578C544F" w14:textId="77777777" w:rsidTr="006B497E">
        <w:trPr>
          <w:trHeight w:val="288"/>
        </w:trPr>
        <w:tc>
          <w:tcPr>
            <w:tcW w:w="4495" w:type="dxa"/>
            <w:vMerge/>
            <w:tcBorders>
              <w:top w:val="single" w:sz="4" w:space="0" w:color="auto"/>
              <w:left w:val="single" w:sz="4" w:space="0" w:color="auto"/>
              <w:bottom w:val="single" w:sz="4" w:space="0" w:color="000000"/>
              <w:right w:val="single" w:sz="4" w:space="0" w:color="auto"/>
            </w:tcBorders>
            <w:vAlign w:val="center"/>
            <w:hideMark/>
          </w:tcPr>
          <w:p w14:paraId="7EF198F7" w14:textId="77777777" w:rsidR="00DA562C" w:rsidRPr="00C070A5" w:rsidRDefault="00DA562C" w:rsidP="00C457E3">
            <w:pPr>
              <w:spacing w:after="0" w:line="276" w:lineRule="auto"/>
              <w:rPr>
                <w:rFonts w:asciiTheme="majorHAnsi" w:eastAsia="Times New Roman" w:hAnsiTheme="majorHAnsi" w:cstheme="majorHAnsi"/>
                <w:color w:val="000000"/>
                <w:sz w:val="24"/>
                <w:lang w:val="ru-MD"/>
              </w:rPr>
            </w:pPr>
          </w:p>
        </w:tc>
        <w:tc>
          <w:tcPr>
            <w:tcW w:w="1594" w:type="dxa"/>
            <w:tcBorders>
              <w:top w:val="nil"/>
              <w:left w:val="nil"/>
              <w:bottom w:val="single" w:sz="4" w:space="0" w:color="auto"/>
              <w:right w:val="single" w:sz="4" w:space="0" w:color="auto"/>
            </w:tcBorders>
            <w:shd w:val="clear" w:color="auto" w:fill="auto"/>
            <w:noWrap/>
            <w:vAlign w:val="bottom"/>
            <w:hideMark/>
          </w:tcPr>
          <w:p w14:paraId="15863857" w14:textId="5DDFFCB7" w:rsidR="00DA562C" w:rsidRPr="00C070A5" w:rsidRDefault="00835290" w:rsidP="00D3178C">
            <w:pPr>
              <w:spacing w:after="0" w:line="276" w:lineRule="auto"/>
              <w:jc w:val="center"/>
              <w:rPr>
                <w:rFonts w:asciiTheme="majorHAnsi" w:eastAsia="Times New Roman" w:hAnsiTheme="majorHAnsi" w:cstheme="majorHAnsi"/>
                <w:b/>
                <w:color w:val="000000"/>
                <w:sz w:val="24"/>
                <w:lang w:val="ru-MD"/>
              </w:rPr>
            </w:pPr>
            <w:r w:rsidRPr="00C070A5">
              <w:rPr>
                <w:rFonts w:asciiTheme="majorHAnsi" w:eastAsia="Times New Roman" w:hAnsiTheme="majorHAnsi" w:cstheme="majorHAnsi"/>
                <w:b/>
                <w:color w:val="000000"/>
                <w:sz w:val="24"/>
                <w:lang w:val="ru-MD"/>
              </w:rPr>
              <w:t>до</w:t>
            </w:r>
            <w:r w:rsidR="00DA562C" w:rsidRPr="00C070A5">
              <w:rPr>
                <w:rFonts w:asciiTheme="majorHAnsi" w:eastAsia="Times New Roman" w:hAnsiTheme="majorHAnsi" w:cstheme="majorHAnsi"/>
                <w:b/>
                <w:color w:val="000000"/>
                <w:sz w:val="24"/>
                <w:lang w:val="ru-MD"/>
              </w:rPr>
              <w:t xml:space="preserve"> 07.08.</w:t>
            </w:r>
          </w:p>
        </w:tc>
        <w:tc>
          <w:tcPr>
            <w:tcW w:w="1594" w:type="dxa"/>
            <w:tcBorders>
              <w:top w:val="nil"/>
              <w:left w:val="nil"/>
              <w:bottom w:val="single" w:sz="4" w:space="0" w:color="auto"/>
              <w:right w:val="single" w:sz="4" w:space="0" w:color="auto"/>
            </w:tcBorders>
            <w:shd w:val="clear" w:color="auto" w:fill="auto"/>
            <w:noWrap/>
            <w:vAlign w:val="bottom"/>
            <w:hideMark/>
          </w:tcPr>
          <w:p w14:paraId="592C17C7" w14:textId="210D75A0" w:rsidR="00DA562C" w:rsidRPr="00C070A5" w:rsidRDefault="00835290" w:rsidP="00D3178C">
            <w:pPr>
              <w:spacing w:after="0" w:line="276" w:lineRule="auto"/>
              <w:jc w:val="center"/>
              <w:rPr>
                <w:rFonts w:asciiTheme="majorHAnsi" w:eastAsia="Times New Roman" w:hAnsiTheme="majorHAnsi" w:cstheme="majorHAnsi"/>
                <w:b/>
                <w:color w:val="000000"/>
                <w:sz w:val="24"/>
                <w:lang w:val="ru-MD"/>
              </w:rPr>
            </w:pPr>
            <w:r w:rsidRPr="00C070A5">
              <w:rPr>
                <w:rFonts w:asciiTheme="majorHAnsi" w:eastAsia="Times New Roman" w:hAnsiTheme="majorHAnsi" w:cstheme="majorHAnsi"/>
                <w:b/>
                <w:color w:val="000000"/>
                <w:sz w:val="24"/>
                <w:lang w:val="ru-MD"/>
              </w:rPr>
              <w:t>после</w:t>
            </w:r>
            <w:r w:rsidR="00DA562C" w:rsidRPr="00C070A5">
              <w:rPr>
                <w:rFonts w:asciiTheme="majorHAnsi" w:eastAsia="Times New Roman" w:hAnsiTheme="majorHAnsi" w:cstheme="majorHAnsi"/>
                <w:b/>
                <w:color w:val="000000"/>
                <w:sz w:val="24"/>
                <w:lang w:val="ru-MD"/>
              </w:rPr>
              <w:t xml:space="preserve"> 07.08.</w:t>
            </w:r>
          </w:p>
        </w:tc>
        <w:tc>
          <w:tcPr>
            <w:tcW w:w="937" w:type="dxa"/>
            <w:vMerge/>
            <w:tcBorders>
              <w:top w:val="single" w:sz="4" w:space="0" w:color="auto"/>
              <w:left w:val="single" w:sz="4" w:space="0" w:color="auto"/>
              <w:bottom w:val="single" w:sz="4" w:space="0" w:color="000000"/>
              <w:right w:val="single" w:sz="4" w:space="0" w:color="auto"/>
            </w:tcBorders>
            <w:vAlign w:val="center"/>
            <w:hideMark/>
          </w:tcPr>
          <w:p w14:paraId="0B9913A6" w14:textId="77777777" w:rsidR="00DA562C" w:rsidRPr="00C070A5" w:rsidRDefault="00DA562C" w:rsidP="00C457E3">
            <w:pPr>
              <w:spacing w:after="0" w:line="276" w:lineRule="auto"/>
              <w:rPr>
                <w:rFonts w:asciiTheme="majorHAnsi" w:eastAsia="Times New Roman" w:hAnsiTheme="majorHAnsi" w:cstheme="majorHAnsi"/>
                <w:color w:val="000000"/>
                <w:sz w:val="24"/>
                <w:lang w:val="ru-MD"/>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14:paraId="0A937F6E" w14:textId="77777777" w:rsidR="00DA562C" w:rsidRPr="00C070A5" w:rsidRDefault="00DA562C" w:rsidP="00C457E3">
            <w:pPr>
              <w:spacing w:after="0" w:line="276" w:lineRule="auto"/>
              <w:rPr>
                <w:rFonts w:asciiTheme="majorHAnsi" w:eastAsia="Times New Roman" w:hAnsiTheme="majorHAnsi" w:cstheme="majorHAnsi"/>
                <w:color w:val="000000"/>
                <w:sz w:val="24"/>
                <w:lang w:val="ru-MD"/>
              </w:rPr>
            </w:pPr>
          </w:p>
        </w:tc>
      </w:tr>
      <w:tr w:rsidR="00DA562C" w:rsidRPr="00C070A5" w14:paraId="54B8D90B" w14:textId="77777777" w:rsidTr="006B497E">
        <w:trPr>
          <w:trHeight w:val="288"/>
        </w:trPr>
        <w:tc>
          <w:tcPr>
            <w:tcW w:w="4495" w:type="dxa"/>
            <w:tcBorders>
              <w:top w:val="nil"/>
              <w:left w:val="single" w:sz="4" w:space="0" w:color="auto"/>
              <w:bottom w:val="single" w:sz="4" w:space="0" w:color="auto"/>
              <w:right w:val="single" w:sz="4" w:space="0" w:color="auto"/>
            </w:tcBorders>
            <w:shd w:val="clear" w:color="auto" w:fill="auto"/>
            <w:hideMark/>
          </w:tcPr>
          <w:p w14:paraId="3D8B4120" w14:textId="49925D56" w:rsidR="00DA562C" w:rsidRPr="00C070A5" w:rsidRDefault="00835290" w:rsidP="00C457E3">
            <w:pPr>
              <w:spacing w:after="0" w:line="276" w:lineRule="auto"/>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Среднемесячная заработная плата по экономике</w:t>
            </w:r>
            <w:r w:rsidR="00DA562C" w:rsidRPr="00C070A5">
              <w:rPr>
                <w:rFonts w:asciiTheme="majorHAnsi" w:eastAsia="Times New Roman" w:hAnsiTheme="majorHAnsi" w:cstheme="majorHAnsi"/>
                <w:color w:val="000000"/>
                <w:sz w:val="24"/>
                <w:lang w:val="ru-MD"/>
              </w:rPr>
              <w:t xml:space="preserve"> (</w:t>
            </w:r>
            <w:r w:rsidR="00C070A5" w:rsidRPr="00C070A5">
              <w:rPr>
                <w:rFonts w:asciiTheme="majorHAnsi" w:eastAsia="Times New Roman" w:hAnsiTheme="majorHAnsi" w:cstheme="majorHAnsi"/>
                <w:color w:val="000000"/>
                <w:sz w:val="24"/>
                <w:lang w:val="ru-MD"/>
              </w:rPr>
              <w:t>леев</w:t>
            </w:r>
            <w:r w:rsidR="00DA562C" w:rsidRPr="00C070A5">
              <w:rPr>
                <w:rFonts w:asciiTheme="majorHAnsi" w:eastAsia="Times New Roman" w:hAnsiTheme="majorHAnsi" w:cstheme="majorHAnsi"/>
                <w:color w:val="000000"/>
                <w:sz w:val="24"/>
                <w:lang w:val="ru-MD"/>
              </w:rPr>
              <w:t>)</w:t>
            </w:r>
          </w:p>
        </w:tc>
        <w:tc>
          <w:tcPr>
            <w:tcW w:w="1594" w:type="dxa"/>
            <w:tcBorders>
              <w:top w:val="nil"/>
              <w:left w:val="nil"/>
              <w:bottom w:val="single" w:sz="4" w:space="0" w:color="auto"/>
              <w:right w:val="single" w:sz="4" w:space="0" w:color="auto"/>
            </w:tcBorders>
            <w:shd w:val="clear" w:color="auto" w:fill="auto"/>
            <w:hideMark/>
          </w:tcPr>
          <w:p w14:paraId="224E4E14" w14:textId="77777777" w:rsidR="00DA562C" w:rsidRPr="00C070A5" w:rsidRDefault="00DA562C" w:rsidP="00C457E3">
            <w:pPr>
              <w:spacing w:after="0" w:line="276" w:lineRule="auto"/>
              <w:jc w:val="center"/>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7953</w:t>
            </w:r>
          </w:p>
        </w:tc>
        <w:tc>
          <w:tcPr>
            <w:tcW w:w="1594" w:type="dxa"/>
            <w:tcBorders>
              <w:top w:val="nil"/>
              <w:left w:val="nil"/>
              <w:bottom w:val="single" w:sz="4" w:space="0" w:color="auto"/>
              <w:right w:val="single" w:sz="4" w:space="0" w:color="auto"/>
            </w:tcBorders>
            <w:shd w:val="clear" w:color="auto" w:fill="auto"/>
            <w:noWrap/>
            <w:vAlign w:val="bottom"/>
            <w:hideMark/>
          </w:tcPr>
          <w:p w14:paraId="31162CDC" w14:textId="77777777" w:rsidR="00DA562C" w:rsidRPr="00C070A5" w:rsidRDefault="00DA562C" w:rsidP="00C457E3">
            <w:pPr>
              <w:spacing w:after="0" w:line="276" w:lineRule="auto"/>
              <w:jc w:val="center"/>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7953</w:t>
            </w:r>
          </w:p>
        </w:tc>
        <w:tc>
          <w:tcPr>
            <w:tcW w:w="937" w:type="dxa"/>
            <w:tcBorders>
              <w:top w:val="nil"/>
              <w:left w:val="nil"/>
              <w:bottom w:val="single" w:sz="4" w:space="0" w:color="auto"/>
              <w:right w:val="single" w:sz="4" w:space="0" w:color="auto"/>
            </w:tcBorders>
            <w:shd w:val="clear" w:color="auto" w:fill="auto"/>
            <w:noWrap/>
            <w:vAlign w:val="bottom"/>
            <w:hideMark/>
          </w:tcPr>
          <w:p w14:paraId="3AC3B45C" w14:textId="77777777" w:rsidR="00DA562C" w:rsidRPr="00C070A5" w:rsidRDefault="00DA562C" w:rsidP="00C457E3">
            <w:pPr>
              <w:spacing w:after="0" w:line="276" w:lineRule="auto"/>
              <w:jc w:val="center"/>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8716</w:t>
            </w:r>
          </w:p>
        </w:tc>
        <w:tc>
          <w:tcPr>
            <w:tcW w:w="937" w:type="dxa"/>
            <w:tcBorders>
              <w:top w:val="nil"/>
              <w:left w:val="nil"/>
              <w:bottom w:val="single" w:sz="4" w:space="0" w:color="auto"/>
              <w:right w:val="single" w:sz="4" w:space="0" w:color="auto"/>
            </w:tcBorders>
            <w:shd w:val="clear" w:color="auto" w:fill="auto"/>
            <w:noWrap/>
            <w:vAlign w:val="bottom"/>
            <w:hideMark/>
          </w:tcPr>
          <w:p w14:paraId="00EB0F5B" w14:textId="77777777" w:rsidR="00DA562C" w:rsidRPr="00C070A5" w:rsidRDefault="00DA562C" w:rsidP="00C457E3">
            <w:pPr>
              <w:spacing w:after="0" w:line="276" w:lineRule="auto"/>
              <w:jc w:val="center"/>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9900</w:t>
            </w:r>
          </w:p>
        </w:tc>
      </w:tr>
      <w:tr w:rsidR="00DA562C" w:rsidRPr="00C070A5" w14:paraId="71B31E0D" w14:textId="77777777" w:rsidTr="006B497E">
        <w:trPr>
          <w:trHeight w:val="288"/>
        </w:trPr>
        <w:tc>
          <w:tcPr>
            <w:tcW w:w="4495" w:type="dxa"/>
            <w:tcBorders>
              <w:top w:val="nil"/>
              <w:left w:val="single" w:sz="4" w:space="0" w:color="auto"/>
              <w:bottom w:val="single" w:sz="4" w:space="0" w:color="auto"/>
              <w:right w:val="single" w:sz="4" w:space="0" w:color="auto"/>
            </w:tcBorders>
            <w:shd w:val="clear" w:color="auto" w:fill="auto"/>
            <w:hideMark/>
          </w:tcPr>
          <w:p w14:paraId="526B63AC" w14:textId="7A3C29C1" w:rsidR="00DA562C" w:rsidRPr="00C070A5" w:rsidRDefault="00835290" w:rsidP="00C457E3">
            <w:pPr>
              <w:spacing w:after="0" w:line="276" w:lineRule="auto"/>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Тариф</w:t>
            </w:r>
            <w:r w:rsidR="00DA562C" w:rsidRPr="00C070A5">
              <w:rPr>
                <w:rFonts w:asciiTheme="majorHAnsi" w:eastAsia="Times New Roman" w:hAnsiTheme="majorHAnsi" w:cstheme="majorHAnsi"/>
                <w:color w:val="000000"/>
                <w:sz w:val="24"/>
                <w:lang w:val="ru-MD"/>
              </w:rPr>
              <w:t xml:space="preserve"> (%)</w:t>
            </w:r>
          </w:p>
        </w:tc>
        <w:tc>
          <w:tcPr>
            <w:tcW w:w="1594" w:type="dxa"/>
            <w:tcBorders>
              <w:top w:val="nil"/>
              <w:left w:val="nil"/>
              <w:bottom w:val="single" w:sz="4" w:space="0" w:color="auto"/>
              <w:right w:val="single" w:sz="4" w:space="0" w:color="auto"/>
            </w:tcBorders>
            <w:shd w:val="clear" w:color="auto" w:fill="auto"/>
            <w:hideMark/>
          </w:tcPr>
          <w:p w14:paraId="7CDB9945" w14:textId="77777777" w:rsidR="00DA562C" w:rsidRPr="00C070A5" w:rsidRDefault="00DA562C" w:rsidP="00C457E3">
            <w:pPr>
              <w:spacing w:after="0" w:line="276" w:lineRule="auto"/>
              <w:jc w:val="center"/>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60%</w:t>
            </w:r>
          </w:p>
        </w:tc>
        <w:tc>
          <w:tcPr>
            <w:tcW w:w="1594" w:type="dxa"/>
            <w:tcBorders>
              <w:top w:val="nil"/>
              <w:left w:val="nil"/>
              <w:bottom w:val="single" w:sz="4" w:space="0" w:color="auto"/>
              <w:right w:val="single" w:sz="4" w:space="0" w:color="auto"/>
            </w:tcBorders>
            <w:shd w:val="clear" w:color="auto" w:fill="auto"/>
            <w:noWrap/>
            <w:vAlign w:val="bottom"/>
            <w:hideMark/>
          </w:tcPr>
          <w:p w14:paraId="0F93D977" w14:textId="77777777" w:rsidR="00DA562C" w:rsidRPr="00C070A5" w:rsidRDefault="00DA562C" w:rsidP="00C457E3">
            <w:pPr>
              <w:spacing w:after="0" w:line="276" w:lineRule="auto"/>
              <w:jc w:val="center"/>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68%</w:t>
            </w:r>
          </w:p>
        </w:tc>
        <w:tc>
          <w:tcPr>
            <w:tcW w:w="937" w:type="dxa"/>
            <w:tcBorders>
              <w:top w:val="nil"/>
              <w:left w:val="nil"/>
              <w:bottom w:val="single" w:sz="4" w:space="0" w:color="auto"/>
              <w:right w:val="single" w:sz="4" w:space="0" w:color="auto"/>
            </w:tcBorders>
            <w:shd w:val="clear" w:color="auto" w:fill="auto"/>
            <w:noWrap/>
            <w:vAlign w:val="bottom"/>
            <w:hideMark/>
          </w:tcPr>
          <w:p w14:paraId="360A6533" w14:textId="77777777" w:rsidR="00DA562C" w:rsidRPr="00C070A5" w:rsidRDefault="00DA562C" w:rsidP="00C457E3">
            <w:pPr>
              <w:spacing w:after="0" w:line="276" w:lineRule="auto"/>
              <w:jc w:val="center"/>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68%</w:t>
            </w:r>
          </w:p>
        </w:tc>
        <w:tc>
          <w:tcPr>
            <w:tcW w:w="937" w:type="dxa"/>
            <w:tcBorders>
              <w:top w:val="nil"/>
              <w:left w:val="nil"/>
              <w:bottom w:val="single" w:sz="4" w:space="0" w:color="auto"/>
              <w:right w:val="single" w:sz="4" w:space="0" w:color="auto"/>
            </w:tcBorders>
            <w:shd w:val="clear" w:color="auto" w:fill="auto"/>
            <w:noWrap/>
            <w:vAlign w:val="bottom"/>
            <w:hideMark/>
          </w:tcPr>
          <w:p w14:paraId="47D92D7E" w14:textId="77777777" w:rsidR="00DA562C" w:rsidRPr="00C070A5" w:rsidRDefault="00DA562C" w:rsidP="00C457E3">
            <w:pPr>
              <w:spacing w:after="0" w:line="276" w:lineRule="auto"/>
              <w:jc w:val="center"/>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68%</w:t>
            </w:r>
          </w:p>
        </w:tc>
      </w:tr>
      <w:tr w:rsidR="00DA562C" w:rsidRPr="00C070A5" w14:paraId="30293EFC" w14:textId="77777777" w:rsidTr="006B497E">
        <w:trPr>
          <w:trHeight w:val="576"/>
        </w:trPr>
        <w:tc>
          <w:tcPr>
            <w:tcW w:w="4495" w:type="dxa"/>
            <w:tcBorders>
              <w:top w:val="nil"/>
              <w:left w:val="single" w:sz="4" w:space="0" w:color="auto"/>
              <w:bottom w:val="single" w:sz="4" w:space="0" w:color="auto"/>
              <w:right w:val="single" w:sz="4" w:space="0" w:color="auto"/>
            </w:tcBorders>
            <w:shd w:val="clear" w:color="auto" w:fill="auto"/>
            <w:vAlign w:val="bottom"/>
            <w:hideMark/>
          </w:tcPr>
          <w:p w14:paraId="7F94CC69" w14:textId="0FE845AD" w:rsidR="00DA562C" w:rsidRPr="00C070A5" w:rsidRDefault="00C070A5" w:rsidP="00C070A5">
            <w:pPr>
              <w:spacing w:after="0" w:line="276" w:lineRule="auto"/>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Расчетная б</w:t>
            </w:r>
            <w:r w:rsidR="00835290" w:rsidRPr="00C070A5">
              <w:rPr>
                <w:rFonts w:asciiTheme="majorHAnsi" w:eastAsia="Times New Roman" w:hAnsiTheme="majorHAnsi" w:cstheme="majorHAnsi"/>
                <w:color w:val="000000"/>
                <w:sz w:val="24"/>
                <w:lang w:val="ru-MD"/>
              </w:rPr>
              <w:t xml:space="preserve">аза взносов обязательного государственного социального страхования </w:t>
            </w:r>
            <w:r w:rsidR="00DA562C" w:rsidRPr="00C070A5">
              <w:rPr>
                <w:rFonts w:asciiTheme="majorHAnsi" w:eastAsia="Times New Roman" w:hAnsiTheme="majorHAnsi" w:cstheme="majorHAnsi"/>
                <w:color w:val="000000"/>
                <w:sz w:val="24"/>
                <w:lang w:val="ru-MD"/>
              </w:rPr>
              <w:t>(</w:t>
            </w:r>
            <w:r w:rsidRPr="00C070A5">
              <w:rPr>
                <w:rFonts w:asciiTheme="majorHAnsi" w:eastAsia="Times New Roman" w:hAnsiTheme="majorHAnsi" w:cstheme="majorHAnsi"/>
                <w:color w:val="000000"/>
                <w:sz w:val="24"/>
                <w:lang w:val="ru-MD"/>
              </w:rPr>
              <w:t>леев</w:t>
            </w:r>
            <w:r w:rsidR="00DA562C" w:rsidRPr="00C070A5">
              <w:rPr>
                <w:rFonts w:asciiTheme="majorHAnsi" w:eastAsia="Times New Roman" w:hAnsiTheme="majorHAnsi" w:cstheme="majorHAnsi"/>
                <w:color w:val="000000"/>
                <w:sz w:val="24"/>
                <w:lang w:val="ru-MD"/>
              </w:rPr>
              <w:t>)</w:t>
            </w:r>
          </w:p>
        </w:tc>
        <w:tc>
          <w:tcPr>
            <w:tcW w:w="1594" w:type="dxa"/>
            <w:tcBorders>
              <w:top w:val="nil"/>
              <w:left w:val="nil"/>
              <w:bottom w:val="single" w:sz="4" w:space="0" w:color="auto"/>
              <w:right w:val="single" w:sz="4" w:space="0" w:color="auto"/>
            </w:tcBorders>
            <w:shd w:val="clear" w:color="auto" w:fill="auto"/>
            <w:vAlign w:val="bottom"/>
            <w:hideMark/>
          </w:tcPr>
          <w:p w14:paraId="0A72C35F" w14:textId="77777777" w:rsidR="00DA562C" w:rsidRPr="00C070A5" w:rsidRDefault="00DA562C" w:rsidP="00C457E3">
            <w:pPr>
              <w:spacing w:after="0" w:line="276" w:lineRule="auto"/>
              <w:jc w:val="center"/>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4771.8</w:t>
            </w:r>
          </w:p>
        </w:tc>
        <w:tc>
          <w:tcPr>
            <w:tcW w:w="1594" w:type="dxa"/>
            <w:tcBorders>
              <w:top w:val="nil"/>
              <w:left w:val="nil"/>
              <w:bottom w:val="single" w:sz="4" w:space="0" w:color="auto"/>
              <w:right w:val="single" w:sz="4" w:space="0" w:color="auto"/>
            </w:tcBorders>
            <w:shd w:val="clear" w:color="auto" w:fill="auto"/>
            <w:noWrap/>
            <w:vAlign w:val="bottom"/>
            <w:hideMark/>
          </w:tcPr>
          <w:p w14:paraId="6FBDC44A" w14:textId="77777777" w:rsidR="00DA562C" w:rsidRPr="00C070A5" w:rsidRDefault="00DA562C" w:rsidP="00C457E3">
            <w:pPr>
              <w:spacing w:after="0" w:line="276" w:lineRule="auto"/>
              <w:jc w:val="center"/>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5408.04</w:t>
            </w:r>
          </w:p>
        </w:tc>
        <w:tc>
          <w:tcPr>
            <w:tcW w:w="937" w:type="dxa"/>
            <w:tcBorders>
              <w:top w:val="nil"/>
              <w:left w:val="nil"/>
              <w:bottom w:val="single" w:sz="4" w:space="0" w:color="auto"/>
              <w:right w:val="single" w:sz="4" w:space="0" w:color="auto"/>
            </w:tcBorders>
            <w:shd w:val="clear" w:color="auto" w:fill="auto"/>
            <w:noWrap/>
            <w:vAlign w:val="bottom"/>
            <w:hideMark/>
          </w:tcPr>
          <w:p w14:paraId="5E202E3C" w14:textId="77777777" w:rsidR="00DA562C" w:rsidRPr="00C070A5" w:rsidRDefault="00DA562C" w:rsidP="00C457E3">
            <w:pPr>
              <w:spacing w:after="0" w:line="276" w:lineRule="auto"/>
              <w:jc w:val="center"/>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5926.88</w:t>
            </w:r>
          </w:p>
        </w:tc>
        <w:tc>
          <w:tcPr>
            <w:tcW w:w="937" w:type="dxa"/>
            <w:tcBorders>
              <w:top w:val="nil"/>
              <w:left w:val="nil"/>
              <w:bottom w:val="single" w:sz="4" w:space="0" w:color="auto"/>
              <w:right w:val="single" w:sz="4" w:space="0" w:color="auto"/>
            </w:tcBorders>
            <w:shd w:val="clear" w:color="auto" w:fill="auto"/>
            <w:noWrap/>
            <w:vAlign w:val="bottom"/>
            <w:hideMark/>
          </w:tcPr>
          <w:p w14:paraId="139AAE9B" w14:textId="77777777" w:rsidR="00DA562C" w:rsidRPr="00C070A5" w:rsidRDefault="00DA562C" w:rsidP="00C457E3">
            <w:pPr>
              <w:spacing w:after="0" w:line="276" w:lineRule="auto"/>
              <w:jc w:val="center"/>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6732</w:t>
            </w:r>
          </w:p>
        </w:tc>
      </w:tr>
      <w:tr w:rsidR="00DA562C" w:rsidRPr="00C070A5" w14:paraId="16C465F3" w14:textId="77777777" w:rsidTr="006B497E">
        <w:trPr>
          <w:trHeight w:val="288"/>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14:paraId="396218BF" w14:textId="7B370342" w:rsidR="00DA562C" w:rsidRPr="00C070A5" w:rsidRDefault="00C070A5" w:rsidP="00C457E3">
            <w:pPr>
              <w:spacing w:after="0" w:line="276" w:lineRule="auto"/>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Тариф взносов государственного социального страхования</w:t>
            </w:r>
          </w:p>
        </w:tc>
        <w:tc>
          <w:tcPr>
            <w:tcW w:w="1594" w:type="dxa"/>
            <w:tcBorders>
              <w:top w:val="nil"/>
              <w:left w:val="nil"/>
              <w:bottom w:val="single" w:sz="4" w:space="0" w:color="auto"/>
              <w:right w:val="single" w:sz="4" w:space="0" w:color="auto"/>
            </w:tcBorders>
            <w:shd w:val="clear" w:color="auto" w:fill="auto"/>
            <w:noWrap/>
            <w:vAlign w:val="bottom"/>
            <w:hideMark/>
          </w:tcPr>
          <w:p w14:paraId="035C3101" w14:textId="77777777" w:rsidR="00DA562C" w:rsidRPr="00C070A5" w:rsidRDefault="00DA562C" w:rsidP="00C457E3">
            <w:pPr>
              <w:spacing w:after="0" w:line="276" w:lineRule="auto"/>
              <w:jc w:val="center"/>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6%/23%</w:t>
            </w:r>
          </w:p>
        </w:tc>
        <w:tc>
          <w:tcPr>
            <w:tcW w:w="1594" w:type="dxa"/>
            <w:tcBorders>
              <w:top w:val="nil"/>
              <w:left w:val="nil"/>
              <w:bottom w:val="single" w:sz="4" w:space="0" w:color="auto"/>
              <w:right w:val="single" w:sz="4" w:space="0" w:color="auto"/>
            </w:tcBorders>
            <w:shd w:val="clear" w:color="auto" w:fill="auto"/>
            <w:noWrap/>
            <w:vAlign w:val="bottom"/>
            <w:hideMark/>
          </w:tcPr>
          <w:p w14:paraId="02D0B022" w14:textId="77777777" w:rsidR="00DA562C" w:rsidRPr="00C070A5" w:rsidRDefault="00DA562C" w:rsidP="00C457E3">
            <w:pPr>
              <w:spacing w:after="0" w:line="276" w:lineRule="auto"/>
              <w:jc w:val="center"/>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6%/23%</w:t>
            </w:r>
          </w:p>
        </w:tc>
        <w:tc>
          <w:tcPr>
            <w:tcW w:w="937" w:type="dxa"/>
            <w:tcBorders>
              <w:top w:val="nil"/>
              <w:left w:val="nil"/>
              <w:bottom w:val="single" w:sz="4" w:space="0" w:color="auto"/>
              <w:right w:val="single" w:sz="4" w:space="0" w:color="auto"/>
            </w:tcBorders>
            <w:shd w:val="clear" w:color="auto" w:fill="auto"/>
            <w:noWrap/>
            <w:vAlign w:val="bottom"/>
            <w:hideMark/>
          </w:tcPr>
          <w:p w14:paraId="1B01C7BE" w14:textId="77777777" w:rsidR="00DA562C" w:rsidRPr="00C070A5" w:rsidRDefault="00DA562C" w:rsidP="00C457E3">
            <w:pPr>
              <w:spacing w:after="0" w:line="276" w:lineRule="auto"/>
              <w:jc w:val="center"/>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29%</w:t>
            </w:r>
          </w:p>
        </w:tc>
        <w:tc>
          <w:tcPr>
            <w:tcW w:w="937" w:type="dxa"/>
            <w:tcBorders>
              <w:top w:val="nil"/>
              <w:left w:val="nil"/>
              <w:bottom w:val="single" w:sz="4" w:space="0" w:color="auto"/>
              <w:right w:val="single" w:sz="4" w:space="0" w:color="auto"/>
            </w:tcBorders>
            <w:shd w:val="clear" w:color="auto" w:fill="auto"/>
            <w:noWrap/>
            <w:vAlign w:val="bottom"/>
            <w:hideMark/>
          </w:tcPr>
          <w:p w14:paraId="2E589121" w14:textId="77777777" w:rsidR="00DA562C" w:rsidRPr="00C070A5" w:rsidRDefault="00DA562C" w:rsidP="00C457E3">
            <w:pPr>
              <w:spacing w:after="0" w:line="276" w:lineRule="auto"/>
              <w:jc w:val="center"/>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29%</w:t>
            </w:r>
          </w:p>
        </w:tc>
      </w:tr>
      <w:tr w:rsidR="00DA562C" w:rsidRPr="00C070A5" w14:paraId="170D1D40" w14:textId="77777777" w:rsidTr="006B497E">
        <w:trPr>
          <w:trHeight w:val="288"/>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14:paraId="0787CF48" w14:textId="6275409C" w:rsidR="00DA562C" w:rsidRPr="00C070A5" w:rsidRDefault="00C070A5" w:rsidP="00C457E3">
            <w:pPr>
              <w:spacing w:after="0" w:line="276" w:lineRule="auto"/>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Сумма рассчитанных взносов</w:t>
            </w:r>
            <w:r w:rsidR="00DA562C" w:rsidRPr="00C070A5">
              <w:rPr>
                <w:rFonts w:asciiTheme="majorHAnsi" w:eastAsia="Times New Roman" w:hAnsiTheme="majorHAnsi" w:cstheme="majorHAnsi"/>
                <w:color w:val="000000"/>
                <w:sz w:val="24"/>
                <w:lang w:val="ru-MD"/>
              </w:rPr>
              <w:t xml:space="preserve"> (</w:t>
            </w:r>
            <w:r w:rsidRPr="00C070A5">
              <w:rPr>
                <w:rFonts w:asciiTheme="majorHAnsi" w:eastAsia="Times New Roman" w:hAnsiTheme="majorHAnsi" w:cstheme="majorHAnsi"/>
                <w:color w:val="000000"/>
                <w:sz w:val="24"/>
                <w:lang w:val="ru-MD"/>
              </w:rPr>
              <w:t>леев</w:t>
            </w:r>
            <w:r w:rsidR="00DA562C" w:rsidRPr="00C070A5">
              <w:rPr>
                <w:rFonts w:asciiTheme="majorHAnsi" w:eastAsia="Times New Roman" w:hAnsiTheme="majorHAnsi" w:cstheme="majorHAnsi"/>
                <w:color w:val="000000"/>
                <w:sz w:val="24"/>
                <w:lang w:val="ru-MD"/>
              </w:rPr>
              <w:t>)</w:t>
            </w:r>
          </w:p>
        </w:tc>
        <w:tc>
          <w:tcPr>
            <w:tcW w:w="1594" w:type="dxa"/>
            <w:tcBorders>
              <w:top w:val="nil"/>
              <w:left w:val="nil"/>
              <w:bottom w:val="single" w:sz="4" w:space="0" w:color="auto"/>
              <w:right w:val="single" w:sz="4" w:space="0" w:color="auto"/>
            </w:tcBorders>
            <w:shd w:val="clear" w:color="auto" w:fill="auto"/>
            <w:noWrap/>
            <w:vAlign w:val="bottom"/>
            <w:hideMark/>
          </w:tcPr>
          <w:p w14:paraId="0027B2E2" w14:textId="77777777" w:rsidR="00DA562C" w:rsidRPr="00C070A5" w:rsidRDefault="00DA562C" w:rsidP="00C457E3">
            <w:pPr>
              <w:spacing w:after="0" w:line="276" w:lineRule="auto"/>
              <w:jc w:val="center"/>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286.31/1097.51</w:t>
            </w:r>
          </w:p>
        </w:tc>
        <w:tc>
          <w:tcPr>
            <w:tcW w:w="1594" w:type="dxa"/>
            <w:tcBorders>
              <w:top w:val="nil"/>
              <w:left w:val="nil"/>
              <w:bottom w:val="single" w:sz="4" w:space="0" w:color="auto"/>
              <w:right w:val="single" w:sz="4" w:space="0" w:color="auto"/>
            </w:tcBorders>
            <w:shd w:val="clear" w:color="auto" w:fill="auto"/>
            <w:noWrap/>
            <w:vAlign w:val="bottom"/>
            <w:hideMark/>
          </w:tcPr>
          <w:p w14:paraId="0E0644A6" w14:textId="77777777" w:rsidR="00DA562C" w:rsidRPr="00C070A5" w:rsidRDefault="00DA562C" w:rsidP="00C457E3">
            <w:pPr>
              <w:spacing w:after="0" w:line="276" w:lineRule="auto"/>
              <w:jc w:val="center"/>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324.48/1243.85</w:t>
            </w:r>
          </w:p>
        </w:tc>
        <w:tc>
          <w:tcPr>
            <w:tcW w:w="937" w:type="dxa"/>
            <w:tcBorders>
              <w:top w:val="nil"/>
              <w:left w:val="nil"/>
              <w:bottom w:val="single" w:sz="4" w:space="0" w:color="auto"/>
              <w:right w:val="single" w:sz="4" w:space="0" w:color="auto"/>
            </w:tcBorders>
            <w:shd w:val="clear" w:color="auto" w:fill="auto"/>
            <w:noWrap/>
            <w:vAlign w:val="bottom"/>
            <w:hideMark/>
          </w:tcPr>
          <w:p w14:paraId="21843ECB" w14:textId="77777777" w:rsidR="00DA562C" w:rsidRPr="00C070A5" w:rsidRDefault="00DA562C" w:rsidP="00C457E3">
            <w:pPr>
              <w:spacing w:after="0" w:line="276" w:lineRule="auto"/>
              <w:jc w:val="center"/>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1718.8</w:t>
            </w:r>
          </w:p>
        </w:tc>
        <w:tc>
          <w:tcPr>
            <w:tcW w:w="937" w:type="dxa"/>
            <w:tcBorders>
              <w:top w:val="nil"/>
              <w:left w:val="nil"/>
              <w:bottom w:val="single" w:sz="4" w:space="0" w:color="auto"/>
              <w:right w:val="single" w:sz="4" w:space="0" w:color="auto"/>
            </w:tcBorders>
            <w:shd w:val="clear" w:color="auto" w:fill="auto"/>
            <w:noWrap/>
            <w:vAlign w:val="bottom"/>
            <w:hideMark/>
          </w:tcPr>
          <w:p w14:paraId="6969B336" w14:textId="77777777" w:rsidR="00DA562C" w:rsidRPr="00C070A5" w:rsidRDefault="00DA562C" w:rsidP="00C457E3">
            <w:pPr>
              <w:spacing w:after="0" w:line="276" w:lineRule="auto"/>
              <w:jc w:val="center"/>
              <w:rPr>
                <w:rFonts w:asciiTheme="majorHAnsi" w:eastAsia="Times New Roman" w:hAnsiTheme="majorHAnsi" w:cstheme="majorHAnsi"/>
                <w:color w:val="000000"/>
                <w:sz w:val="24"/>
                <w:lang w:val="ru-MD"/>
              </w:rPr>
            </w:pPr>
            <w:r w:rsidRPr="00C070A5">
              <w:rPr>
                <w:rFonts w:asciiTheme="majorHAnsi" w:eastAsia="Times New Roman" w:hAnsiTheme="majorHAnsi" w:cstheme="majorHAnsi"/>
                <w:color w:val="000000"/>
                <w:sz w:val="24"/>
                <w:lang w:val="ru-MD"/>
              </w:rPr>
              <w:t>1952.28</w:t>
            </w:r>
          </w:p>
        </w:tc>
      </w:tr>
    </w:tbl>
    <w:p w14:paraId="6D27D2AD" w14:textId="77D37554" w:rsidR="00DA562C" w:rsidRPr="00C070A5" w:rsidRDefault="00281F6D" w:rsidP="00DA562C">
      <w:pPr>
        <w:shd w:val="clear" w:color="auto" w:fill="FFFFFF"/>
        <w:spacing w:after="0" w:line="276" w:lineRule="auto"/>
        <w:jc w:val="both"/>
        <w:rPr>
          <w:rFonts w:asciiTheme="majorHAnsi" w:eastAsia="Times New Roman" w:hAnsiTheme="majorHAnsi" w:cstheme="majorHAnsi"/>
          <w:bCs/>
          <w:i/>
          <w:iCs/>
          <w:sz w:val="20"/>
          <w:szCs w:val="20"/>
          <w:shd w:val="clear" w:color="auto" w:fill="FFFFFF"/>
          <w:lang w:val="ru-MD"/>
        </w:rPr>
      </w:pPr>
      <w:r w:rsidRPr="00C070A5">
        <w:rPr>
          <w:rFonts w:asciiTheme="majorHAnsi" w:eastAsia="Times New Roman" w:hAnsiTheme="majorHAnsi" w:cstheme="majorHAnsi"/>
          <w:bCs/>
          <w:i/>
          <w:iCs/>
          <w:sz w:val="20"/>
          <w:szCs w:val="20"/>
          <w:shd w:val="clear" w:color="auto" w:fill="FFFFFF"/>
          <w:lang w:val="ru-MD"/>
        </w:rPr>
        <w:t>Источник</w:t>
      </w:r>
      <w:r w:rsidR="00DA562C" w:rsidRPr="00C070A5">
        <w:rPr>
          <w:rFonts w:asciiTheme="majorHAnsi" w:eastAsia="Times New Roman" w:hAnsiTheme="majorHAnsi" w:cstheme="majorHAnsi"/>
          <w:bCs/>
          <w:i/>
          <w:iCs/>
          <w:sz w:val="20"/>
          <w:szCs w:val="20"/>
          <w:shd w:val="clear" w:color="auto" w:fill="FFFFFF"/>
          <w:lang w:val="ru-MD"/>
        </w:rPr>
        <w:t xml:space="preserve">: </w:t>
      </w:r>
      <w:r w:rsidR="00C070A5" w:rsidRPr="00C070A5">
        <w:rPr>
          <w:rFonts w:asciiTheme="majorHAnsi" w:eastAsia="Times New Roman" w:hAnsiTheme="majorHAnsi" w:cstheme="majorHAnsi"/>
          <w:bCs/>
          <w:i/>
          <w:iCs/>
          <w:sz w:val="20"/>
          <w:szCs w:val="20"/>
          <w:shd w:val="clear" w:color="auto" w:fill="FFFFFF"/>
          <w:lang w:val="ru-MD"/>
        </w:rPr>
        <w:t>Разработано аудитом на основе законодательных положений</w:t>
      </w:r>
      <w:r w:rsidR="00C10267" w:rsidRPr="00C070A5">
        <w:rPr>
          <w:rFonts w:asciiTheme="majorHAnsi" w:eastAsia="Times New Roman" w:hAnsiTheme="majorHAnsi" w:cstheme="majorHAnsi"/>
          <w:bCs/>
          <w:i/>
          <w:iCs/>
          <w:sz w:val="20"/>
          <w:szCs w:val="20"/>
          <w:shd w:val="clear" w:color="auto" w:fill="FFFFFF"/>
          <w:lang w:val="ru-MD"/>
        </w:rPr>
        <w:t>.</w:t>
      </w:r>
    </w:p>
    <w:p w14:paraId="2BCA1A0E" w14:textId="77777777" w:rsidR="00DA562C" w:rsidRPr="00653E85" w:rsidRDefault="00DA562C" w:rsidP="00DA562C">
      <w:pPr>
        <w:shd w:val="clear" w:color="auto" w:fill="FFFFFF"/>
        <w:spacing w:after="0" w:line="276" w:lineRule="auto"/>
        <w:jc w:val="both"/>
        <w:rPr>
          <w:rFonts w:asciiTheme="majorHAnsi" w:eastAsia="Times New Roman" w:hAnsiTheme="majorHAnsi" w:cstheme="majorHAnsi"/>
          <w:b/>
          <w:bCs/>
          <w:i/>
          <w:iCs/>
          <w:sz w:val="18"/>
          <w:szCs w:val="18"/>
          <w:shd w:val="clear" w:color="auto" w:fill="FFFFFF"/>
          <w:lang w:val="ro-MD"/>
        </w:rPr>
      </w:pPr>
    </w:p>
    <w:p w14:paraId="57E99F74" w14:textId="31A27522" w:rsidR="00A81C15" w:rsidRPr="00550FA9" w:rsidRDefault="00976EC4" w:rsidP="00DA562C">
      <w:pPr>
        <w:shd w:val="clear" w:color="auto" w:fill="FFFFFF"/>
        <w:spacing w:after="0" w:line="276" w:lineRule="auto"/>
        <w:jc w:val="both"/>
        <w:rPr>
          <w:rFonts w:asciiTheme="majorHAnsi" w:eastAsia="Times New Roman" w:hAnsiTheme="majorHAnsi" w:cstheme="majorHAnsi"/>
          <w:sz w:val="24"/>
          <w:szCs w:val="24"/>
          <w:shd w:val="clear" w:color="auto" w:fill="FFFFFF"/>
          <w:lang w:val="ru-MD"/>
        </w:rPr>
      </w:pPr>
      <w:r w:rsidRPr="00550FA9">
        <w:rPr>
          <w:rFonts w:asciiTheme="majorHAnsi" w:eastAsia="Times New Roman" w:hAnsiTheme="majorHAnsi" w:cstheme="majorHAnsi"/>
          <w:sz w:val="24"/>
          <w:szCs w:val="24"/>
          <w:shd w:val="clear" w:color="auto" w:fill="FFFFFF"/>
          <w:lang w:val="ru-MD"/>
        </w:rPr>
        <w:t xml:space="preserve">Расчет и уплата </w:t>
      </w:r>
      <w:r w:rsidR="009F15BE" w:rsidRPr="00550FA9">
        <w:rPr>
          <w:rFonts w:asciiTheme="majorHAnsi" w:eastAsia="Times New Roman" w:hAnsiTheme="majorHAnsi" w:cstheme="majorHAnsi"/>
          <w:sz w:val="24"/>
          <w:szCs w:val="24"/>
          <w:shd w:val="clear" w:color="auto" w:fill="FFFFFF"/>
          <w:lang w:val="ru-MD"/>
        </w:rPr>
        <w:t xml:space="preserve">причитающихся </w:t>
      </w:r>
      <w:r w:rsidRPr="00550FA9">
        <w:rPr>
          <w:rFonts w:asciiTheme="majorHAnsi" w:eastAsia="Times New Roman" w:hAnsiTheme="majorHAnsi" w:cstheme="majorHAnsi"/>
          <w:sz w:val="24"/>
          <w:szCs w:val="24"/>
          <w:shd w:val="clear" w:color="auto" w:fill="FFFFFF"/>
          <w:lang w:val="ru-MD"/>
        </w:rPr>
        <w:t xml:space="preserve">взносов обязательного государственного социального страхования </w:t>
      </w:r>
      <w:r w:rsidR="009F15BE" w:rsidRPr="00550FA9">
        <w:rPr>
          <w:rFonts w:asciiTheme="majorHAnsi" w:eastAsia="Times New Roman" w:hAnsiTheme="majorHAnsi" w:cstheme="majorHAnsi"/>
          <w:sz w:val="24"/>
          <w:szCs w:val="24"/>
          <w:shd w:val="clear" w:color="auto" w:fill="FFFFFF"/>
          <w:lang w:val="ru-MD"/>
        </w:rPr>
        <w:t>резидентами</w:t>
      </w:r>
      <w:r w:rsidRPr="00550FA9">
        <w:rPr>
          <w:rFonts w:asciiTheme="majorHAnsi" w:eastAsia="Times New Roman" w:hAnsiTheme="majorHAnsi" w:cstheme="majorHAnsi"/>
          <w:sz w:val="24"/>
          <w:szCs w:val="24"/>
          <w:shd w:val="clear" w:color="auto" w:fill="FFFFFF"/>
          <w:lang w:val="ru-MD"/>
        </w:rPr>
        <w:t xml:space="preserve"> парков информационных технологий и их </w:t>
      </w:r>
      <w:r w:rsidR="009F15BE" w:rsidRPr="00550FA9">
        <w:rPr>
          <w:rFonts w:asciiTheme="majorHAnsi" w:eastAsia="Times New Roman" w:hAnsiTheme="majorHAnsi" w:cstheme="majorHAnsi"/>
          <w:sz w:val="24"/>
          <w:szCs w:val="24"/>
          <w:shd w:val="clear" w:color="auto" w:fill="FFFFFF"/>
          <w:lang w:val="ru-MD"/>
        </w:rPr>
        <w:t>сотруд</w:t>
      </w:r>
      <w:r w:rsidRPr="00550FA9">
        <w:rPr>
          <w:rFonts w:asciiTheme="majorHAnsi" w:eastAsia="Times New Roman" w:hAnsiTheme="majorHAnsi" w:cstheme="majorHAnsi"/>
          <w:sz w:val="24"/>
          <w:szCs w:val="24"/>
          <w:shd w:val="clear" w:color="auto" w:fill="FFFFFF"/>
          <w:lang w:val="ru-MD"/>
        </w:rPr>
        <w:t>никам</w:t>
      </w:r>
      <w:r w:rsidR="009F15BE" w:rsidRPr="00550FA9">
        <w:rPr>
          <w:rFonts w:asciiTheme="majorHAnsi" w:eastAsia="Times New Roman" w:hAnsiTheme="majorHAnsi" w:cstheme="majorHAnsi"/>
          <w:sz w:val="24"/>
          <w:szCs w:val="24"/>
          <w:shd w:val="clear" w:color="auto" w:fill="FFFFFF"/>
          <w:lang w:val="ru-MD"/>
        </w:rPr>
        <w:t>и</w:t>
      </w:r>
      <w:r w:rsidRPr="00550FA9">
        <w:rPr>
          <w:rFonts w:asciiTheme="majorHAnsi" w:eastAsia="Times New Roman" w:hAnsiTheme="majorHAnsi" w:cstheme="majorHAnsi"/>
          <w:sz w:val="24"/>
          <w:szCs w:val="24"/>
          <w:shd w:val="clear" w:color="auto" w:fill="FFFFFF"/>
          <w:lang w:val="ru-MD"/>
        </w:rPr>
        <w:t>, в с</w:t>
      </w:r>
      <w:r w:rsidR="009F15BE" w:rsidRPr="00550FA9">
        <w:rPr>
          <w:rFonts w:asciiTheme="majorHAnsi" w:eastAsia="Times New Roman" w:hAnsiTheme="majorHAnsi" w:cstheme="majorHAnsi"/>
          <w:sz w:val="24"/>
          <w:szCs w:val="24"/>
          <w:shd w:val="clear" w:color="auto" w:fill="FFFFFF"/>
          <w:lang w:val="ru-MD"/>
        </w:rPr>
        <w:t>оотношени</w:t>
      </w:r>
      <w:r w:rsidRPr="00550FA9">
        <w:rPr>
          <w:rFonts w:asciiTheme="majorHAnsi" w:eastAsia="Times New Roman" w:hAnsiTheme="majorHAnsi" w:cstheme="majorHAnsi"/>
          <w:sz w:val="24"/>
          <w:szCs w:val="24"/>
          <w:shd w:val="clear" w:color="auto" w:fill="FFFFFF"/>
          <w:lang w:val="ru-MD"/>
        </w:rPr>
        <w:t xml:space="preserve">и с </w:t>
      </w:r>
      <w:r w:rsidR="009F15BE" w:rsidRPr="00550FA9">
        <w:rPr>
          <w:rFonts w:asciiTheme="majorHAnsi" w:eastAsia="Times New Roman" w:hAnsiTheme="majorHAnsi" w:cstheme="majorHAnsi"/>
          <w:sz w:val="24"/>
          <w:szCs w:val="24"/>
          <w:shd w:val="clear" w:color="auto" w:fill="FFFFFF"/>
          <w:lang w:val="ru-MD"/>
        </w:rPr>
        <w:t>реализован</w:t>
      </w:r>
      <w:r w:rsidRPr="00550FA9">
        <w:rPr>
          <w:rFonts w:asciiTheme="majorHAnsi" w:eastAsia="Times New Roman" w:hAnsiTheme="majorHAnsi" w:cstheme="majorHAnsi"/>
          <w:sz w:val="24"/>
          <w:szCs w:val="24"/>
          <w:shd w:val="clear" w:color="auto" w:fill="FFFFFF"/>
          <w:lang w:val="ru-MD"/>
        </w:rPr>
        <w:t>ным доходом</w:t>
      </w:r>
      <w:r w:rsidR="009F15BE" w:rsidRPr="00550FA9">
        <w:rPr>
          <w:rFonts w:asciiTheme="majorHAnsi" w:eastAsia="Times New Roman" w:hAnsiTheme="majorHAnsi" w:cstheme="majorHAnsi"/>
          <w:sz w:val="24"/>
          <w:szCs w:val="24"/>
          <w:shd w:val="clear" w:color="auto" w:fill="FFFFFF"/>
          <w:lang w:val="ru-MD"/>
        </w:rPr>
        <w:t xml:space="preserve"> от заработной платы,</w:t>
      </w:r>
      <w:r w:rsidRPr="00550FA9">
        <w:rPr>
          <w:rFonts w:asciiTheme="majorHAnsi" w:eastAsia="Times New Roman" w:hAnsiTheme="majorHAnsi" w:cstheme="majorHAnsi"/>
          <w:sz w:val="24"/>
          <w:szCs w:val="24"/>
          <w:shd w:val="clear" w:color="auto" w:fill="FFFFFF"/>
          <w:lang w:val="ru-MD"/>
        </w:rPr>
        <w:t xml:space="preserve"> в соответствии с трудовым законодательством и нормативными актами, содержащими нормы трудового права, осуществляется </w:t>
      </w:r>
      <w:r w:rsidR="009F15BE" w:rsidRPr="00550FA9">
        <w:rPr>
          <w:rFonts w:asciiTheme="majorHAnsi" w:eastAsia="Times New Roman" w:hAnsiTheme="majorHAnsi" w:cstheme="majorHAnsi"/>
          <w:sz w:val="24"/>
          <w:szCs w:val="24"/>
          <w:shd w:val="clear" w:color="auto" w:fill="FFFFFF"/>
          <w:lang w:val="ru-MD"/>
        </w:rPr>
        <w:t>за</w:t>
      </w:r>
      <w:r w:rsidRPr="00550FA9">
        <w:rPr>
          <w:rFonts w:asciiTheme="majorHAnsi" w:eastAsia="Times New Roman" w:hAnsiTheme="majorHAnsi" w:cstheme="majorHAnsi"/>
          <w:sz w:val="24"/>
          <w:szCs w:val="24"/>
          <w:shd w:val="clear" w:color="auto" w:fill="FFFFFF"/>
          <w:lang w:val="ru-MD"/>
        </w:rPr>
        <w:t xml:space="preserve"> счет сумм, отнесенных к бюджету государственного социального страхования от поступлений единовременного налога, уплаченного </w:t>
      </w:r>
      <w:r w:rsidR="009F15BE" w:rsidRPr="00550FA9">
        <w:rPr>
          <w:rFonts w:asciiTheme="majorHAnsi" w:eastAsia="Times New Roman" w:hAnsiTheme="majorHAnsi" w:cstheme="majorHAnsi"/>
          <w:sz w:val="24"/>
          <w:szCs w:val="24"/>
          <w:shd w:val="clear" w:color="auto" w:fill="FFFFFF"/>
          <w:lang w:val="ru-MD"/>
        </w:rPr>
        <w:t>резидента</w:t>
      </w:r>
      <w:r w:rsidRPr="00550FA9">
        <w:rPr>
          <w:rFonts w:asciiTheme="majorHAnsi" w:eastAsia="Times New Roman" w:hAnsiTheme="majorHAnsi" w:cstheme="majorHAnsi"/>
          <w:sz w:val="24"/>
          <w:szCs w:val="24"/>
          <w:shd w:val="clear" w:color="auto" w:fill="FFFFFF"/>
          <w:lang w:val="ru-MD"/>
        </w:rPr>
        <w:t>ми парков информационных технологий</w:t>
      </w:r>
      <w:r w:rsidR="009F15BE" w:rsidRPr="00550FA9">
        <w:rPr>
          <w:rFonts w:asciiTheme="majorHAnsi" w:eastAsia="Times New Roman" w:hAnsiTheme="majorHAnsi" w:cstheme="majorHAnsi"/>
          <w:sz w:val="24"/>
          <w:szCs w:val="24"/>
          <w:shd w:val="clear" w:color="auto" w:fill="FFFFFF"/>
          <w:lang w:val="ru-MD"/>
        </w:rPr>
        <w:t>,</w:t>
      </w:r>
      <w:r w:rsidRPr="00550FA9">
        <w:rPr>
          <w:rFonts w:asciiTheme="majorHAnsi" w:eastAsia="Times New Roman" w:hAnsiTheme="majorHAnsi" w:cstheme="majorHAnsi"/>
          <w:sz w:val="24"/>
          <w:szCs w:val="24"/>
          <w:shd w:val="clear" w:color="auto" w:fill="FFFFFF"/>
          <w:lang w:val="ru-MD"/>
        </w:rPr>
        <w:t xml:space="preserve"> </w:t>
      </w:r>
      <w:r w:rsidR="009F15BE" w:rsidRPr="00550FA9">
        <w:rPr>
          <w:rFonts w:asciiTheme="majorHAnsi" w:eastAsia="Times New Roman" w:hAnsiTheme="majorHAnsi" w:cstheme="majorHAnsi"/>
          <w:sz w:val="24"/>
          <w:szCs w:val="24"/>
          <w:shd w:val="clear" w:color="auto" w:fill="FFFFFF"/>
          <w:lang w:val="ru-MD"/>
        </w:rPr>
        <w:t>согласно установленным</w:t>
      </w:r>
      <w:r w:rsidRPr="00550FA9">
        <w:rPr>
          <w:rFonts w:asciiTheme="majorHAnsi" w:eastAsia="Times New Roman" w:hAnsiTheme="majorHAnsi" w:cstheme="majorHAnsi"/>
          <w:sz w:val="24"/>
          <w:szCs w:val="24"/>
          <w:shd w:val="clear" w:color="auto" w:fill="FFFFFF"/>
          <w:lang w:val="ru-MD"/>
        </w:rPr>
        <w:t xml:space="preserve"> положениям. </w:t>
      </w:r>
      <w:r w:rsidR="00550FA9" w:rsidRPr="00550FA9">
        <w:rPr>
          <w:rFonts w:asciiTheme="majorHAnsi" w:eastAsia="Times New Roman" w:hAnsiTheme="majorHAnsi" w:cstheme="majorHAnsi"/>
          <w:sz w:val="24"/>
          <w:szCs w:val="24"/>
          <w:shd w:val="clear" w:color="auto" w:fill="FFFFFF"/>
          <w:lang w:val="ru-MD"/>
        </w:rPr>
        <w:t>В итоге</w:t>
      </w:r>
      <w:r w:rsidRPr="00550FA9">
        <w:rPr>
          <w:rFonts w:asciiTheme="majorHAnsi" w:eastAsia="Times New Roman" w:hAnsiTheme="majorHAnsi" w:cstheme="majorHAnsi"/>
          <w:sz w:val="24"/>
          <w:szCs w:val="24"/>
          <w:shd w:val="clear" w:color="auto" w:fill="FFFFFF"/>
          <w:lang w:val="ru-MD"/>
        </w:rPr>
        <w:t xml:space="preserve">, </w:t>
      </w:r>
      <w:r w:rsidR="009F15BE" w:rsidRPr="00550FA9">
        <w:rPr>
          <w:rFonts w:asciiTheme="majorHAnsi" w:eastAsia="Times New Roman" w:hAnsiTheme="majorHAnsi" w:cstheme="majorHAnsi"/>
          <w:sz w:val="24"/>
          <w:szCs w:val="24"/>
          <w:shd w:val="clear" w:color="auto" w:fill="FFFFFF"/>
          <w:lang w:val="ru-MD"/>
        </w:rPr>
        <w:t>страховой доход</w:t>
      </w:r>
      <w:r w:rsidRPr="00550FA9">
        <w:rPr>
          <w:rFonts w:asciiTheme="majorHAnsi" w:eastAsia="Times New Roman" w:hAnsiTheme="majorHAnsi" w:cstheme="majorHAnsi"/>
          <w:sz w:val="24"/>
          <w:szCs w:val="24"/>
          <w:shd w:val="clear" w:color="auto" w:fill="FFFFFF"/>
          <w:lang w:val="ru-MD"/>
        </w:rPr>
        <w:t xml:space="preserve"> примерно в 6 раз меньше заработной платы, полученной в области </w:t>
      </w:r>
      <w:r w:rsidR="00550FA9" w:rsidRPr="00550FA9">
        <w:rPr>
          <w:rFonts w:asciiTheme="majorHAnsi" w:eastAsia="Times New Roman" w:hAnsiTheme="majorHAnsi" w:cstheme="majorHAnsi"/>
          <w:sz w:val="24"/>
          <w:szCs w:val="24"/>
          <w:shd w:val="clear" w:color="auto" w:fill="FFFFFF"/>
          <w:lang w:val="ru-MD"/>
        </w:rPr>
        <w:t>ИТ</w:t>
      </w:r>
      <w:r w:rsidR="00550FA9" w:rsidRPr="00550FA9">
        <w:rPr>
          <w:rStyle w:val="a5"/>
          <w:rFonts w:asciiTheme="majorHAnsi" w:eastAsia="Times New Roman" w:hAnsiTheme="majorHAnsi" w:cstheme="majorHAnsi"/>
          <w:sz w:val="24"/>
          <w:szCs w:val="24"/>
          <w:shd w:val="clear" w:color="auto" w:fill="FFFFFF"/>
          <w:lang w:val="ru-MD"/>
        </w:rPr>
        <w:footnoteReference w:id="71"/>
      </w:r>
      <w:r w:rsidRPr="00550FA9">
        <w:rPr>
          <w:rFonts w:asciiTheme="majorHAnsi" w:eastAsia="Times New Roman" w:hAnsiTheme="majorHAnsi" w:cstheme="majorHAnsi"/>
          <w:sz w:val="24"/>
          <w:szCs w:val="24"/>
          <w:shd w:val="clear" w:color="auto" w:fill="FFFFFF"/>
          <w:lang w:val="ru-MD"/>
        </w:rPr>
        <w:t xml:space="preserve">. </w:t>
      </w:r>
      <w:r w:rsidR="00550FA9" w:rsidRPr="00550FA9">
        <w:rPr>
          <w:rFonts w:asciiTheme="majorHAnsi" w:eastAsia="Times New Roman" w:hAnsiTheme="majorHAnsi" w:cstheme="majorHAnsi"/>
          <w:sz w:val="24"/>
          <w:szCs w:val="24"/>
          <w:shd w:val="clear" w:color="auto" w:fill="FFFFFF"/>
          <w:lang w:val="ru-MD"/>
        </w:rPr>
        <w:t>Следовательно</w:t>
      </w:r>
      <w:r w:rsidRPr="00550FA9">
        <w:rPr>
          <w:rFonts w:asciiTheme="majorHAnsi" w:eastAsia="Times New Roman" w:hAnsiTheme="majorHAnsi" w:cstheme="majorHAnsi"/>
          <w:sz w:val="24"/>
          <w:szCs w:val="24"/>
          <w:shd w:val="clear" w:color="auto" w:fill="FFFFFF"/>
          <w:lang w:val="ru-MD"/>
        </w:rPr>
        <w:t xml:space="preserve">, эти бенефициары </w:t>
      </w:r>
      <w:r w:rsidR="00550FA9" w:rsidRPr="00550FA9">
        <w:rPr>
          <w:rFonts w:asciiTheme="majorHAnsi" w:eastAsia="Times New Roman" w:hAnsiTheme="majorHAnsi" w:cstheme="majorHAnsi"/>
          <w:sz w:val="24"/>
          <w:szCs w:val="24"/>
          <w:shd w:val="clear" w:color="auto" w:fill="FFFFFF"/>
          <w:lang w:val="ru-MD"/>
        </w:rPr>
        <w:t>лимитирова</w:t>
      </w:r>
      <w:r w:rsidRPr="00550FA9">
        <w:rPr>
          <w:rFonts w:asciiTheme="majorHAnsi" w:eastAsia="Times New Roman" w:hAnsiTheme="majorHAnsi" w:cstheme="majorHAnsi"/>
          <w:sz w:val="24"/>
          <w:szCs w:val="24"/>
          <w:shd w:val="clear" w:color="auto" w:fill="FFFFFF"/>
          <w:lang w:val="ru-MD"/>
        </w:rPr>
        <w:t>ны в размере получения социальных п</w:t>
      </w:r>
      <w:r w:rsidR="00550FA9" w:rsidRPr="00550FA9">
        <w:rPr>
          <w:rFonts w:asciiTheme="majorHAnsi" w:eastAsia="Times New Roman" w:hAnsiTheme="majorHAnsi" w:cstheme="majorHAnsi"/>
          <w:sz w:val="24"/>
          <w:szCs w:val="24"/>
          <w:shd w:val="clear" w:color="auto" w:fill="FFFFFF"/>
          <w:lang w:val="ru-MD"/>
        </w:rPr>
        <w:t>особий.</w:t>
      </w:r>
    </w:p>
    <w:p w14:paraId="189DE85F" w14:textId="6928102B" w:rsidR="00A81C15" w:rsidRPr="00A17338" w:rsidRDefault="00976EC4" w:rsidP="00992BC7">
      <w:pPr>
        <w:pStyle w:val="Default"/>
        <w:spacing w:after="240" w:line="276" w:lineRule="auto"/>
        <w:jc w:val="both"/>
        <w:rPr>
          <w:rFonts w:asciiTheme="majorHAnsi" w:eastAsia="Times New Roman" w:hAnsiTheme="majorHAnsi" w:cstheme="majorHAnsi"/>
          <w:color w:val="auto"/>
          <w:shd w:val="clear" w:color="auto" w:fill="FFFFFF"/>
          <w:lang w:val="ru-MD"/>
        </w:rPr>
      </w:pPr>
      <w:r w:rsidRPr="00A17338">
        <w:rPr>
          <w:rFonts w:asciiTheme="majorHAnsi" w:eastAsia="Times New Roman" w:hAnsiTheme="majorHAnsi" w:cstheme="majorHAnsi"/>
          <w:color w:val="auto"/>
          <w:shd w:val="clear" w:color="auto" w:fill="FFFFFF"/>
          <w:lang w:val="ru-MD"/>
        </w:rPr>
        <w:t xml:space="preserve">В этом контексте </w:t>
      </w:r>
      <w:r w:rsidR="00550FA9" w:rsidRPr="00A17338">
        <w:rPr>
          <w:rFonts w:asciiTheme="majorHAnsi" w:eastAsia="Times New Roman" w:hAnsiTheme="majorHAnsi" w:cstheme="majorHAnsi"/>
          <w:color w:val="auto"/>
          <w:shd w:val="clear" w:color="auto" w:fill="FFFFFF"/>
          <w:lang w:val="ru-MD"/>
        </w:rPr>
        <w:t>уточня</w:t>
      </w:r>
      <w:r w:rsidRPr="00A17338">
        <w:rPr>
          <w:rFonts w:asciiTheme="majorHAnsi" w:eastAsia="Times New Roman" w:hAnsiTheme="majorHAnsi" w:cstheme="majorHAnsi"/>
          <w:color w:val="auto"/>
          <w:shd w:val="clear" w:color="auto" w:fill="FFFFFF"/>
          <w:lang w:val="ru-MD"/>
        </w:rPr>
        <w:t xml:space="preserve">ем, что размер пособий </w:t>
      </w:r>
      <w:r w:rsidR="00550FA9" w:rsidRPr="00A17338">
        <w:rPr>
          <w:rFonts w:asciiTheme="majorHAnsi" w:eastAsia="Times New Roman" w:hAnsiTheme="majorHAnsi" w:cstheme="majorHAnsi"/>
          <w:color w:val="auto"/>
          <w:shd w:val="clear" w:color="auto" w:fill="FFFFFF"/>
          <w:lang w:val="ru-MD"/>
        </w:rPr>
        <w:t>социального страхования</w:t>
      </w:r>
      <w:r w:rsidRPr="00A17338">
        <w:rPr>
          <w:rFonts w:asciiTheme="majorHAnsi" w:eastAsia="Times New Roman" w:hAnsiTheme="majorHAnsi" w:cstheme="majorHAnsi"/>
          <w:color w:val="auto"/>
          <w:shd w:val="clear" w:color="auto" w:fill="FFFFFF"/>
          <w:lang w:val="ru-MD"/>
        </w:rPr>
        <w:t xml:space="preserve"> зависит от общего периода деятельности человека (общ</w:t>
      </w:r>
      <w:r w:rsidR="00550FA9" w:rsidRPr="00A17338">
        <w:rPr>
          <w:rFonts w:asciiTheme="majorHAnsi" w:eastAsia="Times New Roman" w:hAnsiTheme="majorHAnsi" w:cstheme="majorHAnsi"/>
          <w:color w:val="auto"/>
          <w:shd w:val="clear" w:color="auto" w:fill="FFFFFF"/>
          <w:lang w:val="ru-MD"/>
        </w:rPr>
        <w:t>ий страховой</w:t>
      </w:r>
      <w:r w:rsidRPr="00A17338">
        <w:rPr>
          <w:rFonts w:asciiTheme="majorHAnsi" w:eastAsia="Times New Roman" w:hAnsiTheme="majorHAnsi" w:cstheme="majorHAnsi"/>
          <w:color w:val="auto"/>
          <w:shd w:val="clear" w:color="auto" w:fill="FFFFFF"/>
          <w:lang w:val="ru-MD"/>
        </w:rPr>
        <w:t xml:space="preserve"> стаж) и </w:t>
      </w:r>
      <w:r w:rsidR="00550FA9" w:rsidRPr="00A17338">
        <w:rPr>
          <w:rFonts w:asciiTheme="majorHAnsi" w:eastAsia="Times New Roman" w:hAnsiTheme="majorHAnsi" w:cstheme="majorHAnsi"/>
          <w:color w:val="auto"/>
          <w:shd w:val="clear" w:color="auto" w:fill="FFFFFF"/>
          <w:lang w:val="ru-MD"/>
        </w:rPr>
        <w:t xml:space="preserve">от </w:t>
      </w:r>
      <w:r w:rsidRPr="00A17338">
        <w:rPr>
          <w:rFonts w:asciiTheme="majorHAnsi" w:eastAsia="Times New Roman" w:hAnsiTheme="majorHAnsi" w:cstheme="majorHAnsi"/>
          <w:color w:val="auto"/>
          <w:shd w:val="clear" w:color="auto" w:fill="FFFFFF"/>
          <w:lang w:val="ru-MD"/>
        </w:rPr>
        <w:t>заработной платы, из которой выплач</w:t>
      </w:r>
      <w:r w:rsidR="00550FA9" w:rsidRPr="00A17338">
        <w:rPr>
          <w:rFonts w:asciiTheme="majorHAnsi" w:eastAsia="Times New Roman" w:hAnsiTheme="majorHAnsi" w:cstheme="majorHAnsi"/>
          <w:color w:val="auto"/>
          <w:shd w:val="clear" w:color="auto" w:fill="FFFFFF"/>
          <w:lang w:val="ru-MD"/>
        </w:rPr>
        <w:t>ивались</w:t>
      </w:r>
      <w:r w:rsidRPr="00A17338">
        <w:rPr>
          <w:rFonts w:asciiTheme="majorHAnsi" w:eastAsia="Times New Roman" w:hAnsiTheme="majorHAnsi" w:cstheme="majorHAnsi"/>
          <w:color w:val="auto"/>
          <w:shd w:val="clear" w:color="auto" w:fill="FFFFFF"/>
          <w:lang w:val="ru-MD"/>
        </w:rPr>
        <w:t xml:space="preserve"> взносы </w:t>
      </w:r>
      <w:r w:rsidR="00550FA9" w:rsidRPr="00A17338">
        <w:rPr>
          <w:rFonts w:asciiTheme="majorHAnsi" w:eastAsia="Times New Roman" w:hAnsiTheme="majorHAnsi" w:cstheme="majorHAnsi"/>
          <w:color w:val="auto"/>
          <w:shd w:val="clear" w:color="auto" w:fill="FFFFFF"/>
          <w:lang w:val="ru-MD"/>
        </w:rPr>
        <w:t>социального страхования</w:t>
      </w:r>
      <w:r w:rsidRPr="00A17338">
        <w:rPr>
          <w:rFonts w:asciiTheme="majorHAnsi" w:eastAsia="Times New Roman" w:hAnsiTheme="majorHAnsi" w:cstheme="majorHAnsi"/>
          <w:color w:val="auto"/>
          <w:shd w:val="clear" w:color="auto" w:fill="FFFFFF"/>
          <w:lang w:val="ru-MD"/>
        </w:rPr>
        <w:t xml:space="preserve">. Таким образом, взнос социального страхования </w:t>
      </w:r>
      <w:r w:rsidR="00550FA9" w:rsidRPr="00A17338">
        <w:rPr>
          <w:rFonts w:asciiTheme="majorHAnsi" w:eastAsia="Times New Roman" w:hAnsiTheme="majorHAnsi" w:cstheme="majorHAnsi"/>
          <w:color w:val="auto"/>
          <w:shd w:val="clear" w:color="auto" w:fill="FFFFFF"/>
          <w:lang w:val="ru-MD"/>
        </w:rPr>
        <w:t>является</w:t>
      </w:r>
      <w:r w:rsidRPr="00A17338">
        <w:rPr>
          <w:rFonts w:asciiTheme="majorHAnsi" w:eastAsia="Times New Roman" w:hAnsiTheme="majorHAnsi" w:cstheme="majorHAnsi"/>
          <w:color w:val="auto"/>
          <w:shd w:val="clear" w:color="auto" w:fill="FFFFFF"/>
          <w:lang w:val="ru-MD"/>
        </w:rPr>
        <w:t xml:space="preserve"> не только обязательн</w:t>
      </w:r>
      <w:r w:rsidR="00550FA9" w:rsidRPr="00A17338">
        <w:rPr>
          <w:rFonts w:asciiTheme="majorHAnsi" w:eastAsia="Times New Roman" w:hAnsiTheme="majorHAnsi" w:cstheme="majorHAnsi"/>
          <w:color w:val="auto"/>
          <w:shd w:val="clear" w:color="auto" w:fill="FFFFFF"/>
          <w:lang w:val="ru-MD"/>
        </w:rPr>
        <w:t>ым</w:t>
      </w:r>
      <w:r w:rsidRPr="00A17338">
        <w:rPr>
          <w:rFonts w:asciiTheme="majorHAnsi" w:eastAsia="Times New Roman" w:hAnsiTheme="majorHAnsi" w:cstheme="majorHAnsi"/>
          <w:color w:val="auto"/>
          <w:shd w:val="clear" w:color="auto" w:fill="FFFFFF"/>
          <w:lang w:val="ru-MD"/>
        </w:rPr>
        <w:t xml:space="preserve"> </w:t>
      </w:r>
      <w:r w:rsidR="00550FA9" w:rsidRPr="00A17338">
        <w:rPr>
          <w:rFonts w:asciiTheme="majorHAnsi" w:eastAsia="Times New Roman" w:hAnsiTheme="majorHAnsi" w:cstheme="majorHAnsi"/>
          <w:color w:val="auto"/>
          <w:shd w:val="clear" w:color="auto" w:fill="FFFFFF"/>
          <w:lang w:val="ru-MD"/>
        </w:rPr>
        <w:t>платежом</w:t>
      </w:r>
      <w:r w:rsidRPr="00A17338">
        <w:rPr>
          <w:rFonts w:asciiTheme="majorHAnsi" w:eastAsia="Times New Roman" w:hAnsiTheme="majorHAnsi" w:cstheme="majorHAnsi"/>
          <w:color w:val="auto"/>
          <w:shd w:val="clear" w:color="auto" w:fill="FFFFFF"/>
          <w:lang w:val="ru-MD"/>
        </w:rPr>
        <w:t>, но и приоритетн</w:t>
      </w:r>
      <w:r w:rsidR="00550FA9" w:rsidRPr="00A17338">
        <w:rPr>
          <w:rFonts w:asciiTheme="majorHAnsi" w:eastAsia="Times New Roman" w:hAnsiTheme="majorHAnsi" w:cstheme="majorHAnsi"/>
          <w:color w:val="auto"/>
          <w:shd w:val="clear" w:color="auto" w:fill="FFFFFF"/>
          <w:lang w:val="ru-MD"/>
        </w:rPr>
        <w:t>ым</w:t>
      </w:r>
      <w:r w:rsidRPr="00A17338">
        <w:rPr>
          <w:rFonts w:asciiTheme="majorHAnsi" w:eastAsia="Times New Roman" w:hAnsiTheme="majorHAnsi" w:cstheme="majorHAnsi"/>
          <w:color w:val="auto"/>
          <w:shd w:val="clear" w:color="auto" w:fill="FFFFFF"/>
          <w:lang w:val="ru-MD"/>
        </w:rPr>
        <w:t xml:space="preserve"> условие</w:t>
      </w:r>
      <w:r w:rsidR="00550FA9" w:rsidRPr="00A17338">
        <w:rPr>
          <w:rFonts w:asciiTheme="majorHAnsi" w:eastAsia="Times New Roman" w:hAnsiTheme="majorHAnsi" w:cstheme="majorHAnsi"/>
          <w:color w:val="auto"/>
          <w:shd w:val="clear" w:color="auto" w:fill="FFFFFF"/>
          <w:lang w:val="ru-MD"/>
        </w:rPr>
        <w:t>м</w:t>
      </w:r>
      <w:r w:rsidRPr="00A17338">
        <w:rPr>
          <w:rFonts w:asciiTheme="majorHAnsi" w:eastAsia="Times New Roman" w:hAnsiTheme="majorHAnsi" w:cstheme="majorHAnsi"/>
          <w:color w:val="auto"/>
          <w:shd w:val="clear" w:color="auto" w:fill="FFFFFF"/>
          <w:lang w:val="ru-MD"/>
        </w:rPr>
        <w:t xml:space="preserve"> </w:t>
      </w:r>
      <w:r w:rsidR="00550FA9" w:rsidRPr="00A17338">
        <w:rPr>
          <w:rFonts w:asciiTheme="majorHAnsi" w:eastAsia="Times New Roman" w:hAnsiTheme="majorHAnsi" w:cstheme="majorHAnsi"/>
          <w:color w:val="auto"/>
          <w:shd w:val="clear" w:color="auto" w:fill="FFFFFF"/>
          <w:lang w:val="ru-MD"/>
        </w:rPr>
        <w:t xml:space="preserve">для </w:t>
      </w:r>
      <w:r w:rsidRPr="00A17338">
        <w:rPr>
          <w:rFonts w:asciiTheme="majorHAnsi" w:eastAsia="Times New Roman" w:hAnsiTheme="majorHAnsi" w:cstheme="majorHAnsi"/>
          <w:color w:val="auto"/>
          <w:shd w:val="clear" w:color="auto" w:fill="FFFFFF"/>
          <w:lang w:val="ru-MD"/>
        </w:rPr>
        <w:t xml:space="preserve">предоставления права на пособия </w:t>
      </w:r>
      <w:r w:rsidR="00550FA9" w:rsidRPr="00A17338">
        <w:rPr>
          <w:rFonts w:asciiTheme="majorHAnsi" w:eastAsia="Times New Roman" w:hAnsiTheme="majorHAnsi" w:cstheme="majorHAnsi"/>
          <w:color w:val="auto"/>
          <w:shd w:val="clear" w:color="auto" w:fill="FFFFFF"/>
          <w:lang w:val="ru-MD"/>
        </w:rPr>
        <w:t>социального страхования</w:t>
      </w:r>
      <w:r w:rsidRPr="00A17338">
        <w:rPr>
          <w:rFonts w:asciiTheme="majorHAnsi" w:eastAsia="Times New Roman" w:hAnsiTheme="majorHAnsi" w:cstheme="majorHAnsi"/>
          <w:color w:val="auto"/>
          <w:shd w:val="clear" w:color="auto" w:fill="FFFFFF"/>
          <w:lang w:val="ru-MD"/>
        </w:rPr>
        <w:t xml:space="preserve"> и определения их размера</w:t>
      </w:r>
      <w:r w:rsidR="00992BC7" w:rsidRPr="00A17338">
        <w:rPr>
          <w:rFonts w:asciiTheme="majorHAnsi" w:eastAsia="Times New Roman" w:hAnsiTheme="majorHAnsi" w:cstheme="majorHAnsi"/>
          <w:color w:val="auto"/>
          <w:shd w:val="clear" w:color="auto" w:fill="FFFFFF"/>
          <w:lang w:val="ru-MD"/>
        </w:rPr>
        <w:t>.</w:t>
      </w:r>
    </w:p>
    <w:p w14:paraId="72271CFC" w14:textId="08999293" w:rsidR="00A81C15" w:rsidRPr="00A17338" w:rsidRDefault="00976EC4" w:rsidP="00992BC7">
      <w:pPr>
        <w:shd w:val="clear" w:color="auto" w:fill="FFFFFF"/>
        <w:spacing w:after="0" w:line="276" w:lineRule="auto"/>
        <w:jc w:val="both"/>
        <w:rPr>
          <w:rFonts w:asciiTheme="majorHAnsi" w:eastAsia="Times New Roman" w:hAnsiTheme="majorHAnsi" w:cstheme="majorHAnsi"/>
          <w:sz w:val="24"/>
          <w:szCs w:val="24"/>
          <w:shd w:val="clear" w:color="auto" w:fill="FFFFFF"/>
          <w:lang w:val="ru-MD"/>
        </w:rPr>
      </w:pPr>
      <w:r w:rsidRPr="00A17338">
        <w:rPr>
          <w:rFonts w:asciiTheme="majorHAnsi" w:eastAsia="Times New Roman" w:hAnsiTheme="majorHAnsi" w:cstheme="majorHAnsi"/>
          <w:sz w:val="24"/>
          <w:szCs w:val="24"/>
          <w:shd w:val="clear" w:color="auto" w:fill="FFFFFF"/>
          <w:lang w:val="ru-MD"/>
        </w:rPr>
        <w:t>В ходе миссии</w:t>
      </w:r>
      <w:r w:rsidR="00550FA9" w:rsidRPr="00A17338">
        <w:rPr>
          <w:rFonts w:asciiTheme="majorHAnsi" w:eastAsia="Times New Roman" w:hAnsiTheme="majorHAnsi" w:cstheme="majorHAnsi"/>
          <w:sz w:val="24"/>
          <w:szCs w:val="24"/>
          <w:shd w:val="clear" w:color="auto" w:fill="FFFFFF"/>
          <w:lang w:val="ru-MD"/>
        </w:rPr>
        <w:t>,</w:t>
      </w:r>
      <w:r w:rsidRPr="00A17338">
        <w:rPr>
          <w:rFonts w:asciiTheme="majorHAnsi" w:eastAsia="Times New Roman" w:hAnsiTheme="majorHAnsi" w:cstheme="majorHAnsi"/>
          <w:sz w:val="24"/>
          <w:szCs w:val="24"/>
          <w:shd w:val="clear" w:color="auto" w:fill="FFFFFF"/>
          <w:lang w:val="ru-MD"/>
        </w:rPr>
        <w:t xml:space="preserve"> при ауди</w:t>
      </w:r>
      <w:r w:rsidR="00550FA9" w:rsidRPr="00A17338">
        <w:rPr>
          <w:rFonts w:asciiTheme="majorHAnsi" w:eastAsia="Times New Roman" w:hAnsiTheme="majorHAnsi" w:cstheme="majorHAnsi"/>
          <w:sz w:val="24"/>
          <w:szCs w:val="24"/>
          <w:shd w:val="clear" w:color="auto" w:fill="FFFFFF"/>
          <w:lang w:val="ru-MD"/>
        </w:rPr>
        <w:t>ровании</w:t>
      </w:r>
      <w:r w:rsidRPr="00A17338">
        <w:rPr>
          <w:rFonts w:asciiTheme="majorHAnsi" w:eastAsia="Times New Roman" w:hAnsiTheme="majorHAnsi" w:cstheme="majorHAnsi"/>
          <w:sz w:val="24"/>
          <w:szCs w:val="24"/>
          <w:shd w:val="clear" w:color="auto" w:fill="FFFFFF"/>
          <w:lang w:val="ru-MD"/>
        </w:rPr>
        <w:t xml:space="preserve"> социальных пособий аудит выявил </w:t>
      </w:r>
      <w:r w:rsidR="00550FA9" w:rsidRPr="00A17338">
        <w:rPr>
          <w:rFonts w:asciiTheme="majorHAnsi" w:eastAsia="Times New Roman" w:hAnsiTheme="majorHAnsi" w:cstheme="majorHAnsi"/>
          <w:sz w:val="24"/>
          <w:szCs w:val="24"/>
          <w:shd w:val="clear" w:color="auto" w:fill="FFFFFF"/>
          <w:lang w:val="ru-MD"/>
        </w:rPr>
        <w:t>получателей</w:t>
      </w:r>
      <w:r w:rsidRPr="00A17338">
        <w:rPr>
          <w:rFonts w:asciiTheme="majorHAnsi" w:eastAsia="Times New Roman" w:hAnsiTheme="majorHAnsi" w:cstheme="majorHAnsi"/>
          <w:sz w:val="24"/>
          <w:szCs w:val="24"/>
          <w:shd w:val="clear" w:color="auto" w:fill="FFFFFF"/>
          <w:lang w:val="ru-MD"/>
        </w:rPr>
        <w:t xml:space="preserve"> досрочн</w:t>
      </w:r>
      <w:r w:rsidR="00550FA9" w:rsidRPr="00A17338">
        <w:rPr>
          <w:rFonts w:asciiTheme="majorHAnsi" w:eastAsia="Times New Roman" w:hAnsiTheme="majorHAnsi" w:cstheme="majorHAnsi"/>
          <w:sz w:val="24"/>
          <w:szCs w:val="24"/>
          <w:shd w:val="clear" w:color="auto" w:fill="FFFFFF"/>
          <w:lang w:val="ru-MD"/>
        </w:rPr>
        <w:t>ых</w:t>
      </w:r>
      <w:r w:rsidRPr="00A17338">
        <w:rPr>
          <w:rFonts w:asciiTheme="majorHAnsi" w:eastAsia="Times New Roman" w:hAnsiTheme="majorHAnsi" w:cstheme="majorHAnsi"/>
          <w:sz w:val="24"/>
          <w:szCs w:val="24"/>
          <w:shd w:val="clear" w:color="auto" w:fill="FFFFFF"/>
          <w:lang w:val="ru-MD"/>
        </w:rPr>
        <w:t xml:space="preserve"> пенси</w:t>
      </w:r>
      <w:r w:rsidR="00550FA9" w:rsidRPr="00A17338">
        <w:rPr>
          <w:rFonts w:asciiTheme="majorHAnsi" w:eastAsia="Times New Roman" w:hAnsiTheme="majorHAnsi" w:cstheme="majorHAnsi"/>
          <w:sz w:val="24"/>
          <w:szCs w:val="24"/>
          <w:shd w:val="clear" w:color="auto" w:fill="FFFFFF"/>
          <w:lang w:val="ru-MD"/>
        </w:rPr>
        <w:t>й</w:t>
      </w:r>
      <w:r w:rsidRPr="00A17338">
        <w:rPr>
          <w:rFonts w:asciiTheme="majorHAnsi" w:eastAsia="Times New Roman" w:hAnsiTheme="majorHAnsi" w:cstheme="majorHAnsi"/>
          <w:sz w:val="24"/>
          <w:szCs w:val="24"/>
          <w:shd w:val="clear" w:color="auto" w:fill="FFFFFF"/>
          <w:lang w:val="ru-MD"/>
        </w:rPr>
        <w:t xml:space="preserve">, пособия по временной нетрудоспособности, пособия по </w:t>
      </w:r>
      <w:r w:rsidR="00550FA9" w:rsidRPr="00A17338">
        <w:rPr>
          <w:rFonts w:asciiTheme="majorHAnsi" w:eastAsia="Times New Roman" w:hAnsiTheme="majorHAnsi" w:cstheme="majorHAnsi"/>
          <w:sz w:val="24"/>
          <w:szCs w:val="24"/>
          <w:shd w:val="clear" w:color="auto" w:fill="FFFFFF"/>
          <w:lang w:val="ru-MD"/>
        </w:rPr>
        <w:t>материнству</w:t>
      </w:r>
      <w:r w:rsidRPr="00A17338">
        <w:rPr>
          <w:rFonts w:asciiTheme="majorHAnsi" w:eastAsia="Times New Roman" w:hAnsiTheme="majorHAnsi" w:cstheme="majorHAnsi"/>
          <w:sz w:val="24"/>
          <w:szCs w:val="24"/>
          <w:shd w:val="clear" w:color="auto" w:fill="FFFFFF"/>
          <w:lang w:val="ru-MD"/>
        </w:rPr>
        <w:t xml:space="preserve">, </w:t>
      </w:r>
      <w:r w:rsidR="00550FA9" w:rsidRPr="00A17338">
        <w:rPr>
          <w:rFonts w:asciiTheme="majorHAnsi" w:eastAsia="Times New Roman" w:hAnsiTheme="majorHAnsi" w:cstheme="majorHAnsi"/>
          <w:sz w:val="24"/>
          <w:szCs w:val="24"/>
          <w:shd w:val="clear" w:color="auto" w:fill="FFFFFF"/>
          <w:lang w:val="ru-MD"/>
        </w:rPr>
        <w:t xml:space="preserve">отцовского </w:t>
      </w:r>
      <w:r w:rsidRPr="00A17338">
        <w:rPr>
          <w:rFonts w:asciiTheme="majorHAnsi" w:eastAsia="Times New Roman" w:hAnsiTheme="majorHAnsi" w:cstheme="majorHAnsi"/>
          <w:sz w:val="24"/>
          <w:szCs w:val="24"/>
          <w:shd w:val="clear" w:color="auto" w:fill="FFFFFF"/>
          <w:lang w:val="ru-MD"/>
        </w:rPr>
        <w:t>пособия и ежемесячного пособия по уходу за ребенком, размер пособия устанавлива</w:t>
      </w:r>
      <w:r w:rsidR="00550FA9" w:rsidRPr="00A17338">
        <w:rPr>
          <w:rFonts w:asciiTheme="majorHAnsi" w:eastAsia="Times New Roman" w:hAnsiTheme="majorHAnsi" w:cstheme="majorHAnsi"/>
          <w:sz w:val="24"/>
          <w:szCs w:val="24"/>
          <w:shd w:val="clear" w:color="auto" w:fill="FFFFFF"/>
          <w:lang w:val="ru-MD"/>
        </w:rPr>
        <w:t>л</w:t>
      </w:r>
      <w:r w:rsidRPr="00A17338">
        <w:rPr>
          <w:rFonts w:asciiTheme="majorHAnsi" w:eastAsia="Times New Roman" w:hAnsiTheme="majorHAnsi" w:cstheme="majorHAnsi"/>
          <w:sz w:val="24"/>
          <w:szCs w:val="24"/>
          <w:shd w:val="clear" w:color="auto" w:fill="FFFFFF"/>
          <w:lang w:val="ru-MD"/>
        </w:rPr>
        <w:t xml:space="preserve">ся </w:t>
      </w:r>
      <w:r w:rsidR="00550FA9" w:rsidRPr="00A17338">
        <w:rPr>
          <w:rFonts w:asciiTheme="majorHAnsi" w:eastAsia="Times New Roman" w:hAnsiTheme="majorHAnsi" w:cstheme="majorHAnsi"/>
          <w:sz w:val="24"/>
          <w:szCs w:val="24"/>
          <w:shd w:val="clear" w:color="auto" w:fill="FFFFFF"/>
          <w:lang w:val="ru-MD"/>
        </w:rPr>
        <w:t>с учетом</w:t>
      </w:r>
      <w:r w:rsidRPr="00A17338">
        <w:rPr>
          <w:rFonts w:asciiTheme="majorHAnsi" w:eastAsia="Times New Roman" w:hAnsiTheme="majorHAnsi" w:cstheme="majorHAnsi"/>
          <w:sz w:val="24"/>
          <w:szCs w:val="24"/>
          <w:shd w:val="clear" w:color="auto" w:fill="FFFFFF"/>
          <w:lang w:val="ru-MD"/>
        </w:rPr>
        <w:t xml:space="preserve"> ограниченн</w:t>
      </w:r>
      <w:r w:rsidR="00550FA9" w:rsidRPr="00A17338">
        <w:rPr>
          <w:rFonts w:asciiTheme="majorHAnsi" w:eastAsia="Times New Roman" w:hAnsiTheme="majorHAnsi" w:cstheme="majorHAnsi"/>
          <w:sz w:val="24"/>
          <w:szCs w:val="24"/>
          <w:shd w:val="clear" w:color="auto" w:fill="FFFFFF"/>
          <w:lang w:val="ru-MD"/>
        </w:rPr>
        <w:t>ого</w:t>
      </w:r>
      <w:r w:rsidRPr="00A17338">
        <w:rPr>
          <w:rFonts w:asciiTheme="majorHAnsi" w:eastAsia="Times New Roman" w:hAnsiTheme="majorHAnsi" w:cstheme="majorHAnsi"/>
          <w:sz w:val="24"/>
          <w:szCs w:val="24"/>
          <w:shd w:val="clear" w:color="auto" w:fill="FFFFFF"/>
          <w:lang w:val="ru-MD"/>
        </w:rPr>
        <w:t xml:space="preserve"> ежемесячн</w:t>
      </w:r>
      <w:r w:rsidR="00550FA9" w:rsidRPr="00A17338">
        <w:rPr>
          <w:rFonts w:asciiTheme="majorHAnsi" w:eastAsia="Times New Roman" w:hAnsiTheme="majorHAnsi" w:cstheme="majorHAnsi"/>
          <w:sz w:val="24"/>
          <w:szCs w:val="24"/>
          <w:shd w:val="clear" w:color="auto" w:fill="FFFFFF"/>
          <w:lang w:val="ru-MD"/>
        </w:rPr>
        <w:t>ого страхового</w:t>
      </w:r>
      <w:r w:rsidRPr="00A17338">
        <w:rPr>
          <w:rFonts w:asciiTheme="majorHAnsi" w:eastAsia="Times New Roman" w:hAnsiTheme="majorHAnsi" w:cstheme="majorHAnsi"/>
          <w:sz w:val="24"/>
          <w:szCs w:val="24"/>
          <w:shd w:val="clear" w:color="auto" w:fill="FFFFFF"/>
          <w:lang w:val="ru-MD"/>
        </w:rPr>
        <w:t xml:space="preserve"> доход</w:t>
      </w:r>
      <w:r w:rsidR="00550FA9" w:rsidRPr="00A17338">
        <w:rPr>
          <w:rFonts w:asciiTheme="majorHAnsi" w:eastAsia="Times New Roman" w:hAnsiTheme="majorHAnsi" w:cstheme="majorHAnsi"/>
          <w:sz w:val="24"/>
          <w:szCs w:val="24"/>
          <w:shd w:val="clear" w:color="auto" w:fill="FFFFFF"/>
          <w:lang w:val="ru-MD"/>
        </w:rPr>
        <w:t>а (Приложение №</w:t>
      </w:r>
      <w:r w:rsidRPr="00A17338">
        <w:rPr>
          <w:rFonts w:asciiTheme="majorHAnsi" w:eastAsia="Times New Roman" w:hAnsiTheme="majorHAnsi" w:cstheme="majorHAnsi"/>
          <w:sz w:val="24"/>
          <w:szCs w:val="24"/>
          <w:shd w:val="clear" w:color="auto" w:fill="FFFFFF"/>
          <w:lang w:val="ru-MD"/>
        </w:rPr>
        <w:t xml:space="preserve">4 к настоящему </w:t>
      </w:r>
      <w:r w:rsidR="00550FA9" w:rsidRPr="00A17338">
        <w:rPr>
          <w:rFonts w:asciiTheme="majorHAnsi" w:eastAsia="Times New Roman" w:hAnsiTheme="majorHAnsi" w:cstheme="majorHAnsi"/>
          <w:sz w:val="24"/>
          <w:szCs w:val="24"/>
          <w:shd w:val="clear" w:color="auto" w:fill="FFFFFF"/>
          <w:lang w:val="ru-MD"/>
        </w:rPr>
        <w:t xml:space="preserve">Отчету </w:t>
      </w:r>
      <w:r w:rsidRPr="00A17338">
        <w:rPr>
          <w:rFonts w:asciiTheme="majorHAnsi" w:eastAsia="Times New Roman" w:hAnsiTheme="majorHAnsi" w:cstheme="majorHAnsi"/>
          <w:sz w:val="24"/>
          <w:szCs w:val="24"/>
          <w:shd w:val="clear" w:color="auto" w:fill="FFFFFF"/>
          <w:lang w:val="ru-MD"/>
        </w:rPr>
        <w:t>аудит</w:t>
      </w:r>
      <w:r w:rsidR="00550FA9" w:rsidRPr="00A17338">
        <w:rPr>
          <w:rFonts w:asciiTheme="majorHAnsi" w:eastAsia="Times New Roman" w:hAnsiTheme="majorHAnsi" w:cstheme="majorHAnsi"/>
          <w:sz w:val="24"/>
          <w:szCs w:val="24"/>
          <w:shd w:val="clear" w:color="auto" w:fill="FFFFFF"/>
          <w:lang w:val="ru-MD"/>
        </w:rPr>
        <w:t>а</w:t>
      </w:r>
      <w:r w:rsidRPr="00A17338">
        <w:rPr>
          <w:rFonts w:asciiTheme="majorHAnsi" w:eastAsia="Times New Roman" w:hAnsiTheme="majorHAnsi" w:cstheme="majorHAnsi"/>
          <w:sz w:val="24"/>
          <w:szCs w:val="24"/>
          <w:shd w:val="clear" w:color="auto" w:fill="FFFFFF"/>
          <w:lang w:val="ru-MD"/>
        </w:rPr>
        <w:t xml:space="preserve">). Таким образом, </w:t>
      </w:r>
      <w:r w:rsidR="00A17338" w:rsidRPr="00A17338">
        <w:rPr>
          <w:rFonts w:asciiTheme="majorHAnsi" w:eastAsia="Times New Roman" w:hAnsiTheme="majorHAnsi" w:cstheme="majorHAnsi"/>
          <w:sz w:val="24"/>
          <w:szCs w:val="24"/>
          <w:shd w:val="clear" w:color="auto" w:fill="FFFFFF"/>
          <w:lang w:val="ru-MD"/>
        </w:rPr>
        <w:t xml:space="preserve">ограниченная </w:t>
      </w:r>
      <w:r w:rsidRPr="00A17338">
        <w:rPr>
          <w:rFonts w:asciiTheme="majorHAnsi" w:eastAsia="Times New Roman" w:hAnsiTheme="majorHAnsi" w:cstheme="majorHAnsi"/>
          <w:sz w:val="24"/>
          <w:szCs w:val="24"/>
          <w:shd w:val="clear" w:color="auto" w:fill="FFFFFF"/>
          <w:lang w:val="ru-MD"/>
        </w:rPr>
        <w:t>расчетная база</w:t>
      </w:r>
      <w:r w:rsidR="00A17338" w:rsidRPr="00A17338">
        <w:rPr>
          <w:rFonts w:asciiTheme="majorHAnsi" w:eastAsia="Times New Roman" w:hAnsiTheme="majorHAnsi" w:cstheme="majorHAnsi"/>
          <w:sz w:val="24"/>
          <w:szCs w:val="24"/>
          <w:shd w:val="clear" w:color="auto" w:fill="FFFFFF"/>
          <w:lang w:val="ru-MD"/>
        </w:rPr>
        <w:t xml:space="preserve"> для</w:t>
      </w:r>
      <w:r w:rsidRPr="00A17338">
        <w:rPr>
          <w:rFonts w:asciiTheme="majorHAnsi" w:eastAsia="Times New Roman" w:hAnsiTheme="majorHAnsi" w:cstheme="majorHAnsi"/>
          <w:sz w:val="24"/>
          <w:szCs w:val="24"/>
          <w:shd w:val="clear" w:color="auto" w:fill="FFFFFF"/>
          <w:lang w:val="ru-MD"/>
        </w:rPr>
        <w:t xml:space="preserve"> определени</w:t>
      </w:r>
      <w:r w:rsidR="00A17338" w:rsidRPr="00A17338">
        <w:rPr>
          <w:rFonts w:asciiTheme="majorHAnsi" w:eastAsia="Times New Roman" w:hAnsiTheme="majorHAnsi" w:cstheme="majorHAnsi"/>
          <w:sz w:val="24"/>
          <w:szCs w:val="24"/>
          <w:shd w:val="clear" w:color="auto" w:fill="FFFFFF"/>
          <w:lang w:val="ru-MD"/>
        </w:rPr>
        <w:t>я</w:t>
      </w:r>
      <w:r w:rsidRPr="00A17338">
        <w:rPr>
          <w:rFonts w:asciiTheme="majorHAnsi" w:eastAsia="Times New Roman" w:hAnsiTheme="majorHAnsi" w:cstheme="majorHAnsi"/>
          <w:sz w:val="24"/>
          <w:szCs w:val="24"/>
          <w:shd w:val="clear" w:color="auto" w:fill="FFFFFF"/>
          <w:lang w:val="ru-MD"/>
        </w:rPr>
        <w:t xml:space="preserve"> размера пособия </w:t>
      </w:r>
      <w:r w:rsidR="00A17338" w:rsidRPr="00A17338">
        <w:rPr>
          <w:rFonts w:asciiTheme="majorHAnsi" w:eastAsia="Times New Roman" w:hAnsiTheme="majorHAnsi" w:cstheme="majorHAnsi"/>
          <w:sz w:val="24"/>
          <w:szCs w:val="24"/>
          <w:shd w:val="clear" w:color="auto" w:fill="FFFFFF"/>
          <w:lang w:val="ru-MD"/>
        </w:rPr>
        <w:t>сказывается</w:t>
      </w:r>
      <w:r w:rsidRPr="00A17338">
        <w:rPr>
          <w:rFonts w:asciiTheme="majorHAnsi" w:eastAsia="Times New Roman" w:hAnsiTheme="majorHAnsi" w:cstheme="majorHAnsi"/>
          <w:sz w:val="24"/>
          <w:szCs w:val="24"/>
          <w:shd w:val="clear" w:color="auto" w:fill="FFFFFF"/>
          <w:lang w:val="ru-MD"/>
        </w:rPr>
        <w:t xml:space="preserve"> на возможност</w:t>
      </w:r>
      <w:r w:rsidR="00A17338" w:rsidRPr="00A17338">
        <w:rPr>
          <w:rFonts w:asciiTheme="majorHAnsi" w:eastAsia="Times New Roman" w:hAnsiTheme="majorHAnsi" w:cstheme="majorHAnsi"/>
          <w:sz w:val="24"/>
          <w:szCs w:val="24"/>
          <w:shd w:val="clear" w:color="auto" w:fill="FFFFFF"/>
          <w:lang w:val="ru-MD"/>
        </w:rPr>
        <w:t>и</w:t>
      </w:r>
      <w:r w:rsidRPr="00A17338">
        <w:rPr>
          <w:rFonts w:asciiTheme="majorHAnsi" w:eastAsia="Times New Roman" w:hAnsiTheme="majorHAnsi" w:cstheme="majorHAnsi"/>
          <w:sz w:val="24"/>
          <w:szCs w:val="24"/>
          <w:shd w:val="clear" w:color="auto" w:fill="FFFFFF"/>
          <w:lang w:val="ru-MD"/>
        </w:rPr>
        <w:t xml:space="preserve"> </w:t>
      </w:r>
      <w:r w:rsidR="00A17338" w:rsidRPr="00A17338">
        <w:rPr>
          <w:rFonts w:asciiTheme="majorHAnsi" w:eastAsia="Times New Roman" w:hAnsiTheme="majorHAnsi" w:cstheme="majorHAnsi"/>
          <w:sz w:val="24"/>
          <w:szCs w:val="24"/>
          <w:shd w:val="clear" w:color="auto" w:fill="FFFFFF"/>
          <w:lang w:val="ru-MD"/>
        </w:rPr>
        <w:t>данн</w:t>
      </w:r>
      <w:r w:rsidRPr="00A17338">
        <w:rPr>
          <w:rFonts w:asciiTheme="majorHAnsi" w:eastAsia="Times New Roman" w:hAnsiTheme="majorHAnsi" w:cstheme="majorHAnsi"/>
          <w:sz w:val="24"/>
          <w:szCs w:val="24"/>
          <w:shd w:val="clear" w:color="auto" w:fill="FFFFFF"/>
          <w:lang w:val="ru-MD"/>
        </w:rPr>
        <w:t xml:space="preserve">ой категории плательщиков </w:t>
      </w:r>
      <w:r w:rsidR="00A17338" w:rsidRPr="00A17338">
        <w:rPr>
          <w:rFonts w:asciiTheme="majorHAnsi" w:eastAsia="Times New Roman" w:hAnsiTheme="majorHAnsi" w:cstheme="majorHAnsi"/>
          <w:sz w:val="24"/>
          <w:szCs w:val="24"/>
          <w:shd w:val="clear" w:color="auto" w:fill="FFFFFF"/>
          <w:lang w:val="ru-MD"/>
        </w:rPr>
        <w:t xml:space="preserve">получать </w:t>
      </w:r>
      <w:r w:rsidRPr="00A17338">
        <w:rPr>
          <w:rFonts w:asciiTheme="majorHAnsi" w:eastAsia="Times New Roman" w:hAnsiTheme="majorHAnsi" w:cstheme="majorHAnsi"/>
          <w:sz w:val="24"/>
          <w:szCs w:val="24"/>
          <w:shd w:val="clear" w:color="auto" w:fill="FFFFFF"/>
          <w:lang w:val="ru-MD"/>
        </w:rPr>
        <w:t xml:space="preserve">в будущем пособия </w:t>
      </w:r>
      <w:r w:rsidR="00550FA9" w:rsidRPr="00A17338">
        <w:rPr>
          <w:rFonts w:asciiTheme="majorHAnsi" w:eastAsia="Times New Roman" w:hAnsiTheme="majorHAnsi" w:cstheme="majorHAnsi"/>
          <w:sz w:val="24"/>
          <w:szCs w:val="24"/>
          <w:shd w:val="clear" w:color="auto" w:fill="FFFFFF"/>
          <w:lang w:val="ru-MD"/>
        </w:rPr>
        <w:t>социального страхования</w:t>
      </w:r>
      <w:r w:rsidRPr="00A17338">
        <w:rPr>
          <w:rFonts w:asciiTheme="majorHAnsi" w:eastAsia="Times New Roman" w:hAnsiTheme="majorHAnsi" w:cstheme="majorHAnsi"/>
          <w:sz w:val="24"/>
          <w:szCs w:val="24"/>
          <w:shd w:val="clear" w:color="auto" w:fill="FFFFFF"/>
          <w:lang w:val="ru-MD"/>
        </w:rPr>
        <w:t xml:space="preserve"> в больш</w:t>
      </w:r>
      <w:r w:rsidR="00A17338" w:rsidRPr="00A17338">
        <w:rPr>
          <w:rFonts w:asciiTheme="majorHAnsi" w:eastAsia="Times New Roman" w:hAnsiTheme="majorHAnsi" w:cstheme="majorHAnsi"/>
          <w:sz w:val="24"/>
          <w:szCs w:val="24"/>
          <w:shd w:val="clear" w:color="auto" w:fill="FFFFFF"/>
          <w:lang w:val="ru-MD"/>
        </w:rPr>
        <w:t>их размерах</w:t>
      </w:r>
      <w:r w:rsidR="00DA562C" w:rsidRPr="00A17338">
        <w:rPr>
          <w:rFonts w:asciiTheme="majorHAnsi" w:eastAsia="Times New Roman" w:hAnsiTheme="majorHAnsi" w:cstheme="majorHAnsi"/>
          <w:sz w:val="24"/>
          <w:szCs w:val="24"/>
          <w:shd w:val="clear" w:color="auto" w:fill="FFFFFF"/>
          <w:lang w:val="ru-MD"/>
        </w:rPr>
        <w:t>.</w:t>
      </w:r>
    </w:p>
    <w:p w14:paraId="55DFA10A" w14:textId="304FD2B8" w:rsidR="00F27269" w:rsidRPr="00A17338" w:rsidRDefault="00A17338" w:rsidP="00992BC7">
      <w:pPr>
        <w:shd w:val="clear" w:color="auto" w:fill="FFFFFF"/>
        <w:spacing w:after="0" w:line="276" w:lineRule="auto"/>
        <w:jc w:val="both"/>
        <w:rPr>
          <w:rFonts w:asciiTheme="majorHAnsi" w:eastAsia="Times New Roman" w:hAnsiTheme="majorHAnsi" w:cstheme="majorHAnsi"/>
          <w:sz w:val="24"/>
          <w:szCs w:val="24"/>
          <w:shd w:val="clear" w:color="auto" w:fill="FFFFFF"/>
          <w:lang w:val="ru-MD"/>
        </w:rPr>
      </w:pPr>
      <w:r w:rsidRPr="00A17338">
        <w:rPr>
          <w:rFonts w:asciiTheme="majorHAnsi" w:eastAsia="Times New Roman" w:hAnsiTheme="majorHAnsi" w:cstheme="majorHAnsi"/>
          <w:sz w:val="24"/>
          <w:szCs w:val="24"/>
          <w:shd w:val="clear" w:color="auto" w:fill="FFFFFF"/>
          <w:lang w:val="ru-MD"/>
        </w:rPr>
        <w:t>В этой же связи</w:t>
      </w:r>
      <w:r w:rsidR="00976EC4" w:rsidRPr="00A17338">
        <w:rPr>
          <w:rFonts w:asciiTheme="majorHAnsi" w:eastAsia="Times New Roman" w:hAnsiTheme="majorHAnsi" w:cstheme="majorHAnsi"/>
          <w:sz w:val="24"/>
          <w:szCs w:val="24"/>
          <w:shd w:val="clear" w:color="auto" w:fill="FFFFFF"/>
          <w:lang w:val="ru-MD"/>
        </w:rPr>
        <w:t xml:space="preserve"> аудит отмечает, что одним из принципов социального </w:t>
      </w:r>
      <w:r w:rsidRPr="00A17338">
        <w:rPr>
          <w:rFonts w:asciiTheme="majorHAnsi" w:eastAsia="Times New Roman" w:hAnsiTheme="majorHAnsi" w:cstheme="majorHAnsi"/>
          <w:sz w:val="24"/>
          <w:szCs w:val="24"/>
          <w:shd w:val="clear" w:color="auto" w:fill="FFFFFF"/>
          <w:lang w:val="ru-MD"/>
        </w:rPr>
        <w:t>страхова</w:t>
      </w:r>
      <w:r w:rsidR="00976EC4" w:rsidRPr="00A17338">
        <w:rPr>
          <w:rFonts w:asciiTheme="majorHAnsi" w:eastAsia="Times New Roman" w:hAnsiTheme="majorHAnsi" w:cstheme="majorHAnsi"/>
          <w:sz w:val="24"/>
          <w:szCs w:val="24"/>
          <w:shd w:val="clear" w:color="auto" w:fill="FFFFFF"/>
          <w:lang w:val="ru-MD"/>
        </w:rPr>
        <w:t>ния является принцип равенства, который обеспечивает всем участникам государственной системы - плательщикам и бенефициарам - недискриминационн</w:t>
      </w:r>
      <w:r w:rsidRPr="00A17338">
        <w:rPr>
          <w:rFonts w:asciiTheme="majorHAnsi" w:eastAsia="Times New Roman" w:hAnsiTheme="majorHAnsi" w:cstheme="majorHAnsi"/>
          <w:sz w:val="24"/>
          <w:szCs w:val="24"/>
          <w:shd w:val="clear" w:color="auto" w:fill="FFFFFF"/>
          <w:lang w:val="ru-MD"/>
        </w:rPr>
        <w:t>ый</w:t>
      </w:r>
      <w:r w:rsidR="00976EC4" w:rsidRPr="00A17338">
        <w:rPr>
          <w:rFonts w:asciiTheme="majorHAnsi" w:eastAsia="Times New Roman" w:hAnsiTheme="majorHAnsi" w:cstheme="majorHAnsi"/>
          <w:sz w:val="24"/>
          <w:szCs w:val="24"/>
          <w:shd w:val="clear" w:color="auto" w:fill="FFFFFF"/>
          <w:lang w:val="ru-MD"/>
        </w:rPr>
        <w:t xml:space="preserve"> </w:t>
      </w:r>
      <w:r w:rsidRPr="00A17338">
        <w:rPr>
          <w:rFonts w:asciiTheme="majorHAnsi" w:eastAsia="Times New Roman" w:hAnsiTheme="majorHAnsi" w:cstheme="majorHAnsi"/>
          <w:sz w:val="24"/>
          <w:szCs w:val="24"/>
          <w:shd w:val="clear" w:color="auto" w:fill="FFFFFF"/>
          <w:lang w:val="ru-MD"/>
        </w:rPr>
        <w:t>подход</w:t>
      </w:r>
      <w:r w:rsidR="00976EC4" w:rsidRPr="00A17338">
        <w:rPr>
          <w:rFonts w:asciiTheme="majorHAnsi" w:eastAsia="Times New Roman" w:hAnsiTheme="majorHAnsi" w:cstheme="majorHAnsi"/>
          <w:sz w:val="24"/>
          <w:szCs w:val="24"/>
          <w:shd w:val="clear" w:color="auto" w:fill="FFFFFF"/>
          <w:lang w:val="ru-MD"/>
        </w:rPr>
        <w:t xml:space="preserve"> в </w:t>
      </w:r>
      <w:r w:rsidRPr="00A17338">
        <w:rPr>
          <w:rFonts w:asciiTheme="majorHAnsi" w:eastAsia="Times New Roman" w:hAnsiTheme="majorHAnsi" w:cstheme="majorHAnsi"/>
          <w:sz w:val="24"/>
          <w:szCs w:val="24"/>
          <w:shd w:val="clear" w:color="auto" w:fill="FFFFFF"/>
          <w:lang w:val="ru-MD"/>
        </w:rPr>
        <w:t>аспекте</w:t>
      </w:r>
      <w:r w:rsidR="00976EC4" w:rsidRPr="00A17338">
        <w:rPr>
          <w:rFonts w:asciiTheme="majorHAnsi" w:eastAsia="Times New Roman" w:hAnsiTheme="majorHAnsi" w:cstheme="majorHAnsi"/>
          <w:sz w:val="24"/>
          <w:szCs w:val="24"/>
          <w:shd w:val="clear" w:color="auto" w:fill="FFFFFF"/>
          <w:lang w:val="ru-MD"/>
        </w:rPr>
        <w:t xml:space="preserve"> прав и обязанностей, предусмотренных законом</w:t>
      </w:r>
      <w:r w:rsidRPr="00A17338">
        <w:rPr>
          <w:rStyle w:val="a5"/>
          <w:rFonts w:asciiTheme="majorHAnsi" w:hAnsiTheme="majorHAnsi" w:cstheme="majorHAnsi"/>
          <w:sz w:val="24"/>
          <w:szCs w:val="24"/>
          <w:shd w:val="clear" w:color="auto" w:fill="FFFFFF"/>
          <w:lang w:val="ru-MD"/>
        </w:rPr>
        <w:footnoteReference w:id="72"/>
      </w:r>
      <w:r w:rsidR="00976EC4" w:rsidRPr="00A17338">
        <w:rPr>
          <w:rFonts w:asciiTheme="majorHAnsi" w:eastAsia="Times New Roman" w:hAnsiTheme="majorHAnsi" w:cstheme="majorHAnsi"/>
          <w:sz w:val="24"/>
          <w:szCs w:val="24"/>
          <w:shd w:val="clear" w:color="auto" w:fill="FFFFFF"/>
          <w:lang w:val="ru-MD"/>
        </w:rPr>
        <w:t xml:space="preserve">. Таким образом, </w:t>
      </w:r>
      <w:r w:rsidRPr="00A17338">
        <w:rPr>
          <w:rFonts w:asciiTheme="majorHAnsi" w:eastAsia="Times New Roman" w:hAnsiTheme="majorHAnsi" w:cstheme="majorHAnsi"/>
          <w:sz w:val="24"/>
          <w:szCs w:val="24"/>
          <w:shd w:val="clear" w:color="auto" w:fill="FFFFFF"/>
          <w:lang w:val="ru-MD"/>
        </w:rPr>
        <w:t>законодательн</w:t>
      </w:r>
      <w:r w:rsidR="00976EC4" w:rsidRPr="00A17338">
        <w:rPr>
          <w:rFonts w:asciiTheme="majorHAnsi" w:eastAsia="Times New Roman" w:hAnsiTheme="majorHAnsi" w:cstheme="majorHAnsi"/>
          <w:sz w:val="24"/>
          <w:szCs w:val="24"/>
          <w:shd w:val="clear" w:color="auto" w:fill="FFFFFF"/>
          <w:lang w:val="ru-MD"/>
        </w:rPr>
        <w:t>ые положения</w:t>
      </w:r>
      <w:r w:rsidRPr="00A17338">
        <w:rPr>
          <w:rFonts w:asciiTheme="majorHAnsi" w:eastAsia="Times New Roman" w:hAnsiTheme="majorHAnsi" w:cstheme="majorHAnsi"/>
          <w:sz w:val="24"/>
          <w:szCs w:val="24"/>
          <w:shd w:val="clear" w:color="auto" w:fill="FFFFFF"/>
          <w:lang w:val="ru-MD"/>
        </w:rPr>
        <w:t xml:space="preserve"> по</w:t>
      </w:r>
      <w:r w:rsidR="00976EC4" w:rsidRPr="00A17338">
        <w:rPr>
          <w:rFonts w:asciiTheme="majorHAnsi" w:eastAsia="Times New Roman" w:hAnsiTheme="majorHAnsi" w:cstheme="majorHAnsi"/>
          <w:sz w:val="24"/>
          <w:szCs w:val="24"/>
          <w:shd w:val="clear" w:color="auto" w:fill="FFFFFF"/>
          <w:lang w:val="ru-MD"/>
        </w:rPr>
        <w:t xml:space="preserve"> поддержке сектора </w:t>
      </w:r>
      <w:r w:rsidRPr="00A17338">
        <w:rPr>
          <w:rFonts w:asciiTheme="majorHAnsi" w:eastAsia="Times New Roman" w:hAnsiTheme="majorHAnsi" w:cstheme="majorHAnsi"/>
          <w:sz w:val="24"/>
          <w:szCs w:val="24"/>
          <w:shd w:val="clear" w:color="auto" w:fill="FFFFFF"/>
          <w:lang w:val="ru-MD"/>
        </w:rPr>
        <w:t>ИТ</w:t>
      </w:r>
      <w:r w:rsidR="00976EC4" w:rsidRPr="00A17338">
        <w:rPr>
          <w:rFonts w:asciiTheme="majorHAnsi" w:eastAsia="Times New Roman" w:hAnsiTheme="majorHAnsi" w:cstheme="majorHAnsi"/>
          <w:sz w:val="24"/>
          <w:szCs w:val="24"/>
          <w:shd w:val="clear" w:color="auto" w:fill="FFFFFF"/>
          <w:lang w:val="ru-MD"/>
        </w:rPr>
        <w:t xml:space="preserve"> посредством социальн</w:t>
      </w:r>
      <w:r w:rsidRPr="00A17338">
        <w:rPr>
          <w:rFonts w:asciiTheme="majorHAnsi" w:eastAsia="Times New Roman" w:hAnsiTheme="majorHAnsi" w:cstheme="majorHAnsi"/>
          <w:sz w:val="24"/>
          <w:szCs w:val="24"/>
          <w:shd w:val="clear" w:color="auto" w:fill="FFFFFF"/>
          <w:lang w:val="ru-MD"/>
        </w:rPr>
        <w:t>ых</w:t>
      </w:r>
      <w:r w:rsidR="00976EC4" w:rsidRPr="00A17338">
        <w:rPr>
          <w:rFonts w:asciiTheme="majorHAnsi" w:eastAsia="Times New Roman" w:hAnsiTheme="majorHAnsi" w:cstheme="majorHAnsi"/>
          <w:sz w:val="24"/>
          <w:szCs w:val="24"/>
          <w:shd w:val="clear" w:color="auto" w:fill="FFFFFF"/>
          <w:lang w:val="ru-MD"/>
        </w:rPr>
        <w:t xml:space="preserve"> политик не обеспечивают </w:t>
      </w:r>
      <w:r w:rsidRPr="00A17338">
        <w:rPr>
          <w:rFonts w:asciiTheme="majorHAnsi" w:eastAsia="Times New Roman" w:hAnsiTheme="majorHAnsi" w:cstheme="majorHAnsi"/>
          <w:sz w:val="24"/>
          <w:szCs w:val="24"/>
          <w:shd w:val="clear" w:color="auto" w:fill="FFFFFF"/>
          <w:lang w:val="ru-MD"/>
        </w:rPr>
        <w:t xml:space="preserve">в полной мере </w:t>
      </w:r>
      <w:r w:rsidR="00976EC4" w:rsidRPr="00A17338">
        <w:rPr>
          <w:rFonts w:asciiTheme="majorHAnsi" w:eastAsia="Times New Roman" w:hAnsiTheme="majorHAnsi" w:cstheme="majorHAnsi"/>
          <w:sz w:val="24"/>
          <w:szCs w:val="24"/>
          <w:shd w:val="clear" w:color="auto" w:fill="FFFFFF"/>
          <w:lang w:val="ru-MD"/>
        </w:rPr>
        <w:t>соблюдение указанного принципа</w:t>
      </w:r>
      <w:r w:rsidR="00A81C15" w:rsidRPr="00A17338">
        <w:rPr>
          <w:rFonts w:asciiTheme="majorHAnsi" w:eastAsia="Times New Roman" w:hAnsiTheme="majorHAnsi" w:cstheme="majorHAnsi"/>
          <w:sz w:val="24"/>
          <w:szCs w:val="24"/>
          <w:shd w:val="clear" w:color="auto" w:fill="FFFFFF"/>
          <w:lang w:val="ru-MD"/>
        </w:rPr>
        <w:t>.</w:t>
      </w:r>
    </w:p>
    <w:p w14:paraId="1B767BE3" w14:textId="418329ED" w:rsidR="00DA562C" w:rsidRPr="002E08DB" w:rsidRDefault="002E08DB" w:rsidP="00A17338">
      <w:pPr>
        <w:pStyle w:val="aa"/>
        <w:numPr>
          <w:ilvl w:val="0"/>
          <w:numId w:val="19"/>
        </w:numPr>
        <w:shd w:val="clear" w:color="auto" w:fill="FFFFFF"/>
        <w:spacing w:after="0" w:line="276" w:lineRule="auto"/>
        <w:ind w:left="0" w:firstLine="360"/>
        <w:jc w:val="both"/>
        <w:rPr>
          <w:rFonts w:asciiTheme="majorHAnsi" w:eastAsia="Times New Roman" w:hAnsiTheme="majorHAnsi" w:cstheme="majorHAnsi"/>
          <w:b/>
          <w:bCs/>
          <w:i/>
          <w:iCs/>
          <w:sz w:val="24"/>
          <w:szCs w:val="24"/>
          <w:shd w:val="clear" w:color="auto" w:fill="FFFFFF"/>
          <w:lang w:val="ru-MD"/>
        </w:rPr>
      </w:pPr>
      <w:r w:rsidRPr="002E08DB">
        <w:rPr>
          <w:rFonts w:asciiTheme="majorHAnsi" w:eastAsia="Times New Roman" w:hAnsiTheme="majorHAnsi" w:cstheme="majorHAnsi"/>
          <w:b/>
          <w:bCs/>
          <w:i/>
          <w:iCs/>
          <w:sz w:val="24"/>
          <w:szCs w:val="24"/>
          <w:shd w:val="clear" w:color="auto" w:fill="FFFFFF"/>
          <w:lang w:val="ru-MD"/>
        </w:rPr>
        <w:t>Преференциаль</w:t>
      </w:r>
      <w:r w:rsidR="00976EC4" w:rsidRPr="002E08DB">
        <w:rPr>
          <w:rFonts w:asciiTheme="majorHAnsi" w:eastAsia="Times New Roman" w:hAnsiTheme="majorHAnsi" w:cstheme="majorHAnsi"/>
          <w:b/>
          <w:bCs/>
          <w:i/>
          <w:iCs/>
          <w:sz w:val="24"/>
          <w:szCs w:val="24"/>
          <w:shd w:val="clear" w:color="auto" w:fill="FFFFFF"/>
          <w:lang w:val="ru-MD"/>
        </w:rPr>
        <w:t xml:space="preserve">ная политика в отношении взносов в области </w:t>
      </w:r>
      <w:r w:rsidRPr="002E08DB">
        <w:rPr>
          <w:rFonts w:asciiTheme="majorHAnsi" w:eastAsia="Times New Roman" w:hAnsiTheme="majorHAnsi" w:cstheme="majorHAnsi"/>
          <w:b/>
          <w:bCs/>
          <w:i/>
          <w:iCs/>
          <w:sz w:val="24"/>
          <w:szCs w:val="24"/>
          <w:shd w:val="clear" w:color="auto" w:fill="FFFFFF"/>
          <w:lang w:val="ru-MD"/>
        </w:rPr>
        <w:t>ИТ</w:t>
      </w:r>
      <w:r w:rsidR="00976EC4" w:rsidRPr="002E08DB">
        <w:rPr>
          <w:rFonts w:asciiTheme="majorHAnsi" w:eastAsia="Times New Roman" w:hAnsiTheme="majorHAnsi" w:cstheme="majorHAnsi"/>
          <w:b/>
          <w:bCs/>
          <w:i/>
          <w:iCs/>
          <w:sz w:val="24"/>
          <w:szCs w:val="24"/>
          <w:shd w:val="clear" w:color="auto" w:fill="FFFFFF"/>
          <w:lang w:val="ru-MD"/>
        </w:rPr>
        <w:t xml:space="preserve"> влияет/</w:t>
      </w:r>
      <w:r w:rsidRPr="002E08DB">
        <w:rPr>
          <w:rFonts w:asciiTheme="majorHAnsi" w:eastAsia="Times New Roman" w:hAnsiTheme="majorHAnsi" w:cstheme="majorHAnsi"/>
          <w:b/>
          <w:bCs/>
          <w:i/>
          <w:iCs/>
          <w:sz w:val="24"/>
          <w:szCs w:val="24"/>
          <w:shd w:val="clear" w:color="auto" w:fill="FFFFFF"/>
          <w:lang w:val="ru-MD"/>
        </w:rPr>
        <w:t>сказывается</w:t>
      </w:r>
      <w:r w:rsidR="00976EC4" w:rsidRPr="002E08DB">
        <w:rPr>
          <w:rFonts w:asciiTheme="majorHAnsi" w:eastAsia="Times New Roman" w:hAnsiTheme="majorHAnsi" w:cstheme="majorHAnsi"/>
          <w:b/>
          <w:bCs/>
          <w:i/>
          <w:iCs/>
          <w:sz w:val="24"/>
          <w:szCs w:val="24"/>
          <w:shd w:val="clear" w:color="auto" w:fill="FFFFFF"/>
          <w:lang w:val="ru-MD"/>
        </w:rPr>
        <w:t xml:space="preserve"> на доходы </w:t>
      </w:r>
      <w:r w:rsidR="004D6499" w:rsidRPr="002E08DB">
        <w:rPr>
          <w:rFonts w:asciiTheme="majorHAnsi" w:eastAsia="Times New Roman" w:hAnsiTheme="majorHAnsi" w:cstheme="majorHAnsi"/>
          <w:b/>
          <w:bCs/>
          <w:i/>
          <w:iCs/>
          <w:sz w:val="24"/>
          <w:szCs w:val="24"/>
          <w:shd w:val="clear" w:color="auto" w:fill="FFFFFF"/>
          <w:lang w:val="ru-MD"/>
        </w:rPr>
        <w:t>БГСС</w:t>
      </w:r>
      <w:r w:rsidR="00B270C8" w:rsidRPr="002E08DB">
        <w:rPr>
          <w:rFonts w:asciiTheme="majorHAnsi" w:eastAsia="Times New Roman" w:hAnsiTheme="majorHAnsi" w:cstheme="majorHAnsi"/>
          <w:b/>
          <w:bCs/>
          <w:i/>
          <w:iCs/>
          <w:sz w:val="24"/>
          <w:szCs w:val="24"/>
          <w:shd w:val="clear" w:color="auto" w:fill="FFFFFF"/>
          <w:lang w:val="ru-MD"/>
        </w:rPr>
        <w:t>.</w:t>
      </w:r>
    </w:p>
    <w:p w14:paraId="3BB2747C" w14:textId="766E8D59" w:rsidR="00DA562C" w:rsidRPr="00B278F0" w:rsidRDefault="00976EC4" w:rsidP="00DA562C">
      <w:pPr>
        <w:shd w:val="clear" w:color="auto" w:fill="FFFFFF"/>
        <w:spacing w:after="0" w:line="276" w:lineRule="auto"/>
        <w:jc w:val="both"/>
        <w:rPr>
          <w:rFonts w:asciiTheme="majorHAnsi" w:eastAsia="Times New Roman" w:hAnsiTheme="majorHAnsi" w:cstheme="majorHAnsi"/>
          <w:sz w:val="24"/>
          <w:szCs w:val="24"/>
          <w:shd w:val="clear" w:color="auto" w:fill="FFFFFF"/>
          <w:lang w:val="ru-MD"/>
        </w:rPr>
      </w:pPr>
      <w:r w:rsidRPr="00B278F0">
        <w:rPr>
          <w:rFonts w:asciiTheme="majorHAnsi" w:eastAsia="Times New Roman" w:hAnsiTheme="majorHAnsi" w:cstheme="majorHAnsi"/>
          <w:sz w:val="24"/>
          <w:szCs w:val="24"/>
          <w:shd w:val="clear" w:color="auto" w:fill="FFFFFF"/>
          <w:lang w:val="ru-MD"/>
        </w:rPr>
        <w:t xml:space="preserve">Согласно </w:t>
      </w:r>
      <w:r w:rsidR="002E08DB" w:rsidRPr="00B278F0">
        <w:rPr>
          <w:rFonts w:asciiTheme="majorHAnsi" w:eastAsia="Times New Roman" w:hAnsiTheme="majorHAnsi" w:cstheme="majorHAnsi"/>
          <w:sz w:val="24"/>
          <w:szCs w:val="24"/>
          <w:shd w:val="clear" w:color="auto" w:fill="FFFFFF"/>
          <w:lang w:val="ru-MD"/>
        </w:rPr>
        <w:t>законодательн</w:t>
      </w:r>
      <w:r w:rsidRPr="00B278F0">
        <w:rPr>
          <w:rFonts w:asciiTheme="majorHAnsi" w:eastAsia="Times New Roman" w:hAnsiTheme="majorHAnsi" w:cstheme="majorHAnsi"/>
          <w:sz w:val="24"/>
          <w:szCs w:val="24"/>
          <w:shd w:val="clear" w:color="auto" w:fill="FFFFFF"/>
          <w:lang w:val="ru-MD"/>
        </w:rPr>
        <w:t xml:space="preserve">ым положениям, поступления от единовременного налога, взимаемого с </w:t>
      </w:r>
      <w:r w:rsidR="002E08DB" w:rsidRPr="00B278F0">
        <w:rPr>
          <w:rFonts w:asciiTheme="majorHAnsi" w:eastAsia="Times New Roman" w:hAnsiTheme="majorHAnsi" w:cstheme="majorHAnsi"/>
          <w:sz w:val="24"/>
          <w:szCs w:val="24"/>
          <w:shd w:val="clear" w:color="auto" w:fill="FFFFFF"/>
          <w:lang w:val="ru-MD"/>
        </w:rPr>
        <w:t>резидентов</w:t>
      </w:r>
      <w:r w:rsidRPr="00B278F0">
        <w:rPr>
          <w:rFonts w:asciiTheme="majorHAnsi" w:eastAsia="Times New Roman" w:hAnsiTheme="majorHAnsi" w:cstheme="majorHAnsi"/>
          <w:sz w:val="24"/>
          <w:szCs w:val="24"/>
          <w:shd w:val="clear" w:color="auto" w:fill="FFFFFF"/>
          <w:lang w:val="ru-MD"/>
        </w:rPr>
        <w:t xml:space="preserve"> парков информационных технологий, </w:t>
      </w:r>
      <w:r w:rsidR="002E08DB" w:rsidRPr="00B278F0">
        <w:rPr>
          <w:rFonts w:asciiTheme="majorHAnsi" w:eastAsia="Times New Roman" w:hAnsiTheme="majorHAnsi" w:cstheme="majorHAnsi"/>
          <w:sz w:val="24"/>
          <w:szCs w:val="24"/>
          <w:shd w:val="clear" w:color="auto" w:fill="FFFFFF"/>
          <w:lang w:val="ru-MD"/>
        </w:rPr>
        <w:t>осуществляю</w:t>
      </w:r>
      <w:r w:rsidRPr="00B278F0">
        <w:rPr>
          <w:rFonts w:asciiTheme="majorHAnsi" w:eastAsia="Times New Roman" w:hAnsiTheme="majorHAnsi" w:cstheme="majorHAnsi"/>
          <w:sz w:val="24"/>
          <w:szCs w:val="24"/>
          <w:shd w:val="clear" w:color="auto" w:fill="FFFFFF"/>
          <w:lang w:val="ru-MD"/>
        </w:rPr>
        <w:t>тся в Государственн</w:t>
      </w:r>
      <w:r w:rsidR="002E08DB" w:rsidRPr="00B278F0">
        <w:rPr>
          <w:rFonts w:asciiTheme="majorHAnsi" w:eastAsia="Times New Roman" w:hAnsiTheme="majorHAnsi" w:cstheme="majorHAnsi"/>
          <w:sz w:val="24"/>
          <w:szCs w:val="24"/>
          <w:shd w:val="clear" w:color="auto" w:fill="FFFFFF"/>
          <w:lang w:val="ru-MD"/>
        </w:rPr>
        <w:t>ый</w:t>
      </w:r>
      <w:r w:rsidRPr="00B278F0">
        <w:rPr>
          <w:rFonts w:asciiTheme="majorHAnsi" w:eastAsia="Times New Roman" w:hAnsiTheme="majorHAnsi" w:cstheme="majorHAnsi"/>
          <w:sz w:val="24"/>
          <w:szCs w:val="24"/>
          <w:shd w:val="clear" w:color="auto" w:fill="FFFFFF"/>
          <w:lang w:val="ru-MD"/>
        </w:rPr>
        <w:t xml:space="preserve"> бюджет с последующим </w:t>
      </w:r>
      <w:r w:rsidR="002E08DB" w:rsidRPr="00B278F0">
        <w:rPr>
          <w:rFonts w:asciiTheme="majorHAnsi" w:eastAsia="Times New Roman" w:hAnsiTheme="majorHAnsi" w:cstheme="majorHAnsi"/>
          <w:sz w:val="24"/>
          <w:szCs w:val="24"/>
          <w:shd w:val="clear" w:color="auto" w:fill="FFFFFF"/>
          <w:lang w:val="ru-MD"/>
        </w:rPr>
        <w:t>отчислением</w:t>
      </w:r>
      <w:r w:rsidRPr="00B278F0">
        <w:rPr>
          <w:rFonts w:asciiTheme="majorHAnsi" w:eastAsia="Times New Roman" w:hAnsiTheme="majorHAnsi" w:cstheme="majorHAnsi"/>
          <w:sz w:val="24"/>
          <w:szCs w:val="24"/>
          <w:shd w:val="clear" w:color="auto" w:fill="FFFFFF"/>
          <w:lang w:val="ru-MD"/>
        </w:rPr>
        <w:t xml:space="preserve"> доли в размере 54,7% в бюджет государственного социального страхования. </w:t>
      </w:r>
      <w:r w:rsidR="0018623B" w:rsidRPr="00B278F0">
        <w:rPr>
          <w:rFonts w:asciiTheme="majorHAnsi" w:eastAsia="Times New Roman" w:hAnsiTheme="majorHAnsi" w:cstheme="majorHAnsi"/>
          <w:sz w:val="24"/>
          <w:szCs w:val="24"/>
          <w:shd w:val="clear" w:color="auto" w:fill="FFFFFF"/>
          <w:lang w:val="ru-MD"/>
        </w:rPr>
        <w:t>Необходимо</w:t>
      </w:r>
      <w:r w:rsidRPr="00B278F0">
        <w:rPr>
          <w:rFonts w:asciiTheme="majorHAnsi" w:eastAsia="Times New Roman" w:hAnsiTheme="majorHAnsi" w:cstheme="majorHAnsi"/>
          <w:sz w:val="24"/>
          <w:szCs w:val="24"/>
          <w:shd w:val="clear" w:color="auto" w:fill="FFFFFF"/>
          <w:lang w:val="ru-MD"/>
        </w:rPr>
        <w:t xml:space="preserve"> отметить, что средне</w:t>
      </w:r>
      <w:r w:rsidR="0018623B" w:rsidRPr="00B278F0">
        <w:rPr>
          <w:rFonts w:asciiTheme="majorHAnsi" w:eastAsia="Times New Roman" w:hAnsiTheme="majorHAnsi" w:cstheme="majorHAnsi"/>
          <w:sz w:val="24"/>
          <w:szCs w:val="24"/>
          <w:shd w:val="clear" w:color="auto" w:fill="FFFFFF"/>
          <w:lang w:val="ru-MD"/>
        </w:rPr>
        <w:t>е</w:t>
      </w:r>
      <w:r w:rsidRPr="00B278F0">
        <w:rPr>
          <w:rFonts w:asciiTheme="majorHAnsi" w:eastAsia="Times New Roman" w:hAnsiTheme="majorHAnsi" w:cstheme="majorHAnsi"/>
          <w:sz w:val="24"/>
          <w:szCs w:val="24"/>
          <w:shd w:val="clear" w:color="auto" w:fill="FFFFFF"/>
          <w:lang w:val="ru-MD"/>
        </w:rPr>
        <w:t xml:space="preserve"> число </w:t>
      </w:r>
      <w:r w:rsidR="0018623B" w:rsidRPr="00B278F0">
        <w:rPr>
          <w:rFonts w:asciiTheme="majorHAnsi" w:eastAsia="Times New Roman" w:hAnsiTheme="majorHAnsi" w:cstheme="majorHAnsi"/>
          <w:sz w:val="24"/>
          <w:szCs w:val="24"/>
          <w:shd w:val="clear" w:color="auto" w:fill="FFFFFF"/>
          <w:lang w:val="ru-MD"/>
        </w:rPr>
        <w:t>сотруд</w:t>
      </w:r>
      <w:r w:rsidRPr="00B278F0">
        <w:rPr>
          <w:rFonts w:asciiTheme="majorHAnsi" w:eastAsia="Times New Roman" w:hAnsiTheme="majorHAnsi" w:cstheme="majorHAnsi"/>
          <w:sz w:val="24"/>
          <w:szCs w:val="24"/>
          <w:shd w:val="clear" w:color="auto" w:fill="FFFFFF"/>
          <w:lang w:val="ru-MD"/>
        </w:rPr>
        <w:t xml:space="preserve">ников </w:t>
      </w:r>
      <w:r w:rsidR="0018623B" w:rsidRPr="00B278F0">
        <w:rPr>
          <w:rFonts w:asciiTheme="majorHAnsi" w:eastAsia="Times New Roman" w:hAnsiTheme="majorHAnsi" w:cstheme="majorHAnsi"/>
          <w:sz w:val="24"/>
          <w:szCs w:val="24"/>
          <w:shd w:val="clear" w:color="auto" w:fill="FFFFFF"/>
          <w:lang w:val="ru-MD"/>
        </w:rPr>
        <w:t>на протяжении</w:t>
      </w:r>
      <w:r w:rsidRPr="00B278F0">
        <w:rPr>
          <w:rFonts w:asciiTheme="majorHAnsi" w:eastAsia="Times New Roman" w:hAnsiTheme="majorHAnsi" w:cstheme="majorHAnsi"/>
          <w:sz w:val="24"/>
          <w:szCs w:val="24"/>
          <w:shd w:val="clear" w:color="auto" w:fill="FFFFFF"/>
          <w:lang w:val="ru-MD"/>
        </w:rPr>
        <w:t xml:space="preserve"> 2022 года по представленной информации составляет 18 072 сотрудника</w:t>
      </w:r>
      <w:r w:rsidR="0018623B" w:rsidRPr="00B278F0">
        <w:rPr>
          <w:rStyle w:val="a5"/>
          <w:rFonts w:eastAsia="Times New Roman" w:cstheme="majorHAnsi"/>
          <w:sz w:val="24"/>
          <w:szCs w:val="24"/>
          <w:shd w:val="clear" w:color="auto" w:fill="FFFFFF"/>
          <w:lang w:val="ru-MD"/>
        </w:rPr>
        <w:footnoteReference w:id="73"/>
      </w:r>
      <w:r w:rsidRPr="00B278F0">
        <w:rPr>
          <w:rFonts w:asciiTheme="majorHAnsi" w:eastAsia="Times New Roman" w:hAnsiTheme="majorHAnsi" w:cstheme="majorHAnsi"/>
          <w:sz w:val="24"/>
          <w:szCs w:val="24"/>
          <w:shd w:val="clear" w:color="auto" w:fill="FFFFFF"/>
          <w:lang w:val="ru-MD"/>
        </w:rPr>
        <w:t xml:space="preserve">. В то же время доходы, полученные от единовременного налога, взимаемого с </w:t>
      </w:r>
      <w:r w:rsidR="0018623B" w:rsidRPr="00B278F0">
        <w:rPr>
          <w:rFonts w:asciiTheme="majorHAnsi" w:eastAsia="Times New Roman" w:hAnsiTheme="majorHAnsi" w:cstheme="majorHAnsi"/>
          <w:sz w:val="24"/>
          <w:szCs w:val="24"/>
          <w:shd w:val="clear" w:color="auto" w:fill="FFFFFF"/>
          <w:lang w:val="ru-MD"/>
        </w:rPr>
        <w:t>резидентов</w:t>
      </w:r>
      <w:r w:rsidRPr="00B278F0">
        <w:rPr>
          <w:rFonts w:asciiTheme="majorHAnsi" w:eastAsia="Times New Roman" w:hAnsiTheme="majorHAnsi" w:cstheme="majorHAnsi"/>
          <w:sz w:val="24"/>
          <w:szCs w:val="24"/>
          <w:shd w:val="clear" w:color="auto" w:fill="FFFFFF"/>
          <w:lang w:val="ru-MD"/>
        </w:rPr>
        <w:t xml:space="preserve"> парков информационных технологий (код 145161), были реализованы в </w:t>
      </w:r>
      <w:r w:rsidR="0018623B" w:rsidRPr="00B278F0">
        <w:rPr>
          <w:rFonts w:asciiTheme="majorHAnsi" w:eastAsia="Times New Roman" w:hAnsiTheme="majorHAnsi" w:cstheme="majorHAnsi"/>
          <w:sz w:val="24"/>
          <w:szCs w:val="24"/>
          <w:shd w:val="clear" w:color="auto" w:fill="FFFFFF"/>
          <w:lang w:val="ru-MD"/>
        </w:rPr>
        <w:t>объем</w:t>
      </w:r>
      <w:r w:rsidRPr="00B278F0">
        <w:rPr>
          <w:rFonts w:asciiTheme="majorHAnsi" w:eastAsia="Times New Roman" w:hAnsiTheme="majorHAnsi" w:cstheme="majorHAnsi"/>
          <w:sz w:val="24"/>
          <w:szCs w:val="24"/>
          <w:shd w:val="clear" w:color="auto" w:fill="FFFFFF"/>
          <w:lang w:val="ru-MD"/>
        </w:rPr>
        <w:t>е 420,8 млн.</w:t>
      </w:r>
      <w:r w:rsidR="0018623B" w:rsidRPr="00B278F0">
        <w:rPr>
          <w:rFonts w:asciiTheme="majorHAnsi" w:eastAsia="Times New Roman" w:hAnsiTheme="majorHAnsi" w:cstheme="majorHAnsi"/>
          <w:sz w:val="24"/>
          <w:szCs w:val="24"/>
          <w:shd w:val="clear" w:color="auto" w:fill="FFFFFF"/>
          <w:lang w:val="ru-MD"/>
        </w:rPr>
        <w:t xml:space="preserve"> </w:t>
      </w:r>
      <w:r w:rsidRPr="00B278F0">
        <w:rPr>
          <w:rFonts w:asciiTheme="majorHAnsi" w:eastAsia="Times New Roman" w:hAnsiTheme="majorHAnsi" w:cstheme="majorHAnsi"/>
          <w:sz w:val="24"/>
          <w:szCs w:val="24"/>
          <w:shd w:val="clear" w:color="auto" w:fill="FFFFFF"/>
          <w:lang w:val="ru-MD"/>
        </w:rPr>
        <w:t>ле</w:t>
      </w:r>
      <w:r w:rsidR="0018623B" w:rsidRPr="00B278F0">
        <w:rPr>
          <w:rFonts w:asciiTheme="majorHAnsi" w:eastAsia="Times New Roman" w:hAnsiTheme="majorHAnsi" w:cstheme="majorHAnsi"/>
          <w:sz w:val="24"/>
          <w:szCs w:val="24"/>
          <w:shd w:val="clear" w:color="auto" w:fill="FFFFFF"/>
          <w:lang w:val="ru-MD"/>
        </w:rPr>
        <w:t>ев,</w:t>
      </w:r>
      <w:r w:rsidRPr="00B278F0">
        <w:rPr>
          <w:rFonts w:asciiTheme="majorHAnsi" w:eastAsia="Times New Roman" w:hAnsiTheme="majorHAnsi" w:cstheme="majorHAnsi"/>
          <w:sz w:val="24"/>
          <w:szCs w:val="24"/>
          <w:shd w:val="clear" w:color="auto" w:fill="FFFFFF"/>
          <w:lang w:val="ru-MD"/>
        </w:rPr>
        <w:t xml:space="preserve"> по сравнению с предыдущим годом </w:t>
      </w:r>
      <w:r w:rsidR="0018623B" w:rsidRPr="00B278F0">
        <w:rPr>
          <w:rFonts w:asciiTheme="majorHAnsi" w:eastAsia="Times New Roman" w:hAnsiTheme="majorHAnsi" w:cstheme="majorHAnsi"/>
          <w:sz w:val="24"/>
          <w:szCs w:val="24"/>
          <w:shd w:val="clear" w:color="auto" w:fill="FFFFFF"/>
          <w:lang w:val="ru-MD"/>
        </w:rPr>
        <w:t>боль</w:t>
      </w:r>
      <w:r w:rsidRPr="00B278F0">
        <w:rPr>
          <w:rFonts w:asciiTheme="majorHAnsi" w:eastAsia="Times New Roman" w:hAnsiTheme="majorHAnsi" w:cstheme="majorHAnsi"/>
          <w:sz w:val="24"/>
          <w:szCs w:val="24"/>
          <w:shd w:val="clear" w:color="auto" w:fill="FFFFFF"/>
          <w:lang w:val="ru-MD"/>
        </w:rPr>
        <w:t>ше на 128,1 млн.</w:t>
      </w:r>
      <w:r w:rsidR="0018623B" w:rsidRPr="00B278F0">
        <w:rPr>
          <w:rFonts w:asciiTheme="majorHAnsi" w:eastAsia="Times New Roman" w:hAnsiTheme="majorHAnsi" w:cstheme="majorHAnsi"/>
          <w:sz w:val="24"/>
          <w:szCs w:val="24"/>
          <w:shd w:val="clear" w:color="auto" w:fill="FFFFFF"/>
          <w:lang w:val="ru-MD"/>
        </w:rPr>
        <w:t xml:space="preserve"> </w:t>
      </w:r>
      <w:r w:rsidRPr="00B278F0">
        <w:rPr>
          <w:rFonts w:asciiTheme="majorHAnsi" w:eastAsia="Times New Roman" w:hAnsiTheme="majorHAnsi" w:cstheme="majorHAnsi"/>
          <w:sz w:val="24"/>
          <w:szCs w:val="24"/>
          <w:shd w:val="clear" w:color="auto" w:fill="FFFFFF"/>
          <w:lang w:val="ru-MD"/>
        </w:rPr>
        <w:t>ле</w:t>
      </w:r>
      <w:r w:rsidR="0018623B" w:rsidRPr="00B278F0">
        <w:rPr>
          <w:rFonts w:asciiTheme="majorHAnsi" w:eastAsia="Times New Roman" w:hAnsiTheme="majorHAnsi" w:cstheme="majorHAnsi"/>
          <w:sz w:val="24"/>
          <w:szCs w:val="24"/>
          <w:shd w:val="clear" w:color="auto" w:fill="FFFFFF"/>
          <w:lang w:val="ru-MD"/>
        </w:rPr>
        <w:t>ев</w:t>
      </w:r>
      <w:r w:rsidRPr="00B278F0">
        <w:rPr>
          <w:rFonts w:asciiTheme="majorHAnsi" w:eastAsia="Times New Roman" w:hAnsiTheme="majorHAnsi" w:cstheme="majorHAnsi"/>
          <w:sz w:val="24"/>
          <w:szCs w:val="24"/>
          <w:shd w:val="clear" w:color="auto" w:fill="FFFFFF"/>
          <w:lang w:val="ru-MD"/>
        </w:rPr>
        <w:t xml:space="preserve">, или </w:t>
      </w:r>
      <w:r w:rsidR="0018623B" w:rsidRPr="00B278F0">
        <w:rPr>
          <w:rFonts w:asciiTheme="majorHAnsi" w:eastAsia="Times New Roman" w:hAnsiTheme="majorHAnsi" w:cstheme="majorHAnsi"/>
          <w:sz w:val="24"/>
          <w:szCs w:val="24"/>
          <w:shd w:val="clear" w:color="auto" w:fill="FFFFFF"/>
          <w:lang w:val="ru-MD"/>
        </w:rPr>
        <w:t>на</w:t>
      </w:r>
      <w:r w:rsidRPr="00B278F0">
        <w:rPr>
          <w:rFonts w:asciiTheme="majorHAnsi" w:eastAsia="Times New Roman" w:hAnsiTheme="majorHAnsi" w:cstheme="majorHAnsi"/>
          <w:sz w:val="24"/>
          <w:szCs w:val="24"/>
          <w:shd w:val="clear" w:color="auto" w:fill="FFFFFF"/>
          <w:lang w:val="ru-MD"/>
        </w:rPr>
        <w:t xml:space="preserve"> 43,8%</w:t>
      </w:r>
      <w:r w:rsidR="00992BC7" w:rsidRPr="00B278F0">
        <w:rPr>
          <w:rStyle w:val="a5"/>
          <w:rFonts w:cstheme="majorHAnsi"/>
          <w:sz w:val="24"/>
          <w:szCs w:val="24"/>
          <w:lang w:val="ru-MD"/>
        </w:rPr>
        <w:footnoteReference w:id="74"/>
      </w:r>
      <w:r w:rsidR="00DA562C" w:rsidRPr="00B278F0">
        <w:rPr>
          <w:rFonts w:asciiTheme="majorHAnsi" w:hAnsiTheme="majorHAnsi" w:cstheme="majorHAnsi"/>
          <w:sz w:val="24"/>
          <w:szCs w:val="24"/>
          <w:lang w:val="ru-MD"/>
        </w:rPr>
        <w:t xml:space="preserve">. </w:t>
      </w:r>
      <w:r w:rsidR="00574C6B">
        <w:rPr>
          <w:rFonts w:asciiTheme="majorHAnsi" w:hAnsiTheme="majorHAnsi" w:cstheme="majorHAnsi"/>
          <w:sz w:val="24"/>
          <w:szCs w:val="24"/>
          <w:lang w:val="ru-MD"/>
        </w:rPr>
        <w:t xml:space="preserve"> </w:t>
      </w:r>
    </w:p>
    <w:p w14:paraId="482B98A8" w14:textId="1FC60374" w:rsidR="00DA562C" w:rsidRPr="00B278F0" w:rsidRDefault="00976EC4" w:rsidP="00DA562C">
      <w:pPr>
        <w:shd w:val="clear" w:color="auto" w:fill="FFFFFF"/>
        <w:spacing w:after="0" w:line="276" w:lineRule="auto"/>
        <w:jc w:val="both"/>
        <w:rPr>
          <w:rFonts w:asciiTheme="majorHAnsi" w:eastAsia="Times New Roman" w:hAnsiTheme="majorHAnsi" w:cstheme="majorHAnsi"/>
          <w:sz w:val="24"/>
          <w:szCs w:val="24"/>
          <w:shd w:val="clear" w:color="auto" w:fill="FFFFFF"/>
          <w:lang w:val="ru-MD"/>
        </w:rPr>
      </w:pPr>
      <w:r w:rsidRPr="00B278F0">
        <w:rPr>
          <w:rFonts w:asciiTheme="majorHAnsi" w:hAnsiTheme="majorHAnsi" w:cstheme="majorHAnsi"/>
          <w:sz w:val="24"/>
          <w:szCs w:val="24"/>
          <w:lang w:val="ru-MD"/>
        </w:rPr>
        <w:t xml:space="preserve">Аудит отмечает, что, согласно данным, отраженным на сайте </w:t>
      </w:r>
      <w:hyperlink r:id="rId29" w:history="1">
        <w:r w:rsidR="00B278F0" w:rsidRPr="00B278F0">
          <w:rPr>
            <w:rStyle w:val="af2"/>
            <w:rFonts w:asciiTheme="majorHAnsi" w:hAnsiTheme="majorHAnsi" w:cstheme="majorHAnsi"/>
            <w:sz w:val="24"/>
            <w:szCs w:val="24"/>
            <w:lang w:val="ru-MD"/>
          </w:rPr>
          <w:t>https://mitp.md</w:t>
        </w:r>
        <w:r w:rsidR="00B278F0" w:rsidRPr="00B278F0">
          <w:rPr>
            <w:rStyle w:val="af2"/>
            <w:rFonts w:asciiTheme="majorHAnsi" w:hAnsiTheme="majorHAnsi" w:cstheme="majorHAnsi"/>
            <w:sz w:val="24"/>
            <w:szCs w:val="24"/>
            <w:u w:val="none"/>
            <w:lang w:val="ru-MD"/>
          </w:rPr>
          <w:t>/</w:t>
        </w:r>
      </w:hyperlink>
      <w:r w:rsidRPr="00B278F0">
        <w:rPr>
          <w:rFonts w:asciiTheme="majorHAnsi" w:hAnsiTheme="majorHAnsi" w:cstheme="majorHAnsi"/>
          <w:sz w:val="24"/>
          <w:szCs w:val="24"/>
          <w:lang w:val="ru-MD"/>
        </w:rPr>
        <w:t>, среднемесячная зар</w:t>
      </w:r>
      <w:r w:rsidR="00B278F0" w:rsidRPr="00B278F0">
        <w:rPr>
          <w:rFonts w:asciiTheme="majorHAnsi" w:hAnsiTheme="majorHAnsi" w:cstheme="majorHAnsi"/>
          <w:sz w:val="24"/>
          <w:szCs w:val="24"/>
          <w:lang w:val="ru-MD"/>
        </w:rPr>
        <w:t xml:space="preserve">аботная </w:t>
      </w:r>
      <w:r w:rsidRPr="00B278F0">
        <w:rPr>
          <w:rFonts w:asciiTheme="majorHAnsi" w:hAnsiTheme="majorHAnsi" w:cstheme="majorHAnsi"/>
          <w:sz w:val="24"/>
          <w:szCs w:val="24"/>
          <w:lang w:val="ru-MD"/>
        </w:rPr>
        <w:t xml:space="preserve">плата сотрудника в области </w:t>
      </w:r>
      <w:r w:rsidR="00B278F0" w:rsidRPr="00B278F0">
        <w:rPr>
          <w:rFonts w:asciiTheme="majorHAnsi" w:hAnsiTheme="majorHAnsi" w:cstheme="majorHAnsi"/>
          <w:sz w:val="24"/>
          <w:szCs w:val="24"/>
          <w:lang w:val="ru-MD"/>
        </w:rPr>
        <w:t>ИТ</w:t>
      </w:r>
      <w:r w:rsidRPr="00B278F0">
        <w:rPr>
          <w:rFonts w:asciiTheme="majorHAnsi" w:hAnsiTheme="majorHAnsi" w:cstheme="majorHAnsi"/>
          <w:sz w:val="24"/>
          <w:szCs w:val="24"/>
          <w:lang w:val="ru-MD"/>
        </w:rPr>
        <w:t xml:space="preserve"> </w:t>
      </w:r>
      <w:r w:rsidR="00B278F0" w:rsidRPr="00B278F0">
        <w:rPr>
          <w:rFonts w:asciiTheme="majorHAnsi" w:hAnsiTheme="majorHAnsi" w:cstheme="majorHAnsi"/>
          <w:sz w:val="24"/>
          <w:szCs w:val="24"/>
          <w:lang w:val="ru-MD"/>
        </w:rPr>
        <w:t>за</w:t>
      </w:r>
      <w:r w:rsidRPr="00B278F0">
        <w:rPr>
          <w:rFonts w:asciiTheme="majorHAnsi" w:hAnsiTheme="majorHAnsi" w:cstheme="majorHAnsi"/>
          <w:sz w:val="24"/>
          <w:szCs w:val="24"/>
          <w:lang w:val="ru-MD"/>
        </w:rPr>
        <w:t xml:space="preserve"> 2021 год составила около 36,0 тыс. леев. Так, в случае перехода сотрудников </w:t>
      </w:r>
      <w:r w:rsidR="00B278F0" w:rsidRPr="00B278F0">
        <w:rPr>
          <w:rFonts w:asciiTheme="majorHAnsi" w:hAnsiTheme="majorHAnsi" w:cstheme="majorHAnsi"/>
          <w:sz w:val="24"/>
          <w:szCs w:val="24"/>
          <w:lang w:val="ru-MD"/>
        </w:rPr>
        <w:t>ИТ</w:t>
      </w:r>
      <w:r w:rsidRPr="00B278F0">
        <w:rPr>
          <w:rFonts w:asciiTheme="majorHAnsi" w:hAnsiTheme="majorHAnsi" w:cstheme="majorHAnsi"/>
          <w:sz w:val="24"/>
          <w:szCs w:val="24"/>
          <w:lang w:val="ru-MD"/>
        </w:rPr>
        <w:t xml:space="preserve"> </w:t>
      </w:r>
      <w:r w:rsidR="00B278F0" w:rsidRPr="00B278F0">
        <w:rPr>
          <w:rFonts w:asciiTheme="majorHAnsi" w:hAnsiTheme="majorHAnsi" w:cstheme="majorHAnsi"/>
          <w:sz w:val="24"/>
          <w:szCs w:val="24"/>
          <w:lang w:val="ru-MD"/>
        </w:rPr>
        <w:t>к</w:t>
      </w:r>
      <w:r w:rsidRPr="00B278F0">
        <w:rPr>
          <w:rFonts w:asciiTheme="majorHAnsi" w:hAnsiTheme="majorHAnsi" w:cstheme="majorHAnsi"/>
          <w:sz w:val="24"/>
          <w:szCs w:val="24"/>
          <w:lang w:val="ru-MD"/>
        </w:rPr>
        <w:t xml:space="preserve"> един</w:t>
      </w:r>
      <w:r w:rsidR="00B278F0" w:rsidRPr="00B278F0">
        <w:rPr>
          <w:rFonts w:asciiTheme="majorHAnsi" w:hAnsiTheme="majorHAnsi" w:cstheme="majorHAnsi"/>
          <w:sz w:val="24"/>
          <w:szCs w:val="24"/>
          <w:lang w:val="ru-MD"/>
        </w:rPr>
        <w:t>ой</w:t>
      </w:r>
      <w:r w:rsidRPr="00B278F0">
        <w:rPr>
          <w:rFonts w:asciiTheme="majorHAnsi" w:hAnsiTheme="majorHAnsi" w:cstheme="majorHAnsi"/>
          <w:sz w:val="24"/>
          <w:szCs w:val="24"/>
          <w:lang w:val="ru-MD"/>
        </w:rPr>
        <w:t xml:space="preserve"> систем</w:t>
      </w:r>
      <w:r w:rsidR="00B278F0" w:rsidRPr="00B278F0">
        <w:rPr>
          <w:rFonts w:asciiTheme="majorHAnsi" w:hAnsiTheme="majorHAnsi" w:cstheme="majorHAnsi"/>
          <w:sz w:val="24"/>
          <w:szCs w:val="24"/>
          <w:lang w:val="ru-MD"/>
        </w:rPr>
        <w:t>е</w:t>
      </w:r>
      <w:r w:rsidRPr="00B278F0">
        <w:rPr>
          <w:rFonts w:asciiTheme="majorHAnsi" w:hAnsiTheme="majorHAnsi" w:cstheme="majorHAnsi"/>
          <w:sz w:val="24"/>
          <w:szCs w:val="24"/>
          <w:lang w:val="ru-MD"/>
        </w:rPr>
        <w:t xml:space="preserve"> взносов</w:t>
      </w:r>
      <w:r w:rsidR="00B278F0" w:rsidRPr="00B278F0">
        <w:rPr>
          <w:rFonts w:asciiTheme="majorHAnsi" w:hAnsiTheme="majorHAnsi" w:cstheme="majorHAnsi"/>
          <w:sz w:val="24"/>
          <w:szCs w:val="24"/>
          <w:lang w:val="ru-MD"/>
        </w:rPr>
        <w:t>,</w:t>
      </w:r>
      <w:r w:rsidRPr="00B278F0">
        <w:rPr>
          <w:rFonts w:asciiTheme="majorHAnsi" w:hAnsiTheme="majorHAnsi" w:cstheme="majorHAnsi"/>
          <w:sz w:val="24"/>
          <w:szCs w:val="24"/>
          <w:lang w:val="ru-MD"/>
        </w:rPr>
        <w:t xml:space="preserve"> сумма возможного дохода оценивается примерно в 2 255,0 млн.</w:t>
      </w:r>
      <w:r w:rsidR="00B278F0" w:rsidRPr="00B278F0">
        <w:rPr>
          <w:rFonts w:asciiTheme="majorHAnsi" w:hAnsiTheme="majorHAnsi" w:cstheme="majorHAnsi"/>
          <w:sz w:val="24"/>
          <w:szCs w:val="24"/>
          <w:lang w:val="ru-MD"/>
        </w:rPr>
        <w:t xml:space="preserve"> </w:t>
      </w:r>
      <w:r w:rsidRPr="00B278F0">
        <w:rPr>
          <w:rFonts w:asciiTheme="majorHAnsi" w:hAnsiTheme="majorHAnsi" w:cstheme="majorHAnsi"/>
          <w:sz w:val="24"/>
          <w:szCs w:val="24"/>
          <w:lang w:val="ru-MD"/>
        </w:rPr>
        <w:t>ле</w:t>
      </w:r>
      <w:r w:rsidR="00B278F0" w:rsidRPr="00B278F0">
        <w:rPr>
          <w:rFonts w:asciiTheme="majorHAnsi" w:hAnsiTheme="majorHAnsi" w:cstheme="majorHAnsi"/>
          <w:sz w:val="24"/>
          <w:szCs w:val="24"/>
          <w:lang w:val="ru-MD"/>
        </w:rPr>
        <w:t>ев</w:t>
      </w:r>
      <w:r w:rsidRPr="00B278F0">
        <w:rPr>
          <w:rFonts w:asciiTheme="majorHAnsi" w:hAnsiTheme="majorHAnsi" w:cstheme="majorHAnsi"/>
          <w:sz w:val="24"/>
          <w:szCs w:val="24"/>
          <w:lang w:val="ru-MD"/>
        </w:rPr>
        <w:t xml:space="preserve">. Это не только источник дохода для </w:t>
      </w:r>
      <w:r w:rsidR="00B278F0" w:rsidRPr="00B278F0">
        <w:rPr>
          <w:rFonts w:asciiTheme="majorHAnsi" w:hAnsiTheme="majorHAnsi" w:cstheme="majorHAnsi"/>
          <w:sz w:val="24"/>
          <w:szCs w:val="24"/>
          <w:lang w:val="ru-MD"/>
        </w:rPr>
        <w:t>БГСС</w:t>
      </w:r>
      <w:r w:rsidRPr="00B278F0">
        <w:rPr>
          <w:rFonts w:asciiTheme="majorHAnsi" w:hAnsiTheme="majorHAnsi" w:cstheme="majorHAnsi"/>
          <w:sz w:val="24"/>
          <w:szCs w:val="24"/>
          <w:lang w:val="ru-MD"/>
        </w:rPr>
        <w:t xml:space="preserve">, но и возможность недискриминационного </w:t>
      </w:r>
      <w:r w:rsidR="00B278F0" w:rsidRPr="00B278F0">
        <w:rPr>
          <w:rFonts w:asciiTheme="majorHAnsi" w:hAnsiTheme="majorHAnsi" w:cstheme="majorHAnsi"/>
          <w:sz w:val="24"/>
          <w:szCs w:val="24"/>
          <w:lang w:val="ru-MD"/>
        </w:rPr>
        <w:t>подхода к</w:t>
      </w:r>
      <w:r w:rsidRPr="00B278F0">
        <w:rPr>
          <w:rFonts w:asciiTheme="majorHAnsi" w:hAnsiTheme="majorHAnsi" w:cstheme="majorHAnsi"/>
          <w:sz w:val="24"/>
          <w:szCs w:val="24"/>
          <w:lang w:val="ru-MD"/>
        </w:rPr>
        <w:t xml:space="preserve"> работникам </w:t>
      </w:r>
      <w:r w:rsidR="00B278F0" w:rsidRPr="00B278F0">
        <w:rPr>
          <w:rFonts w:asciiTheme="majorHAnsi" w:hAnsiTheme="majorHAnsi" w:cstheme="majorHAnsi"/>
          <w:sz w:val="24"/>
          <w:szCs w:val="24"/>
          <w:lang w:val="ru-MD"/>
        </w:rPr>
        <w:t>ИТ</w:t>
      </w:r>
      <w:r w:rsidRPr="00B278F0">
        <w:rPr>
          <w:rFonts w:asciiTheme="majorHAnsi" w:hAnsiTheme="majorHAnsi" w:cstheme="majorHAnsi"/>
          <w:sz w:val="24"/>
          <w:szCs w:val="24"/>
          <w:lang w:val="ru-MD"/>
        </w:rPr>
        <w:t xml:space="preserve"> в </w:t>
      </w:r>
      <w:r w:rsidR="00B278F0" w:rsidRPr="00B278F0">
        <w:rPr>
          <w:rFonts w:asciiTheme="majorHAnsi" w:hAnsiTheme="majorHAnsi" w:cstheme="majorHAnsi"/>
          <w:sz w:val="24"/>
          <w:szCs w:val="24"/>
          <w:lang w:val="ru-MD"/>
        </w:rPr>
        <w:t>аспекте</w:t>
      </w:r>
      <w:r w:rsidRPr="00B278F0">
        <w:rPr>
          <w:rFonts w:asciiTheme="majorHAnsi" w:hAnsiTheme="majorHAnsi" w:cstheme="majorHAnsi"/>
          <w:sz w:val="24"/>
          <w:szCs w:val="24"/>
          <w:lang w:val="ru-MD"/>
        </w:rPr>
        <w:t xml:space="preserve"> прав на социальные пособия</w:t>
      </w:r>
      <w:r w:rsidR="00992BC7" w:rsidRPr="00B278F0">
        <w:rPr>
          <w:rFonts w:asciiTheme="majorHAnsi" w:hAnsiTheme="majorHAnsi" w:cstheme="majorHAnsi"/>
          <w:sz w:val="24"/>
          <w:szCs w:val="24"/>
          <w:lang w:val="ru-MD"/>
        </w:rPr>
        <w:t>.</w:t>
      </w:r>
    </w:p>
    <w:p w14:paraId="252C8DB8" w14:textId="77777777" w:rsidR="00504EDB" w:rsidRPr="00653E85" w:rsidRDefault="00504EDB" w:rsidP="00504EDB">
      <w:pPr>
        <w:pStyle w:val="aa"/>
        <w:spacing w:after="0" w:line="276" w:lineRule="auto"/>
        <w:ind w:left="0"/>
        <w:jc w:val="both"/>
        <w:rPr>
          <w:rFonts w:asciiTheme="majorHAnsi" w:hAnsiTheme="majorHAnsi" w:cstheme="majorHAnsi"/>
          <w:b/>
          <w:bCs/>
          <w:sz w:val="24"/>
          <w:szCs w:val="24"/>
          <w:lang w:val="ro-MD"/>
        </w:rPr>
      </w:pPr>
    </w:p>
    <w:p w14:paraId="4C4319B9" w14:textId="0021C617" w:rsidR="001141B5" w:rsidRPr="00653E85" w:rsidRDefault="0008377F" w:rsidP="0008377F">
      <w:pPr>
        <w:pStyle w:val="a6"/>
        <w:numPr>
          <w:ilvl w:val="1"/>
          <w:numId w:val="2"/>
        </w:numPr>
        <w:shd w:val="clear" w:color="auto" w:fill="FFFFFF"/>
        <w:spacing w:line="276" w:lineRule="auto"/>
        <w:ind w:left="0" w:firstLine="0"/>
        <w:outlineLvl w:val="1"/>
        <w:rPr>
          <w:rFonts w:asciiTheme="majorHAnsi" w:eastAsia="Calibri" w:hAnsiTheme="majorHAnsi" w:cstheme="majorHAnsi"/>
          <w:b/>
          <w:lang w:val="ro-MD"/>
        </w:rPr>
      </w:pPr>
      <w:r w:rsidRPr="0008377F">
        <w:rPr>
          <w:rFonts w:asciiTheme="majorHAnsi" w:eastAsia="Calibri" w:hAnsiTheme="majorHAnsi" w:cstheme="majorHAnsi"/>
          <w:b/>
          <w:lang w:val="ro-MD"/>
        </w:rPr>
        <w:t xml:space="preserve">Инициирование процедуры несостоятельности и формирование долгов у этих экономических агентов перед БГСС отражается на установление социальных пособий </w:t>
      </w:r>
      <w:r>
        <w:rPr>
          <w:rFonts w:asciiTheme="majorHAnsi" w:eastAsia="Calibri" w:hAnsiTheme="majorHAnsi" w:cstheme="majorHAnsi"/>
          <w:b/>
          <w:lang w:val="ru-RU"/>
        </w:rPr>
        <w:t>сотруд</w:t>
      </w:r>
      <w:r w:rsidRPr="0008377F">
        <w:rPr>
          <w:rFonts w:asciiTheme="majorHAnsi" w:eastAsia="Calibri" w:hAnsiTheme="majorHAnsi" w:cstheme="majorHAnsi"/>
          <w:b/>
          <w:lang w:val="ro-MD"/>
        </w:rPr>
        <w:t>никам</w:t>
      </w:r>
      <w:r w:rsidR="000C1876" w:rsidRPr="00653E85">
        <w:rPr>
          <w:rFonts w:asciiTheme="majorHAnsi" w:eastAsia="Calibri" w:hAnsiTheme="majorHAnsi" w:cstheme="majorHAnsi"/>
          <w:b/>
          <w:lang w:val="ro-MD"/>
        </w:rPr>
        <w:t>.</w:t>
      </w:r>
      <w:r w:rsidR="001141B5" w:rsidRPr="00653E85">
        <w:rPr>
          <w:rFonts w:asciiTheme="majorHAnsi" w:eastAsia="Calibri" w:hAnsiTheme="majorHAnsi" w:cstheme="majorHAnsi"/>
          <w:b/>
          <w:lang w:val="ro-MD"/>
        </w:rPr>
        <w:t xml:space="preserve"> </w:t>
      </w:r>
    </w:p>
    <w:p w14:paraId="7EDAE281" w14:textId="122D1930" w:rsidR="001141B5" w:rsidRPr="00B7675F" w:rsidRDefault="0008377F" w:rsidP="00285267">
      <w:pPr>
        <w:pStyle w:val="a8"/>
        <w:tabs>
          <w:tab w:val="left" w:pos="0"/>
          <w:tab w:val="left" w:pos="425"/>
        </w:tabs>
        <w:spacing w:after="240" w:line="276" w:lineRule="auto"/>
        <w:jc w:val="both"/>
        <w:rPr>
          <w:rFonts w:asciiTheme="majorHAnsi" w:hAnsiTheme="majorHAnsi" w:cstheme="majorHAnsi"/>
          <w:sz w:val="24"/>
          <w:szCs w:val="24"/>
          <w:lang w:val="ro-MD"/>
        </w:rPr>
      </w:pPr>
      <w:r w:rsidRPr="00DC09A1">
        <w:rPr>
          <w:rFonts w:asciiTheme="majorHAnsi" w:hAnsiTheme="majorHAnsi" w:cstheme="majorHAnsi"/>
          <w:sz w:val="24"/>
          <w:szCs w:val="24"/>
          <w:lang w:val="ro-MD"/>
        </w:rPr>
        <w:t xml:space="preserve">Остаток сомнительной дебиторской задолженности, </w:t>
      </w:r>
      <w:r w:rsidR="00DC09A1">
        <w:rPr>
          <w:rFonts w:asciiTheme="majorHAnsi" w:hAnsiTheme="majorHAnsi" w:cstheme="majorHAnsi"/>
          <w:sz w:val="24"/>
          <w:szCs w:val="24"/>
          <w:lang w:val="ru-RU"/>
        </w:rPr>
        <w:t>прин</w:t>
      </w:r>
      <w:r w:rsidRPr="00DC09A1">
        <w:rPr>
          <w:rFonts w:asciiTheme="majorHAnsi" w:hAnsiTheme="majorHAnsi" w:cstheme="majorHAnsi"/>
          <w:sz w:val="24"/>
          <w:szCs w:val="24"/>
          <w:lang w:val="ro-MD"/>
        </w:rPr>
        <w:t xml:space="preserve">ятой </w:t>
      </w:r>
      <w:r w:rsidR="00DC09A1">
        <w:rPr>
          <w:rFonts w:asciiTheme="majorHAnsi" w:hAnsiTheme="majorHAnsi" w:cstheme="majorHAnsi"/>
          <w:sz w:val="24"/>
          <w:szCs w:val="24"/>
          <w:lang w:val="ru-RU"/>
        </w:rPr>
        <w:t xml:space="preserve">на </w:t>
      </w:r>
      <w:r w:rsidR="00336FEC">
        <w:rPr>
          <w:rFonts w:asciiTheme="majorHAnsi" w:hAnsiTheme="majorHAnsi" w:cstheme="majorHAnsi"/>
          <w:sz w:val="24"/>
          <w:szCs w:val="24"/>
          <w:lang w:val="ru-RU"/>
        </w:rPr>
        <w:t>особ</w:t>
      </w:r>
      <w:r w:rsidR="00DC09A1">
        <w:rPr>
          <w:rFonts w:asciiTheme="majorHAnsi" w:hAnsiTheme="majorHAnsi" w:cstheme="majorHAnsi"/>
          <w:sz w:val="24"/>
          <w:szCs w:val="24"/>
          <w:lang w:val="ru-RU"/>
        </w:rPr>
        <w:t xml:space="preserve">ый учет </w:t>
      </w:r>
      <w:r w:rsidRPr="00DC09A1">
        <w:rPr>
          <w:rFonts w:asciiTheme="majorHAnsi" w:hAnsiTheme="majorHAnsi" w:cstheme="majorHAnsi"/>
          <w:sz w:val="24"/>
          <w:szCs w:val="24"/>
          <w:lang w:val="ro-MD"/>
        </w:rPr>
        <w:t>НКСС</w:t>
      </w:r>
      <w:r w:rsidR="00DC09A1">
        <w:rPr>
          <w:rFonts w:asciiTheme="majorHAnsi" w:hAnsiTheme="majorHAnsi" w:cstheme="majorHAnsi"/>
          <w:sz w:val="24"/>
          <w:szCs w:val="24"/>
          <w:lang w:val="ru-RU"/>
        </w:rPr>
        <w:t>,</w:t>
      </w:r>
      <w:r w:rsidRPr="00DC09A1">
        <w:rPr>
          <w:rFonts w:asciiTheme="majorHAnsi" w:hAnsiTheme="majorHAnsi" w:cstheme="majorHAnsi"/>
          <w:sz w:val="24"/>
          <w:szCs w:val="24"/>
          <w:lang w:val="ro-MD"/>
        </w:rPr>
        <w:t xml:space="preserve"> по состоянию на 31.12.2022, </w:t>
      </w:r>
      <w:r w:rsidR="00DC09A1">
        <w:rPr>
          <w:rFonts w:asciiTheme="majorHAnsi" w:hAnsiTheme="majorHAnsi" w:cstheme="majorHAnsi"/>
          <w:sz w:val="24"/>
          <w:szCs w:val="24"/>
          <w:lang w:val="ru-RU"/>
        </w:rPr>
        <w:t>связанной с</w:t>
      </w:r>
      <w:r w:rsidRPr="00DC09A1">
        <w:rPr>
          <w:rFonts w:asciiTheme="majorHAnsi" w:hAnsiTheme="majorHAnsi" w:cstheme="majorHAnsi"/>
          <w:sz w:val="24"/>
          <w:szCs w:val="24"/>
          <w:lang w:val="ro-MD"/>
        </w:rPr>
        <w:t xml:space="preserve"> экономическим</w:t>
      </w:r>
      <w:r w:rsidR="00DC09A1">
        <w:rPr>
          <w:rFonts w:asciiTheme="majorHAnsi" w:hAnsiTheme="majorHAnsi" w:cstheme="majorHAnsi"/>
          <w:sz w:val="24"/>
          <w:szCs w:val="24"/>
          <w:lang w:val="ru-RU"/>
        </w:rPr>
        <w:t>и</w:t>
      </w:r>
      <w:r w:rsidRPr="00DC09A1">
        <w:rPr>
          <w:rFonts w:asciiTheme="majorHAnsi" w:hAnsiTheme="majorHAnsi" w:cstheme="majorHAnsi"/>
          <w:sz w:val="24"/>
          <w:szCs w:val="24"/>
          <w:lang w:val="ro-MD"/>
        </w:rPr>
        <w:t xml:space="preserve"> агентам</w:t>
      </w:r>
      <w:r w:rsidR="00DC09A1">
        <w:rPr>
          <w:rFonts w:asciiTheme="majorHAnsi" w:hAnsiTheme="majorHAnsi" w:cstheme="majorHAnsi"/>
          <w:sz w:val="24"/>
          <w:szCs w:val="24"/>
          <w:lang w:val="ru-RU"/>
        </w:rPr>
        <w:t>и</w:t>
      </w:r>
      <w:r w:rsidRPr="00DC09A1">
        <w:rPr>
          <w:rFonts w:asciiTheme="majorHAnsi" w:hAnsiTheme="majorHAnsi" w:cstheme="majorHAnsi"/>
          <w:sz w:val="24"/>
          <w:szCs w:val="24"/>
          <w:lang w:val="ro-MD"/>
        </w:rPr>
        <w:t>, находящим</w:t>
      </w:r>
      <w:r w:rsidR="00DC09A1">
        <w:rPr>
          <w:rFonts w:asciiTheme="majorHAnsi" w:hAnsiTheme="majorHAnsi" w:cstheme="majorHAnsi"/>
          <w:sz w:val="24"/>
          <w:szCs w:val="24"/>
          <w:lang w:val="ru-RU"/>
        </w:rPr>
        <w:t>и</w:t>
      </w:r>
      <w:r w:rsidRPr="00DC09A1">
        <w:rPr>
          <w:rFonts w:asciiTheme="majorHAnsi" w:hAnsiTheme="majorHAnsi" w:cstheme="majorHAnsi"/>
          <w:sz w:val="24"/>
          <w:szCs w:val="24"/>
          <w:lang w:val="ro-MD"/>
        </w:rPr>
        <w:t xml:space="preserve">ся в </w:t>
      </w:r>
      <w:r w:rsidR="00DC09A1">
        <w:rPr>
          <w:rFonts w:asciiTheme="majorHAnsi" w:hAnsiTheme="majorHAnsi" w:cstheme="majorHAnsi"/>
          <w:sz w:val="24"/>
          <w:szCs w:val="24"/>
          <w:lang w:val="ru-RU"/>
        </w:rPr>
        <w:t xml:space="preserve">процессе </w:t>
      </w:r>
      <w:r w:rsidRPr="00DC09A1">
        <w:rPr>
          <w:rFonts w:asciiTheme="majorHAnsi" w:hAnsiTheme="majorHAnsi" w:cstheme="majorHAnsi"/>
          <w:sz w:val="24"/>
          <w:szCs w:val="24"/>
          <w:lang w:val="ro-MD"/>
        </w:rPr>
        <w:t>несостоятельности, составил 475,3 млн.</w:t>
      </w:r>
      <w:r w:rsidRPr="0008377F">
        <w:rPr>
          <w:rFonts w:asciiTheme="majorHAnsi" w:hAnsiTheme="majorHAnsi" w:cstheme="majorHAnsi"/>
          <w:sz w:val="24"/>
          <w:szCs w:val="24"/>
          <w:lang w:val="ro-MD"/>
        </w:rPr>
        <w:t xml:space="preserve"> ле</w:t>
      </w:r>
      <w:r w:rsidR="00DC09A1">
        <w:rPr>
          <w:rFonts w:asciiTheme="majorHAnsi" w:hAnsiTheme="majorHAnsi" w:cstheme="majorHAnsi"/>
          <w:sz w:val="24"/>
          <w:szCs w:val="24"/>
          <w:lang w:val="ru-RU"/>
        </w:rPr>
        <w:t>ев</w:t>
      </w:r>
      <w:r w:rsidRPr="0008377F">
        <w:rPr>
          <w:rFonts w:asciiTheme="majorHAnsi" w:hAnsiTheme="majorHAnsi" w:cstheme="majorHAnsi"/>
          <w:sz w:val="24"/>
          <w:szCs w:val="24"/>
          <w:lang w:val="ro-MD"/>
        </w:rPr>
        <w:t>. Они за</w:t>
      </w:r>
      <w:r w:rsidR="00DC09A1">
        <w:rPr>
          <w:rFonts w:asciiTheme="majorHAnsi" w:hAnsiTheme="majorHAnsi" w:cstheme="majorHAnsi"/>
          <w:sz w:val="24"/>
          <w:szCs w:val="24"/>
          <w:lang w:val="ru-RU"/>
        </w:rPr>
        <w:t>регистр</w:t>
      </w:r>
      <w:r w:rsidRPr="0008377F">
        <w:rPr>
          <w:rFonts w:asciiTheme="majorHAnsi" w:hAnsiTheme="majorHAnsi" w:cstheme="majorHAnsi"/>
          <w:sz w:val="24"/>
          <w:szCs w:val="24"/>
          <w:lang w:val="ro-MD"/>
        </w:rPr>
        <w:t xml:space="preserve">ировали </w:t>
      </w:r>
      <w:r w:rsidR="00DC09A1">
        <w:rPr>
          <w:rFonts w:asciiTheme="majorHAnsi" w:hAnsiTheme="majorHAnsi" w:cstheme="majorHAnsi"/>
          <w:sz w:val="24"/>
          <w:szCs w:val="24"/>
          <w:lang w:val="ru-RU"/>
        </w:rPr>
        <w:t>рост</w:t>
      </w:r>
      <w:r w:rsidRPr="0008377F">
        <w:rPr>
          <w:rFonts w:asciiTheme="majorHAnsi" w:hAnsiTheme="majorHAnsi" w:cstheme="majorHAnsi"/>
          <w:sz w:val="24"/>
          <w:szCs w:val="24"/>
          <w:lang w:val="ro-MD"/>
        </w:rPr>
        <w:t xml:space="preserve"> по сравнению с предыдущим периодом на 36,2 млн. леев, включая дебиторскую задолженность отчетн</w:t>
      </w:r>
      <w:r w:rsidR="00DC09A1">
        <w:rPr>
          <w:rFonts w:asciiTheme="majorHAnsi" w:hAnsiTheme="majorHAnsi" w:cstheme="majorHAnsi"/>
          <w:sz w:val="24"/>
          <w:szCs w:val="24"/>
          <w:lang w:val="ru-RU"/>
        </w:rPr>
        <w:t xml:space="preserve">ого </w:t>
      </w:r>
      <w:r w:rsidRPr="0008377F">
        <w:rPr>
          <w:rFonts w:asciiTheme="majorHAnsi" w:hAnsiTheme="majorHAnsi" w:cstheme="majorHAnsi"/>
          <w:sz w:val="24"/>
          <w:szCs w:val="24"/>
          <w:lang w:val="ro-MD"/>
        </w:rPr>
        <w:t>период</w:t>
      </w:r>
      <w:r w:rsidR="00DC09A1">
        <w:rPr>
          <w:rFonts w:asciiTheme="majorHAnsi" w:hAnsiTheme="majorHAnsi" w:cstheme="majorHAnsi"/>
          <w:sz w:val="24"/>
          <w:szCs w:val="24"/>
          <w:lang w:val="ru-RU"/>
        </w:rPr>
        <w:t>а</w:t>
      </w:r>
      <w:r w:rsidRPr="0008377F">
        <w:rPr>
          <w:rFonts w:asciiTheme="majorHAnsi" w:hAnsiTheme="majorHAnsi" w:cstheme="majorHAnsi"/>
          <w:sz w:val="24"/>
          <w:szCs w:val="24"/>
          <w:lang w:val="ro-MD"/>
        </w:rPr>
        <w:t xml:space="preserve"> в размере 1,5 млн. </w:t>
      </w:r>
      <w:r w:rsidR="00336FEC">
        <w:rPr>
          <w:rFonts w:asciiTheme="majorHAnsi" w:hAnsiTheme="majorHAnsi" w:cstheme="majorHAnsi"/>
          <w:sz w:val="24"/>
          <w:szCs w:val="24"/>
          <w:lang w:val="ro-MD"/>
        </w:rPr>
        <w:t>леев</w:t>
      </w:r>
      <w:r w:rsidRPr="0008377F">
        <w:rPr>
          <w:rFonts w:asciiTheme="majorHAnsi" w:hAnsiTheme="majorHAnsi" w:cstheme="majorHAnsi"/>
          <w:sz w:val="24"/>
          <w:szCs w:val="24"/>
          <w:lang w:val="ro-MD"/>
        </w:rPr>
        <w:t xml:space="preserve">. Хотя НКСС предприняла действия, </w:t>
      </w:r>
      <w:r w:rsidR="00336FEC">
        <w:rPr>
          <w:rFonts w:asciiTheme="majorHAnsi" w:hAnsiTheme="majorHAnsi" w:cstheme="majorHAnsi"/>
          <w:sz w:val="24"/>
          <w:szCs w:val="24"/>
          <w:lang w:val="ru-RU"/>
        </w:rPr>
        <w:t>направле</w:t>
      </w:r>
      <w:r w:rsidRPr="0008377F">
        <w:rPr>
          <w:rFonts w:asciiTheme="majorHAnsi" w:hAnsiTheme="majorHAnsi" w:cstheme="majorHAnsi"/>
          <w:sz w:val="24"/>
          <w:szCs w:val="24"/>
          <w:lang w:val="ro-MD"/>
        </w:rPr>
        <w:t xml:space="preserve">нные </w:t>
      </w:r>
      <w:r w:rsidR="00336FEC">
        <w:rPr>
          <w:rFonts w:asciiTheme="majorHAnsi" w:hAnsiTheme="majorHAnsi" w:cstheme="majorHAnsi"/>
          <w:sz w:val="24"/>
          <w:szCs w:val="24"/>
          <w:lang w:val="ru-RU"/>
        </w:rPr>
        <w:t>на</w:t>
      </w:r>
      <w:r w:rsidRPr="0008377F">
        <w:rPr>
          <w:rFonts w:asciiTheme="majorHAnsi" w:hAnsiTheme="majorHAnsi" w:cstheme="majorHAnsi"/>
          <w:sz w:val="24"/>
          <w:szCs w:val="24"/>
          <w:lang w:val="ro-MD"/>
        </w:rPr>
        <w:t xml:space="preserve"> </w:t>
      </w:r>
      <w:r w:rsidR="00336FEC">
        <w:rPr>
          <w:rFonts w:asciiTheme="majorHAnsi" w:hAnsiTheme="majorHAnsi" w:cstheme="majorHAnsi"/>
          <w:sz w:val="24"/>
          <w:szCs w:val="24"/>
          <w:lang w:val="ru-RU"/>
        </w:rPr>
        <w:t>контроль</w:t>
      </w:r>
      <w:r w:rsidRPr="0008377F">
        <w:rPr>
          <w:rFonts w:asciiTheme="majorHAnsi" w:hAnsiTheme="majorHAnsi" w:cstheme="majorHAnsi"/>
          <w:sz w:val="24"/>
          <w:szCs w:val="24"/>
          <w:lang w:val="ro-MD"/>
        </w:rPr>
        <w:t xml:space="preserve"> дебиторской задолженности, отслеживание дебиторской массы, с</w:t>
      </w:r>
      <w:r w:rsidR="00336FEC">
        <w:rPr>
          <w:rFonts w:asciiTheme="majorHAnsi" w:hAnsiTheme="majorHAnsi" w:cstheme="majorHAnsi"/>
          <w:sz w:val="24"/>
          <w:szCs w:val="24"/>
          <w:lang w:val="ru-RU"/>
        </w:rPr>
        <w:t>формиров</w:t>
      </w:r>
      <w:r w:rsidRPr="0008377F">
        <w:rPr>
          <w:rFonts w:asciiTheme="majorHAnsi" w:hAnsiTheme="majorHAnsi" w:cstheme="majorHAnsi"/>
          <w:sz w:val="24"/>
          <w:szCs w:val="24"/>
          <w:lang w:val="ro-MD"/>
        </w:rPr>
        <w:t xml:space="preserve">анной при приобретении </w:t>
      </w:r>
      <w:r w:rsidR="00336FEC">
        <w:rPr>
          <w:rFonts w:asciiTheme="majorHAnsi" w:hAnsiTheme="majorHAnsi" w:cstheme="majorHAnsi"/>
          <w:sz w:val="24"/>
          <w:szCs w:val="24"/>
          <w:lang w:val="ru-RU"/>
        </w:rPr>
        <w:t>безнадеж</w:t>
      </w:r>
      <w:r w:rsidRPr="0008377F">
        <w:rPr>
          <w:rFonts w:asciiTheme="majorHAnsi" w:hAnsiTheme="majorHAnsi" w:cstheme="majorHAnsi"/>
          <w:sz w:val="24"/>
          <w:szCs w:val="24"/>
          <w:lang w:val="ro-MD"/>
        </w:rPr>
        <w:t>ной дебиторской задолженности, и взыскание соответствующ</w:t>
      </w:r>
      <w:r w:rsidR="00336FEC">
        <w:rPr>
          <w:rFonts w:asciiTheme="majorHAnsi" w:hAnsiTheme="majorHAnsi" w:cstheme="majorHAnsi"/>
          <w:sz w:val="24"/>
          <w:szCs w:val="24"/>
          <w:lang w:val="ru-RU"/>
        </w:rPr>
        <w:t>их доходов</w:t>
      </w:r>
      <w:r w:rsidRPr="0008377F">
        <w:rPr>
          <w:rFonts w:asciiTheme="majorHAnsi" w:hAnsiTheme="majorHAnsi" w:cstheme="majorHAnsi"/>
          <w:sz w:val="24"/>
          <w:szCs w:val="24"/>
          <w:lang w:val="ro-MD"/>
        </w:rPr>
        <w:t xml:space="preserve"> в размере 25,8 млн. леев, о</w:t>
      </w:r>
      <w:r w:rsidR="00336FEC">
        <w:rPr>
          <w:rFonts w:asciiTheme="majorHAnsi" w:hAnsiTheme="majorHAnsi" w:cstheme="majorHAnsi"/>
          <w:sz w:val="24"/>
          <w:szCs w:val="24"/>
          <w:lang w:val="ru-RU"/>
        </w:rPr>
        <w:t>тме</w:t>
      </w:r>
      <w:r w:rsidRPr="0008377F">
        <w:rPr>
          <w:rFonts w:asciiTheme="majorHAnsi" w:hAnsiTheme="majorHAnsi" w:cstheme="majorHAnsi"/>
          <w:sz w:val="24"/>
          <w:szCs w:val="24"/>
          <w:lang w:val="ro-MD"/>
        </w:rPr>
        <w:t>чается, что за ауди</w:t>
      </w:r>
      <w:r w:rsidR="00336FEC">
        <w:rPr>
          <w:rFonts w:asciiTheme="majorHAnsi" w:hAnsiTheme="majorHAnsi" w:cstheme="majorHAnsi"/>
          <w:sz w:val="24"/>
          <w:szCs w:val="24"/>
          <w:lang w:val="ru-RU"/>
        </w:rPr>
        <w:t>руемый</w:t>
      </w:r>
      <w:r w:rsidRPr="0008377F">
        <w:rPr>
          <w:rFonts w:asciiTheme="majorHAnsi" w:hAnsiTheme="majorHAnsi" w:cstheme="majorHAnsi"/>
          <w:sz w:val="24"/>
          <w:szCs w:val="24"/>
          <w:lang w:val="ro-MD"/>
        </w:rPr>
        <w:t xml:space="preserve"> период были взысканы долги </w:t>
      </w:r>
      <w:r w:rsidR="00336FEC">
        <w:rPr>
          <w:rFonts w:asciiTheme="majorHAnsi" w:hAnsiTheme="majorHAnsi" w:cstheme="majorHAnsi"/>
          <w:sz w:val="24"/>
          <w:szCs w:val="24"/>
          <w:lang w:val="ru-RU"/>
        </w:rPr>
        <w:t>с дебитор</w:t>
      </w:r>
      <w:r w:rsidRPr="0008377F">
        <w:rPr>
          <w:rFonts w:asciiTheme="majorHAnsi" w:hAnsiTheme="majorHAnsi" w:cstheme="majorHAnsi"/>
          <w:sz w:val="24"/>
          <w:szCs w:val="24"/>
          <w:lang w:val="ro-MD"/>
        </w:rPr>
        <w:t>ов, находящихся в процессе несостоятельности, в размере 99,3 тыс. леев, что составляет 3,85% с</w:t>
      </w:r>
      <w:r w:rsidR="00336FEC">
        <w:rPr>
          <w:rFonts w:asciiTheme="majorHAnsi" w:hAnsiTheme="majorHAnsi" w:cstheme="majorHAnsi"/>
          <w:sz w:val="24"/>
          <w:szCs w:val="24"/>
          <w:lang w:val="ru-RU"/>
        </w:rPr>
        <w:t>омнитель</w:t>
      </w:r>
      <w:r w:rsidRPr="0008377F">
        <w:rPr>
          <w:rFonts w:asciiTheme="majorHAnsi" w:hAnsiTheme="majorHAnsi" w:cstheme="majorHAnsi"/>
          <w:sz w:val="24"/>
          <w:szCs w:val="24"/>
          <w:lang w:val="ro-MD"/>
        </w:rPr>
        <w:t xml:space="preserve">ных </w:t>
      </w:r>
      <w:r w:rsidR="00336FEC">
        <w:rPr>
          <w:rFonts w:asciiTheme="majorHAnsi" w:hAnsiTheme="majorHAnsi" w:cstheme="majorHAnsi"/>
          <w:sz w:val="24"/>
          <w:szCs w:val="24"/>
          <w:lang w:val="ru-RU"/>
        </w:rPr>
        <w:t>задолженностей</w:t>
      </w:r>
      <w:r w:rsidRPr="0008377F">
        <w:rPr>
          <w:rFonts w:asciiTheme="majorHAnsi" w:hAnsiTheme="majorHAnsi" w:cstheme="majorHAnsi"/>
          <w:sz w:val="24"/>
          <w:szCs w:val="24"/>
          <w:lang w:val="ro-MD"/>
        </w:rPr>
        <w:t xml:space="preserve">, </w:t>
      </w:r>
      <w:r w:rsidR="00336FEC">
        <w:rPr>
          <w:rFonts w:asciiTheme="majorHAnsi" w:hAnsiTheme="majorHAnsi" w:cstheme="majorHAnsi"/>
          <w:sz w:val="24"/>
          <w:szCs w:val="24"/>
          <w:lang w:val="ru-RU"/>
        </w:rPr>
        <w:t>прин</w:t>
      </w:r>
      <w:r w:rsidRPr="0008377F">
        <w:rPr>
          <w:rFonts w:asciiTheme="majorHAnsi" w:hAnsiTheme="majorHAnsi" w:cstheme="majorHAnsi"/>
          <w:sz w:val="24"/>
          <w:szCs w:val="24"/>
          <w:lang w:val="ro-MD"/>
        </w:rPr>
        <w:t xml:space="preserve">ятых </w:t>
      </w:r>
      <w:r w:rsidR="00336FEC">
        <w:rPr>
          <w:rFonts w:asciiTheme="majorHAnsi" w:hAnsiTheme="majorHAnsi" w:cstheme="majorHAnsi"/>
          <w:sz w:val="24"/>
          <w:szCs w:val="24"/>
          <w:lang w:val="ru-RU"/>
        </w:rPr>
        <w:t>на</w:t>
      </w:r>
      <w:r w:rsidRPr="0008377F">
        <w:rPr>
          <w:rFonts w:asciiTheme="majorHAnsi" w:hAnsiTheme="majorHAnsi" w:cstheme="majorHAnsi"/>
          <w:sz w:val="24"/>
          <w:szCs w:val="24"/>
          <w:lang w:val="ro-MD"/>
        </w:rPr>
        <w:t xml:space="preserve"> особый учет в 2022 году. Таким образом, исторически</w:t>
      </w:r>
      <w:r w:rsidR="00336FEC">
        <w:rPr>
          <w:rFonts w:asciiTheme="majorHAnsi" w:hAnsiTheme="majorHAnsi" w:cstheme="majorHAnsi"/>
          <w:sz w:val="24"/>
          <w:szCs w:val="24"/>
          <w:lang w:val="ru-RU"/>
        </w:rPr>
        <w:t>е</w:t>
      </w:r>
      <w:r w:rsidRPr="0008377F">
        <w:rPr>
          <w:rFonts w:asciiTheme="majorHAnsi" w:hAnsiTheme="majorHAnsi" w:cstheme="majorHAnsi"/>
          <w:sz w:val="24"/>
          <w:szCs w:val="24"/>
          <w:lang w:val="ro-MD"/>
        </w:rPr>
        <w:t xml:space="preserve"> спорные </w:t>
      </w:r>
      <w:r w:rsidR="00336FEC">
        <w:rPr>
          <w:rFonts w:asciiTheme="majorHAnsi" w:hAnsiTheme="majorHAnsi" w:cstheme="majorHAnsi"/>
          <w:sz w:val="24"/>
          <w:szCs w:val="24"/>
          <w:lang w:val="ru-RU"/>
        </w:rPr>
        <w:t>задолженности</w:t>
      </w:r>
      <w:r w:rsidRPr="0008377F">
        <w:rPr>
          <w:rFonts w:asciiTheme="majorHAnsi" w:hAnsiTheme="majorHAnsi" w:cstheme="majorHAnsi"/>
          <w:sz w:val="24"/>
          <w:szCs w:val="24"/>
          <w:lang w:val="ro-MD"/>
        </w:rPr>
        <w:t xml:space="preserve"> д</w:t>
      </w:r>
      <w:r w:rsidR="00336FEC">
        <w:rPr>
          <w:rFonts w:asciiTheme="majorHAnsi" w:hAnsiTheme="majorHAnsi" w:cstheme="majorHAnsi"/>
          <w:sz w:val="24"/>
          <w:szCs w:val="24"/>
          <w:lang w:val="ru-RU"/>
        </w:rPr>
        <w:t>ебитор</w:t>
      </w:r>
      <w:r w:rsidRPr="0008377F">
        <w:rPr>
          <w:rFonts w:asciiTheme="majorHAnsi" w:hAnsiTheme="majorHAnsi" w:cstheme="majorHAnsi"/>
          <w:sz w:val="24"/>
          <w:szCs w:val="24"/>
          <w:lang w:val="ro-MD"/>
        </w:rPr>
        <w:t>ов подвер</w:t>
      </w:r>
      <w:r w:rsidR="00336FEC">
        <w:rPr>
          <w:rFonts w:asciiTheme="majorHAnsi" w:hAnsiTheme="majorHAnsi" w:cstheme="majorHAnsi"/>
          <w:sz w:val="24"/>
          <w:szCs w:val="24"/>
          <w:lang w:val="ru-RU"/>
        </w:rPr>
        <w:t>жены</w:t>
      </w:r>
      <w:r w:rsidRPr="0008377F">
        <w:rPr>
          <w:rFonts w:asciiTheme="majorHAnsi" w:hAnsiTheme="majorHAnsi" w:cstheme="majorHAnsi"/>
          <w:sz w:val="24"/>
          <w:szCs w:val="24"/>
          <w:lang w:val="ro-MD"/>
        </w:rPr>
        <w:t>я повышенному риску не</w:t>
      </w:r>
      <w:r w:rsidR="00336FEC">
        <w:rPr>
          <w:rFonts w:asciiTheme="majorHAnsi" w:hAnsiTheme="majorHAnsi" w:cstheme="majorHAnsi"/>
          <w:sz w:val="24"/>
          <w:szCs w:val="24"/>
          <w:lang w:val="ru-RU"/>
        </w:rPr>
        <w:t>взимания</w:t>
      </w:r>
      <w:r w:rsidRPr="0008377F">
        <w:rPr>
          <w:rFonts w:asciiTheme="majorHAnsi" w:hAnsiTheme="majorHAnsi" w:cstheme="majorHAnsi"/>
          <w:sz w:val="24"/>
          <w:szCs w:val="24"/>
          <w:lang w:val="ro-MD"/>
        </w:rPr>
        <w:t xml:space="preserve"> и не могут служить источником </w:t>
      </w:r>
      <w:r w:rsidR="00336FEC">
        <w:rPr>
          <w:rFonts w:asciiTheme="majorHAnsi" w:hAnsiTheme="majorHAnsi" w:cstheme="majorHAnsi"/>
          <w:sz w:val="24"/>
          <w:szCs w:val="24"/>
          <w:lang w:val="ru-RU"/>
        </w:rPr>
        <w:t xml:space="preserve">для </w:t>
      </w:r>
      <w:r w:rsidRPr="0008377F">
        <w:rPr>
          <w:rFonts w:asciiTheme="majorHAnsi" w:hAnsiTheme="majorHAnsi" w:cstheme="majorHAnsi"/>
          <w:sz w:val="24"/>
          <w:szCs w:val="24"/>
          <w:lang w:val="ro-MD"/>
        </w:rPr>
        <w:t>покрытия текущих долгов, поскольку они не могут быть взысканы в краткосрочной перспективе</w:t>
      </w:r>
      <w:r w:rsidR="00DF3DC2" w:rsidRPr="00B7675F">
        <w:rPr>
          <w:rFonts w:asciiTheme="majorHAnsi" w:hAnsiTheme="majorHAnsi" w:cstheme="majorHAnsi"/>
          <w:sz w:val="24"/>
          <w:szCs w:val="24"/>
          <w:lang w:val="ro-MD"/>
        </w:rPr>
        <w:t>.</w:t>
      </w:r>
      <w:r w:rsidR="008D7137" w:rsidRPr="00B7675F">
        <w:rPr>
          <w:rFonts w:asciiTheme="majorHAnsi" w:hAnsiTheme="majorHAnsi" w:cstheme="majorHAnsi"/>
          <w:sz w:val="24"/>
          <w:szCs w:val="24"/>
          <w:lang w:val="ro-MD"/>
        </w:rPr>
        <w:t xml:space="preserve"> </w:t>
      </w:r>
    </w:p>
    <w:p w14:paraId="2E3064A7" w14:textId="31DB2D11" w:rsidR="001141B5" w:rsidRPr="00B7675F" w:rsidRDefault="0008377F" w:rsidP="00653E85">
      <w:pPr>
        <w:pStyle w:val="a8"/>
        <w:tabs>
          <w:tab w:val="left" w:pos="0"/>
          <w:tab w:val="left" w:pos="425"/>
        </w:tabs>
        <w:spacing w:after="120" w:line="276" w:lineRule="auto"/>
        <w:jc w:val="both"/>
        <w:rPr>
          <w:rFonts w:asciiTheme="majorHAnsi" w:hAnsiTheme="majorHAnsi" w:cstheme="majorHAnsi"/>
          <w:sz w:val="24"/>
          <w:szCs w:val="24"/>
          <w:highlight w:val="yellow"/>
          <w:lang w:val="ro-MD"/>
        </w:rPr>
      </w:pPr>
      <w:r w:rsidRPr="0008377F">
        <w:rPr>
          <w:rFonts w:asciiTheme="majorHAnsi" w:hAnsiTheme="majorHAnsi" w:cstheme="majorHAnsi"/>
          <w:sz w:val="24"/>
          <w:szCs w:val="24"/>
          <w:lang w:val="ro-MD"/>
        </w:rPr>
        <w:t xml:space="preserve">Соответственно, аудит отмечает, что в 2022 году были аннулированы </w:t>
      </w:r>
      <w:r w:rsidR="00F235D3">
        <w:rPr>
          <w:rFonts w:asciiTheme="majorHAnsi" w:hAnsiTheme="majorHAnsi" w:cstheme="majorHAnsi"/>
          <w:sz w:val="24"/>
          <w:szCs w:val="24"/>
          <w:lang w:val="ru-RU"/>
        </w:rPr>
        <w:t>задолженности</w:t>
      </w:r>
      <w:r w:rsidRPr="0008377F">
        <w:rPr>
          <w:rFonts w:asciiTheme="majorHAnsi" w:hAnsiTheme="majorHAnsi" w:cstheme="majorHAnsi"/>
          <w:sz w:val="24"/>
          <w:szCs w:val="24"/>
          <w:lang w:val="ro-MD"/>
        </w:rPr>
        <w:t xml:space="preserve"> на сумму 17,7 млн. </w:t>
      </w:r>
      <w:r w:rsidR="00F235D3">
        <w:rPr>
          <w:rFonts w:asciiTheme="majorHAnsi" w:hAnsiTheme="majorHAnsi" w:cstheme="majorHAnsi"/>
          <w:sz w:val="24"/>
          <w:szCs w:val="24"/>
          <w:lang w:val="ru-RU"/>
        </w:rPr>
        <w:t xml:space="preserve">леев для </w:t>
      </w:r>
      <w:r w:rsidRPr="0008377F">
        <w:rPr>
          <w:rFonts w:asciiTheme="majorHAnsi" w:hAnsiTheme="majorHAnsi" w:cstheme="majorHAnsi"/>
          <w:sz w:val="24"/>
          <w:szCs w:val="24"/>
          <w:lang w:val="ro-MD"/>
        </w:rPr>
        <w:t>216 не</w:t>
      </w:r>
      <w:r w:rsidR="00AB5C02">
        <w:rPr>
          <w:rFonts w:asciiTheme="majorHAnsi" w:hAnsiTheme="majorHAnsi" w:cstheme="majorHAnsi"/>
          <w:sz w:val="24"/>
          <w:szCs w:val="24"/>
          <w:lang w:val="ru-RU"/>
        </w:rPr>
        <w:t>платежеспособн</w:t>
      </w:r>
      <w:r w:rsidRPr="0008377F">
        <w:rPr>
          <w:rFonts w:asciiTheme="majorHAnsi" w:hAnsiTheme="majorHAnsi" w:cstheme="majorHAnsi"/>
          <w:sz w:val="24"/>
          <w:szCs w:val="24"/>
          <w:lang w:val="ro-MD"/>
        </w:rPr>
        <w:t>ых экономических агентов</w:t>
      </w:r>
      <w:r w:rsidR="00AB5C02">
        <w:rPr>
          <w:rFonts w:asciiTheme="majorHAnsi" w:hAnsiTheme="majorHAnsi" w:cstheme="majorHAnsi"/>
          <w:sz w:val="24"/>
          <w:szCs w:val="24"/>
          <w:lang w:val="ru-RU"/>
        </w:rPr>
        <w:t>,</w:t>
      </w:r>
      <w:r w:rsidRPr="0008377F">
        <w:rPr>
          <w:rFonts w:asciiTheme="majorHAnsi" w:hAnsiTheme="majorHAnsi" w:cstheme="majorHAnsi"/>
          <w:sz w:val="24"/>
          <w:szCs w:val="24"/>
          <w:lang w:val="ro-MD"/>
        </w:rPr>
        <w:t xml:space="preserve"> на основании судебных решений. Аудиторский анализ индивидуальных выписок сотрудников/работников показ</w:t>
      </w:r>
      <w:r w:rsidR="00AB5C02">
        <w:rPr>
          <w:rFonts w:asciiTheme="majorHAnsi" w:hAnsiTheme="majorHAnsi" w:cstheme="majorHAnsi"/>
          <w:sz w:val="24"/>
          <w:szCs w:val="24"/>
          <w:lang w:val="ru-RU"/>
        </w:rPr>
        <w:t>ал</w:t>
      </w:r>
      <w:r w:rsidRPr="0008377F">
        <w:rPr>
          <w:rFonts w:asciiTheme="majorHAnsi" w:hAnsiTheme="majorHAnsi" w:cstheme="majorHAnsi"/>
          <w:sz w:val="24"/>
          <w:szCs w:val="24"/>
          <w:lang w:val="ro-MD"/>
        </w:rPr>
        <w:t xml:space="preserve">, что периоды, за которые не были </w:t>
      </w:r>
      <w:r w:rsidR="00AB5C02">
        <w:rPr>
          <w:rFonts w:asciiTheme="majorHAnsi" w:hAnsiTheme="majorHAnsi" w:cstheme="majorHAnsi"/>
          <w:sz w:val="24"/>
          <w:szCs w:val="24"/>
          <w:lang w:val="ru-RU"/>
        </w:rPr>
        <w:t>о</w:t>
      </w:r>
      <w:r w:rsidRPr="0008377F">
        <w:rPr>
          <w:rFonts w:asciiTheme="majorHAnsi" w:hAnsiTheme="majorHAnsi" w:cstheme="majorHAnsi"/>
          <w:sz w:val="24"/>
          <w:szCs w:val="24"/>
          <w:lang w:val="ro-MD"/>
        </w:rPr>
        <w:t xml:space="preserve">плачены взносы и погашены </w:t>
      </w:r>
      <w:r w:rsidR="00AB5C02">
        <w:rPr>
          <w:rFonts w:asciiTheme="majorHAnsi" w:hAnsiTheme="majorHAnsi" w:cstheme="majorHAnsi"/>
          <w:sz w:val="24"/>
          <w:szCs w:val="24"/>
          <w:lang w:val="ru-RU"/>
        </w:rPr>
        <w:t xml:space="preserve">путем </w:t>
      </w:r>
      <w:r w:rsidRPr="0008377F">
        <w:rPr>
          <w:rFonts w:asciiTheme="majorHAnsi" w:hAnsiTheme="majorHAnsi" w:cstheme="majorHAnsi"/>
          <w:sz w:val="24"/>
          <w:szCs w:val="24"/>
          <w:lang w:val="ro-MD"/>
        </w:rPr>
        <w:t>аннулировани</w:t>
      </w:r>
      <w:r w:rsidR="00AB5C02">
        <w:rPr>
          <w:rFonts w:asciiTheme="majorHAnsi" w:hAnsiTheme="majorHAnsi" w:cstheme="majorHAnsi"/>
          <w:sz w:val="24"/>
          <w:szCs w:val="24"/>
          <w:lang w:val="ru-RU"/>
        </w:rPr>
        <w:t>я</w:t>
      </w:r>
      <w:r w:rsidRPr="0008377F">
        <w:rPr>
          <w:rFonts w:asciiTheme="majorHAnsi" w:hAnsiTheme="majorHAnsi" w:cstheme="majorHAnsi"/>
          <w:sz w:val="24"/>
          <w:szCs w:val="24"/>
          <w:lang w:val="ro-MD"/>
        </w:rPr>
        <w:t xml:space="preserve"> со счета плательщика на основании постановлений судебных инстанций, не отражаются на счете получателя. Учитывая</w:t>
      </w:r>
      <w:r w:rsidR="00AB5C02">
        <w:rPr>
          <w:rFonts w:asciiTheme="majorHAnsi" w:hAnsiTheme="majorHAnsi" w:cstheme="majorHAnsi"/>
          <w:sz w:val="24"/>
          <w:szCs w:val="24"/>
          <w:lang w:val="ru-RU"/>
        </w:rPr>
        <w:t xml:space="preserve"> тот факт</w:t>
      </w:r>
      <w:r w:rsidRPr="0008377F">
        <w:rPr>
          <w:rFonts w:asciiTheme="majorHAnsi" w:hAnsiTheme="majorHAnsi" w:cstheme="majorHAnsi"/>
          <w:sz w:val="24"/>
          <w:szCs w:val="24"/>
          <w:lang w:val="ro-MD"/>
        </w:rPr>
        <w:t xml:space="preserve">, что в системе государственного социального страхования пособия устанавливаются застрахованным лицам на основе </w:t>
      </w:r>
      <w:r w:rsidR="00AB5C02">
        <w:rPr>
          <w:rFonts w:asciiTheme="majorHAnsi" w:hAnsiTheme="majorHAnsi" w:cstheme="majorHAnsi"/>
          <w:sz w:val="24"/>
          <w:szCs w:val="24"/>
          <w:lang w:val="ru-RU"/>
        </w:rPr>
        <w:t>страхово</w:t>
      </w:r>
      <w:r w:rsidRPr="0008377F">
        <w:rPr>
          <w:rFonts w:asciiTheme="majorHAnsi" w:hAnsiTheme="majorHAnsi" w:cstheme="majorHAnsi"/>
          <w:sz w:val="24"/>
          <w:szCs w:val="24"/>
          <w:lang w:val="ro-MD"/>
        </w:rPr>
        <w:t xml:space="preserve">го дохода и периода деятельности, которые являются обязательными условиями, периоды пребывания экономического агента в </w:t>
      </w:r>
      <w:r w:rsidR="00AB5C02">
        <w:rPr>
          <w:rFonts w:asciiTheme="majorHAnsi" w:hAnsiTheme="majorHAnsi" w:cstheme="majorHAnsi"/>
          <w:sz w:val="24"/>
          <w:szCs w:val="24"/>
          <w:lang w:val="ru-RU"/>
        </w:rPr>
        <w:t xml:space="preserve">процессе </w:t>
      </w:r>
      <w:r w:rsidRPr="0008377F">
        <w:rPr>
          <w:rFonts w:asciiTheme="majorHAnsi" w:hAnsiTheme="majorHAnsi" w:cstheme="majorHAnsi"/>
          <w:sz w:val="24"/>
          <w:szCs w:val="24"/>
          <w:lang w:val="ro-MD"/>
        </w:rPr>
        <w:t xml:space="preserve">несостоятельности и неуплаты взносов влияют на установление пособий. Таким образом, сокращается не только </w:t>
      </w:r>
      <w:r w:rsidR="00AB5C02" w:rsidRPr="00AB5C02">
        <w:rPr>
          <w:rFonts w:asciiTheme="majorHAnsi" w:hAnsiTheme="majorHAnsi" w:cstheme="majorHAnsi"/>
          <w:sz w:val="24"/>
          <w:szCs w:val="24"/>
          <w:lang w:val="ro-MD"/>
        </w:rPr>
        <w:t>страхово</w:t>
      </w:r>
      <w:r w:rsidRPr="0008377F">
        <w:rPr>
          <w:rFonts w:asciiTheme="majorHAnsi" w:hAnsiTheme="majorHAnsi" w:cstheme="majorHAnsi"/>
          <w:sz w:val="24"/>
          <w:szCs w:val="24"/>
          <w:lang w:val="ro-MD"/>
        </w:rPr>
        <w:t xml:space="preserve">й доход, но и не признается полный период деятельности, что снижает </w:t>
      </w:r>
      <w:r w:rsidR="00AB5C02" w:rsidRPr="00AB5C02">
        <w:rPr>
          <w:rFonts w:asciiTheme="majorHAnsi" w:hAnsiTheme="majorHAnsi" w:cstheme="majorHAnsi"/>
          <w:sz w:val="24"/>
          <w:szCs w:val="24"/>
          <w:lang w:val="ro-MD"/>
        </w:rPr>
        <w:t xml:space="preserve">страховой </w:t>
      </w:r>
      <w:r w:rsidRPr="0008377F">
        <w:rPr>
          <w:rFonts w:asciiTheme="majorHAnsi" w:hAnsiTheme="majorHAnsi" w:cstheme="majorHAnsi"/>
          <w:sz w:val="24"/>
          <w:szCs w:val="24"/>
          <w:lang w:val="ro-MD"/>
        </w:rPr>
        <w:t>стаж</w:t>
      </w:r>
      <w:r w:rsidR="001141B5" w:rsidRPr="00B7675F">
        <w:rPr>
          <w:rFonts w:asciiTheme="majorHAnsi" w:hAnsiTheme="majorHAnsi" w:cstheme="majorHAnsi"/>
          <w:sz w:val="24"/>
          <w:szCs w:val="24"/>
          <w:lang w:val="ro-MD"/>
        </w:rPr>
        <w:t xml:space="preserve">. </w:t>
      </w:r>
    </w:p>
    <w:p w14:paraId="119222D4" w14:textId="3FC878E8" w:rsidR="001141B5" w:rsidRPr="00B7675F" w:rsidRDefault="0026686C" w:rsidP="001141B5">
      <w:pPr>
        <w:spacing w:after="100" w:afterAutospacing="1" w:line="276" w:lineRule="auto"/>
        <w:jc w:val="both"/>
        <w:rPr>
          <w:rFonts w:asciiTheme="majorHAnsi" w:eastAsia="Calibri" w:hAnsiTheme="majorHAnsi" w:cstheme="majorHAnsi"/>
          <w:sz w:val="24"/>
          <w:szCs w:val="24"/>
          <w:lang w:val="ro-MD"/>
        </w:rPr>
      </w:pPr>
      <w:r>
        <w:rPr>
          <w:rFonts w:asciiTheme="majorHAnsi" w:eastAsia="Calibri" w:hAnsiTheme="majorHAnsi" w:cstheme="majorHAnsi"/>
          <w:sz w:val="24"/>
          <w:szCs w:val="24"/>
          <w:lang w:val="ru-RU"/>
        </w:rPr>
        <w:t xml:space="preserve">При проверке одного </w:t>
      </w:r>
      <w:r w:rsidR="0008377F" w:rsidRPr="0008377F">
        <w:rPr>
          <w:rFonts w:asciiTheme="majorHAnsi" w:eastAsia="Calibri" w:hAnsiTheme="majorHAnsi" w:cstheme="majorHAnsi"/>
          <w:sz w:val="24"/>
          <w:szCs w:val="24"/>
          <w:lang w:val="ro-MD"/>
        </w:rPr>
        <w:t>экономического агента</w:t>
      </w:r>
      <w:r>
        <w:rPr>
          <w:rFonts w:asciiTheme="majorHAnsi" w:eastAsia="Calibri" w:hAnsiTheme="majorHAnsi" w:cstheme="majorHAnsi"/>
          <w:sz w:val="24"/>
          <w:szCs w:val="24"/>
          <w:lang w:val="ru-RU"/>
        </w:rPr>
        <w:t>, находящегося в процессе</w:t>
      </w:r>
      <w:r w:rsidR="0008377F" w:rsidRPr="0008377F">
        <w:rPr>
          <w:rFonts w:asciiTheme="majorHAnsi" w:eastAsia="Calibri" w:hAnsiTheme="majorHAnsi" w:cstheme="majorHAnsi"/>
          <w:sz w:val="24"/>
          <w:szCs w:val="24"/>
          <w:lang w:val="ro-MD"/>
        </w:rPr>
        <w:t xml:space="preserve"> </w:t>
      </w:r>
      <w:r w:rsidRPr="0008377F">
        <w:rPr>
          <w:rFonts w:asciiTheme="majorHAnsi" w:eastAsia="Calibri" w:hAnsiTheme="majorHAnsi" w:cstheme="majorHAnsi"/>
          <w:sz w:val="24"/>
          <w:szCs w:val="24"/>
          <w:lang w:val="ro-MD"/>
        </w:rPr>
        <w:t>несостоятельно</w:t>
      </w:r>
      <w:r>
        <w:rPr>
          <w:rFonts w:asciiTheme="majorHAnsi" w:eastAsia="Calibri" w:hAnsiTheme="majorHAnsi" w:cstheme="majorHAnsi"/>
          <w:sz w:val="24"/>
          <w:szCs w:val="24"/>
          <w:lang w:val="ru-RU"/>
        </w:rPr>
        <w:t>сти, было установлено</w:t>
      </w:r>
      <w:r w:rsidR="0008377F" w:rsidRPr="0008377F">
        <w:rPr>
          <w:rFonts w:asciiTheme="majorHAnsi" w:eastAsia="Calibri" w:hAnsiTheme="majorHAnsi" w:cstheme="majorHAnsi"/>
          <w:sz w:val="24"/>
          <w:szCs w:val="24"/>
          <w:lang w:val="ro-MD"/>
        </w:rPr>
        <w:t xml:space="preserve">, что </w:t>
      </w:r>
      <w:r>
        <w:rPr>
          <w:rFonts w:asciiTheme="majorHAnsi" w:eastAsia="Calibri" w:hAnsiTheme="majorHAnsi" w:cstheme="majorHAnsi"/>
          <w:sz w:val="24"/>
          <w:szCs w:val="24"/>
          <w:lang w:val="ru-RU"/>
        </w:rPr>
        <w:t>эта ситуация</w:t>
      </w:r>
      <w:r w:rsidR="0008377F" w:rsidRPr="0008377F">
        <w:rPr>
          <w:rFonts w:asciiTheme="majorHAnsi" w:eastAsia="Calibri" w:hAnsiTheme="majorHAnsi" w:cstheme="majorHAnsi"/>
          <w:sz w:val="24"/>
          <w:szCs w:val="24"/>
          <w:lang w:val="ro-MD"/>
        </w:rPr>
        <w:t xml:space="preserve"> затронул</w:t>
      </w:r>
      <w:r>
        <w:rPr>
          <w:rFonts w:asciiTheme="majorHAnsi" w:eastAsia="Calibri" w:hAnsiTheme="majorHAnsi" w:cstheme="majorHAnsi"/>
          <w:sz w:val="24"/>
          <w:szCs w:val="24"/>
          <w:lang w:val="ru-RU"/>
        </w:rPr>
        <w:t>а</w:t>
      </w:r>
      <w:r w:rsidR="0008377F" w:rsidRPr="0008377F">
        <w:rPr>
          <w:rFonts w:asciiTheme="majorHAnsi" w:eastAsia="Calibri" w:hAnsiTheme="majorHAnsi" w:cstheme="majorHAnsi"/>
          <w:sz w:val="24"/>
          <w:szCs w:val="24"/>
          <w:lang w:val="ro-MD"/>
        </w:rPr>
        <w:t xml:space="preserve"> 41 сотрудника, </w:t>
      </w:r>
      <w:r>
        <w:rPr>
          <w:rFonts w:asciiTheme="majorHAnsi" w:eastAsia="Calibri" w:hAnsiTheme="majorHAnsi" w:cstheme="majorHAnsi"/>
          <w:sz w:val="24"/>
          <w:szCs w:val="24"/>
          <w:lang w:val="ru-RU"/>
        </w:rPr>
        <w:t xml:space="preserve">которым были </w:t>
      </w:r>
      <w:r w:rsidR="0008377F" w:rsidRPr="0008377F">
        <w:rPr>
          <w:rFonts w:asciiTheme="majorHAnsi" w:eastAsia="Calibri" w:hAnsiTheme="majorHAnsi" w:cstheme="majorHAnsi"/>
          <w:sz w:val="24"/>
          <w:szCs w:val="24"/>
          <w:lang w:val="ro-MD"/>
        </w:rPr>
        <w:t>установ</w:t>
      </w:r>
      <w:r>
        <w:rPr>
          <w:rFonts w:asciiTheme="majorHAnsi" w:eastAsia="Calibri" w:hAnsiTheme="majorHAnsi" w:cstheme="majorHAnsi"/>
          <w:sz w:val="24"/>
          <w:szCs w:val="24"/>
          <w:lang w:val="ru-RU"/>
        </w:rPr>
        <w:t>лены</w:t>
      </w:r>
      <w:r w:rsidR="0008377F" w:rsidRPr="0008377F">
        <w:rPr>
          <w:rFonts w:asciiTheme="majorHAnsi" w:eastAsia="Calibri" w:hAnsiTheme="majorHAnsi" w:cstheme="majorHAnsi"/>
          <w:sz w:val="24"/>
          <w:szCs w:val="24"/>
          <w:lang w:val="ro-MD"/>
        </w:rPr>
        <w:t xml:space="preserve"> пособи</w:t>
      </w:r>
      <w:r>
        <w:rPr>
          <w:rFonts w:asciiTheme="majorHAnsi" w:eastAsia="Calibri" w:hAnsiTheme="majorHAnsi" w:cstheme="majorHAnsi"/>
          <w:sz w:val="24"/>
          <w:szCs w:val="24"/>
          <w:lang w:val="ru-RU"/>
        </w:rPr>
        <w:t>я</w:t>
      </w:r>
      <w:r w:rsidR="0008377F" w:rsidRPr="0008377F">
        <w:rPr>
          <w:rFonts w:asciiTheme="majorHAnsi" w:eastAsia="Calibri" w:hAnsiTheme="majorHAnsi" w:cstheme="majorHAnsi"/>
          <w:sz w:val="24"/>
          <w:szCs w:val="24"/>
          <w:lang w:val="ro-MD"/>
        </w:rPr>
        <w:t xml:space="preserve"> по временной нетрудоспособности в меньшем размере. С</w:t>
      </w:r>
      <w:r>
        <w:rPr>
          <w:rFonts w:asciiTheme="majorHAnsi" w:eastAsia="Calibri" w:hAnsiTheme="majorHAnsi" w:cstheme="majorHAnsi"/>
          <w:sz w:val="24"/>
          <w:szCs w:val="24"/>
          <w:lang w:val="ru-RU"/>
        </w:rPr>
        <w:t>ложившаяся с</w:t>
      </w:r>
      <w:r w:rsidR="0008377F" w:rsidRPr="0008377F">
        <w:rPr>
          <w:rFonts w:asciiTheme="majorHAnsi" w:eastAsia="Calibri" w:hAnsiTheme="majorHAnsi" w:cstheme="majorHAnsi"/>
          <w:sz w:val="24"/>
          <w:szCs w:val="24"/>
          <w:lang w:val="ro-MD"/>
        </w:rPr>
        <w:t xml:space="preserve">итуация была </w:t>
      </w:r>
      <w:r>
        <w:rPr>
          <w:rFonts w:asciiTheme="majorHAnsi" w:eastAsia="Calibri" w:hAnsiTheme="majorHAnsi" w:cstheme="majorHAnsi"/>
          <w:sz w:val="24"/>
          <w:szCs w:val="24"/>
          <w:lang w:val="ru-RU"/>
        </w:rPr>
        <w:t>обусловле</w:t>
      </w:r>
      <w:r w:rsidR="0008377F" w:rsidRPr="0008377F">
        <w:rPr>
          <w:rFonts w:asciiTheme="majorHAnsi" w:eastAsia="Calibri" w:hAnsiTheme="majorHAnsi" w:cstheme="majorHAnsi"/>
          <w:sz w:val="24"/>
          <w:szCs w:val="24"/>
          <w:lang w:val="ro-MD"/>
        </w:rPr>
        <w:t xml:space="preserve">на частичной </w:t>
      </w:r>
      <w:r>
        <w:rPr>
          <w:rFonts w:asciiTheme="majorHAnsi" w:eastAsia="Calibri" w:hAnsiTheme="majorHAnsi" w:cstheme="majorHAnsi"/>
          <w:sz w:val="24"/>
          <w:szCs w:val="24"/>
          <w:lang w:val="ru-RU"/>
        </w:rPr>
        <w:t>у</w:t>
      </w:r>
      <w:r w:rsidR="0008377F" w:rsidRPr="0008377F">
        <w:rPr>
          <w:rFonts w:asciiTheme="majorHAnsi" w:eastAsia="Calibri" w:hAnsiTheme="majorHAnsi" w:cstheme="majorHAnsi"/>
          <w:sz w:val="24"/>
          <w:szCs w:val="24"/>
          <w:lang w:val="ro-MD"/>
        </w:rPr>
        <w:t xml:space="preserve">платой взносов или </w:t>
      </w:r>
      <w:r>
        <w:rPr>
          <w:rFonts w:asciiTheme="majorHAnsi" w:eastAsia="Calibri" w:hAnsiTheme="majorHAnsi" w:cstheme="majorHAnsi"/>
          <w:sz w:val="24"/>
          <w:szCs w:val="24"/>
          <w:lang w:val="ru-RU"/>
        </w:rPr>
        <w:t>их у</w:t>
      </w:r>
      <w:r w:rsidR="0008377F" w:rsidRPr="0008377F">
        <w:rPr>
          <w:rFonts w:asciiTheme="majorHAnsi" w:eastAsia="Calibri" w:hAnsiTheme="majorHAnsi" w:cstheme="majorHAnsi"/>
          <w:sz w:val="24"/>
          <w:szCs w:val="24"/>
          <w:lang w:val="ro-MD"/>
        </w:rPr>
        <w:t xml:space="preserve">платой </w:t>
      </w:r>
      <w:r w:rsidR="00033B2D">
        <w:rPr>
          <w:rFonts w:asciiTheme="majorHAnsi" w:eastAsia="Calibri" w:hAnsiTheme="majorHAnsi" w:cstheme="majorHAnsi"/>
          <w:sz w:val="24"/>
          <w:szCs w:val="24"/>
          <w:lang w:val="ru-RU"/>
        </w:rPr>
        <w:t xml:space="preserve">за счет </w:t>
      </w:r>
      <w:r w:rsidR="0008377F" w:rsidRPr="0008377F">
        <w:rPr>
          <w:rFonts w:asciiTheme="majorHAnsi" w:eastAsia="Calibri" w:hAnsiTheme="majorHAnsi" w:cstheme="majorHAnsi"/>
          <w:sz w:val="24"/>
          <w:szCs w:val="24"/>
          <w:lang w:val="ro-MD"/>
        </w:rPr>
        <w:t>работодател</w:t>
      </w:r>
      <w:r w:rsidR="00033B2D">
        <w:rPr>
          <w:rFonts w:asciiTheme="majorHAnsi" w:eastAsia="Calibri" w:hAnsiTheme="majorHAnsi" w:cstheme="majorHAnsi"/>
          <w:sz w:val="24"/>
          <w:szCs w:val="24"/>
          <w:lang w:val="ru-RU"/>
        </w:rPr>
        <w:t>я</w:t>
      </w:r>
      <w:r w:rsidR="0008377F" w:rsidRPr="0008377F">
        <w:rPr>
          <w:rFonts w:asciiTheme="majorHAnsi" w:eastAsia="Calibri" w:hAnsiTheme="majorHAnsi" w:cstheme="majorHAnsi"/>
          <w:sz w:val="24"/>
          <w:szCs w:val="24"/>
          <w:lang w:val="ro-MD"/>
        </w:rPr>
        <w:t xml:space="preserve"> путем </w:t>
      </w:r>
      <w:r>
        <w:rPr>
          <w:rFonts w:asciiTheme="majorHAnsi" w:eastAsia="Calibri" w:hAnsiTheme="majorHAnsi" w:cstheme="majorHAnsi"/>
          <w:sz w:val="24"/>
          <w:szCs w:val="24"/>
          <w:lang w:val="ru-RU"/>
        </w:rPr>
        <w:t>совмещения</w:t>
      </w:r>
      <w:r w:rsidR="0008377F" w:rsidRPr="0008377F">
        <w:rPr>
          <w:rFonts w:asciiTheme="majorHAnsi" w:eastAsia="Calibri" w:hAnsiTheme="majorHAnsi" w:cstheme="majorHAnsi"/>
          <w:sz w:val="24"/>
          <w:szCs w:val="24"/>
          <w:lang w:val="ro-MD"/>
        </w:rPr>
        <w:t xml:space="preserve"> (код 123). Хотя в некоторых случаях взносы </w:t>
      </w:r>
      <w:r w:rsidR="00033B2D">
        <w:rPr>
          <w:rFonts w:asciiTheme="majorHAnsi" w:eastAsia="Calibri" w:hAnsiTheme="majorHAnsi" w:cstheme="majorHAnsi"/>
          <w:sz w:val="24"/>
          <w:szCs w:val="24"/>
          <w:lang w:val="ru-RU"/>
        </w:rPr>
        <w:t>о</w:t>
      </w:r>
      <w:r w:rsidR="0008377F" w:rsidRPr="0008377F">
        <w:rPr>
          <w:rFonts w:asciiTheme="majorHAnsi" w:eastAsia="Calibri" w:hAnsiTheme="majorHAnsi" w:cstheme="majorHAnsi"/>
          <w:sz w:val="24"/>
          <w:szCs w:val="24"/>
          <w:lang w:val="ro-MD"/>
        </w:rPr>
        <w:t xml:space="preserve">плачивались с опозданием на несколько месяцев, </w:t>
      </w:r>
      <w:r w:rsidR="00033B2D">
        <w:rPr>
          <w:rFonts w:asciiTheme="majorHAnsi" w:eastAsia="Calibri" w:hAnsiTheme="majorHAnsi" w:cstheme="majorHAnsi"/>
          <w:sz w:val="24"/>
          <w:szCs w:val="24"/>
          <w:lang w:val="ru-RU"/>
        </w:rPr>
        <w:t>тем не менее, это</w:t>
      </w:r>
      <w:r w:rsidR="0008377F" w:rsidRPr="0008377F">
        <w:rPr>
          <w:rFonts w:asciiTheme="majorHAnsi" w:eastAsia="Calibri" w:hAnsiTheme="majorHAnsi" w:cstheme="majorHAnsi"/>
          <w:sz w:val="24"/>
          <w:szCs w:val="24"/>
          <w:lang w:val="ro-MD"/>
        </w:rPr>
        <w:t xml:space="preserve"> не привел</w:t>
      </w:r>
      <w:r w:rsidR="00033B2D">
        <w:rPr>
          <w:rFonts w:asciiTheme="majorHAnsi" w:eastAsia="Calibri" w:hAnsiTheme="majorHAnsi" w:cstheme="majorHAnsi"/>
          <w:sz w:val="24"/>
          <w:szCs w:val="24"/>
          <w:lang w:val="ru-RU"/>
        </w:rPr>
        <w:t>о</w:t>
      </w:r>
      <w:r w:rsidR="0008377F" w:rsidRPr="0008377F">
        <w:rPr>
          <w:rFonts w:asciiTheme="majorHAnsi" w:eastAsia="Calibri" w:hAnsiTheme="majorHAnsi" w:cstheme="majorHAnsi"/>
          <w:sz w:val="24"/>
          <w:szCs w:val="24"/>
          <w:lang w:val="ro-MD"/>
        </w:rPr>
        <w:t xml:space="preserve"> к увеличению социального пособия, поскольку пособие по временной нетрудоспособности, уже установленное</w:t>
      </w:r>
      <w:r w:rsidR="00033B2D">
        <w:rPr>
          <w:rFonts w:asciiTheme="majorHAnsi" w:eastAsia="Calibri" w:hAnsiTheme="majorHAnsi" w:cstheme="majorHAnsi"/>
          <w:sz w:val="24"/>
          <w:szCs w:val="24"/>
          <w:lang w:val="ru-RU"/>
        </w:rPr>
        <w:t>,</w:t>
      </w:r>
      <w:r w:rsidR="0008377F" w:rsidRPr="0008377F">
        <w:rPr>
          <w:rFonts w:asciiTheme="majorHAnsi" w:eastAsia="Calibri" w:hAnsiTheme="majorHAnsi" w:cstheme="majorHAnsi"/>
          <w:sz w:val="24"/>
          <w:szCs w:val="24"/>
          <w:lang w:val="ro-MD"/>
        </w:rPr>
        <w:t xml:space="preserve"> в соответствии с законодательством</w:t>
      </w:r>
      <w:r w:rsidR="00033B2D" w:rsidRPr="00B7675F">
        <w:rPr>
          <w:rFonts w:asciiTheme="majorHAnsi" w:hAnsiTheme="majorHAnsi" w:cstheme="majorHAnsi"/>
          <w:sz w:val="24"/>
          <w:szCs w:val="24"/>
          <w:vertAlign w:val="superscript"/>
          <w:lang w:val="ro-MD"/>
        </w:rPr>
        <w:footnoteReference w:id="75"/>
      </w:r>
      <w:r w:rsidR="0008377F" w:rsidRPr="0008377F">
        <w:rPr>
          <w:rFonts w:asciiTheme="majorHAnsi" w:eastAsia="Calibri" w:hAnsiTheme="majorHAnsi" w:cstheme="majorHAnsi"/>
          <w:sz w:val="24"/>
          <w:szCs w:val="24"/>
          <w:lang w:val="ro-MD"/>
        </w:rPr>
        <w:t xml:space="preserve"> не </w:t>
      </w:r>
      <w:r w:rsidR="00033B2D">
        <w:rPr>
          <w:rFonts w:asciiTheme="majorHAnsi" w:eastAsia="Calibri" w:hAnsiTheme="majorHAnsi" w:cstheme="majorHAnsi"/>
          <w:sz w:val="24"/>
          <w:szCs w:val="24"/>
          <w:lang w:val="ru-RU"/>
        </w:rPr>
        <w:t xml:space="preserve">подлежит </w:t>
      </w:r>
      <w:r w:rsidR="0008377F" w:rsidRPr="0008377F">
        <w:rPr>
          <w:rFonts w:asciiTheme="majorHAnsi" w:eastAsia="Calibri" w:hAnsiTheme="majorHAnsi" w:cstheme="majorHAnsi"/>
          <w:sz w:val="24"/>
          <w:szCs w:val="24"/>
          <w:lang w:val="ro-MD"/>
        </w:rPr>
        <w:t>пересч</w:t>
      </w:r>
      <w:r w:rsidR="00033B2D">
        <w:rPr>
          <w:rFonts w:asciiTheme="majorHAnsi" w:eastAsia="Calibri" w:hAnsiTheme="majorHAnsi" w:cstheme="majorHAnsi"/>
          <w:sz w:val="24"/>
          <w:szCs w:val="24"/>
          <w:lang w:val="ru-RU"/>
        </w:rPr>
        <w:t>ету</w:t>
      </w:r>
      <w:r w:rsidR="0008377F" w:rsidRPr="0008377F">
        <w:rPr>
          <w:rFonts w:asciiTheme="majorHAnsi" w:eastAsia="Calibri" w:hAnsiTheme="majorHAnsi" w:cstheme="majorHAnsi"/>
          <w:sz w:val="24"/>
          <w:szCs w:val="24"/>
          <w:lang w:val="ro-MD"/>
        </w:rPr>
        <w:t>. Соответственно, в случае 41 сотрудника</w:t>
      </w:r>
      <w:r w:rsidR="00033B2D">
        <w:rPr>
          <w:rFonts w:asciiTheme="majorHAnsi" w:eastAsia="Calibri" w:hAnsiTheme="majorHAnsi" w:cstheme="majorHAnsi"/>
          <w:sz w:val="24"/>
          <w:szCs w:val="24"/>
          <w:lang w:val="ru-RU"/>
        </w:rPr>
        <w:t>,</w:t>
      </w:r>
      <w:r w:rsidR="0008377F" w:rsidRPr="0008377F">
        <w:rPr>
          <w:rFonts w:asciiTheme="majorHAnsi" w:eastAsia="Calibri" w:hAnsiTheme="majorHAnsi" w:cstheme="majorHAnsi"/>
          <w:sz w:val="24"/>
          <w:szCs w:val="24"/>
          <w:lang w:val="ro-MD"/>
        </w:rPr>
        <w:t xml:space="preserve"> им были установлены пособия по нетрудоспособности на 24,7 тыс. леев меньше, чем </w:t>
      </w:r>
      <w:r w:rsidR="00033B2D">
        <w:rPr>
          <w:rFonts w:asciiTheme="majorHAnsi" w:eastAsia="Calibri" w:hAnsiTheme="majorHAnsi" w:cstheme="majorHAnsi"/>
          <w:sz w:val="24"/>
          <w:szCs w:val="24"/>
          <w:lang w:val="ru-RU"/>
        </w:rPr>
        <w:t>причиталось</w:t>
      </w:r>
      <w:r w:rsidR="00CA1024" w:rsidRPr="00B7675F">
        <w:rPr>
          <w:rFonts w:asciiTheme="majorHAnsi" w:eastAsia="Calibri" w:hAnsiTheme="majorHAnsi" w:cstheme="majorHAnsi"/>
          <w:sz w:val="24"/>
          <w:szCs w:val="24"/>
          <w:lang w:val="ro-MD"/>
        </w:rPr>
        <w:t>.</w:t>
      </w:r>
    </w:p>
    <w:p w14:paraId="2E4ECF6C" w14:textId="05F9909A" w:rsidR="001141B5" w:rsidRPr="00B7675F" w:rsidRDefault="005314EF" w:rsidP="001141B5">
      <w:pPr>
        <w:spacing w:after="100" w:afterAutospacing="1" w:line="276" w:lineRule="auto"/>
        <w:jc w:val="both"/>
        <w:rPr>
          <w:rFonts w:asciiTheme="majorHAnsi" w:eastAsia="Calibri" w:hAnsiTheme="majorHAnsi" w:cstheme="majorHAnsi"/>
          <w:sz w:val="24"/>
          <w:szCs w:val="24"/>
          <w:lang w:val="ro-MD"/>
        </w:rPr>
      </w:pPr>
      <w:r>
        <w:rPr>
          <w:rFonts w:asciiTheme="majorHAnsi" w:eastAsia="Calibri" w:hAnsiTheme="majorHAnsi" w:cstheme="majorHAnsi"/>
          <w:sz w:val="24"/>
          <w:szCs w:val="24"/>
          <w:lang w:val="ru-RU"/>
        </w:rPr>
        <w:t>Боле</w:t>
      </w:r>
      <w:r w:rsidR="0008377F" w:rsidRPr="0008377F">
        <w:rPr>
          <w:rFonts w:asciiTheme="majorHAnsi" w:eastAsia="Calibri" w:hAnsiTheme="majorHAnsi" w:cstheme="majorHAnsi"/>
          <w:sz w:val="24"/>
          <w:szCs w:val="24"/>
          <w:lang w:val="ro-MD"/>
        </w:rPr>
        <w:t xml:space="preserve">е того, в </w:t>
      </w:r>
      <w:r w:rsidRPr="0008377F">
        <w:rPr>
          <w:rFonts w:asciiTheme="majorHAnsi" w:eastAsia="Calibri" w:hAnsiTheme="majorHAnsi" w:cstheme="majorHAnsi"/>
          <w:sz w:val="24"/>
          <w:szCs w:val="24"/>
          <w:lang w:val="ro-MD"/>
        </w:rPr>
        <w:t xml:space="preserve">других </w:t>
      </w:r>
      <w:r w:rsidR="0008377F" w:rsidRPr="0008377F">
        <w:rPr>
          <w:rFonts w:asciiTheme="majorHAnsi" w:eastAsia="Calibri" w:hAnsiTheme="majorHAnsi" w:cstheme="majorHAnsi"/>
          <w:sz w:val="24"/>
          <w:szCs w:val="24"/>
          <w:lang w:val="ro-MD"/>
        </w:rPr>
        <w:t>14 случаях работник</w:t>
      </w:r>
      <w:r>
        <w:rPr>
          <w:rFonts w:asciiTheme="majorHAnsi" w:eastAsia="Calibri" w:hAnsiTheme="majorHAnsi" w:cstheme="majorHAnsi"/>
          <w:sz w:val="24"/>
          <w:szCs w:val="24"/>
          <w:lang w:val="ru-RU"/>
        </w:rPr>
        <w:t>и</w:t>
      </w:r>
      <w:r w:rsidR="0008377F" w:rsidRPr="0008377F">
        <w:rPr>
          <w:rFonts w:asciiTheme="majorHAnsi" w:eastAsia="Calibri" w:hAnsiTheme="majorHAnsi" w:cstheme="majorHAnsi"/>
          <w:sz w:val="24"/>
          <w:szCs w:val="24"/>
          <w:lang w:val="ro-MD"/>
        </w:rPr>
        <w:t xml:space="preserve"> </w:t>
      </w:r>
      <w:r>
        <w:rPr>
          <w:rFonts w:asciiTheme="majorHAnsi" w:eastAsia="Calibri" w:hAnsiTheme="majorHAnsi" w:cstheme="majorHAnsi"/>
          <w:sz w:val="24"/>
          <w:szCs w:val="24"/>
          <w:lang w:val="ru-RU"/>
        </w:rPr>
        <w:t>получили</w:t>
      </w:r>
      <w:r w:rsidR="0008377F" w:rsidRPr="0008377F">
        <w:rPr>
          <w:rFonts w:asciiTheme="majorHAnsi" w:eastAsia="Calibri" w:hAnsiTheme="majorHAnsi" w:cstheme="majorHAnsi"/>
          <w:sz w:val="24"/>
          <w:szCs w:val="24"/>
          <w:lang w:val="ro-MD"/>
        </w:rPr>
        <w:t xml:space="preserve"> отказ </w:t>
      </w:r>
      <w:r>
        <w:rPr>
          <w:rFonts w:asciiTheme="majorHAnsi" w:eastAsia="Calibri" w:hAnsiTheme="majorHAnsi" w:cstheme="majorHAnsi"/>
          <w:sz w:val="24"/>
          <w:szCs w:val="24"/>
          <w:lang w:val="ru-RU"/>
        </w:rPr>
        <w:t>по причине</w:t>
      </w:r>
      <w:r w:rsidR="0008377F" w:rsidRPr="0008377F">
        <w:rPr>
          <w:rFonts w:asciiTheme="majorHAnsi" w:eastAsia="Calibri" w:hAnsiTheme="majorHAnsi" w:cstheme="majorHAnsi"/>
          <w:sz w:val="24"/>
          <w:szCs w:val="24"/>
          <w:lang w:val="ro-MD"/>
        </w:rPr>
        <w:t xml:space="preserve"> того, что за установленный период </w:t>
      </w:r>
      <w:r>
        <w:rPr>
          <w:rFonts w:asciiTheme="majorHAnsi" w:eastAsia="Calibri" w:hAnsiTheme="majorHAnsi" w:cstheme="majorHAnsi"/>
          <w:sz w:val="24"/>
          <w:szCs w:val="24"/>
          <w:lang w:val="ru-RU"/>
        </w:rPr>
        <w:t>отсутствовали</w:t>
      </w:r>
      <w:r w:rsidR="0008377F" w:rsidRPr="0008377F">
        <w:rPr>
          <w:rFonts w:asciiTheme="majorHAnsi" w:eastAsia="Calibri" w:hAnsiTheme="majorHAnsi" w:cstheme="majorHAnsi"/>
          <w:sz w:val="24"/>
          <w:szCs w:val="24"/>
          <w:lang w:val="ro-MD"/>
        </w:rPr>
        <w:t xml:space="preserve"> взнос</w:t>
      </w:r>
      <w:r>
        <w:rPr>
          <w:rFonts w:asciiTheme="majorHAnsi" w:eastAsia="Calibri" w:hAnsiTheme="majorHAnsi" w:cstheme="majorHAnsi"/>
          <w:sz w:val="24"/>
          <w:szCs w:val="24"/>
          <w:lang w:val="ru-RU"/>
        </w:rPr>
        <w:t>ы</w:t>
      </w:r>
      <w:r w:rsidR="0008377F" w:rsidRPr="0008377F">
        <w:rPr>
          <w:rFonts w:asciiTheme="majorHAnsi" w:eastAsia="Calibri" w:hAnsiTheme="majorHAnsi" w:cstheme="majorHAnsi"/>
          <w:sz w:val="24"/>
          <w:szCs w:val="24"/>
          <w:lang w:val="ro-MD"/>
        </w:rPr>
        <w:t xml:space="preserve"> социального страхования, </w:t>
      </w:r>
      <w:r>
        <w:rPr>
          <w:rFonts w:asciiTheme="majorHAnsi" w:eastAsia="Calibri" w:hAnsiTheme="majorHAnsi" w:cstheme="majorHAnsi"/>
          <w:sz w:val="24"/>
          <w:szCs w:val="24"/>
          <w:lang w:val="ru-RU"/>
        </w:rPr>
        <w:t>перечисляемые</w:t>
      </w:r>
      <w:r w:rsidR="0008377F" w:rsidRPr="0008377F">
        <w:rPr>
          <w:rFonts w:asciiTheme="majorHAnsi" w:eastAsia="Calibri" w:hAnsiTheme="majorHAnsi" w:cstheme="majorHAnsi"/>
          <w:sz w:val="24"/>
          <w:szCs w:val="24"/>
          <w:lang w:val="ro-MD"/>
        </w:rPr>
        <w:t xml:space="preserve"> работодателем, </w:t>
      </w:r>
      <w:r>
        <w:rPr>
          <w:rFonts w:asciiTheme="majorHAnsi" w:eastAsia="Calibri" w:hAnsiTheme="majorHAnsi" w:cstheme="majorHAnsi"/>
          <w:sz w:val="24"/>
          <w:szCs w:val="24"/>
          <w:lang w:val="ru-RU"/>
        </w:rPr>
        <w:t>и</w:t>
      </w:r>
      <w:r w:rsidR="0008377F" w:rsidRPr="0008377F">
        <w:rPr>
          <w:rFonts w:asciiTheme="majorHAnsi" w:eastAsia="Calibri" w:hAnsiTheme="majorHAnsi" w:cstheme="majorHAnsi"/>
          <w:sz w:val="24"/>
          <w:szCs w:val="24"/>
          <w:lang w:val="ro-MD"/>
        </w:rPr>
        <w:t xml:space="preserve"> они были лишены пособий </w:t>
      </w:r>
      <w:r>
        <w:rPr>
          <w:rFonts w:asciiTheme="majorHAnsi" w:eastAsia="Calibri" w:hAnsiTheme="majorHAnsi" w:cstheme="majorHAnsi"/>
          <w:sz w:val="24"/>
          <w:szCs w:val="24"/>
          <w:lang w:val="ru-RU"/>
        </w:rPr>
        <w:t>на сумму</w:t>
      </w:r>
      <w:r w:rsidR="0008377F" w:rsidRPr="0008377F">
        <w:rPr>
          <w:rFonts w:asciiTheme="majorHAnsi" w:eastAsia="Calibri" w:hAnsiTheme="majorHAnsi" w:cstheme="majorHAnsi"/>
          <w:sz w:val="24"/>
          <w:szCs w:val="24"/>
          <w:lang w:val="ro-MD"/>
        </w:rPr>
        <w:t xml:space="preserve"> 30,0 тыс. леев. Только од</w:t>
      </w:r>
      <w:r w:rsidRPr="005314EF">
        <w:rPr>
          <w:rFonts w:asciiTheme="majorHAnsi" w:eastAsia="Calibri" w:hAnsiTheme="majorHAnsi" w:cstheme="majorHAnsi"/>
          <w:sz w:val="24"/>
          <w:szCs w:val="24"/>
          <w:lang w:val="ro-MD"/>
        </w:rPr>
        <w:t>ному</w:t>
      </w:r>
      <w:r w:rsidR="0008377F" w:rsidRPr="0008377F">
        <w:rPr>
          <w:rFonts w:asciiTheme="majorHAnsi" w:eastAsia="Calibri" w:hAnsiTheme="majorHAnsi" w:cstheme="majorHAnsi"/>
          <w:sz w:val="24"/>
          <w:szCs w:val="24"/>
          <w:lang w:val="ro-MD"/>
        </w:rPr>
        <w:t xml:space="preserve"> работник</w:t>
      </w:r>
      <w:r w:rsidRPr="005314EF">
        <w:rPr>
          <w:rFonts w:asciiTheme="majorHAnsi" w:eastAsia="Calibri" w:hAnsiTheme="majorHAnsi" w:cstheme="majorHAnsi"/>
          <w:sz w:val="24"/>
          <w:szCs w:val="24"/>
          <w:lang w:val="ro-MD"/>
        </w:rPr>
        <w:t>у</w:t>
      </w:r>
      <w:r w:rsidR="0008377F" w:rsidRPr="0008377F">
        <w:rPr>
          <w:rFonts w:asciiTheme="majorHAnsi" w:eastAsia="Calibri" w:hAnsiTheme="majorHAnsi" w:cstheme="majorHAnsi"/>
          <w:sz w:val="24"/>
          <w:szCs w:val="24"/>
          <w:lang w:val="ro-MD"/>
        </w:rPr>
        <w:t xml:space="preserve"> </w:t>
      </w:r>
      <w:r w:rsidRPr="005314EF">
        <w:rPr>
          <w:rFonts w:asciiTheme="majorHAnsi" w:eastAsia="Calibri" w:hAnsiTheme="majorHAnsi" w:cstheme="majorHAnsi"/>
          <w:sz w:val="24"/>
          <w:szCs w:val="24"/>
          <w:lang w:val="ro-MD"/>
        </w:rPr>
        <w:t>были</w:t>
      </w:r>
      <w:r w:rsidR="0008377F" w:rsidRPr="0008377F">
        <w:rPr>
          <w:rFonts w:asciiTheme="majorHAnsi" w:eastAsia="Calibri" w:hAnsiTheme="majorHAnsi" w:cstheme="majorHAnsi"/>
          <w:sz w:val="24"/>
          <w:szCs w:val="24"/>
          <w:lang w:val="ro-MD"/>
        </w:rPr>
        <w:t xml:space="preserve"> отказ</w:t>
      </w:r>
      <w:r w:rsidRPr="005314EF">
        <w:rPr>
          <w:rFonts w:asciiTheme="majorHAnsi" w:eastAsia="Calibri" w:hAnsiTheme="majorHAnsi" w:cstheme="majorHAnsi"/>
          <w:sz w:val="24"/>
          <w:szCs w:val="24"/>
          <w:lang w:val="ro-MD"/>
        </w:rPr>
        <w:t>аны пособия</w:t>
      </w:r>
      <w:r w:rsidR="0008377F" w:rsidRPr="0008377F">
        <w:rPr>
          <w:rFonts w:asciiTheme="majorHAnsi" w:eastAsia="Calibri" w:hAnsiTheme="majorHAnsi" w:cstheme="majorHAnsi"/>
          <w:sz w:val="24"/>
          <w:szCs w:val="24"/>
          <w:lang w:val="ro-MD"/>
        </w:rPr>
        <w:t xml:space="preserve"> </w:t>
      </w:r>
      <w:r w:rsidRPr="005314EF">
        <w:rPr>
          <w:rFonts w:asciiTheme="majorHAnsi" w:eastAsia="Calibri" w:hAnsiTheme="majorHAnsi" w:cstheme="majorHAnsi"/>
          <w:sz w:val="24"/>
          <w:szCs w:val="24"/>
          <w:lang w:val="ro-MD"/>
        </w:rPr>
        <w:t>по</w:t>
      </w:r>
      <w:r w:rsidR="0008377F" w:rsidRPr="0008377F">
        <w:rPr>
          <w:rFonts w:asciiTheme="majorHAnsi" w:eastAsia="Calibri" w:hAnsiTheme="majorHAnsi" w:cstheme="majorHAnsi"/>
          <w:sz w:val="24"/>
          <w:szCs w:val="24"/>
          <w:lang w:val="ro-MD"/>
        </w:rPr>
        <w:t xml:space="preserve"> 3 медицинских </w:t>
      </w:r>
      <w:r w:rsidRPr="005314EF">
        <w:rPr>
          <w:rFonts w:asciiTheme="majorHAnsi" w:eastAsia="Calibri" w:hAnsiTheme="majorHAnsi" w:cstheme="majorHAnsi"/>
          <w:sz w:val="24"/>
          <w:szCs w:val="24"/>
          <w:lang w:val="ro-MD"/>
        </w:rPr>
        <w:t>сертификатам</w:t>
      </w:r>
      <w:r w:rsidR="0008377F" w:rsidRPr="0008377F">
        <w:rPr>
          <w:rFonts w:asciiTheme="majorHAnsi" w:eastAsia="Calibri" w:hAnsiTheme="majorHAnsi" w:cstheme="majorHAnsi"/>
          <w:sz w:val="24"/>
          <w:szCs w:val="24"/>
          <w:lang w:val="ro-MD"/>
        </w:rPr>
        <w:t xml:space="preserve"> о временной нетрудоспособности, </w:t>
      </w:r>
      <w:r w:rsidRPr="005314EF">
        <w:rPr>
          <w:rFonts w:asciiTheme="majorHAnsi" w:eastAsia="Calibri" w:hAnsiTheme="majorHAnsi" w:cstheme="majorHAnsi"/>
          <w:sz w:val="24"/>
          <w:szCs w:val="24"/>
          <w:lang w:val="ro-MD"/>
        </w:rPr>
        <w:t>из-за того что</w:t>
      </w:r>
      <w:r w:rsidR="0008377F" w:rsidRPr="0008377F">
        <w:rPr>
          <w:rFonts w:asciiTheme="majorHAnsi" w:eastAsia="Calibri" w:hAnsiTheme="majorHAnsi" w:cstheme="majorHAnsi"/>
          <w:sz w:val="24"/>
          <w:szCs w:val="24"/>
          <w:lang w:val="ro-MD"/>
        </w:rPr>
        <w:t xml:space="preserve"> </w:t>
      </w:r>
      <w:r w:rsidRPr="005314EF">
        <w:rPr>
          <w:rFonts w:asciiTheme="majorHAnsi" w:eastAsia="Calibri" w:hAnsiTheme="majorHAnsi" w:cstheme="majorHAnsi"/>
          <w:sz w:val="24"/>
          <w:szCs w:val="24"/>
          <w:lang w:val="ro-MD"/>
        </w:rPr>
        <w:t>за него</w:t>
      </w:r>
      <w:r w:rsidR="0008377F" w:rsidRPr="0008377F">
        <w:rPr>
          <w:rFonts w:asciiTheme="majorHAnsi" w:eastAsia="Calibri" w:hAnsiTheme="majorHAnsi" w:cstheme="majorHAnsi"/>
          <w:sz w:val="24"/>
          <w:szCs w:val="24"/>
          <w:lang w:val="ro-MD"/>
        </w:rPr>
        <w:t xml:space="preserve"> не </w:t>
      </w:r>
      <w:r w:rsidRPr="005314EF">
        <w:rPr>
          <w:rFonts w:asciiTheme="majorHAnsi" w:eastAsia="Calibri" w:hAnsiTheme="majorHAnsi" w:cstheme="majorHAnsi"/>
          <w:sz w:val="24"/>
          <w:szCs w:val="24"/>
          <w:lang w:val="ro-MD"/>
        </w:rPr>
        <w:t>были уплачены</w:t>
      </w:r>
      <w:r w:rsidR="0008377F" w:rsidRPr="0008377F">
        <w:rPr>
          <w:rFonts w:asciiTheme="majorHAnsi" w:eastAsia="Calibri" w:hAnsiTheme="majorHAnsi" w:cstheme="majorHAnsi"/>
          <w:sz w:val="24"/>
          <w:szCs w:val="24"/>
          <w:lang w:val="ro-MD"/>
        </w:rPr>
        <w:t xml:space="preserve"> взносы социально</w:t>
      </w:r>
      <w:r w:rsidRPr="005314EF">
        <w:rPr>
          <w:rFonts w:asciiTheme="majorHAnsi" w:eastAsia="Calibri" w:hAnsiTheme="majorHAnsi" w:cstheme="majorHAnsi"/>
          <w:sz w:val="24"/>
          <w:szCs w:val="24"/>
          <w:lang w:val="ro-MD"/>
        </w:rPr>
        <w:t>го</w:t>
      </w:r>
      <w:r w:rsidR="0008377F" w:rsidRPr="0008377F">
        <w:rPr>
          <w:rFonts w:asciiTheme="majorHAnsi" w:eastAsia="Calibri" w:hAnsiTheme="majorHAnsi" w:cstheme="majorHAnsi"/>
          <w:sz w:val="24"/>
          <w:szCs w:val="24"/>
          <w:lang w:val="ro-MD"/>
        </w:rPr>
        <w:t xml:space="preserve"> </w:t>
      </w:r>
      <w:r w:rsidRPr="005314EF">
        <w:rPr>
          <w:rFonts w:asciiTheme="majorHAnsi" w:eastAsia="Calibri" w:hAnsiTheme="majorHAnsi" w:cstheme="majorHAnsi"/>
          <w:sz w:val="24"/>
          <w:szCs w:val="24"/>
          <w:lang w:val="ro-MD"/>
        </w:rPr>
        <w:t>страхования</w:t>
      </w:r>
      <w:r w:rsidR="0008377F" w:rsidRPr="0008377F">
        <w:rPr>
          <w:rFonts w:asciiTheme="majorHAnsi" w:eastAsia="Calibri" w:hAnsiTheme="majorHAnsi" w:cstheme="majorHAnsi"/>
          <w:sz w:val="24"/>
          <w:szCs w:val="24"/>
          <w:lang w:val="ro-MD"/>
        </w:rPr>
        <w:t xml:space="preserve"> за весь период, входящий в расчетную базу, соответственно, получатель </w:t>
      </w:r>
      <w:r w:rsidRPr="005314EF">
        <w:rPr>
          <w:rFonts w:asciiTheme="majorHAnsi" w:eastAsia="Calibri" w:hAnsiTheme="majorHAnsi" w:cstheme="majorHAnsi"/>
          <w:sz w:val="24"/>
          <w:szCs w:val="24"/>
          <w:lang w:val="ro-MD"/>
        </w:rPr>
        <w:t>у</w:t>
      </w:r>
      <w:r w:rsidR="0008377F" w:rsidRPr="0008377F">
        <w:rPr>
          <w:rFonts w:asciiTheme="majorHAnsi" w:eastAsia="Calibri" w:hAnsiTheme="majorHAnsi" w:cstheme="majorHAnsi"/>
          <w:sz w:val="24"/>
          <w:szCs w:val="24"/>
          <w:lang w:val="ro-MD"/>
        </w:rPr>
        <w:t>пустил сумму, которая ему причиталась бы</w:t>
      </w:r>
      <w:r w:rsidRPr="005224B9">
        <w:rPr>
          <w:rFonts w:asciiTheme="majorHAnsi" w:eastAsia="Calibri" w:hAnsiTheme="majorHAnsi" w:cstheme="majorHAnsi"/>
          <w:sz w:val="24"/>
          <w:szCs w:val="24"/>
          <w:lang w:val="ro-MD"/>
        </w:rPr>
        <w:t>,</w:t>
      </w:r>
      <w:r w:rsidR="0008377F" w:rsidRPr="0008377F">
        <w:rPr>
          <w:rFonts w:asciiTheme="majorHAnsi" w:eastAsia="Calibri" w:hAnsiTheme="majorHAnsi" w:cstheme="majorHAnsi"/>
          <w:sz w:val="24"/>
          <w:szCs w:val="24"/>
          <w:lang w:val="ro-MD"/>
        </w:rPr>
        <w:t xml:space="preserve"> в размере 19,8 тыс. леев</w:t>
      </w:r>
      <w:r w:rsidR="001141B5" w:rsidRPr="00B7675F">
        <w:rPr>
          <w:rFonts w:asciiTheme="majorHAnsi" w:eastAsia="Calibri" w:hAnsiTheme="majorHAnsi" w:cstheme="majorHAnsi"/>
          <w:sz w:val="24"/>
          <w:szCs w:val="24"/>
          <w:lang w:val="ro-MD"/>
        </w:rPr>
        <w:t>.</w:t>
      </w:r>
    </w:p>
    <w:p w14:paraId="624AB004" w14:textId="77B4AA69" w:rsidR="00CA1024" w:rsidRPr="00B7675F" w:rsidRDefault="00730DF3" w:rsidP="00653E85">
      <w:pPr>
        <w:pStyle w:val="a6"/>
        <w:shd w:val="clear" w:color="auto" w:fill="FFFFFF"/>
        <w:spacing w:after="240" w:line="276" w:lineRule="auto"/>
        <w:ind w:firstLine="0"/>
        <w:rPr>
          <w:rFonts w:asciiTheme="majorHAnsi" w:eastAsia="Calibri" w:hAnsiTheme="majorHAnsi" w:cstheme="majorHAnsi"/>
          <w:lang w:val="ro-MD"/>
        </w:rPr>
      </w:pPr>
      <w:r w:rsidRPr="00730DF3">
        <w:rPr>
          <w:rFonts w:asciiTheme="majorHAnsi" w:eastAsia="Calibri" w:hAnsiTheme="majorHAnsi" w:cstheme="majorHAnsi"/>
          <w:lang w:val="ro-MD"/>
        </w:rPr>
        <w:t xml:space="preserve">Аудит </w:t>
      </w:r>
      <w:r w:rsidR="00EA2953">
        <w:rPr>
          <w:rFonts w:asciiTheme="majorHAnsi" w:eastAsia="Calibri" w:hAnsiTheme="majorHAnsi" w:cstheme="majorHAnsi"/>
          <w:lang w:val="ru-RU"/>
        </w:rPr>
        <w:t>отмеч</w:t>
      </w:r>
      <w:r w:rsidRPr="00730DF3">
        <w:rPr>
          <w:rFonts w:asciiTheme="majorHAnsi" w:eastAsia="Calibri" w:hAnsiTheme="majorHAnsi" w:cstheme="majorHAnsi"/>
          <w:lang w:val="ro-MD"/>
        </w:rPr>
        <w:t xml:space="preserve">ает, что и при установлении пенсий по </w:t>
      </w:r>
      <w:r w:rsidR="00EA2953">
        <w:rPr>
          <w:rFonts w:asciiTheme="majorHAnsi" w:eastAsia="Calibri" w:hAnsiTheme="majorHAnsi" w:cstheme="majorHAnsi"/>
          <w:lang w:val="ru-RU"/>
        </w:rPr>
        <w:t>возрасту</w:t>
      </w:r>
      <w:r w:rsidRPr="00730DF3">
        <w:rPr>
          <w:rFonts w:asciiTheme="majorHAnsi" w:eastAsia="Calibri" w:hAnsiTheme="majorHAnsi" w:cstheme="majorHAnsi"/>
          <w:lang w:val="ro-MD"/>
        </w:rPr>
        <w:t xml:space="preserve"> было выявлено 3 случая </w:t>
      </w:r>
      <w:r w:rsidR="00EA2953">
        <w:rPr>
          <w:rFonts w:asciiTheme="majorHAnsi" w:eastAsia="Calibri" w:hAnsiTheme="majorHAnsi" w:cstheme="majorHAnsi"/>
          <w:lang w:val="ru-RU"/>
        </w:rPr>
        <w:t>начисления</w:t>
      </w:r>
      <w:r w:rsidRPr="00730DF3">
        <w:rPr>
          <w:rFonts w:asciiTheme="majorHAnsi" w:eastAsia="Calibri" w:hAnsiTheme="majorHAnsi" w:cstheme="majorHAnsi"/>
          <w:lang w:val="ro-MD"/>
        </w:rPr>
        <w:t xml:space="preserve"> </w:t>
      </w:r>
      <w:r w:rsidR="00EA2953">
        <w:rPr>
          <w:rFonts w:asciiTheme="majorHAnsi" w:eastAsia="Calibri" w:hAnsiTheme="majorHAnsi" w:cstheme="majorHAnsi"/>
          <w:lang w:val="ru-RU"/>
        </w:rPr>
        <w:t>заниж</w:t>
      </w:r>
      <w:r w:rsidRPr="00730DF3">
        <w:rPr>
          <w:rFonts w:asciiTheme="majorHAnsi" w:eastAsia="Calibri" w:hAnsiTheme="majorHAnsi" w:cstheme="majorHAnsi"/>
          <w:lang w:val="ro-MD"/>
        </w:rPr>
        <w:t>енного пособия. Так, в случае пенси</w:t>
      </w:r>
      <w:r w:rsidR="00EA2953">
        <w:rPr>
          <w:rFonts w:asciiTheme="majorHAnsi" w:eastAsia="Calibri" w:hAnsiTheme="majorHAnsi" w:cstheme="majorHAnsi"/>
          <w:lang w:val="ru-RU"/>
        </w:rPr>
        <w:t>й</w:t>
      </w:r>
      <w:r w:rsidRPr="00730DF3">
        <w:rPr>
          <w:rFonts w:asciiTheme="majorHAnsi" w:eastAsia="Calibri" w:hAnsiTheme="majorHAnsi" w:cstheme="majorHAnsi"/>
          <w:lang w:val="ro-MD"/>
        </w:rPr>
        <w:t xml:space="preserve"> </w:t>
      </w:r>
      <w:r w:rsidR="00EA2953">
        <w:rPr>
          <w:rFonts w:asciiTheme="majorHAnsi" w:eastAsia="Calibri" w:hAnsiTheme="majorHAnsi" w:cstheme="majorHAnsi"/>
          <w:lang w:val="ru-RU"/>
        </w:rPr>
        <w:t>страда</w:t>
      </w:r>
      <w:r w:rsidRPr="00730DF3">
        <w:rPr>
          <w:rFonts w:asciiTheme="majorHAnsi" w:eastAsia="Calibri" w:hAnsiTheme="majorHAnsi" w:cstheme="majorHAnsi"/>
          <w:lang w:val="ro-MD"/>
        </w:rPr>
        <w:t xml:space="preserve">ет не только </w:t>
      </w:r>
      <w:r w:rsidR="00EA2953">
        <w:rPr>
          <w:rFonts w:asciiTheme="majorHAnsi" w:eastAsia="Calibri" w:hAnsiTheme="majorHAnsi" w:cstheme="majorHAnsi"/>
          <w:lang w:val="ru-RU"/>
        </w:rPr>
        <w:t>страховой</w:t>
      </w:r>
      <w:r w:rsidRPr="00730DF3">
        <w:rPr>
          <w:rFonts w:asciiTheme="majorHAnsi" w:eastAsia="Calibri" w:hAnsiTheme="majorHAnsi" w:cstheme="majorHAnsi"/>
          <w:lang w:val="ro-MD"/>
        </w:rPr>
        <w:t xml:space="preserve"> доход, но и </w:t>
      </w:r>
      <w:r w:rsidR="00EA2953">
        <w:rPr>
          <w:rFonts w:asciiTheme="majorHAnsi" w:eastAsia="Calibri" w:hAnsiTheme="majorHAnsi" w:cstheme="majorHAnsi"/>
          <w:lang w:val="ru-RU"/>
        </w:rPr>
        <w:t xml:space="preserve">страховой </w:t>
      </w:r>
      <w:r w:rsidRPr="00730DF3">
        <w:rPr>
          <w:rFonts w:asciiTheme="majorHAnsi" w:eastAsia="Calibri" w:hAnsiTheme="majorHAnsi" w:cstheme="majorHAnsi"/>
          <w:lang w:val="ro-MD"/>
        </w:rPr>
        <w:t>стаж</w:t>
      </w:r>
      <w:r w:rsidR="00EA2953">
        <w:rPr>
          <w:rFonts w:asciiTheme="majorHAnsi" w:eastAsia="Calibri" w:hAnsiTheme="majorHAnsi" w:cstheme="majorHAnsi"/>
          <w:lang w:val="ro-MD"/>
        </w:rPr>
        <w:t>.</w:t>
      </w:r>
      <w:r w:rsidR="00EA2953">
        <w:rPr>
          <w:rFonts w:asciiTheme="majorHAnsi" w:eastAsia="Calibri" w:hAnsiTheme="majorHAnsi" w:cstheme="majorHAnsi"/>
          <w:lang w:val="ru-RU"/>
        </w:rPr>
        <w:t xml:space="preserve"> В итоге,</w:t>
      </w:r>
      <w:r w:rsidRPr="00730DF3">
        <w:rPr>
          <w:rFonts w:asciiTheme="majorHAnsi" w:eastAsia="Calibri" w:hAnsiTheme="majorHAnsi" w:cstheme="majorHAnsi"/>
          <w:lang w:val="ro-MD"/>
        </w:rPr>
        <w:t xml:space="preserve"> из-за неуплаты работодателем взносов </w:t>
      </w:r>
      <w:r w:rsidR="00EA2953" w:rsidRPr="0008377F">
        <w:rPr>
          <w:rFonts w:asciiTheme="majorHAnsi" w:eastAsia="Calibri" w:hAnsiTheme="majorHAnsi" w:cstheme="majorHAnsi"/>
          <w:lang w:val="ro-MD"/>
        </w:rPr>
        <w:t>социально</w:t>
      </w:r>
      <w:r w:rsidR="00EA2953" w:rsidRPr="005314EF">
        <w:rPr>
          <w:rFonts w:asciiTheme="majorHAnsi" w:eastAsia="Calibri" w:hAnsiTheme="majorHAnsi" w:cstheme="majorHAnsi"/>
          <w:lang w:val="ro-MD"/>
        </w:rPr>
        <w:t>го</w:t>
      </w:r>
      <w:r w:rsidR="00EA2953" w:rsidRPr="0008377F">
        <w:rPr>
          <w:rFonts w:asciiTheme="majorHAnsi" w:eastAsia="Calibri" w:hAnsiTheme="majorHAnsi" w:cstheme="majorHAnsi"/>
          <w:lang w:val="ro-MD"/>
        </w:rPr>
        <w:t xml:space="preserve"> </w:t>
      </w:r>
      <w:r w:rsidR="00EA2953" w:rsidRPr="005314EF">
        <w:rPr>
          <w:rFonts w:asciiTheme="majorHAnsi" w:eastAsia="Calibri" w:hAnsiTheme="majorHAnsi" w:cstheme="majorHAnsi"/>
          <w:lang w:val="ro-MD"/>
        </w:rPr>
        <w:t>страхования</w:t>
      </w:r>
      <w:r w:rsidR="00EA2953">
        <w:rPr>
          <w:rFonts w:asciiTheme="majorHAnsi" w:eastAsia="Calibri" w:hAnsiTheme="majorHAnsi" w:cstheme="majorHAnsi"/>
          <w:lang w:val="ru-RU"/>
        </w:rPr>
        <w:t>,</w:t>
      </w:r>
      <w:r w:rsidR="00EA2953" w:rsidRPr="00730DF3">
        <w:rPr>
          <w:rFonts w:asciiTheme="majorHAnsi" w:eastAsia="Calibri" w:hAnsiTheme="majorHAnsi" w:cstheme="majorHAnsi"/>
          <w:lang w:val="ro-MD"/>
        </w:rPr>
        <w:t xml:space="preserve"> </w:t>
      </w:r>
      <w:r w:rsidRPr="00730DF3">
        <w:rPr>
          <w:rFonts w:asciiTheme="majorHAnsi" w:eastAsia="Calibri" w:hAnsiTheme="majorHAnsi" w:cstheme="majorHAnsi"/>
          <w:lang w:val="ro-MD"/>
        </w:rPr>
        <w:t>бенефициар</w:t>
      </w:r>
      <w:r w:rsidR="00EA2953">
        <w:rPr>
          <w:rFonts w:asciiTheme="majorHAnsi" w:eastAsia="Calibri" w:hAnsiTheme="majorHAnsi" w:cstheme="majorHAnsi"/>
          <w:lang w:val="ru-RU"/>
        </w:rPr>
        <w:t>ам</w:t>
      </w:r>
      <w:r w:rsidRPr="00730DF3">
        <w:rPr>
          <w:rFonts w:asciiTheme="majorHAnsi" w:eastAsia="Calibri" w:hAnsiTheme="majorHAnsi" w:cstheme="majorHAnsi"/>
          <w:lang w:val="ro-MD"/>
        </w:rPr>
        <w:t xml:space="preserve"> не </w:t>
      </w:r>
      <w:r w:rsidR="00EA2953">
        <w:rPr>
          <w:rFonts w:asciiTheme="majorHAnsi" w:eastAsia="Calibri" w:hAnsiTheme="majorHAnsi" w:cstheme="majorHAnsi"/>
          <w:lang w:val="ru-RU"/>
        </w:rPr>
        <w:t xml:space="preserve">не был </w:t>
      </w:r>
      <w:r w:rsidRPr="00730DF3">
        <w:rPr>
          <w:rFonts w:asciiTheme="majorHAnsi" w:eastAsia="Calibri" w:hAnsiTheme="majorHAnsi" w:cstheme="majorHAnsi"/>
          <w:lang w:val="ro-MD"/>
        </w:rPr>
        <w:t>включ</w:t>
      </w:r>
      <w:r w:rsidR="00EA2953">
        <w:rPr>
          <w:rFonts w:asciiTheme="majorHAnsi" w:eastAsia="Calibri" w:hAnsiTheme="majorHAnsi" w:cstheme="majorHAnsi"/>
          <w:lang w:val="ru-RU"/>
        </w:rPr>
        <w:t xml:space="preserve">ен </w:t>
      </w:r>
      <w:r w:rsidRPr="00730DF3">
        <w:rPr>
          <w:rFonts w:asciiTheme="majorHAnsi" w:eastAsia="Calibri" w:hAnsiTheme="majorHAnsi" w:cstheme="majorHAnsi"/>
          <w:lang w:val="ro-MD"/>
        </w:rPr>
        <w:t>в стаж</w:t>
      </w:r>
      <w:r w:rsidR="00EA2953">
        <w:rPr>
          <w:rFonts w:asciiTheme="majorHAnsi" w:eastAsia="Calibri" w:hAnsiTheme="majorHAnsi" w:cstheme="majorHAnsi"/>
          <w:lang w:val="ru-RU"/>
        </w:rPr>
        <w:t xml:space="preserve"> период </w:t>
      </w:r>
      <w:r w:rsidRPr="00730DF3">
        <w:rPr>
          <w:rFonts w:asciiTheme="majorHAnsi" w:eastAsia="Calibri" w:hAnsiTheme="majorHAnsi" w:cstheme="majorHAnsi"/>
          <w:lang w:val="ro-MD"/>
        </w:rPr>
        <w:t xml:space="preserve">до 2 лет. </w:t>
      </w:r>
      <w:r w:rsidR="00EA2953">
        <w:rPr>
          <w:rFonts w:asciiTheme="majorHAnsi" w:eastAsia="Calibri" w:hAnsiTheme="majorHAnsi" w:cstheme="majorHAnsi"/>
          <w:lang w:val="ru-RU"/>
        </w:rPr>
        <w:t>Также</w:t>
      </w:r>
      <w:r w:rsidRPr="00730DF3">
        <w:rPr>
          <w:rFonts w:asciiTheme="majorHAnsi" w:eastAsia="Calibri" w:hAnsiTheme="majorHAnsi" w:cstheme="majorHAnsi"/>
          <w:lang w:val="ro-MD"/>
        </w:rPr>
        <w:t xml:space="preserve"> аудит отмечает, что </w:t>
      </w:r>
      <w:r w:rsidR="00EA2953">
        <w:rPr>
          <w:rFonts w:asciiTheme="majorHAnsi" w:eastAsia="Calibri" w:hAnsiTheme="majorHAnsi" w:cstheme="majorHAnsi"/>
          <w:lang w:val="ru-RU"/>
        </w:rPr>
        <w:t xml:space="preserve">один </w:t>
      </w:r>
      <w:r w:rsidRPr="00730DF3">
        <w:rPr>
          <w:rFonts w:asciiTheme="majorHAnsi" w:eastAsia="Calibri" w:hAnsiTheme="majorHAnsi" w:cstheme="majorHAnsi"/>
          <w:lang w:val="ro-MD"/>
        </w:rPr>
        <w:t xml:space="preserve">экономический агент </w:t>
      </w:r>
      <w:r w:rsidR="00EA2953">
        <w:rPr>
          <w:rFonts w:asciiTheme="majorHAnsi" w:eastAsia="Calibri" w:hAnsiTheme="majorHAnsi" w:cstheme="majorHAnsi"/>
          <w:lang w:val="ru-RU"/>
        </w:rPr>
        <w:t>позже о</w:t>
      </w:r>
      <w:r w:rsidRPr="00730DF3">
        <w:rPr>
          <w:rFonts w:asciiTheme="majorHAnsi" w:eastAsia="Calibri" w:hAnsiTheme="majorHAnsi" w:cstheme="majorHAnsi"/>
          <w:lang w:val="ro-MD"/>
        </w:rPr>
        <w:t>платил взносы</w:t>
      </w:r>
      <w:r w:rsidR="00EA2953">
        <w:rPr>
          <w:rFonts w:asciiTheme="majorHAnsi" w:eastAsia="Calibri" w:hAnsiTheme="majorHAnsi" w:cstheme="majorHAnsi"/>
          <w:lang w:val="ru-RU"/>
        </w:rPr>
        <w:t xml:space="preserve"> </w:t>
      </w:r>
      <w:r w:rsidRPr="00730DF3">
        <w:rPr>
          <w:rFonts w:asciiTheme="majorHAnsi" w:eastAsia="Calibri" w:hAnsiTheme="majorHAnsi" w:cstheme="majorHAnsi"/>
          <w:lang w:val="ro-MD"/>
        </w:rPr>
        <w:t xml:space="preserve">с опозданием, </w:t>
      </w:r>
      <w:r w:rsidR="00EA2953">
        <w:rPr>
          <w:rFonts w:asciiTheme="majorHAnsi" w:eastAsia="Calibri" w:hAnsiTheme="majorHAnsi" w:cstheme="majorHAnsi"/>
          <w:lang w:val="ru-RU"/>
        </w:rPr>
        <w:t>однако</w:t>
      </w:r>
      <w:r w:rsidRPr="00730DF3">
        <w:rPr>
          <w:rFonts w:asciiTheme="majorHAnsi" w:eastAsia="Calibri" w:hAnsiTheme="majorHAnsi" w:cstheme="majorHAnsi"/>
          <w:lang w:val="ro-MD"/>
        </w:rPr>
        <w:t xml:space="preserve"> бенефициару не был произведен перерасчет социального пособия. Хотя </w:t>
      </w:r>
      <w:r w:rsidR="00EA2953" w:rsidRPr="00EA2953">
        <w:rPr>
          <w:rFonts w:asciiTheme="majorHAnsi" w:eastAsia="Calibri" w:hAnsiTheme="majorHAnsi" w:cstheme="majorHAnsi"/>
          <w:lang w:val="ro-MD"/>
        </w:rPr>
        <w:t>законодательн</w:t>
      </w:r>
      <w:r w:rsidRPr="00730DF3">
        <w:rPr>
          <w:rFonts w:asciiTheme="majorHAnsi" w:eastAsia="Calibri" w:hAnsiTheme="majorHAnsi" w:cstheme="majorHAnsi"/>
          <w:lang w:val="ro-MD"/>
        </w:rPr>
        <w:t>ая база предусматривает перерасчет пенсии при получении дохода, он осуществляется только по запросу бенефициара</w:t>
      </w:r>
      <w:r w:rsidR="00CA1024" w:rsidRPr="00B7675F">
        <w:rPr>
          <w:rFonts w:asciiTheme="majorHAnsi" w:eastAsia="Calibri" w:hAnsiTheme="majorHAnsi" w:cstheme="majorHAnsi"/>
          <w:lang w:val="ro-MD"/>
        </w:rPr>
        <w:t xml:space="preserve">. </w:t>
      </w:r>
    </w:p>
    <w:p w14:paraId="76483B36" w14:textId="3553FAEC" w:rsidR="00C63D72" w:rsidRPr="00B7675F" w:rsidRDefault="00774C0B" w:rsidP="006F55A0">
      <w:pPr>
        <w:pStyle w:val="a6"/>
        <w:shd w:val="clear" w:color="auto" w:fill="FFFFFF"/>
        <w:spacing w:after="240" w:line="276" w:lineRule="auto"/>
        <w:ind w:firstLine="0"/>
        <w:rPr>
          <w:rFonts w:asciiTheme="majorHAnsi" w:eastAsia="Calibri" w:hAnsiTheme="majorHAnsi" w:cstheme="majorHAnsi"/>
          <w:lang w:val="ro-MD"/>
        </w:rPr>
      </w:pPr>
      <w:r>
        <w:rPr>
          <w:rFonts w:asciiTheme="majorHAnsi" w:hAnsiTheme="majorHAnsi" w:cstheme="majorHAnsi"/>
          <w:lang w:val="ru-RU"/>
        </w:rPr>
        <w:t>С</w:t>
      </w:r>
      <w:r w:rsidR="00730DF3" w:rsidRPr="00730DF3">
        <w:rPr>
          <w:rFonts w:asciiTheme="majorHAnsi" w:hAnsiTheme="majorHAnsi" w:cstheme="majorHAnsi"/>
          <w:lang w:val="ro-MD"/>
        </w:rPr>
        <w:t xml:space="preserve"> друг</w:t>
      </w:r>
      <w:r w:rsidR="00EA2953">
        <w:rPr>
          <w:rFonts w:asciiTheme="majorHAnsi" w:hAnsiTheme="majorHAnsi" w:cstheme="majorHAnsi"/>
          <w:lang w:val="ru-RU"/>
        </w:rPr>
        <w:t>о</w:t>
      </w:r>
      <w:r>
        <w:rPr>
          <w:rFonts w:asciiTheme="majorHAnsi" w:hAnsiTheme="majorHAnsi" w:cstheme="majorHAnsi"/>
          <w:lang w:val="ru-RU"/>
        </w:rPr>
        <w:t>й</w:t>
      </w:r>
      <w:r w:rsidR="00EA2953">
        <w:rPr>
          <w:rFonts w:asciiTheme="majorHAnsi" w:hAnsiTheme="majorHAnsi" w:cstheme="majorHAnsi"/>
          <w:lang w:val="ru-RU"/>
        </w:rPr>
        <w:t xml:space="preserve"> </w:t>
      </w:r>
      <w:r>
        <w:rPr>
          <w:rFonts w:asciiTheme="majorHAnsi" w:hAnsiTheme="majorHAnsi" w:cstheme="majorHAnsi"/>
          <w:lang w:val="ru-RU"/>
        </w:rPr>
        <w:t>стороны</w:t>
      </w:r>
      <w:r w:rsidR="00EA2953">
        <w:rPr>
          <w:rFonts w:asciiTheme="majorHAnsi" w:hAnsiTheme="majorHAnsi" w:cstheme="majorHAnsi"/>
          <w:lang w:val="ru-RU"/>
        </w:rPr>
        <w:t>,</w:t>
      </w:r>
      <w:r w:rsidR="00730DF3" w:rsidRPr="00730DF3">
        <w:rPr>
          <w:rFonts w:asciiTheme="majorHAnsi" w:hAnsiTheme="majorHAnsi" w:cstheme="majorHAnsi"/>
          <w:lang w:val="ro-MD"/>
        </w:rPr>
        <w:t xml:space="preserve"> отме</w:t>
      </w:r>
      <w:r w:rsidR="00EA2953">
        <w:rPr>
          <w:rFonts w:asciiTheme="majorHAnsi" w:hAnsiTheme="majorHAnsi" w:cstheme="majorHAnsi"/>
          <w:lang w:val="ru-RU"/>
        </w:rPr>
        <w:t>чается</w:t>
      </w:r>
      <w:r w:rsidR="00730DF3" w:rsidRPr="00730DF3">
        <w:rPr>
          <w:rFonts w:asciiTheme="majorHAnsi" w:hAnsiTheme="majorHAnsi" w:cstheme="majorHAnsi"/>
          <w:lang w:val="ro-MD"/>
        </w:rPr>
        <w:t xml:space="preserve">, что распределение </w:t>
      </w:r>
      <w:r w:rsidR="00EA2953">
        <w:rPr>
          <w:rFonts w:asciiTheme="majorHAnsi" w:hAnsiTheme="majorHAnsi" w:cstheme="majorHAnsi"/>
          <w:lang w:val="ru-RU"/>
        </w:rPr>
        <w:t xml:space="preserve">дебиторской </w:t>
      </w:r>
      <w:r w:rsidR="00730DF3" w:rsidRPr="00730DF3">
        <w:rPr>
          <w:rFonts w:asciiTheme="majorHAnsi" w:hAnsiTheme="majorHAnsi" w:cstheme="majorHAnsi"/>
          <w:lang w:val="ro-MD"/>
        </w:rPr>
        <w:t xml:space="preserve">массы, </w:t>
      </w:r>
      <w:r>
        <w:rPr>
          <w:rFonts w:asciiTheme="majorHAnsi" w:hAnsiTheme="majorHAnsi" w:cstheme="majorHAnsi"/>
          <w:lang w:val="ru-RU"/>
        </w:rPr>
        <w:t>реализованн</w:t>
      </w:r>
      <w:r w:rsidR="00730DF3" w:rsidRPr="00730DF3">
        <w:rPr>
          <w:rFonts w:asciiTheme="majorHAnsi" w:hAnsiTheme="majorHAnsi" w:cstheme="majorHAnsi"/>
          <w:lang w:val="ro-MD"/>
        </w:rPr>
        <w:t xml:space="preserve">ое путем исполнения, устанавливает более низкий рейтинг для налоговых </w:t>
      </w:r>
      <w:r>
        <w:rPr>
          <w:rFonts w:asciiTheme="majorHAnsi" w:hAnsiTheme="majorHAnsi" w:cstheme="majorHAnsi"/>
          <w:lang w:val="ru-RU"/>
        </w:rPr>
        <w:t>обязательств</w:t>
      </w:r>
      <w:r w:rsidR="00730DF3" w:rsidRPr="00730DF3">
        <w:rPr>
          <w:rFonts w:asciiTheme="majorHAnsi" w:hAnsiTheme="majorHAnsi" w:cstheme="majorHAnsi"/>
          <w:lang w:val="ro-MD"/>
        </w:rPr>
        <w:t xml:space="preserve"> и взносов </w:t>
      </w:r>
      <w:r w:rsidRPr="0008377F">
        <w:rPr>
          <w:rFonts w:asciiTheme="majorHAnsi" w:eastAsia="Calibri" w:hAnsiTheme="majorHAnsi" w:cstheme="majorHAnsi"/>
          <w:lang w:val="ro-MD"/>
        </w:rPr>
        <w:t>социально</w:t>
      </w:r>
      <w:r w:rsidRPr="005314EF">
        <w:rPr>
          <w:rFonts w:asciiTheme="majorHAnsi" w:eastAsia="Calibri" w:hAnsiTheme="majorHAnsi" w:cstheme="majorHAnsi"/>
          <w:lang w:val="ro-MD"/>
        </w:rPr>
        <w:t>го</w:t>
      </w:r>
      <w:r w:rsidRPr="0008377F">
        <w:rPr>
          <w:rFonts w:asciiTheme="majorHAnsi" w:eastAsia="Calibri" w:hAnsiTheme="majorHAnsi" w:cstheme="majorHAnsi"/>
          <w:lang w:val="ro-MD"/>
        </w:rPr>
        <w:t xml:space="preserve"> </w:t>
      </w:r>
      <w:r w:rsidRPr="005314EF">
        <w:rPr>
          <w:rFonts w:asciiTheme="majorHAnsi" w:eastAsia="Calibri" w:hAnsiTheme="majorHAnsi" w:cstheme="majorHAnsi"/>
          <w:lang w:val="ro-MD"/>
        </w:rPr>
        <w:t>страхования</w:t>
      </w:r>
      <w:r w:rsidR="00730DF3" w:rsidRPr="00730DF3">
        <w:rPr>
          <w:rFonts w:asciiTheme="majorHAnsi" w:hAnsiTheme="majorHAnsi" w:cstheme="majorHAnsi"/>
          <w:lang w:val="ro-MD"/>
        </w:rPr>
        <w:t>. Таким образом, отме</w:t>
      </w:r>
      <w:r>
        <w:rPr>
          <w:rFonts w:asciiTheme="majorHAnsi" w:hAnsiTheme="majorHAnsi" w:cstheme="majorHAnsi"/>
          <w:lang w:val="ru-RU"/>
        </w:rPr>
        <w:t>чае</w:t>
      </w:r>
      <w:r w:rsidR="00730DF3" w:rsidRPr="00730DF3">
        <w:rPr>
          <w:rFonts w:asciiTheme="majorHAnsi" w:hAnsiTheme="majorHAnsi" w:cstheme="majorHAnsi"/>
          <w:lang w:val="ro-MD"/>
        </w:rPr>
        <w:t xml:space="preserve">м, что неисполнение </w:t>
      </w:r>
      <w:r>
        <w:rPr>
          <w:rFonts w:asciiTheme="majorHAnsi" w:hAnsiTheme="majorHAnsi" w:cstheme="majorHAnsi"/>
          <w:lang w:val="ru-RU"/>
        </w:rPr>
        <w:t>финансов</w:t>
      </w:r>
      <w:r w:rsidR="00730DF3" w:rsidRPr="00730DF3">
        <w:rPr>
          <w:rFonts w:asciiTheme="majorHAnsi" w:hAnsiTheme="majorHAnsi" w:cstheme="majorHAnsi"/>
          <w:lang w:val="ro-MD"/>
        </w:rPr>
        <w:t xml:space="preserve">ых обязательств при наступлении срока погашения приводит к негативным последствиям не только для </w:t>
      </w:r>
      <w:r>
        <w:rPr>
          <w:rFonts w:asciiTheme="majorHAnsi" w:hAnsiTheme="majorHAnsi" w:cstheme="majorHAnsi"/>
          <w:lang w:val="ru-RU"/>
        </w:rPr>
        <w:t>БГСС</w:t>
      </w:r>
      <w:r w:rsidR="00730DF3" w:rsidRPr="00730DF3">
        <w:rPr>
          <w:rFonts w:asciiTheme="majorHAnsi" w:hAnsiTheme="majorHAnsi" w:cstheme="majorHAnsi"/>
          <w:lang w:val="ro-MD"/>
        </w:rPr>
        <w:t>, но и для бенефициаров. Принимая во внимание взаимосвязь юридических отношений, в которых работники находятся с работодателями и государством, мы пришли к выводу, что несоблюдение обязательств по уплате налогов и взносов социально</w:t>
      </w:r>
      <w:r w:rsidRPr="00774C0B">
        <w:rPr>
          <w:rFonts w:asciiTheme="majorHAnsi" w:hAnsiTheme="majorHAnsi" w:cstheme="majorHAnsi"/>
          <w:lang w:val="ro-MD"/>
        </w:rPr>
        <w:t>го</w:t>
      </w:r>
      <w:r w:rsidR="00730DF3" w:rsidRPr="00730DF3">
        <w:rPr>
          <w:rFonts w:asciiTheme="majorHAnsi" w:hAnsiTheme="majorHAnsi" w:cstheme="majorHAnsi"/>
          <w:lang w:val="ro-MD"/>
        </w:rPr>
        <w:t xml:space="preserve"> страховани</w:t>
      </w:r>
      <w:r w:rsidRPr="00774C0B">
        <w:rPr>
          <w:rFonts w:asciiTheme="majorHAnsi" w:hAnsiTheme="majorHAnsi" w:cstheme="majorHAnsi"/>
          <w:lang w:val="ro-MD"/>
        </w:rPr>
        <w:t>я</w:t>
      </w:r>
      <w:r w:rsidR="00730DF3" w:rsidRPr="00730DF3">
        <w:rPr>
          <w:rFonts w:asciiTheme="majorHAnsi" w:hAnsiTheme="majorHAnsi" w:cstheme="majorHAnsi"/>
          <w:lang w:val="ro-MD"/>
        </w:rPr>
        <w:t xml:space="preserve"> </w:t>
      </w:r>
      <w:r w:rsidRPr="00774C0B">
        <w:rPr>
          <w:rFonts w:asciiTheme="majorHAnsi" w:hAnsiTheme="majorHAnsi" w:cstheme="majorHAnsi"/>
          <w:lang w:val="ro-MD"/>
        </w:rPr>
        <w:t>генерирует</w:t>
      </w:r>
      <w:r w:rsidR="00730DF3" w:rsidRPr="00730DF3">
        <w:rPr>
          <w:rFonts w:asciiTheme="majorHAnsi" w:hAnsiTheme="majorHAnsi" w:cstheme="majorHAnsi"/>
          <w:lang w:val="ro-MD"/>
        </w:rPr>
        <w:t xml:space="preserve"> последствия для получателей социальных пособий</w:t>
      </w:r>
      <w:r w:rsidR="00C63D72" w:rsidRPr="00B7675F">
        <w:rPr>
          <w:rFonts w:asciiTheme="majorHAnsi" w:eastAsia="Calibri" w:hAnsiTheme="majorHAnsi" w:cstheme="majorHAnsi"/>
          <w:lang w:val="ro-MD"/>
        </w:rPr>
        <w:t xml:space="preserve">. </w:t>
      </w:r>
      <w:r>
        <w:rPr>
          <w:rFonts w:asciiTheme="majorHAnsi" w:eastAsia="Calibri" w:hAnsiTheme="majorHAnsi" w:cstheme="majorHAnsi"/>
          <w:lang w:val="ru-RU"/>
        </w:rPr>
        <w:t>Одновременно,</w:t>
      </w:r>
      <w:r w:rsidR="00730DF3" w:rsidRPr="00730DF3">
        <w:rPr>
          <w:rFonts w:asciiTheme="majorHAnsi" w:eastAsia="Calibri" w:hAnsiTheme="majorHAnsi" w:cstheme="majorHAnsi"/>
          <w:lang w:val="ro-MD"/>
        </w:rPr>
        <w:t xml:space="preserve"> аудит отмечает, что, хотя Трудовой кодекс</w:t>
      </w:r>
      <w:r w:rsidRPr="00B7675F">
        <w:rPr>
          <w:rStyle w:val="a5"/>
          <w:rFonts w:asciiTheme="majorHAnsi" w:eastAsia="Calibri" w:hAnsiTheme="majorHAnsi" w:cstheme="majorHAnsi"/>
          <w:lang w:val="ro-MD"/>
        </w:rPr>
        <w:footnoteReference w:id="76"/>
      </w:r>
      <w:r w:rsidR="00730DF3" w:rsidRPr="00730DF3">
        <w:rPr>
          <w:rFonts w:asciiTheme="majorHAnsi" w:eastAsia="Calibri" w:hAnsiTheme="majorHAnsi" w:cstheme="majorHAnsi"/>
          <w:lang w:val="ro-MD"/>
        </w:rPr>
        <w:t xml:space="preserve"> предусматривает, что </w:t>
      </w:r>
      <w:r w:rsidR="00730DF3" w:rsidRPr="00774C0B">
        <w:rPr>
          <w:rFonts w:asciiTheme="majorHAnsi" w:eastAsia="Calibri" w:hAnsiTheme="majorHAnsi" w:cstheme="majorHAnsi"/>
          <w:i/>
          <w:lang w:val="ro-MD"/>
        </w:rPr>
        <w:t>„</w:t>
      </w:r>
      <w:r w:rsidRPr="00774C0B">
        <w:rPr>
          <w:rFonts w:asciiTheme="majorHAnsi" w:eastAsia="Calibri" w:hAnsiTheme="majorHAnsi" w:cstheme="majorHAnsi"/>
          <w:i/>
          <w:lang w:val="ru-RU"/>
        </w:rPr>
        <w:t>выплата заработной платы производится работодателем в приоритетном порядке по отношению к другим выплатам, в том числе в случае несостоятельности предприятия</w:t>
      </w:r>
      <w:r w:rsidR="00730DF3" w:rsidRPr="00774C0B">
        <w:rPr>
          <w:rFonts w:asciiTheme="majorHAnsi" w:eastAsia="Calibri" w:hAnsiTheme="majorHAnsi" w:cstheme="majorHAnsi"/>
          <w:i/>
          <w:lang w:val="ro-MD"/>
        </w:rPr>
        <w:t>”</w:t>
      </w:r>
      <w:r w:rsidR="00730DF3" w:rsidRPr="00730DF3">
        <w:rPr>
          <w:rFonts w:asciiTheme="majorHAnsi" w:eastAsia="Calibri" w:hAnsiTheme="majorHAnsi" w:cstheme="majorHAnsi"/>
          <w:lang w:val="ro-MD"/>
        </w:rPr>
        <w:t xml:space="preserve">, </w:t>
      </w:r>
      <w:r>
        <w:rPr>
          <w:rFonts w:asciiTheme="majorHAnsi" w:eastAsia="Calibri" w:hAnsiTheme="majorHAnsi" w:cstheme="majorHAnsi"/>
          <w:lang w:val="ru-RU"/>
        </w:rPr>
        <w:t>законодательн</w:t>
      </w:r>
      <w:r w:rsidR="00730DF3" w:rsidRPr="00730DF3">
        <w:rPr>
          <w:rFonts w:asciiTheme="majorHAnsi" w:eastAsia="Calibri" w:hAnsiTheme="majorHAnsi" w:cstheme="majorHAnsi"/>
          <w:lang w:val="ro-MD"/>
        </w:rPr>
        <w:t xml:space="preserve">ая база не предусматривает </w:t>
      </w:r>
      <w:r>
        <w:rPr>
          <w:rFonts w:asciiTheme="majorHAnsi" w:eastAsia="Calibri" w:hAnsiTheme="majorHAnsi" w:cstheme="majorHAnsi"/>
          <w:lang w:val="ru-RU"/>
        </w:rPr>
        <w:t xml:space="preserve">и </w:t>
      </w:r>
      <w:r w:rsidR="00730DF3" w:rsidRPr="00730DF3">
        <w:rPr>
          <w:rFonts w:asciiTheme="majorHAnsi" w:eastAsia="Calibri" w:hAnsiTheme="majorHAnsi" w:cstheme="majorHAnsi"/>
          <w:lang w:val="ro-MD"/>
        </w:rPr>
        <w:t xml:space="preserve">одновременную </w:t>
      </w:r>
      <w:r>
        <w:rPr>
          <w:rFonts w:asciiTheme="majorHAnsi" w:eastAsia="Calibri" w:hAnsiTheme="majorHAnsi" w:cstheme="majorHAnsi"/>
          <w:lang w:val="ru-RU"/>
        </w:rPr>
        <w:t>у</w:t>
      </w:r>
      <w:r w:rsidR="00730DF3" w:rsidRPr="00730DF3">
        <w:rPr>
          <w:rFonts w:asciiTheme="majorHAnsi" w:eastAsia="Calibri" w:hAnsiTheme="majorHAnsi" w:cstheme="majorHAnsi"/>
          <w:lang w:val="ro-MD"/>
        </w:rPr>
        <w:t xml:space="preserve">плату взносов, что является необходимым условием для </w:t>
      </w:r>
      <w:r>
        <w:rPr>
          <w:rFonts w:asciiTheme="majorHAnsi" w:eastAsia="Calibri" w:hAnsiTheme="majorHAnsi" w:cstheme="majorHAnsi"/>
          <w:lang w:val="ru-RU"/>
        </w:rPr>
        <w:t>страхова</w:t>
      </w:r>
      <w:r w:rsidR="00730DF3" w:rsidRPr="00730DF3">
        <w:rPr>
          <w:rFonts w:asciiTheme="majorHAnsi" w:eastAsia="Calibri" w:hAnsiTheme="majorHAnsi" w:cstheme="majorHAnsi"/>
          <w:lang w:val="ro-MD"/>
        </w:rPr>
        <w:t xml:space="preserve">ния рисков. </w:t>
      </w:r>
      <w:r w:rsidRPr="00DC3C15">
        <w:rPr>
          <w:rFonts w:asciiTheme="majorHAnsi" w:eastAsia="Calibri" w:hAnsiTheme="majorHAnsi" w:cstheme="majorHAnsi"/>
          <w:lang w:val="ro-MD"/>
        </w:rPr>
        <w:t>Боле</w:t>
      </w:r>
      <w:r w:rsidR="00730DF3" w:rsidRPr="00730DF3">
        <w:rPr>
          <w:rFonts w:asciiTheme="majorHAnsi" w:eastAsia="Calibri" w:hAnsiTheme="majorHAnsi" w:cstheme="majorHAnsi"/>
          <w:lang w:val="ro-MD"/>
        </w:rPr>
        <w:t>е того, Конституция Республики Молдова у</w:t>
      </w:r>
      <w:r w:rsidRPr="00DC3C15">
        <w:rPr>
          <w:rFonts w:asciiTheme="majorHAnsi" w:eastAsia="Calibri" w:hAnsiTheme="majorHAnsi" w:cstheme="majorHAnsi"/>
          <w:lang w:val="ro-MD"/>
        </w:rPr>
        <w:t>станавлив</w:t>
      </w:r>
      <w:r w:rsidR="00730DF3" w:rsidRPr="00730DF3">
        <w:rPr>
          <w:rFonts w:asciiTheme="majorHAnsi" w:eastAsia="Calibri" w:hAnsiTheme="majorHAnsi" w:cstheme="majorHAnsi"/>
          <w:lang w:val="ro-MD"/>
        </w:rPr>
        <w:t>ает</w:t>
      </w:r>
      <w:r w:rsidRPr="00DC3C15">
        <w:rPr>
          <w:rFonts w:asciiTheme="majorHAnsi" w:eastAsia="Calibri" w:hAnsiTheme="majorHAnsi" w:cstheme="majorHAnsi"/>
          <w:lang w:val="ro-MD"/>
        </w:rPr>
        <w:t>,</w:t>
      </w:r>
      <w:r w:rsidR="00730DF3" w:rsidRPr="00730DF3">
        <w:rPr>
          <w:rFonts w:asciiTheme="majorHAnsi" w:eastAsia="Calibri" w:hAnsiTheme="majorHAnsi" w:cstheme="majorHAnsi"/>
          <w:lang w:val="ro-MD"/>
        </w:rPr>
        <w:t xml:space="preserve"> что </w:t>
      </w:r>
      <w:r w:rsidRPr="00774C0B">
        <w:rPr>
          <w:rFonts w:asciiTheme="majorHAnsi" w:eastAsia="Calibri" w:hAnsiTheme="majorHAnsi" w:cstheme="majorHAnsi"/>
          <w:i/>
          <w:lang w:val="ro-MD"/>
        </w:rPr>
        <w:t>„</w:t>
      </w:r>
      <w:r w:rsidR="00730DF3" w:rsidRPr="00774C0B">
        <w:rPr>
          <w:rFonts w:asciiTheme="majorHAnsi" w:eastAsia="Calibri" w:hAnsiTheme="majorHAnsi" w:cstheme="majorHAnsi"/>
          <w:i/>
          <w:lang w:val="ro-MD"/>
        </w:rPr>
        <w:t xml:space="preserve">граждане имеют право на страхование </w:t>
      </w:r>
      <w:r w:rsidRPr="00DC3C15">
        <w:rPr>
          <w:rFonts w:asciiTheme="majorHAnsi" w:eastAsia="Calibri" w:hAnsiTheme="majorHAnsi" w:cstheme="majorHAnsi"/>
          <w:i/>
          <w:lang w:val="ro-MD"/>
        </w:rPr>
        <w:t>на</w:t>
      </w:r>
      <w:r w:rsidR="00730DF3" w:rsidRPr="00774C0B">
        <w:rPr>
          <w:rFonts w:asciiTheme="majorHAnsi" w:eastAsia="Calibri" w:hAnsiTheme="majorHAnsi" w:cstheme="majorHAnsi"/>
          <w:i/>
          <w:lang w:val="ro-MD"/>
        </w:rPr>
        <w:t xml:space="preserve"> случа</w:t>
      </w:r>
      <w:r w:rsidRPr="00DC3C15">
        <w:rPr>
          <w:rFonts w:asciiTheme="majorHAnsi" w:eastAsia="Calibri" w:hAnsiTheme="majorHAnsi" w:cstheme="majorHAnsi"/>
          <w:i/>
          <w:lang w:val="ro-MD"/>
        </w:rPr>
        <w:t>й</w:t>
      </w:r>
      <w:r w:rsidR="00730DF3" w:rsidRPr="00774C0B">
        <w:rPr>
          <w:rFonts w:asciiTheme="majorHAnsi" w:eastAsia="Calibri" w:hAnsiTheme="majorHAnsi" w:cstheme="majorHAnsi"/>
          <w:i/>
          <w:lang w:val="ro-MD"/>
        </w:rPr>
        <w:t>: безработицы, болезни, инвалидности, вдовства, старости</w:t>
      </w:r>
      <w:r w:rsidRPr="00DC3C15">
        <w:rPr>
          <w:rFonts w:asciiTheme="majorHAnsi" w:eastAsia="Calibri" w:hAnsiTheme="majorHAnsi" w:cstheme="majorHAnsi"/>
          <w:i/>
          <w:lang w:val="ro-MD"/>
        </w:rPr>
        <w:t>,</w:t>
      </w:r>
      <w:r w:rsidR="00730DF3" w:rsidRPr="00774C0B">
        <w:rPr>
          <w:rFonts w:asciiTheme="majorHAnsi" w:eastAsia="Calibri" w:hAnsiTheme="majorHAnsi" w:cstheme="majorHAnsi"/>
          <w:i/>
          <w:lang w:val="ro-MD"/>
        </w:rPr>
        <w:t xml:space="preserve"> или </w:t>
      </w:r>
      <w:r w:rsidRPr="00DC3C15">
        <w:rPr>
          <w:rFonts w:asciiTheme="majorHAnsi" w:eastAsia="Calibri" w:hAnsiTheme="majorHAnsi" w:cstheme="majorHAnsi"/>
          <w:i/>
          <w:lang w:val="ro-MD"/>
        </w:rPr>
        <w:t xml:space="preserve">на </w:t>
      </w:r>
      <w:r w:rsidR="00730DF3" w:rsidRPr="00774C0B">
        <w:rPr>
          <w:rFonts w:asciiTheme="majorHAnsi" w:eastAsia="Calibri" w:hAnsiTheme="majorHAnsi" w:cstheme="majorHAnsi"/>
          <w:i/>
          <w:lang w:val="ro-MD"/>
        </w:rPr>
        <w:t>други</w:t>
      </w:r>
      <w:r w:rsidRPr="00DC3C15">
        <w:rPr>
          <w:rFonts w:asciiTheme="majorHAnsi" w:eastAsia="Calibri" w:hAnsiTheme="majorHAnsi" w:cstheme="majorHAnsi"/>
          <w:i/>
          <w:lang w:val="ro-MD"/>
        </w:rPr>
        <w:t>е</w:t>
      </w:r>
      <w:r w:rsidR="00730DF3" w:rsidRPr="00774C0B">
        <w:rPr>
          <w:rFonts w:asciiTheme="majorHAnsi" w:eastAsia="Calibri" w:hAnsiTheme="majorHAnsi" w:cstheme="majorHAnsi"/>
          <w:i/>
          <w:lang w:val="ro-MD"/>
        </w:rPr>
        <w:t xml:space="preserve"> случа</w:t>
      </w:r>
      <w:r w:rsidRPr="00DC3C15">
        <w:rPr>
          <w:rFonts w:asciiTheme="majorHAnsi" w:eastAsia="Calibri" w:hAnsiTheme="majorHAnsi" w:cstheme="majorHAnsi"/>
          <w:i/>
          <w:lang w:val="ro-MD"/>
        </w:rPr>
        <w:t>и</w:t>
      </w:r>
      <w:r w:rsidR="00730DF3" w:rsidRPr="00774C0B">
        <w:rPr>
          <w:rFonts w:asciiTheme="majorHAnsi" w:eastAsia="Calibri" w:hAnsiTheme="majorHAnsi" w:cstheme="majorHAnsi"/>
          <w:i/>
          <w:lang w:val="ro-MD"/>
        </w:rPr>
        <w:t xml:space="preserve"> потери средств к существованию в результате обстоятельств, не зависящих от их воли”</w:t>
      </w:r>
      <w:r w:rsidR="00DC3C15">
        <w:rPr>
          <w:rFonts w:asciiTheme="majorHAnsi" w:eastAsia="Calibri" w:hAnsiTheme="majorHAnsi" w:cstheme="majorHAnsi"/>
          <w:i/>
          <w:lang w:val="ru-RU"/>
        </w:rPr>
        <w:t>.</w:t>
      </w:r>
      <w:r w:rsidR="00730DF3" w:rsidRPr="00DC3C15">
        <w:rPr>
          <w:rFonts w:asciiTheme="majorHAnsi" w:eastAsia="Calibri" w:hAnsiTheme="majorHAnsi" w:cstheme="majorHAnsi"/>
          <w:lang w:val="ro-MD"/>
        </w:rPr>
        <w:t xml:space="preserve"> </w:t>
      </w:r>
    </w:p>
    <w:p w14:paraId="75634C84" w14:textId="39BEAFED" w:rsidR="00FF2496" w:rsidRPr="00B7675F" w:rsidRDefault="00730DF3" w:rsidP="004A63BF">
      <w:pPr>
        <w:pStyle w:val="a8"/>
        <w:tabs>
          <w:tab w:val="left" w:pos="284"/>
          <w:tab w:val="left" w:pos="425"/>
        </w:tabs>
        <w:spacing w:after="240" w:line="276" w:lineRule="auto"/>
        <w:jc w:val="both"/>
        <w:rPr>
          <w:rFonts w:asciiTheme="majorHAnsi" w:hAnsiTheme="majorHAnsi" w:cstheme="majorHAnsi"/>
          <w:sz w:val="24"/>
          <w:szCs w:val="24"/>
          <w:lang w:val="ro-MD"/>
        </w:rPr>
      </w:pPr>
      <w:r w:rsidRPr="00730DF3">
        <w:rPr>
          <w:rFonts w:asciiTheme="majorHAnsi" w:hAnsiTheme="majorHAnsi" w:cstheme="majorHAnsi"/>
          <w:sz w:val="24"/>
          <w:szCs w:val="24"/>
          <w:lang w:val="ro-MD"/>
        </w:rPr>
        <w:t xml:space="preserve">В этих условиях, </w:t>
      </w:r>
      <w:r w:rsidR="003936C3" w:rsidRPr="003936C3">
        <w:rPr>
          <w:rFonts w:asciiTheme="majorHAnsi" w:hAnsiTheme="majorHAnsi" w:cstheme="majorHAnsi"/>
          <w:sz w:val="24"/>
          <w:szCs w:val="24"/>
          <w:lang w:val="ro-MD"/>
        </w:rPr>
        <w:t>вышеизложенн</w:t>
      </w:r>
      <w:r w:rsidRPr="00730DF3">
        <w:rPr>
          <w:rFonts w:asciiTheme="majorHAnsi" w:hAnsiTheme="majorHAnsi" w:cstheme="majorHAnsi"/>
          <w:sz w:val="24"/>
          <w:szCs w:val="24"/>
          <w:lang w:val="ro-MD"/>
        </w:rPr>
        <w:t xml:space="preserve">ые </w:t>
      </w:r>
      <w:r w:rsidR="003936C3" w:rsidRPr="003936C3">
        <w:rPr>
          <w:rFonts w:asciiTheme="majorHAnsi" w:hAnsiTheme="majorHAnsi" w:cstheme="majorHAnsi"/>
          <w:sz w:val="24"/>
          <w:szCs w:val="24"/>
          <w:lang w:val="ro-MD"/>
        </w:rPr>
        <w:t>констатации</w:t>
      </w:r>
      <w:r w:rsidRPr="00730DF3">
        <w:rPr>
          <w:rFonts w:asciiTheme="majorHAnsi" w:hAnsiTheme="majorHAnsi" w:cstheme="majorHAnsi"/>
          <w:sz w:val="24"/>
          <w:szCs w:val="24"/>
          <w:lang w:val="ro-MD"/>
        </w:rPr>
        <w:t xml:space="preserve"> аудит</w:t>
      </w:r>
      <w:r w:rsidR="003936C3" w:rsidRPr="003936C3">
        <w:rPr>
          <w:rFonts w:asciiTheme="majorHAnsi" w:hAnsiTheme="majorHAnsi" w:cstheme="majorHAnsi"/>
          <w:sz w:val="24"/>
          <w:szCs w:val="24"/>
          <w:lang w:val="ro-MD"/>
        </w:rPr>
        <w:t>а</w:t>
      </w:r>
      <w:r w:rsidRPr="00730DF3">
        <w:rPr>
          <w:rFonts w:asciiTheme="majorHAnsi" w:hAnsiTheme="majorHAnsi" w:cstheme="majorHAnsi"/>
          <w:sz w:val="24"/>
          <w:szCs w:val="24"/>
          <w:lang w:val="ro-MD"/>
        </w:rPr>
        <w:t xml:space="preserve"> указывают на необходимость </w:t>
      </w:r>
      <w:r w:rsidR="003936C3" w:rsidRPr="003936C3">
        <w:rPr>
          <w:rFonts w:asciiTheme="majorHAnsi" w:hAnsiTheme="majorHAnsi" w:cstheme="majorHAnsi"/>
          <w:sz w:val="24"/>
          <w:szCs w:val="24"/>
          <w:lang w:val="ro-MD"/>
        </w:rPr>
        <w:t>пересмотра</w:t>
      </w:r>
      <w:r w:rsidRPr="00730DF3">
        <w:rPr>
          <w:rFonts w:asciiTheme="majorHAnsi" w:hAnsiTheme="majorHAnsi" w:cstheme="majorHAnsi"/>
          <w:sz w:val="24"/>
          <w:szCs w:val="24"/>
          <w:lang w:val="ro-MD"/>
        </w:rPr>
        <w:t xml:space="preserve"> </w:t>
      </w:r>
      <w:r w:rsidR="003936C3" w:rsidRPr="003936C3">
        <w:rPr>
          <w:rFonts w:asciiTheme="majorHAnsi" w:hAnsiTheme="majorHAnsi" w:cstheme="majorHAnsi"/>
          <w:sz w:val="24"/>
          <w:szCs w:val="24"/>
          <w:lang w:val="ro-MD"/>
        </w:rPr>
        <w:t>законодательн</w:t>
      </w:r>
      <w:r w:rsidRPr="00730DF3">
        <w:rPr>
          <w:rFonts w:asciiTheme="majorHAnsi" w:hAnsiTheme="majorHAnsi" w:cstheme="majorHAnsi"/>
          <w:sz w:val="24"/>
          <w:szCs w:val="24"/>
          <w:lang w:val="ro-MD"/>
        </w:rPr>
        <w:t xml:space="preserve">ой базы с целью создания </w:t>
      </w:r>
      <w:r w:rsidR="003936C3" w:rsidRPr="003936C3">
        <w:rPr>
          <w:rFonts w:asciiTheme="majorHAnsi" w:hAnsiTheme="majorHAnsi" w:cstheme="majorHAnsi"/>
          <w:sz w:val="24"/>
          <w:szCs w:val="24"/>
          <w:lang w:val="ro-MD"/>
        </w:rPr>
        <w:t>эффективны</w:t>
      </w:r>
      <w:r w:rsidRPr="00730DF3">
        <w:rPr>
          <w:rFonts w:asciiTheme="majorHAnsi" w:hAnsiTheme="majorHAnsi" w:cstheme="majorHAnsi"/>
          <w:sz w:val="24"/>
          <w:szCs w:val="24"/>
          <w:lang w:val="ro-MD"/>
        </w:rPr>
        <w:t xml:space="preserve">х процедур, </w:t>
      </w:r>
      <w:r w:rsidR="003936C3">
        <w:rPr>
          <w:rFonts w:asciiTheme="majorHAnsi" w:hAnsiTheme="majorHAnsi" w:cstheme="majorHAnsi"/>
          <w:sz w:val="24"/>
          <w:szCs w:val="24"/>
          <w:lang w:val="ru-RU"/>
        </w:rPr>
        <w:t>затрагивающих</w:t>
      </w:r>
      <w:r w:rsidRPr="00730DF3">
        <w:rPr>
          <w:rFonts w:asciiTheme="majorHAnsi" w:hAnsiTheme="majorHAnsi" w:cstheme="majorHAnsi"/>
          <w:sz w:val="24"/>
          <w:szCs w:val="24"/>
          <w:lang w:val="ro-MD"/>
        </w:rPr>
        <w:t xml:space="preserve"> </w:t>
      </w:r>
      <w:r w:rsidR="003936C3" w:rsidRPr="003936C3">
        <w:rPr>
          <w:rFonts w:asciiTheme="majorHAnsi" w:hAnsiTheme="majorHAnsi" w:cstheme="majorHAnsi"/>
          <w:sz w:val="24"/>
          <w:szCs w:val="24"/>
          <w:lang w:val="ro-MD"/>
        </w:rPr>
        <w:t>дебитор</w:t>
      </w:r>
      <w:r w:rsidRPr="00730DF3">
        <w:rPr>
          <w:rFonts w:asciiTheme="majorHAnsi" w:hAnsiTheme="majorHAnsi" w:cstheme="majorHAnsi"/>
          <w:sz w:val="24"/>
          <w:szCs w:val="24"/>
          <w:lang w:val="ro-MD"/>
        </w:rPr>
        <w:t xml:space="preserve">ов, </w:t>
      </w:r>
      <w:r w:rsidR="003936C3" w:rsidRPr="003936C3">
        <w:rPr>
          <w:rFonts w:asciiTheme="majorHAnsi" w:hAnsiTheme="majorHAnsi" w:cstheme="majorHAnsi"/>
          <w:sz w:val="24"/>
          <w:szCs w:val="24"/>
          <w:lang w:val="ro-MD"/>
        </w:rPr>
        <w:t>инициирую</w:t>
      </w:r>
      <w:r w:rsidRPr="00730DF3">
        <w:rPr>
          <w:rFonts w:asciiTheme="majorHAnsi" w:hAnsiTheme="majorHAnsi" w:cstheme="majorHAnsi"/>
          <w:sz w:val="24"/>
          <w:szCs w:val="24"/>
          <w:lang w:val="ro-MD"/>
        </w:rPr>
        <w:t xml:space="preserve">щих </w:t>
      </w:r>
      <w:r w:rsidR="003936C3" w:rsidRPr="003936C3">
        <w:rPr>
          <w:rFonts w:asciiTheme="majorHAnsi" w:hAnsiTheme="majorHAnsi" w:cstheme="majorHAnsi"/>
          <w:sz w:val="24"/>
          <w:szCs w:val="24"/>
          <w:lang w:val="ro-MD"/>
        </w:rPr>
        <w:t>процедуру</w:t>
      </w:r>
      <w:r w:rsidRPr="00730DF3">
        <w:rPr>
          <w:rFonts w:asciiTheme="majorHAnsi" w:hAnsiTheme="majorHAnsi" w:cstheme="majorHAnsi"/>
          <w:sz w:val="24"/>
          <w:szCs w:val="24"/>
          <w:lang w:val="ro-MD"/>
        </w:rPr>
        <w:t xml:space="preserve"> несостоятельност</w:t>
      </w:r>
      <w:r w:rsidR="003936C3" w:rsidRPr="003936C3">
        <w:rPr>
          <w:rFonts w:asciiTheme="majorHAnsi" w:hAnsiTheme="majorHAnsi" w:cstheme="majorHAnsi"/>
          <w:sz w:val="24"/>
          <w:szCs w:val="24"/>
          <w:lang w:val="ro-MD"/>
        </w:rPr>
        <w:t>и</w:t>
      </w:r>
      <w:r w:rsidRPr="00730DF3">
        <w:rPr>
          <w:rFonts w:asciiTheme="majorHAnsi" w:hAnsiTheme="majorHAnsi" w:cstheme="majorHAnsi"/>
          <w:sz w:val="24"/>
          <w:szCs w:val="24"/>
          <w:lang w:val="ro-MD"/>
        </w:rPr>
        <w:t>, сотрудников и, что не менее важно, государства</w:t>
      </w:r>
      <w:r w:rsidR="00C63D72" w:rsidRPr="00B7675F">
        <w:rPr>
          <w:rFonts w:asciiTheme="majorHAnsi" w:hAnsiTheme="majorHAnsi" w:cstheme="majorHAnsi"/>
          <w:sz w:val="24"/>
          <w:szCs w:val="24"/>
          <w:lang w:val="ro-MD"/>
        </w:rPr>
        <w:t xml:space="preserve">. </w:t>
      </w:r>
    </w:p>
    <w:p w14:paraId="44272355" w14:textId="2CD16AA8" w:rsidR="001141B5" w:rsidRPr="00B7675F" w:rsidRDefault="00730DF3" w:rsidP="004A63BF">
      <w:pPr>
        <w:shd w:val="clear" w:color="auto" w:fill="FFFFFF" w:themeFill="background1"/>
        <w:tabs>
          <w:tab w:val="left" w:pos="851"/>
        </w:tabs>
        <w:spacing w:line="276" w:lineRule="auto"/>
        <w:jc w:val="both"/>
        <w:rPr>
          <w:rFonts w:asciiTheme="majorHAnsi" w:eastAsia="Calibri" w:hAnsiTheme="majorHAnsi" w:cstheme="majorHAnsi"/>
          <w:i/>
          <w:sz w:val="24"/>
          <w:szCs w:val="24"/>
          <w:highlight w:val="yellow"/>
          <w:lang w:val="ro-MD"/>
        </w:rPr>
      </w:pPr>
      <w:r w:rsidRPr="002B6D92">
        <w:rPr>
          <w:rFonts w:asciiTheme="majorHAnsi" w:hAnsiTheme="majorHAnsi" w:cstheme="majorHAnsi"/>
          <w:sz w:val="24"/>
          <w:szCs w:val="24"/>
          <w:lang w:val="ro-MD"/>
        </w:rPr>
        <w:t>В то же время</w:t>
      </w:r>
      <w:r w:rsidR="002B6D92">
        <w:rPr>
          <w:rFonts w:asciiTheme="majorHAnsi" w:hAnsiTheme="majorHAnsi" w:cstheme="majorHAnsi"/>
          <w:sz w:val="24"/>
          <w:szCs w:val="24"/>
          <w:lang w:val="ru-RU"/>
        </w:rPr>
        <w:t>,</w:t>
      </w:r>
      <w:r w:rsidRPr="002B6D92">
        <w:rPr>
          <w:rFonts w:asciiTheme="majorHAnsi" w:hAnsiTheme="majorHAnsi" w:cstheme="majorHAnsi"/>
          <w:sz w:val="24"/>
          <w:szCs w:val="24"/>
          <w:lang w:val="ro-MD"/>
        </w:rPr>
        <w:t xml:space="preserve"> в </w:t>
      </w:r>
      <w:r w:rsidR="002B6D92">
        <w:rPr>
          <w:rFonts w:asciiTheme="majorHAnsi" w:hAnsiTheme="majorHAnsi" w:cstheme="majorHAnsi"/>
          <w:sz w:val="24"/>
          <w:szCs w:val="24"/>
          <w:lang w:val="ru-RU"/>
        </w:rPr>
        <w:t>ГНС</w:t>
      </w:r>
      <w:r w:rsidRPr="002B6D92">
        <w:rPr>
          <w:rFonts w:asciiTheme="majorHAnsi" w:hAnsiTheme="majorHAnsi" w:cstheme="majorHAnsi"/>
          <w:sz w:val="24"/>
          <w:szCs w:val="24"/>
          <w:lang w:val="ro-MD"/>
        </w:rPr>
        <w:t xml:space="preserve"> сумма дебиторской задолженности неплатежеспособных экономических агентов составляла 73,4 млн. </w:t>
      </w:r>
      <w:r w:rsidR="00336FEC" w:rsidRPr="002B6D92">
        <w:rPr>
          <w:rFonts w:asciiTheme="majorHAnsi" w:hAnsiTheme="majorHAnsi" w:cstheme="majorHAnsi"/>
          <w:sz w:val="24"/>
          <w:szCs w:val="24"/>
          <w:lang w:val="ro-MD"/>
        </w:rPr>
        <w:t>леев</w:t>
      </w:r>
      <w:r w:rsidRPr="002B6D92">
        <w:rPr>
          <w:rFonts w:asciiTheme="majorHAnsi" w:hAnsiTheme="majorHAnsi" w:cstheme="majorHAnsi"/>
          <w:sz w:val="24"/>
          <w:szCs w:val="24"/>
          <w:lang w:val="ro-MD"/>
        </w:rPr>
        <w:t>. Согласно таблице проверки дебиторской задолженности</w:t>
      </w:r>
      <w:r w:rsidRPr="00730DF3">
        <w:rPr>
          <w:rFonts w:asciiTheme="majorHAnsi" w:hAnsiTheme="majorHAnsi" w:cstheme="majorHAnsi"/>
          <w:sz w:val="24"/>
          <w:szCs w:val="24"/>
          <w:lang w:val="ro-MD"/>
        </w:rPr>
        <w:t xml:space="preserve">, представленной </w:t>
      </w:r>
      <w:r w:rsidR="002B6D92">
        <w:rPr>
          <w:rFonts w:asciiTheme="majorHAnsi" w:hAnsiTheme="majorHAnsi" w:cstheme="majorHAnsi"/>
          <w:sz w:val="24"/>
          <w:szCs w:val="24"/>
          <w:lang w:val="ru-RU"/>
        </w:rPr>
        <w:t>ГНС</w:t>
      </w:r>
      <w:r w:rsidRPr="00730DF3">
        <w:rPr>
          <w:rFonts w:asciiTheme="majorHAnsi" w:hAnsiTheme="majorHAnsi" w:cstheme="majorHAnsi"/>
          <w:sz w:val="24"/>
          <w:szCs w:val="24"/>
          <w:lang w:val="ro-MD"/>
        </w:rPr>
        <w:t>, в 2022 году был</w:t>
      </w:r>
      <w:r w:rsidR="002B6D92">
        <w:rPr>
          <w:rFonts w:asciiTheme="majorHAnsi" w:hAnsiTheme="majorHAnsi" w:cstheme="majorHAnsi"/>
          <w:sz w:val="24"/>
          <w:szCs w:val="24"/>
          <w:lang w:val="ru-RU"/>
        </w:rPr>
        <w:t>и приняты на учет</w:t>
      </w:r>
      <w:r w:rsidRPr="00730DF3">
        <w:rPr>
          <w:rFonts w:asciiTheme="majorHAnsi" w:hAnsiTheme="majorHAnsi" w:cstheme="majorHAnsi"/>
          <w:sz w:val="24"/>
          <w:szCs w:val="24"/>
          <w:lang w:val="ro-MD"/>
        </w:rPr>
        <w:t xml:space="preserve"> 65 не</w:t>
      </w:r>
      <w:r w:rsidR="002B6D92">
        <w:rPr>
          <w:rFonts w:asciiTheme="majorHAnsi" w:hAnsiTheme="majorHAnsi" w:cstheme="majorHAnsi"/>
          <w:sz w:val="24"/>
          <w:szCs w:val="24"/>
          <w:lang w:val="ru-RU"/>
        </w:rPr>
        <w:t>платежеспособ</w:t>
      </w:r>
      <w:r w:rsidRPr="00730DF3">
        <w:rPr>
          <w:rFonts w:asciiTheme="majorHAnsi" w:hAnsiTheme="majorHAnsi" w:cstheme="majorHAnsi"/>
          <w:sz w:val="24"/>
          <w:szCs w:val="24"/>
          <w:lang w:val="ro-MD"/>
        </w:rPr>
        <w:t>ных экономических операторов, что на 152 меньше по сравнению с данными</w:t>
      </w:r>
      <w:r w:rsidR="002B6D92">
        <w:rPr>
          <w:rFonts w:asciiTheme="majorHAnsi" w:hAnsiTheme="majorHAnsi" w:cstheme="majorHAnsi"/>
          <w:sz w:val="24"/>
          <w:szCs w:val="24"/>
          <w:lang w:val="ru-RU"/>
        </w:rPr>
        <w:t xml:space="preserve"> за</w:t>
      </w:r>
      <w:r w:rsidRPr="00730DF3">
        <w:rPr>
          <w:rFonts w:asciiTheme="majorHAnsi" w:hAnsiTheme="majorHAnsi" w:cstheme="majorHAnsi"/>
          <w:sz w:val="24"/>
          <w:szCs w:val="24"/>
          <w:lang w:val="ro-MD"/>
        </w:rPr>
        <w:t xml:space="preserve"> то</w:t>
      </w:r>
      <w:r w:rsidR="002B6D92">
        <w:rPr>
          <w:rFonts w:asciiTheme="majorHAnsi" w:hAnsiTheme="majorHAnsi" w:cstheme="majorHAnsi"/>
          <w:sz w:val="24"/>
          <w:szCs w:val="24"/>
          <w:lang w:val="ru-RU"/>
        </w:rPr>
        <w:t>т</w:t>
      </w:r>
      <w:r w:rsidRPr="00730DF3">
        <w:rPr>
          <w:rFonts w:asciiTheme="majorHAnsi" w:hAnsiTheme="majorHAnsi" w:cstheme="majorHAnsi"/>
          <w:sz w:val="24"/>
          <w:szCs w:val="24"/>
          <w:lang w:val="ro-MD"/>
        </w:rPr>
        <w:t xml:space="preserve"> же период, </w:t>
      </w:r>
      <w:r w:rsidR="002B6D92">
        <w:rPr>
          <w:rFonts w:asciiTheme="majorHAnsi" w:hAnsiTheme="majorHAnsi" w:cstheme="majorHAnsi"/>
          <w:sz w:val="24"/>
          <w:szCs w:val="24"/>
          <w:lang w:val="ru-RU"/>
        </w:rPr>
        <w:t>имеющимися у НКСС</w:t>
      </w:r>
      <w:r w:rsidRPr="00730DF3">
        <w:rPr>
          <w:rFonts w:asciiTheme="majorHAnsi" w:hAnsiTheme="majorHAnsi" w:cstheme="majorHAnsi"/>
          <w:sz w:val="24"/>
          <w:szCs w:val="24"/>
          <w:lang w:val="ro-MD"/>
        </w:rPr>
        <w:t xml:space="preserve">. </w:t>
      </w:r>
      <w:r w:rsidR="002B6D92">
        <w:rPr>
          <w:rFonts w:asciiTheme="majorHAnsi" w:hAnsiTheme="majorHAnsi" w:cstheme="majorHAnsi"/>
          <w:sz w:val="24"/>
          <w:szCs w:val="24"/>
          <w:lang w:val="ru-RU"/>
        </w:rPr>
        <w:t>При этом,</w:t>
      </w:r>
      <w:r w:rsidRPr="00730DF3">
        <w:rPr>
          <w:rFonts w:asciiTheme="majorHAnsi" w:hAnsiTheme="majorHAnsi" w:cstheme="majorHAnsi"/>
          <w:sz w:val="24"/>
          <w:szCs w:val="24"/>
          <w:lang w:val="ro-MD"/>
        </w:rPr>
        <w:t xml:space="preserve"> </w:t>
      </w:r>
      <w:r w:rsidR="002B6D92">
        <w:rPr>
          <w:rFonts w:asciiTheme="majorHAnsi" w:hAnsiTheme="majorHAnsi" w:cstheme="majorHAnsi"/>
          <w:sz w:val="24"/>
          <w:szCs w:val="24"/>
          <w:lang w:val="ru-RU"/>
        </w:rPr>
        <w:t xml:space="preserve">и </w:t>
      </w:r>
      <w:r w:rsidRPr="00730DF3">
        <w:rPr>
          <w:rFonts w:asciiTheme="majorHAnsi" w:hAnsiTheme="majorHAnsi" w:cstheme="majorHAnsi"/>
          <w:sz w:val="24"/>
          <w:szCs w:val="24"/>
          <w:lang w:val="ro-MD"/>
        </w:rPr>
        <w:t>сумма дебиторской задолженности составляла 14,7 млн.</w:t>
      </w:r>
      <w:r w:rsidR="002B6D92">
        <w:rPr>
          <w:rFonts w:asciiTheme="majorHAnsi" w:hAnsiTheme="majorHAnsi" w:cstheme="majorHAnsi"/>
          <w:sz w:val="24"/>
          <w:szCs w:val="24"/>
          <w:lang w:val="ru-RU"/>
        </w:rPr>
        <w:t xml:space="preserve"> </w:t>
      </w:r>
      <w:r w:rsidR="00336FEC">
        <w:rPr>
          <w:rFonts w:asciiTheme="majorHAnsi" w:hAnsiTheme="majorHAnsi" w:cstheme="majorHAnsi"/>
          <w:sz w:val="24"/>
          <w:szCs w:val="24"/>
          <w:lang w:val="ro-MD"/>
        </w:rPr>
        <w:t>леев</w:t>
      </w:r>
      <w:r w:rsidRPr="00730DF3">
        <w:rPr>
          <w:rFonts w:asciiTheme="majorHAnsi" w:hAnsiTheme="majorHAnsi" w:cstheme="majorHAnsi"/>
          <w:sz w:val="24"/>
          <w:szCs w:val="24"/>
          <w:lang w:val="ro-MD"/>
        </w:rPr>
        <w:t xml:space="preserve">, </w:t>
      </w:r>
      <w:r w:rsidR="002B6D92">
        <w:rPr>
          <w:rFonts w:asciiTheme="majorHAnsi" w:hAnsiTheme="majorHAnsi" w:cstheme="majorHAnsi"/>
          <w:sz w:val="24"/>
          <w:szCs w:val="24"/>
          <w:lang w:val="ru-RU"/>
        </w:rPr>
        <w:t>или на</w:t>
      </w:r>
      <w:r w:rsidRPr="00730DF3">
        <w:rPr>
          <w:rFonts w:asciiTheme="majorHAnsi" w:hAnsiTheme="majorHAnsi" w:cstheme="majorHAnsi"/>
          <w:sz w:val="24"/>
          <w:szCs w:val="24"/>
          <w:lang w:val="ro-MD"/>
        </w:rPr>
        <w:t xml:space="preserve"> 11,1 млн. </w:t>
      </w:r>
      <w:r w:rsidR="002B6D92" w:rsidRPr="00730DF3">
        <w:rPr>
          <w:rFonts w:asciiTheme="majorHAnsi" w:hAnsiTheme="majorHAnsi" w:cstheme="majorHAnsi"/>
          <w:sz w:val="24"/>
          <w:szCs w:val="24"/>
          <w:lang w:val="ro-MD"/>
        </w:rPr>
        <w:t xml:space="preserve">леев </w:t>
      </w:r>
      <w:r w:rsidRPr="00730DF3">
        <w:rPr>
          <w:rFonts w:asciiTheme="majorHAnsi" w:hAnsiTheme="majorHAnsi" w:cstheme="majorHAnsi"/>
          <w:sz w:val="24"/>
          <w:szCs w:val="24"/>
          <w:lang w:val="ro-MD"/>
        </w:rPr>
        <w:t xml:space="preserve">меньше по сравнению с данными, хранящимися в НКСС. </w:t>
      </w:r>
      <w:r w:rsidR="002B6D92">
        <w:rPr>
          <w:rFonts w:asciiTheme="majorHAnsi" w:hAnsiTheme="majorHAnsi" w:cstheme="majorHAnsi"/>
          <w:sz w:val="24"/>
          <w:szCs w:val="24"/>
          <w:lang w:val="ru-RU"/>
        </w:rPr>
        <w:t xml:space="preserve">Согласно объяснениям </w:t>
      </w:r>
      <w:r w:rsidRPr="00730DF3">
        <w:rPr>
          <w:rFonts w:asciiTheme="majorHAnsi" w:hAnsiTheme="majorHAnsi" w:cstheme="majorHAnsi"/>
          <w:sz w:val="24"/>
          <w:szCs w:val="24"/>
          <w:lang w:val="ro-MD"/>
        </w:rPr>
        <w:t xml:space="preserve">НКСС, </w:t>
      </w:r>
      <w:r w:rsidRPr="00707272">
        <w:rPr>
          <w:rFonts w:asciiTheme="majorHAnsi" w:hAnsiTheme="majorHAnsi" w:cstheme="majorHAnsi"/>
          <w:i/>
          <w:sz w:val="24"/>
          <w:szCs w:val="24"/>
          <w:lang w:val="ro-MD"/>
        </w:rPr>
        <w:t xml:space="preserve">„в </w:t>
      </w:r>
      <w:r w:rsidR="002B6D92" w:rsidRPr="00707272">
        <w:rPr>
          <w:rFonts w:asciiTheme="majorHAnsi" w:hAnsiTheme="majorHAnsi" w:cstheme="majorHAnsi"/>
          <w:i/>
          <w:sz w:val="24"/>
          <w:szCs w:val="24"/>
          <w:lang w:val="ru-RU"/>
        </w:rPr>
        <w:t xml:space="preserve">рамках </w:t>
      </w:r>
      <w:r w:rsidRPr="00707272">
        <w:rPr>
          <w:rFonts w:asciiTheme="majorHAnsi" w:hAnsiTheme="majorHAnsi" w:cstheme="majorHAnsi"/>
          <w:i/>
          <w:sz w:val="24"/>
          <w:szCs w:val="24"/>
          <w:lang w:val="ro-MD"/>
        </w:rPr>
        <w:t>процедур</w:t>
      </w:r>
      <w:r w:rsidR="002B6D92" w:rsidRPr="00707272">
        <w:rPr>
          <w:rFonts w:asciiTheme="majorHAnsi" w:hAnsiTheme="majorHAnsi" w:cstheme="majorHAnsi"/>
          <w:i/>
          <w:sz w:val="24"/>
          <w:szCs w:val="24"/>
          <w:lang w:val="ru-RU"/>
        </w:rPr>
        <w:t>ы</w:t>
      </w:r>
      <w:r w:rsidRPr="00707272">
        <w:rPr>
          <w:rFonts w:asciiTheme="majorHAnsi" w:hAnsiTheme="majorHAnsi" w:cstheme="majorHAnsi"/>
          <w:i/>
          <w:sz w:val="24"/>
          <w:szCs w:val="24"/>
          <w:lang w:val="ro-MD"/>
        </w:rPr>
        <w:t xml:space="preserve"> несостоятельности кредитором дебиторской задолженности перед </w:t>
      </w:r>
      <w:r w:rsidR="002B6D92" w:rsidRPr="00707272">
        <w:rPr>
          <w:rFonts w:asciiTheme="majorHAnsi" w:hAnsiTheme="majorHAnsi" w:cstheme="majorHAnsi"/>
          <w:i/>
          <w:sz w:val="24"/>
          <w:szCs w:val="24"/>
          <w:lang w:val="ru-RU"/>
        </w:rPr>
        <w:t>БГСС</w:t>
      </w:r>
      <w:r w:rsidRPr="00707272">
        <w:rPr>
          <w:rFonts w:asciiTheme="majorHAnsi" w:hAnsiTheme="majorHAnsi" w:cstheme="majorHAnsi"/>
          <w:i/>
          <w:sz w:val="24"/>
          <w:szCs w:val="24"/>
          <w:lang w:val="ro-MD"/>
        </w:rPr>
        <w:t xml:space="preserve"> является НКСС, а кредитором п</w:t>
      </w:r>
      <w:r w:rsidR="002B6D92" w:rsidRPr="00707272">
        <w:rPr>
          <w:rFonts w:asciiTheme="majorHAnsi" w:hAnsiTheme="majorHAnsi" w:cstheme="majorHAnsi"/>
          <w:i/>
          <w:sz w:val="24"/>
          <w:szCs w:val="24"/>
          <w:lang w:val="ru-RU"/>
        </w:rPr>
        <w:t>еред</w:t>
      </w:r>
      <w:r w:rsidRPr="00707272">
        <w:rPr>
          <w:rFonts w:asciiTheme="majorHAnsi" w:hAnsiTheme="majorHAnsi" w:cstheme="majorHAnsi"/>
          <w:i/>
          <w:sz w:val="24"/>
          <w:szCs w:val="24"/>
          <w:lang w:val="ro-MD"/>
        </w:rPr>
        <w:t xml:space="preserve"> государственн</w:t>
      </w:r>
      <w:r w:rsidR="002B6D92" w:rsidRPr="00707272">
        <w:rPr>
          <w:rFonts w:asciiTheme="majorHAnsi" w:hAnsiTheme="majorHAnsi" w:cstheme="majorHAnsi"/>
          <w:i/>
          <w:sz w:val="24"/>
          <w:szCs w:val="24"/>
          <w:lang w:val="ru-RU"/>
        </w:rPr>
        <w:t>ым</w:t>
      </w:r>
      <w:r w:rsidRPr="00707272">
        <w:rPr>
          <w:rFonts w:asciiTheme="majorHAnsi" w:hAnsiTheme="majorHAnsi" w:cstheme="majorHAnsi"/>
          <w:i/>
          <w:sz w:val="24"/>
          <w:szCs w:val="24"/>
          <w:lang w:val="ro-MD"/>
        </w:rPr>
        <w:t xml:space="preserve"> бюджет</w:t>
      </w:r>
      <w:r w:rsidR="002B6D92" w:rsidRPr="00707272">
        <w:rPr>
          <w:rFonts w:asciiTheme="majorHAnsi" w:hAnsiTheme="majorHAnsi" w:cstheme="majorHAnsi"/>
          <w:i/>
          <w:sz w:val="24"/>
          <w:szCs w:val="24"/>
          <w:lang w:val="ru-RU"/>
        </w:rPr>
        <w:t>ом</w:t>
      </w:r>
      <w:r w:rsidRPr="00707272">
        <w:rPr>
          <w:rFonts w:asciiTheme="majorHAnsi" w:hAnsiTheme="majorHAnsi" w:cstheme="majorHAnsi"/>
          <w:i/>
          <w:sz w:val="24"/>
          <w:szCs w:val="24"/>
          <w:lang w:val="ro-MD"/>
        </w:rPr>
        <w:t xml:space="preserve"> является </w:t>
      </w:r>
      <w:r w:rsidR="002B6D92" w:rsidRPr="00707272">
        <w:rPr>
          <w:rFonts w:asciiTheme="majorHAnsi" w:hAnsiTheme="majorHAnsi" w:cstheme="majorHAnsi"/>
          <w:i/>
          <w:sz w:val="24"/>
          <w:szCs w:val="24"/>
          <w:lang w:val="ru-RU"/>
        </w:rPr>
        <w:t>ГНС</w:t>
      </w:r>
      <w:r w:rsidRPr="00707272">
        <w:rPr>
          <w:rFonts w:asciiTheme="majorHAnsi" w:hAnsiTheme="majorHAnsi" w:cstheme="majorHAnsi"/>
          <w:i/>
          <w:sz w:val="24"/>
          <w:szCs w:val="24"/>
          <w:lang w:val="ro-MD"/>
        </w:rPr>
        <w:t xml:space="preserve">, соответственно, каждое учреждение </w:t>
      </w:r>
      <w:r w:rsidR="002B6D92" w:rsidRPr="00707272">
        <w:rPr>
          <w:rFonts w:asciiTheme="majorHAnsi" w:hAnsiTheme="majorHAnsi" w:cstheme="majorHAnsi"/>
          <w:i/>
          <w:sz w:val="24"/>
          <w:szCs w:val="24"/>
          <w:lang w:val="ro-MD"/>
        </w:rPr>
        <w:t xml:space="preserve">отдельно </w:t>
      </w:r>
      <w:r w:rsidRPr="00707272">
        <w:rPr>
          <w:rFonts w:asciiTheme="majorHAnsi" w:hAnsiTheme="majorHAnsi" w:cstheme="majorHAnsi"/>
          <w:i/>
          <w:sz w:val="24"/>
          <w:szCs w:val="24"/>
          <w:lang w:val="ro-MD"/>
        </w:rPr>
        <w:t xml:space="preserve">подает иск в суд </w:t>
      </w:r>
      <w:r w:rsidR="00707272" w:rsidRPr="00707272">
        <w:rPr>
          <w:rFonts w:asciiTheme="majorHAnsi" w:hAnsiTheme="majorHAnsi" w:cstheme="majorHAnsi"/>
          <w:i/>
          <w:sz w:val="24"/>
          <w:szCs w:val="24"/>
          <w:lang w:val="ru-RU"/>
        </w:rPr>
        <w:t>по делам о</w:t>
      </w:r>
      <w:r w:rsidRPr="00707272">
        <w:rPr>
          <w:rFonts w:asciiTheme="majorHAnsi" w:hAnsiTheme="majorHAnsi" w:cstheme="majorHAnsi"/>
          <w:i/>
          <w:sz w:val="24"/>
          <w:szCs w:val="24"/>
          <w:lang w:val="ro-MD"/>
        </w:rPr>
        <w:t xml:space="preserve"> несостоятельности. Неплатежеспособный д</w:t>
      </w:r>
      <w:r w:rsidR="00707272" w:rsidRPr="00707272">
        <w:rPr>
          <w:rFonts w:asciiTheme="majorHAnsi" w:hAnsiTheme="majorHAnsi" w:cstheme="majorHAnsi"/>
          <w:i/>
          <w:sz w:val="24"/>
          <w:szCs w:val="24"/>
          <w:lang w:val="ru-RU"/>
        </w:rPr>
        <w:t>ебитор</w:t>
      </w:r>
      <w:r w:rsidRPr="00707272">
        <w:rPr>
          <w:rFonts w:asciiTheme="majorHAnsi" w:hAnsiTheme="majorHAnsi" w:cstheme="majorHAnsi"/>
          <w:i/>
          <w:sz w:val="24"/>
          <w:szCs w:val="24"/>
          <w:lang w:val="ro-MD"/>
        </w:rPr>
        <w:t xml:space="preserve"> (экономический агент) может иметь дебиторскую задолженность по обоим бюджетам </w:t>
      </w:r>
      <w:r w:rsidR="00707272" w:rsidRPr="00707272">
        <w:rPr>
          <w:rFonts w:asciiTheme="majorHAnsi" w:hAnsiTheme="majorHAnsi" w:cstheme="majorHAnsi"/>
          <w:i/>
          <w:sz w:val="24"/>
          <w:szCs w:val="24"/>
          <w:lang w:val="ru-RU"/>
        </w:rPr>
        <w:t>или</w:t>
      </w:r>
      <w:r w:rsidRPr="00707272">
        <w:rPr>
          <w:rFonts w:asciiTheme="majorHAnsi" w:hAnsiTheme="majorHAnsi" w:cstheme="majorHAnsi"/>
          <w:i/>
          <w:sz w:val="24"/>
          <w:szCs w:val="24"/>
          <w:lang w:val="ro-MD"/>
        </w:rPr>
        <w:t xml:space="preserve"> по отдельности. Таким образом, неплатежеспособный экономический агент, имеющий долги только перед </w:t>
      </w:r>
      <w:r w:rsidR="00707272" w:rsidRPr="00707272">
        <w:rPr>
          <w:rFonts w:asciiTheme="majorHAnsi" w:hAnsiTheme="majorHAnsi" w:cstheme="majorHAnsi"/>
          <w:i/>
          <w:sz w:val="24"/>
          <w:szCs w:val="24"/>
          <w:lang w:val="ru-RU"/>
        </w:rPr>
        <w:t>БГСС</w:t>
      </w:r>
      <w:r w:rsidRPr="00707272">
        <w:rPr>
          <w:rFonts w:asciiTheme="majorHAnsi" w:hAnsiTheme="majorHAnsi" w:cstheme="majorHAnsi"/>
          <w:i/>
          <w:sz w:val="24"/>
          <w:szCs w:val="24"/>
          <w:lang w:val="ro-MD"/>
        </w:rPr>
        <w:t xml:space="preserve">, не фигурирует в реестре </w:t>
      </w:r>
      <w:r w:rsidR="00707272" w:rsidRPr="00707272">
        <w:rPr>
          <w:rFonts w:asciiTheme="majorHAnsi" w:hAnsiTheme="majorHAnsi" w:cstheme="majorHAnsi"/>
          <w:i/>
          <w:sz w:val="24"/>
          <w:szCs w:val="24"/>
          <w:lang w:val="ru-RU"/>
        </w:rPr>
        <w:t>ГНС</w:t>
      </w:r>
      <w:r w:rsidRPr="00707272">
        <w:rPr>
          <w:rFonts w:asciiTheme="majorHAnsi" w:hAnsiTheme="majorHAnsi" w:cstheme="majorHAnsi"/>
          <w:i/>
          <w:sz w:val="24"/>
          <w:szCs w:val="24"/>
          <w:lang w:val="ro-MD"/>
        </w:rPr>
        <w:t xml:space="preserve">, и наоборот. Соответственно, </w:t>
      </w:r>
      <w:r w:rsidR="00707272" w:rsidRPr="00707272">
        <w:rPr>
          <w:rFonts w:asciiTheme="majorHAnsi" w:hAnsiTheme="majorHAnsi" w:cstheme="majorHAnsi"/>
          <w:i/>
          <w:sz w:val="24"/>
          <w:szCs w:val="24"/>
          <w:lang w:val="ru-RU"/>
        </w:rPr>
        <w:t>Р</w:t>
      </w:r>
      <w:r w:rsidRPr="00707272">
        <w:rPr>
          <w:rFonts w:asciiTheme="majorHAnsi" w:hAnsiTheme="majorHAnsi" w:cstheme="majorHAnsi"/>
          <w:i/>
          <w:sz w:val="24"/>
          <w:szCs w:val="24"/>
          <w:lang w:val="ro-MD"/>
        </w:rPr>
        <w:t xml:space="preserve">егистр неплатежеспособных экономических агентов НКСС не может быть идентичен регистру </w:t>
      </w:r>
      <w:r w:rsidR="00707272" w:rsidRPr="00707272">
        <w:rPr>
          <w:rFonts w:asciiTheme="majorHAnsi" w:hAnsiTheme="majorHAnsi" w:cstheme="majorHAnsi"/>
          <w:i/>
          <w:sz w:val="24"/>
          <w:szCs w:val="24"/>
          <w:lang w:val="ru-RU"/>
        </w:rPr>
        <w:t>ГНС</w:t>
      </w:r>
      <w:r w:rsidRPr="00707272">
        <w:rPr>
          <w:rFonts w:asciiTheme="majorHAnsi" w:hAnsiTheme="majorHAnsi" w:cstheme="majorHAnsi"/>
          <w:i/>
          <w:sz w:val="24"/>
          <w:szCs w:val="24"/>
          <w:lang w:val="ro-MD"/>
        </w:rPr>
        <w:t>, а также размер дебиторской задолженности.”</w:t>
      </w:r>
      <w:r>
        <w:rPr>
          <w:rFonts w:asciiTheme="majorHAnsi" w:hAnsiTheme="majorHAnsi" w:cstheme="majorHAnsi"/>
          <w:sz w:val="24"/>
          <w:szCs w:val="24"/>
          <w:lang w:val="ru-RU"/>
        </w:rPr>
        <w:t xml:space="preserve"> </w:t>
      </w:r>
    </w:p>
    <w:p w14:paraId="7696C5C4" w14:textId="7CB20E7E" w:rsidR="00F36CD7" w:rsidRPr="00B7675F" w:rsidRDefault="00707272" w:rsidP="004A63BF">
      <w:pPr>
        <w:shd w:val="clear" w:color="auto" w:fill="FFFFFF" w:themeFill="background1"/>
        <w:tabs>
          <w:tab w:val="left" w:pos="851"/>
        </w:tabs>
        <w:spacing w:line="276" w:lineRule="auto"/>
        <w:jc w:val="both"/>
        <w:rPr>
          <w:rFonts w:asciiTheme="majorHAnsi" w:eastAsia="Calibri" w:hAnsiTheme="majorHAnsi" w:cstheme="majorHAnsi"/>
          <w:sz w:val="24"/>
          <w:szCs w:val="24"/>
          <w:lang w:val="ro-MD"/>
        </w:rPr>
      </w:pPr>
      <w:r w:rsidRPr="00707272">
        <w:rPr>
          <w:rFonts w:asciiTheme="majorHAnsi" w:hAnsiTheme="majorHAnsi" w:cstheme="majorHAnsi"/>
          <w:sz w:val="24"/>
          <w:szCs w:val="24"/>
          <w:lang w:val="ro-MD"/>
        </w:rPr>
        <w:t>При этом,</w:t>
      </w:r>
      <w:r w:rsidR="00730DF3" w:rsidRPr="00730DF3">
        <w:rPr>
          <w:rFonts w:asciiTheme="majorHAnsi" w:hAnsiTheme="majorHAnsi" w:cstheme="majorHAnsi"/>
          <w:sz w:val="24"/>
          <w:szCs w:val="24"/>
          <w:lang w:val="ro-MD"/>
        </w:rPr>
        <w:t xml:space="preserve"> </w:t>
      </w:r>
      <w:r>
        <w:rPr>
          <w:rFonts w:asciiTheme="majorHAnsi" w:hAnsiTheme="majorHAnsi" w:cstheme="majorHAnsi"/>
          <w:sz w:val="24"/>
          <w:szCs w:val="24"/>
          <w:lang w:val="ro-MD"/>
        </w:rPr>
        <w:t>законодательн</w:t>
      </w:r>
      <w:r w:rsidR="00730DF3" w:rsidRPr="00730DF3">
        <w:rPr>
          <w:rFonts w:asciiTheme="majorHAnsi" w:hAnsiTheme="majorHAnsi" w:cstheme="majorHAnsi"/>
          <w:sz w:val="24"/>
          <w:szCs w:val="24"/>
          <w:lang w:val="ro-MD"/>
        </w:rPr>
        <w:t xml:space="preserve">ая база устанавливает, что </w:t>
      </w:r>
      <w:r w:rsidRPr="00707272">
        <w:rPr>
          <w:rFonts w:asciiTheme="majorHAnsi" w:hAnsiTheme="majorHAnsi" w:cstheme="majorHAnsi"/>
          <w:sz w:val="24"/>
          <w:szCs w:val="24"/>
          <w:lang w:val="ro-MD"/>
        </w:rPr>
        <w:t>Суммы взносов, поступающие в Национальную кассу в той или иной форме, контролируются, как и доходы государства, Государственной налоговой службой и через суд</w:t>
      </w:r>
      <w:r w:rsidR="0045297C" w:rsidRPr="00653E85">
        <w:rPr>
          <w:rStyle w:val="a5"/>
          <w:rFonts w:asciiTheme="majorHAnsi" w:hAnsiTheme="majorHAnsi" w:cstheme="majorHAnsi"/>
          <w:sz w:val="24"/>
          <w:szCs w:val="24"/>
          <w:lang w:val="ro-MD"/>
        </w:rPr>
        <w:footnoteReference w:id="77"/>
      </w:r>
      <w:r w:rsidR="0045297C" w:rsidRPr="00653E85">
        <w:rPr>
          <w:rFonts w:asciiTheme="majorHAnsi" w:hAnsiTheme="majorHAnsi" w:cstheme="majorHAnsi"/>
          <w:sz w:val="24"/>
          <w:szCs w:val="24"/>
          <w:lang w:val="ro-MD"/>
        </w:rPr>
        <w:t>.</w:t>
      </w:r>
    </w:p>
    <w:p w14:paraId="23DE4531" w14:textId="47480E0A" w:rsidR="00143F9A" w:rsidRPr="00653E85" w:rsidRDefault="00730DF3" w:rsidP="00730DF3">
      <w:pPr>
        <w:pStyle w:val="aa"/>
        <w:numPr>
          <w:ilvl w:val="1"/>
          <w:numId w:val="2"/>
        </w:numPr>
        <w:spacing w:line="276" w:lineRule="auto"/>
        <w:ind w:left="0" w:firstLine="0"/>
        <w:jc w:val="both"/>
        <w:outlineLvl w:val="1"/>
        <w:rPr>
          <w:rFonts w:asciiTheme="majorHAnsi" w:hAnsiTheme="majorHAnsi" w:cstheme="majorHAnsi"/>
          <w:b/>
          <w:bCs/>
          <w:sz w:val="24"/>
          <w:szCs w:val="24"/>
          <w:lang w:val="ro-MD"/>
        </w:rPr>
      </w:pPr>
      <w:r w:rsidRPr="00730DF3">
        <w:rPr>
          <w:rFonts w:asciiTheme="majorHAnsi" w:hAnsiTheme="majorHAnsi" w:cstheme="majorHAnsi"/>
          <w:b/>
          <w:bCs/>
          <w:sz w:val="24"/>
          <w:szCs w:val="24"/>
          <w:lang w:val="ro-MD"/>
        </w:rPr>
        <w:t>Представление ошибочной информации в Государственном регистре индивидуального учета работодателями, а также передача</w:t>
      </w:r>
      <w:r w:rsidR="00831257" w:rsidRPr="00831257">
        <w:rPr>
          <w:rFonts w:asciiTheme="majorHAnsi" w:hAnsiTheme="majorHAnsi" w:cstheme="majorHAnsi"/>
          <w:b/>
          <w:bCs/>
          <w:sz w:val="24"/>
          <w:szCs w:val="24"/>
          <w:lang w:val="ro-MD"/>
        </w:rPr>
        <w:t xml:space="preserve"> </w:t>
      </w:r>
      <w:r w:rsidRPr="00730DF3">
        <w:rPr>
          <w:rFonts w:asciiTheme="majorHAnsi" w:hAnsiTheme="majorHAnsi" w:cstheme="majorHAnsi"/>
          <w:b/>
          <w:bCs/>
          <w:sz w:val="24"/>
          <w:szCs w:val="24"/>
          <w:lang w:val="ro-MD"/>
        </w:rPr>
        <w:t xml:space="preserve">медицинскими учреждениями информации на </w:t>
      </w:r>
      <w:r w:rsidR="00A76AE1" w:rsidRPr="00A76AE1">
        <w:rPr>
          <w:rFonts w:asciiTheme="majorHAnsi" w:hAnsiTheme="majorHAnsi" w:cstheme="majorHAnsi"/>
          <w:b/>
          <w:bCs/>
          <w:sz w:val="24"/>
          <w:szCs w:val="24"/>
          <w:lang w:val="ro-MD"/>
        </w:rPr>
        <w:t>П</w:t>
      </w:r>
      <w:r w:rsidRPr="00730DF3">
        <w:rPr>
          <w:rFonts w:asciiTheme="majorHAnsi" w:hAnsiTheme="majorHAnsi" w:cstheme="majorHAnsi"/>
          <w:b/>
          <w:bCs/>
          <w:sz w:val="24"/>
          <w:szCs w:val="24"/>
          <w:lang w:val="ro-MD"/>
        </w:rPr>
        <w:t xml:space="preserve">ортале </w:t>
      </w:r>
      <w:r w:rsidR="00A76AE1" w:rsidRPr="00A76AE1">
        <w:rPr>
          <w:rFonts w:asciiTheme="majorHAnsi" w:hAnsiTheme="majorHAnsi" w:cstheme="majorHAnsi"/>
          <w:b/>
          <w:bCs/>
          <w:sz w:val="24"/>
          <w:szCs w:val="24"/>
          <w:lang w:val="ro-MD"/>
        </w:rPr>
        <w:t>больничны</w:t>
      </w:r>
      <w:r w:rsidRPr="00730DF3">
        <w:rPr>
          <w:rFonts w:asciiTheme="majorHAnsi" w:hAnsiTheme="majorHAnsi" w:cstheme="majorHAnsi"/>
          <w:b/>
          <w:bCs/>
          <w:sz w:val="24"/>
          <w:szCs w:val="24"/>
          <w:lang w:val="ro-MD"/>
        </w:rPr>
        <w:t xml:space="preserve">х </w:t>
      </w:r>
      <w:r w:rsidR="00A76AE1" w:rsidRPr="00A76AE1">
        <w:rPr>
          <w:rFonts w:asciiTheme="majorHAnsi" w:hAnsiTheme="majorHAnsi" w:cstheme="majorHAnsi"/>
          <w:b/>
          <w:bCs/>
          <w:sz w:val="24"/>
          <w:szCs w:val="24"/>
          <w:lang w:val="ro-MD"/>
        </w:rPr>
        <w:t>листов</w:t>
      </w:r>
      <w:r w:rsidRPr="00730DF3">
        <w:rPr>
          <w:rFonts w:asciiTheme="majorHAnsi" w:hAnsiTheme="majorHAnsi" w:cstheme="majorHAnsi"/>
          <w:b/>
          <w:bCs/>
          <w:sz w:val="24"/>
          <w:szCs w:val="24"/>
          <w:lang w:val="ro-MD"/>
        </w:rPr>
        <w:t xml:space="preserve"> </w:t>
      </w:r>
      <w:r w:rsidR="00A76AE1" w:rsidRPr="00831257">
        <w:rPr>
          <w:rFonts w:asciiTheme="majorHAnsi" w:hAnsiTheme="majorHAnsi" w:cstheme="majorHAnsi"/>
          <w:b/>
          <w:bCs/>
          <w:sz w:val="24"/>
          <w:szCs w:val="24"/>
          <w:lang w:val="ro-MD"/>
        </w:rPr>
        <w:t>с опозданием</w:t>
      </w:r>
      <w:r w:rsidR="00A76AE1" w:rsidRPr="00730DF3">
        <w:rPr>
          <w:rFonts w:asciiTheme="majorHAnsi" w:hAnsiTheme="majorHAnsi" w:cstheme="majorHAnsi"/>
          <w:b/>
          <w:bCs/>
          <w:sz w:val="24"/>
          <w:szCs w:val="24"/>
          <w:lang w:val="ro-MD"/>
        </w:rPr>
        <w:t xml:space="preserve"> </w:t>
      </w:r>
      <w:r w:rsidR="00A76AE1" w:rsidRPr="00A76AE1">
        <w:rPr>
          <w:rFonts w:asciiTheme="majorHAnsi" w:hAnsiTheme="majorHAnsi" w:cstheme="majorHAnsi"/>
          <w:b/>
          <w:bCs/>
          <w:sz w:val="24"/>
          <w:szCs w:val="24"/>
          <w:lang w:val="ro-MD"/>
        </w:rPr>
        <w:t>до</w:t>
      </w:r>
      <w:r w:rsidRPr="00730DF3">
        <w:rPr>
          <w:rFonts w:asciiTheme="majorHAnsi" w:hAnsiTheme="majorHAnsi" w:cstheme="majorHAnsi"/>
          <w:b/>
          <w:bCs/>
          <w:sz w:val="24"/>
          <w:szCs w:val="24"/>
          <w:lang w:val="ro-MD"/>
        </w:rPr>
        <w:t xml:space="preserve"> 365 дней</w:t>
      </w:r>
      <w:r w:rsidR="00A76AE1" w:rsidRPr="00A76AE1">
        <w:rPr>
          <w:rFonts w:asciiTheme="majorHAnsi" w:hAnsiTheme="majorHAnsi" w:cstheme="majorHAnsi"/>
          <w:b/>
          <w:bCs/>
          <w:sz w:val="24"/>
          <w:szCs w:val="24"/>
          <w:lang w:val="ro-MD"/>
        </w:rPr>
        <w:t>,</w:t>
      </w:r>
      <w:r w:rsidRPr="00730DF3">
        <w:rPr>
          <w:rFonts w:asciiTheme="majorHAnsi" w:hAnsiTheme="majorHAnsi" w:cstheme="majorHAnsi"/>
          <w:b/>
          <w:bCs/>
          <w:sz w:val="24"/>
          <w:szCs w:val="24"/>
          <w:lang w:val="ro-MD"/>
        </w:rPr>
        <w:t xml:space="preserve"> </w:t>
      </w:r>
      <w:r w:rsidR="00A76AE1" w:rsidRPr="00A76AE1">
        <w:rPr>
          <w:rFonts w:asciiTheme="majorHAnsi" w:hAnsiTheme="majorHAnsi" w:cstheme="majorHAnsi"/>
          <w:b/>
          <w:bCs/>
          <w:sz w:val="24"/>
          <w:szCs w:val="24"/>
          <w:lang w:val="ro-MD"/>
        </w:rPr>
        <w:t>отрази</w:t>
      </w:r>
      <w:r w:rsidRPr="00730DF3">
        <w:rPr>
          <w:rFonts w:asciiTheme="majorHAnsi" w:hAnsiTheme="majorHAnsi" w:cstheme="majorHAnsi"/>
          <w:b/>
          <w:bCs/>
          <w:sz w:val="24"/>
          <w:szCs w:val="24"/>
          <w:lang w:val="ro-MD"/>
        </w:rPr>
        <w:t xml:space="preserve">лось на качестве услуг, предоставляемых бенефициарам, и </w:t>
      </w:r>
      <w:r w:rsidR="00A76AE1" w:rsidRPr="00A76AE1">
        <w:rPr>
          <w:rFonts w:asciiTheme="majorHAnsi" w:hAnsiTheme="majorHAnsi" w:cstheme="majorHAnsi"/>
          <w:b/>
          <w:bCs/>
          <w:sz w:val="24"/>
          <w:szCs w:val="24"/>
          <w:lang w:val="ro-MD"/>
        </w:rPr>
        <w:t>определи</w:t>
      </w:r>
      <w:r w:rsidRPr="00730DF3">
        <w:rPr>
          <w:rFonts w:asciiTheme="majorHAnsi" w:hAnsiTheme="majorHAnsi" w:cstheme="majorHAnsi"/>
          <w:b/>
          <w:bCs/>
          <w:sz w:val="24"/>
          <w:szCs w:val="24"/>
          <w:lang w:val="ro-MD"/>
        </w:rPr>
        <w:t>ло задержк</w:t>
      </w:r>
      <w:r w:rsidR="00A76AE1" w:rsidRPr="00A76AE1">
        <w:rPr>
          <w:rFonts w:asciiTheme="majorHAnsi" w:hAnsiTheme="majorHAnsi" w:cstheme="majorHAnsi"/>
          <w:b/>
          <w:bCs/>
          <w:sz w:val="24"/>
          <w:szCs w:val="24"/>
          <w:lang w:val="ro-MD"/>
        </w:rPr>
        <w:t>у</w:t>
      </w:r>
      <w:r w:rsidRPr="00730DF3">
        <w:rPr>
          <w:rFonts w:asciiTheme="majorHAnsi" w:hAnsiTheme="majorHAnsi" w:cstheme="majorHAnsi"/>
          <w:b/>
          <w:bCs/>
          <w:sz w:val="24"/>
          <w:szCs w:val="24"/>
          <w:lang w:val="ro-MD"/>
        </w:rPr>
        <w:t xml:space="preserve"> </w:t>
      </w:r>
      <w:r w:rsidR="00216891">
        <w:rPr>
          <w:rFonts w:asciiTheme="majorHAnsi" w:hAnsiTheme="majorHAnsi" w:cstheme="majorHAnsi"/>
          <w:b/>
          <w:bCs/>
          <w:sz w:val="24"/>
          <w:szCs w:val="24"/>
          <w:lang w:val="ru-RU"/>
        </w:rPr>
        <w:t>расчета</w:t>
      </w:r>
      <w:r w:rsidRPr="00730DF3">
        <w:rPr>
          <w:rFonts w:asciiTheme="majorHAnsi" w:hAnsiTheme="majorHAnsi" w:cstheme="majorHAnsi"/>
          <w:b/>
          <w:bCs/>
          <w:sz w:val="24"/>
          <w:szCs w:val="24"/>
          <w:lang w:val="ro-MD"/>
        </w:rPr>
        <w:t xml:space="preserve"> и не</w:t>
      </w:r>
      <w:r w:rsidR="00A76AE1" w:rsidRPr="00A76AE1">
        <w:rPr>
          <w:rFonts w:asciiTheme="majorHAnsi" w:hAnsiTheme="majorHAnsi" w:cstheme="majorHAnsi"/>
          <w:b/>
          <w:bCs/>
          <w:sz w:val="24"/>
          <w:szCs w:val="24"/>
          <w:lang w:val="ro-MD"/>
        </w:rPr>
        <w:t>вы</w:t>
      </w:r>
      <w:r w:rsidRPr="00730DF3">
        <w:rPr>
          <w:rFonts w:asciiTheme="majorHAnsi" w:hAnsiTheme="majorHAnsi" w:cstheme="majorHAnsi"/>
          <w:b/>
          <w:bCs/>
          <w:sz w:val="24"/>
          <w:szCs w:val="24"/>
          <w:lang w:val="ro-MD"/>
        </w:rPr>
        <w:t>плат</w:t>
      </w:r>
      <w:r w:rsidR="00A76AE1" w:rsidRPr="00A76AE1">
        <w:rPr>
          <w:rFonts w:asciiTheme="majorHAnsi" w:hAnsiTheme="majorHAnsi" w:cstheme="majorHAnsi"/>
          <w:b/>
          <w:bCs/>
          <w:sz w:val="24"/>
          <w:szCs w:val="24"/>
          <w:lang w:val="ro-MD"/>
        </w:rPr>
        <w:t>у</w:t>
      </w:r>
      <w:r w:rsidRPr="00730DF3">
        <w:rPr>
          <w:rFonts w:asciiTheme="majorHAnsi" w:hAnsiTheme="majorHAnsi" w:cstheme="majorHAnsi"/>
          <w:b/>
          <w:bCs/>
          <w:sz w:val="24"/>
          <w:szCs w:val="24"/>
          <w:lang w:val="ro-MD"/>
        </w:rPr>
        <w:t xml:space="preserve"> в срок социального пособия </w:t>
      </w:r>
      <w:r w:rsidR="00A76AE1" w:rsidRPr="00A76AE1">
        <w:rPr>
          <w:rFonts w:asciiTheme="majorHAnsi" w:hAnsiTheme="majorHAnsi" w:cstheme="majorHAnsi"/>
          <w:b/>
          <w:bCs/>
          <w:sz w:val="24"/>
          <w:szCs w:val="24"/>
          <w:lang w:val="ro-MD"/>
        </w:rPr>
        <w:t>на</w:t>
      </w:r>
      <w:r w:rsidRPr="00730DF3">
        <w:rPr>
          <w:rFonts w:asciiTheme="majorHAnsi" w:hAnsiTheme="majorHAnsi" w:cstheme="majorHAnsi"/>
          <w:b/>
          <w:bCs/>
          <w:sz w:val="24"/>
          <w:szCs w:val="24"/>
          <w:lang w:val="ro-MD"/>
        </w:rPr>
        <w:t xml:space="preserve"> </w:t>
      </w:r>
      <w:r w:rsidR="00A76AE1" w:rsidRPr="00A76AE1">
        <w:rPr>
          <w:rFonts w:asciiTheme="majorHAnsi" w:hAnsiTheme="majorHAnsi" w:cstheme="majorHAnsi"/>
          <w:b/>
          <w:bCs/>
          <w:sz w:val="24"/>
          <w:szCs w:val="24"/>
          <w:lang w:val="ro-MD"/>
        </w:rPr>
        <w:t>сумму</w:t>
      </w:r>
      <w:r w:rsidRPr="00730DF3">
        <w:rPr>
          <w:rFonts w:asciiTheme="majorHAnsi" w:hAnsiTheme="majorHAnsi" w:cstheme="majorHAnsi"/>
          <w:b/>
          <w:bCs/>
          <w:sz w:val="24"/>
          <w:szCs w:val="24"/>
          <w:lang w:val="ro-MD"/>
        </w:rPr>
        <w:t xml:space="preserve"> 235,9 тыс. леев</w:t>
      </w:r>
      <w:r w:rsidR="00143F9A" w:rsidRPr="00653E85">
        <w:rPr>
          <w:rFonts w:asciiTheme="majorHAnsi" w:hAnsiTheme="majorHAnsi" w:cstheme="majorHAnsi"/>
          <w:b/>
          <w:bCs/>
          <w:sz w:val="24"/>
          <w:szCs w:val="24"/>
          <w:lang w:val="ro-MD"/>
        </w:rPr>
        <w:t xml:space="preserve">. </w:t>
      </w:r>
    </w:p>
    <w:p w14:paraId="21112592" w14:textId="54591619" w:rsidR="00143F9A" w:rsidRPr="00653E85" w:rsidRDefault="00730DF3" w:rsidP="00143F9A">
      <w:pPr>
        <w:spacing w:after="0" w:line="276" w:lineRule="auto"/>
        <w:jc w:val="both"/>
        <w:rPr>
          <w:rFonts w:asciiTheme="majorHAnsi" w:hAnsiTheme="majorHAnsi" w:cstheme="majorHAnsi"/>
          <w:b/>
          <w:bCs/>
          <w:sz w:val="24"/>
          <w:szCs w:val="24"/>
          <w:lang w:val="ro-MD"/>
        </w:rPr>
      </w:pPr>
      <w:bookmarkStart w:id="5" w:name="_Hlk132964112"/>
      <w:r w:rsidRPr="00730DF3">
        <w:rPr>
          <w:rFonts w:asciiTheme="majorHAnsi" w:hAnsiTheme="majorHAnsi" w:cstheme="majorHAnsi"/>
          <w:sz w:val="24"/>
          <w:szCs w:val="24"/>
          <w:lang w:val="ro-MD"/>
        </w:rPr>
        <w:t xml:space="preserve">В 2022 году было </w:t>
      </w:r>
      <w:r w:rsidR="00722BB5" w:rsidRPr="00722BB5">
        <w:rPr>
          <w:rFonts w:asciiTheme="majorHAnsi" w:hAnsiTheme="majorHAnsi" w:cstheme="majorHAnsi"/>
          <w:sz w:val="24"/>
          <w:szCs w:val="24"/>
          <w:lang w:val="ro-MD"/>
        </w:rPr>
        <w:t>испол</w:t>
      </w:r>
      <w:r w:rsidRPr="00730DF3">
        <w:rPr>
          <w:rFonts w:asciiTheme="majorHAnsi" w:hAnsiTheme="majorHAnsi" w:cstheme="majorHAnsi"/>
          <w:sz w:val="24"/>
          <w:szCs w:val="24"/>
          <w:lang w:val="ro-MD"/>
        </w:rPr>
        <w:t>нено 776,3 млн.</w:t>
      </w:r>
      <w:r w:rsidR="00722BB5" w:rsidRPr="00722BB5">
        <w:rPr>
          <w:rFonts w:asciiTheme="majorHAnsi" w:hAnsiTheme="majorHAnsi" w:cstheme="majorHAnsi"/>
          <w:sz w:val="24"/>
          <w:szCs w:val="24"/>
          <w:lang w:val="ro-MD"/>
        </w:rPr>
        <w:t xml:space="preserve"> </w:t>
      </w:r>
      <w:r w:rsidRPr="00730DF3">
        <w:rPr>
          <w:rFonts w:asciiTheme="majorHAnsi" w:hAnsiTheme="majorHAnsi" w:cstheme="majorHAnsi"/>
          <w:sz w:val="24"/>
          <w:szCs w:val="24"/>
          <w:lang w:val="ro-MD"/>
        </w:rPr>
        <w:t xml:space="preserve">леев </w:t>
      </w:r>
      <w:r w:rsidR="00722BB5" w:rsidRPr="00722BB5">
        <w:rPr>
          <w:rFonts w:asciiTheme="majorHAnsi" w:hAnsiTheme="majorHAnsi" w:cstheme="majorHAnsi"/>
          <w:sz w:val="24"/>
          <w:szCs w:val="24"/>
          <w:lang w:val="ro-MD"/>
        </w:rPr>
        <w:t>н</w:t>
      </w:r>
      <w:r w:rsidRPr="00730DF3">
        <w:rPr>
          <w:rFonts w:asciiTheme="majorHAnsi" w:hAnsiTheme="majorHAnsi" w:cstheme="majorHAnsi"/>
          <w:sz w:val="24"/>
          <w:szCs w:val="24"/>
          <w:lang w:val="ro-MD"/>
        </w:rPr>
        <w:t xml:space="preserve">а обеспечение права на пособие </w:t>
      </w:r>
      <w:r w:rsidR="00722BB5" w:rsidRPr="00722BB5">
        <w:rPr>
          <w:rFonts w:asciiTheme="majorHAnsi" w:hAnsiTheme="majorHAnsi" w:cstheme="majorHAnsi"/>
          <w:sz w:val="24"/>
          <w:szCs w:val="24"/>
          <w:lang w:val="ro-MD"/>
        </w:rPr>
        <w:t>по временной нетрудоспособности, обусловленной общим заболеванием или несчастным случаем, не связанным с работой, что на</w:t>
      </w:r>
      <w:r w:rsidRPr="00730DF3">
        <w:rPr>
          <w:rFonts w:asciiTheme="majorHAnsi" w:hAnsiTheme="majorHAnsi" w:cstheme="majorHAnsi"/>
          <w:sz w:val="24"/>
          <w:szCs w:val="24"/>
          <w:lang w:val="ro-MD"/>
        </w:rPr>
        <w:t xml:space="preserve"> 197,2 млн.</w:t>
      </w:r>
      <w:r w:rsidR="00722BB5" w:rsidRPr="00722BB5">
        <w:rPr>
          <w:rFonts w:asciiTheme="majorHAnsi" w:hAnsiTheme="majorHAnsi" w:cstheme="majorHAnsi"/>
          <w:sz w:val="24"/>
          <w:szCs w:val="24"/>
          <w:lang w:val="ro-MD"/>
        </w:rPr>
        <w:t xml:space="preserve"> леев </w:t>
      </w:r>
      <w:r w:rsidRPr="00730DF3">
        <w:rPr>
          <w:rFonts w:asciiTheme="majorHAnsi" w:hAnsiTheme="majorHAnsi" w:cstheme="majorHAnsi"/>
          <w:sz w:val="24"/>
          <w:szCs w:val="24"/>
          <w:lang w:val="ro-MD"/>
        </w:rPr>
        <w:t>меньше, чем в 2021 году</w:t>
      </w:r>
      <w:bookmarkEnd w:id="5"/>
      <w:r w:rsidR="00143F9A" w:rsidRPr="00653E85">
        <w:rPr>
          <w:rFonts w:asciiTheme="majorHAnsi" w:hAnsiTheme="majorHAnsi" w:cstheme="majorHAnsi"/>
          <w:sz w:val="24"/>
          <w:szCs w:val="24"/>
          <w:lang w:val="ro-MD"/>
        </w:rPr>
        <w:t>.</w:t>
      </w:r>
    </w:p>
    <w:p w14:paraId="0D80C590" w14:textId="3359FB4A" w:rsidR="00205D36" w:rsidRPr="00653E85" w:rsidRDefault="00BF5DC5" w:rsidP="00205D36">
      <w:pPr>
        <w:spacing w:after="0" w:line="276" w:lineRule="auto"/>
        <w:jc w:val="both"/>
        <w:rPr>
          <w:rFonts w:asciiTheme="majorHAnsi" w:hAnsiTheme="majorHAnsi" w:cstheme="majorHAnsi"/>
          <w:sz w:val="24"/>
          <w:szCs w:val="24"/>
          <w:lang w:val="ro-MD"/>
        </w:rPr>
      </w:pPr>
      <w:r w:rsidRPr="00BF5DC5">
        <w:rPr>
          <w:rFonts w:asciiTheme="majorHAnsi" w:hAnsiTheme="majorHAnsi" w:cstheme="majorHAnsi"/>
          <w:sz w:val="24"/>
          <w:szCs w:val="24"/>
          <w:lang w:val="ro-MD"/>
        </w:rPr>
        <w:t xml:space="preserve">При предоставлении пособий по временной нетрудоспособности задействовано несколько учреждений, отвечающих за определенный сегмент. Так, начиная с 01.07.2019, они устанавливаются территориальными </w:t>
      </w:r>
      <w:r w:rsidR="00722BB5">
        <w:rPr>
          <w:rFonts w:asciiTheme="majorHAnsi" w:hAnsiTheme="majorHAnsi" w:cstheme="majorHAnsi"/>
          <w:sz w:val="24"/>
          <w:szCs w:val="24"/>
          <w:lang w:val="ru-RU"/>
        </w:rPr>
        <w:t>касс</w:t>
      </w:r>
      <w:r w:rsidRPr="00BF5DC5">
        <w:rPr>
          <w:rFonts w:asciiTheme="majorHAnsi" w:hAnsiTheme="majorHAnsi" w:cstheme="majorHAnsi"/>
          <w:sz w:val="24"/>
          <w:szCs w:val="24"/>
          <w:lang w:val="ro-MD"/>
        </w:rPr>
        <w:t xml:space="preserve">ами </w:t>
      </w:r>
      <w:r w:rsidR="00722BB5">
        <w:rPr>
          <w:rFonts w:asciiTheme="majorHAnsi" w:hAnsiTheme="majorHAnsi" w:cstheme="majorHAnsi"/>
          <w:sz w:val="24"/>
          <w:szCs w:val="24"/>
          <w:lang w:val="ru-RU"/>
        </w:rPr>
        <w:t>на основан</w:t>
      </w:r>
      <w:r w:rsidRPr="00BF5DC5">
        <w:rPr>
          <w:rFonts w:asciiTheme="majorHAnsi" w:hAnsiTheme="majorHAnsi" w:cstheme="majorHAnsi"/>
          <w:sz w:val="24"/>
          <w:szCs w:val="24"/>
          <w:lang w:val="ro-MD"/>
        </w:rPr>
        <w:t>ии информаци</w:t>
      </w:r>
      <w:r w:rsidR="00722BB5">
        <w:rPr>
          <w:rFonts w:asciiTheme="majorHAnsi" w:hAnsiTheme="majorHAnsi" w:cstheme="majorHAnsi"/>
          <w:sz w:val="24"/>
          <w:szCs w:val="24"/>
          <w:lang w:val="ru-RU"/>
        </w:rPr>
        <w:t>и</w:t>
      </w:r>
      <w:r w:rsidRPr="00BF5DC5">
        <w:rPr>
          <w:rFonts w:asciiTheme="majorHAnsi" w:hAnsiTheme="majorHAnsi" w:cstheme="majorHAnsi"/>
          <w:sz w:val="24"/>
          <w:szCs w:val="24"/>
          <w:lang w:val="ro-MD"/>
        </w:rPr>
        <w:t xml:space="preserve"> </w:t>
      </w:r>
      <w:r w:rsidR="00722BB5">
        <w:rPr>
          <w:rFonts w:asciiTheme="majorHAnsi" w:hAnsiTheme="majorHAnsi" w:cstheme="majorHAnsi"/>
          <w:sz w:val="24"/>
          <w:szCs w:val="24"/>
          <w:lang w:val="ru-RU"/>
        </w:rPr>
        <w:t>из</w:t>
      </w:r>
      <w:r w:rsidRPr="00BF5DC5">
        <w:rPr>
          <w:rFonts w:asciiTheme="majorHAnsi" w:hAnsiTheme="majorHAnsi" w:cstheme="majorHAnsi"/>
          <w:sz w:val="24"/>
          <w:szCs w:val="24"/>
          <w:lang w:val="ro-MD"/>
        </w:rPr>
        <w:t xml:space="preserve"> </w:t>
      </w:r>
      <w:r w:rsidR="00722BB5">
        <w:rPr>
          <w:rFonts w:asciiTheme="majorHAnsi" w:hAnsiTheme="majorHAnsi" w:cstheme="majorHAnsi"/>
          <w:sz w:val="24"/>
          <w:szCs w:val="24"/>
          <w:lang w:val="ru-RU"/>
        </w:rPr>
        <w:t>больничных листов</w:t>
      </w:r>
      <w:r w:rsidRPr="00BF5DC5">
        <w:rPr>
          <w:rFonts w:asciiTheme="majorHAnsi" w:hAnsiTheme="majorHAnsi" w:cstheme="majorHAnsi"/>
          <w:sz w:val="24"/>
          <w:szCs w:val="24"/>
          <w:lang w:val="ro-MD"/>
        </w:rPr>
        <w:t>, передаваем</w:t>
      </w:r>
      <w:r w:rsidR="00722BB5">
        <w:rPr>
          <w:rFonts w:asciiTheme="majorHAnsi" w:hAnsiTheme="majorHAnsi" w:cstheme="majorHAnsi"/>
          <w:sz w:val="24"/>
          <w:szCs w:val="24"/>
          <w:lang w:val="ru-RU"/>
        </w:rPr>
        <w:t>ых</w:t>
      </w:r>
      <w:r w:rsidRPr="00BF5DC5">
        <w:rPr>
          <w:rFonts w:asciiTheme="majorHAnsi" w:hAnsiTheme="majorHAnsi" w:cstheme="majorHAnsi"/>
          <w:sz w:val="24"/>
          <w:szCs w:val="24"/>
          <w:lang w:val="ro-MD"/>
        </w:rPr>
        <w:t xml:space="preserve"> через безопасные межсистемные соединения и </w:t>
      </w:r>
      <w:r w:rsidR="00722BB5">
        <w:rPr>
          <w:rFonts w:asciiTheme="majorHAnsi" w:hAnsiTheme="majorHAnsi" w:cstheme="majorHAnsi"/>
          <w:sz w:val="24"/>
          <w:szCs w:val="24"/>
          <w:lang w:val="ru-RU"/>
        </w:rPr>
        <w:t>заверенные</w:t>
      </w:r>
      <w:r w:rsidRPr="00BF5DC5">
        <w:rPr>
          <w:rFonts w:asciiTheme="majorHAnsi" w:hAnsiTheme="majorHAnsi" w:cstheme="majorHAnsi"/>
          <w:sz w:val="24"/>
          <w:szCs w:val="24"/>
          <w:lang w:val="ro-MD"/>
        </w:rPr>
        <w:t xml:space="preserve"> электронной подписью ответственного лица поставщика</w:t>
      </w:r>
      <w:r w:rsidR="00722BB5" w:rsidRPr="00722BB5">
        <w:rPr>
          <w:rFonts w:asciiTheme="majorHAnsi" w:hAnsiTheme="majorHAnsi" w:cstheme="majorHAnsi"/>
          <w:sz w:val="24"/>
          <w:szCs w:val="24"/>
          <w:lang w:val="ro-MD"/>
        </w:rPr>
        <w:t xml:space="preserve"> </w:t>
      </w:r>
      <w:r w:rsidR="00722BB5" w:rsidRPr="00BF5DC5">
        <w:rPr>
          <w:rFonts w:asciiTheme="majorHAnsi" w:hAnsiTheme="majorHAnsi" w:cstheme="majorHAnsi"/>
          <w:sz w:val="24"/>
          <w:szCs w:val="24"/>
          <w:lang w:val="ro-MD"/>
        </w:rPr>
        <w:t>медицинских</w:t>
      </w:r>
      <w:r w:rsidR="001A40FB">
        <w:rPr>
          <w:rFonts w:asciiTheme="majorHAnsi" w:hAnsiTheme="majorHAnsi" w:cstheme="majorHAnsi"/>
          <w:sz w:val="24"/>
          <w:szCs w:val="24"/>
          <w:lang w:val="ru-RU"/>
        </w:rPr>
        <w:t xml:space="preserve"> услуг</w:t>
      </w:r>
      <w:r w:rsidRPr="00BF5DC5">
        <w:rPr>
          <w:rFonts w:asciiTheme="majorHAnsi" w:hAnsiTheme="majorHAnsi" w:cstheme="majorHAnsi"/>
          <w:sz w:val="24"/>
          <w:szCs w:val="24"/>
          <w:lang w:val="ro-MD"/>
        </w:rPr>
        <w:t xml:space="preserve">. Впоследствии пособие выплачивается </w:t>
      </w:r>
      <w:r w:rsidR="001A40FB">
        <w:rPr>
          <w:rFonts w:asciiTheme="majorHAnsi" w:hAnsiTheme="majorHAnsi" w:cstheme="majorHAnsi"/>
          <w:sz w:val="24"/>
          <w:szCs w:val="24"/>
          <w:lang w:val="ru-RU"/>
        </w:rPr>
        <w:t>АЭУ</w:t>
      </w:r>
      <w:r w:rsidRPr="00BF5DC5">
        <w:rPr>
          <w:rFonts w:asciiTheme="majorHAnsi" w:hAnsiTheme="majorHAnsi" w:cstheme="majorHAnsi"/>
          <w:sz w:val="24"/>
          <w:szCs w:val="24"/>
          <w:lang w:val="ro-MD"/>
        </w:rPr>
        <w:t xml:space="preserve"> через поставщиков платежных услуг. Процесс получения информации, связанной с отпусками по болезни, показан на рисунке ниже</w:t>
      </w:r>
      <w:r w:rsidR="00205D36" w:rsidRPr="00653E85">
        <w:rPr>
          <w:rFonts w:asciiTheme="majorHAnsi" w:hAnsiTheme="majorHAnsi" w:cstheme="majorHAnsi"/>
          <w:sz w:val="24"/>
          <w:szCs w:val="24"/>
          <w:lang w:val="ro-MD"/>
        </w:rPr>
        <w:t>.</w:t>
      </w:r>
    </w:p>
    <w:p w14:paraId="29DB116E" w14:textId="4AF08E53" w:rsidR="00143F9A" w:rsidRPr="00653E85" w:rsidRDefault="00143F9A" w:rsidP="00F80827">
      <w:pPr>
        <w:spacing w:after="0" w:line="276" w:lineRule="auto"/>
        <w:jc w:val="both"/>
        <w:rPr>
          <w:rFonts w:asciiTheme="majorHAnsi" w:hAnsiTheme="majorHAnsi" w:cstheme="majorHAnsi"/>
          <w:sz w:val="24"/>
          <w:szCs w:val="24"/>
          <w:lang w:val="ro-MD"/>
        </w:rPr>
      </w:pPr>
    </w:p>
    <w:p w14:paraId="0284747C" w14:textId="0AE72BC1" w:rsidR="00F80827" w:rsidRPr="00653E85" w:rsidRDefault="00F80827" w:rsidP="00F80827">
      <w:pPr>
        <w:spacing w:after="0" w:line="276" w:lineRule="auto"/>
        <w:jc w:val="both"/>
        <w:rPr>
          <w:rFonts w:asciiTheme="majorHAnsi" w:hAnsiTheme="majorHAnsi" w:cstheme="majorHAnsi"/>
          <w:sz w:val="24"/>
          <w:szCs w:val="24"/>
          <w:lang w:val="ro-MD"/>
        </w:rPr>
      </w:pPr>
      <w:r w:rsidRPr="00653E85">
        <w:rPr>
          <w:noProof/>
          <w:lang w:val="ru-RU" w:eastAsia="ru-RU"/>
        </w:rPr>
        <w:drawing>
          <wp:inline distT="0" distB="0" distL="0" distR="0" wp14:anchorId="61864901" wp14:editId="38CEE3B0">
            <wp:extent cx="5861538" cy="3217984"/>
            <wp:effectExtent l="57150" t="38100" r="63500" b="7810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2E7575AA" w14:textId="046BBB68" w:rsidR="00F80827" w:rsidRPr="00653E85" w:rsidRDefault="00B7373E" w:rsidP="00F80827">
      <w:pPr>
        <w:spacing w:after="0" w:line="276" w:lineRule="auto"/>
        <w:jc w:val="both"/>
        <w:rPr>
          <w:rFonts w:asciiTheme="majorHAnsi" w:hAnsiTheme="majorHAnsi" w:cstheme="majorHAnsi"/>
          <w:i/>
          <w:sz w:val="20"/>
          <w:szCs w:val="20"/>
          <w:lang w:val="ro-MD"/>
        </w:rPr>
      </w:pPr>
      <w:r>
        <w:rPr>
          <w:rFonts w:asciiTheme="majorHAnsi" w:hAnsiTheme="majorHAnsi" w:cstheme="majorHAnsi"/>
          <w:i/>
          <w:sz w:val="20"/>
          <w:szCs w:val="20"/>
          <w:lang w:val="ro-MD"/>
        </w:rPr>
        <w:t>Рисунок №</w:t>
      </w:r>
      <w:r w:rsidR="008D1DF2" w:rsidRPr="00653E85">
        <w:rPr>
          <w:rFonts w:asciiTheme="majorHAnsi" w:hAnsiTheme="majorHAnsi" w:cstheme="majorHAnsi"/>
          <w:i/>
          <w:sz w:val="20"/>
          <w:szCs w:val="20"/>
          <w:lang w:val="ro-MD"/>
        </w:rPr>
        <w:t>5</w:t>
      </w:r>
      <w:r w:rsidR="00216891" w:rsidRPr="00216891">
        <w:rPr>
          <w:rFonts w:asciiTheme="majorHAnsi" w:hAnsiTheme="majorHAnsi" w:cstheme="majorHAnsi"/>
          <w:i/>
          <w:sz w:val="20"/>
          <w:szCs w:val="20"/>
          <w:lang w:val="ro-MD"/>
        </w:rPr>
        <w:t>.</w:t>
      </w:r>
      <w:r w:rsidR="00EC0F73" w:rsidRPr="00EC0F73">
        <w:rPr>
          <w:rFonts w:asciiTheme="majorHAnsi" w:hAnsiTheme="majorHAnsi" w:cstheme="majorHAnsi"/>
          <w:i/>
          <w:lang w:val="ro-RO"/>
        </w:rPr>
        <w:t xml:space="preserve"> </w:t>
      </w:r>
      <w:r w:rsidR="00EC0F73" w:rsidRPr="00EC0F73">
        <w:rPr>
          <w:rFonts w:asciiTheme="majorHAnsi" w:hAnsiTheme="majorHAnsi" w:cstheme="majorHAnsi"/>
          <w:i/>
          <w:sz w:val="20"/>
          <w:szCs w:val="20"/>
          <w:lang w:val="ro-RO"/>
        </w:rPr>
        <w:t>Процесс получения информации о больничных лист</w:t>
      </w:r>
      <w:r w:rsidR="00EC0F73" w:rsidRPr="00EC0F73">
        <w:rPr>
          <w:rFonts w:asciiTheme="majorHAnsi" w:hAnsiTheme="majorHAnsi" w:cstheme="majorHAnsi"/>
          <w:i/>
          <w:sz w:val="20"/>
          <w:szCs w:val="20"/>
          <w:lang w:val="ro-MD"/>
        </w:rPr>
        <w:t>ах</w:t>
      </w:r>
      <w:r w:rsidR="00EC0F73">
        <w:rPr>
          <w:rFonts w:asciiTheme="majorHAnsi" w:hAnsiTheme="majorHAnsi" w:cstheme="majorHAnsi"/>
          <w:i/>
          <w:sz w:val="20"/>
          <w:szCs w:val="20"/>
          <w:lang w:val="ru-RU"/>
        </w:rPr>
        <w:t>.</w:t>
      </w:r>
      <w:r w:rsidR="00F80827" w:rsidRPr="00653E85">
        <w:rPr>
          <w:rFonts w:asciiTheme="majorHAnsi" w:hAnsiTheme="majorHAnsi" w:cstheme="majorHAnsi"/>
          <w:i/>
          <w:sz w:val="20"/>
          <w:szCs w:val="20"/>
          <w:lang w:val="ro-MD"/>
        </w:rPr>
        <w:t xml:space="preserve"> </w:t>
      </w:r>
    </w:p>
    <w:p w14:paraId="01A34FF2" w14:textId="77777777" w:rsidR="00F80827" w:rsidRPr="00653E85" w:rsidRDefault="00F80827" w:rsidP="00F80827">
      <w:pPr>
        <w:spacing w:after="0" w:line="276" w:lineRule="auto"/>
        <w:jc w:val="both"/>
        <w:rPr>
          <w:rFonts w:asciiTheme="majorHAnsi" w:hAnsiTheme="majorHAnsi" w:cstheme="majorHAnsi"/>
          <w:sz w:val="24"/>
          <w:szCs w:val="24"/>
          <w:lang w:val="ro-MD"/>
        </w:rPr>
      </w:pPr>
    </w:p>
    <w:p w14:paraId="67C7342D" w14:textId="11863D55" w:rsidR="00194D58" w:rsidRPr="00653E85" w:rsidRDefault="00BF5DC5" w:rsidP="00F80827">
      <w:pPr>
        <w:spacing w:after="0" w:line="276" w:lineRule="auto"/>
        <w:jc w:val="both"/>
        <w:rPr>
          <w:rFonts w:asciiTheme="majorHAnsi" w:hAnsiTheme="majorHAnsi" w:cstheme="majorHAnsi"/>
          <w:sz w:val="24"/>
          <w:szCs w:val="24"/>
          <w:lang w:val="ro-MD"/>
        </w:rPr>
      </w:pPr>
      <w:r w:rsidRPr="00777D34">
        <w:rPr>
          <w:rFonts w:asciiTheme="majorHAnsi" w:hAnsiTheme="majorHAnsi" w:cstheme="majorHAnsi"/>
          <w:sz w:val="24"/>
          <w:szCs w:val="24"/>
          <w:lang w:val="ro-MD"/>
        </w:rPr>
        <w:t>В рамках аудита пособий по временной нетрудоспособности было проверено 105 постановлений, через призму всего процесса.</w:t>
      </w:r>
      <w:r w:rsidRPr="00BF5DC5">
        <w:rPr>
          <w:rFonts w:asciiTheme="majorHAnsi" w:hAnsiTheme="majorHAnsi" w:cstheme="majorHAnsi"/>
          <w:sz w:val="24"/>
          <w:szCs w:val="24"/>
          <w:lang w:val="ro-MD"/>
        </w:rPr>
        <w:t xml:space="preserve"> Так, в 79 случаях, или 75%, услуги по предоставлению/выплате пособий бенефициару предоставл</w:t>
      </w:r>
      <w:r w:rsidR="00777D34">
        <w:rPr>
          <w:rFonts w:asciiTheme="majorHAnsi" w:hAnsiTheme="majorHAnsi" w:cstheme="majorHAnsi"/>
          <w:sz w:val="24"/>
          <w:szCs w:val="24"/>
          <w:lang w:val="ru-RU"/>
        </w:rPr>
        <w:t>ялись</w:t>
      </w:r>
      <w:r w:rsidRPr="00BF5DC5">
        <w:rPr>
          <w:rFonts w:asciiTheme="majorHAnsi" w:hAnsiTheme="majorHAnsi" w:cstheme="majorHAnsi"/>
          <w:sz w:val="24"/>
          <w:szCs w:val="24"/>
          <w:lang w:val="ro-MD"/>
        </w:rPr>
        <w:t xml:space="preserve"> </w:t>
      </w:r>
      <w:r w:rsidR="00777D34">
        <w:rPr>
          <w:rFonts w:asciiTheme="majorHAnsi" w:hAnsiTheme="majorHAnsi" w:cstheme="majorHAnsi"/>
          <w:sz w:val="24"/>
          <w:szCs w:val="24"/>
          <w:lang w:val="ru-RU"/>
        </w:rPr>
        <w:t>с о</w:t>
      </w:r>
      <w:r w:rsidR="00777D34" w:rsidRPr="00BF5DC5">
        <w:rPr>
          <w:rFonts w:asciiTheme="majorHAnsi" w:hAnsiTheme="majorHAnsi" w:cstheme="majorHAnsi"/>
          <w:sz w:val="24"/>
          <w:szCs w:val="24"/>
          <w:lang w:val="ro-MD"/>
        </w:rPr>
        <w:t>позд</w:t>
      </w:r>
      <w:r w:rsidR="00777D34">
        <w:rPr>
          <w:rFonts w:asciiTheme="majorHAnsi" w:hAnsiTheme="majorHAnsi" w:cstheme="majorHAnsi"/>
          <w:sz w:val="24"/>
          <w:szCs w:val="24"/>
          <w:lang w:val="ru-RU"/>
        </w:rPr>
        <w:t>анием</w:t>
      </w:r>
      <w:r w:rsidR="00777D34" w:rsidRPr="00BF5DC5">
        <w:rPr>
          <w:rFonts w:asciiTheme="majorHAnsi" w:hAnsiTheme="majorHAnsi" w:cstheme="majorHAnsi"/>
          <w:sz w:val="24"/>
          <w:szCs w:val="24"/>
          <w:lang w:val="ro-MD"/>
        </w:rPr>
        <w:t xml:space="preserve"> </w:t>
      </w:r>
      <w:r w:rsidRPr="00BF5DC5">
        <w:rPr>
          <w:rFonts w:asciiTheme="majorHAnsi" w:hAnsiTheme="majorHAnsi" w:cstheme="majorHAnsi"/>
          <w:sz w:val="24"/>
          <w:szCs w:val="24"/>
          <w:lang w:val="ro-MD"/>
        </w:rPr>
        <w:t>от 1 дня до 466 дней (или 1 год и 3 месяца). Среди основных причин</w:t>
      </w:r>
      <w:r w:rsidR="00777D34" w:rsidRPr="00777D34">
        <w:rPr>
          <w:rFonts w:asciiTheme="majorHAnsi" w:hAnsiTheme="majorHAnsi" w:cstheme="majorHAnsi"/>
          <w:sz w:val="24"/>
          <w:szCs w:val="24"/>
          <w:lang w:val="ro-MD"/>
        </w:rPr>
        <w:t>,</w:t>
      </w:r>
      <w:r w:rsidRPr="00BF5DC5">
        <w:rPr>
          <w:rFonts w:asciiTheme="majorHAnsi" w:hAnsiTheme="majorHAnsi" w:cstheme="majorHAnsi"/>
          <w:sz w:val="24"/>
          <w:szCs w:val="24"/>
          <w:lang w:val="ro-MD"/>
        </w:rPr>
        <w:t xml:space="preserve"> </w:t>
      </w:r>
      <w:r w:rsidR="00777D34" w:rsidRPr="00777D34">
        <w:rPr>
          <w:rFonts w:asciiTheme="majorHAnsi" w:hAnsiTheme="majorHAnsi" w:cstheme="majorHAnsi"/>
          <w:sz w:val="24"/>
          <w:szCs w:val="24"/>
          <w:lang w:val="ro-MD"/>
        </w:rPr>
        <w:t>отмеч</w:t>
      </w:r>
      <w:r w:rsidRPr="00BF5DC5">
        <w:rPr>
          <w:rFonts w:asciiTheme="majorHAnsi" w:hAnsiTheme="majorHAnsi" w:cstheme="majorHAnsi"/>
          <w:sz w:val="24"/>
          <w:szCs w:val="24"/>
          <w:lang w:val="ro-MD"/>
        </w:rPr>
        <w:t>ается</w:t>
      </w:r>
      <w:r w:rsidR="00194D58" w:rsidRPr="00653E85">
        <w:rPr>
          <w:rFonts w:asciiTheme="majorHAnsi" w:hAnsiTheme="majorHAnsi" w:cstheme="majorHAnsi"/>
          <w:sz w:val="24"/>
          <w:szCs w:val="24"/>
          <w:lang w:val="ro-MD"/>
        </w:rPr>
        <w:t>:</w:t>
      </w:r>
    </w:p>
    <w:p w14:paraId="73C94707" w14:textId="583FFC32" w:rsidR="009030C4" w:rsidRPr="00736448" w:rsidRDefault="00BF5DC5" w:rsidP="00BF5DC5">
      <w:pPr>
        <w:pStyle w:val="aa"/>
        <w:numPr>
          <w:ilvl w:val="0"/>
          <w:numId w:val="7"/>
        </w:numPr>
        <w:spacing w:after="0" w:line="276" w:lineRule="auto"/>
        <w:jc w:val="both"/>
        <w:rPr>
          <w:rFonts w:asciiTheme="majorHAnsi" w:hAnsiTheme="majorHAnsi" w:cstheme="majorHAnsi"/>
          <w:sz w:val="24"/>
          <w:szCs w:val="24"/>
          <w:lang w:val="ro-MD"/>
        </w:rPr>
      </w:pPr>
      <w:r w:rsidRPr="00BF5DC5">
        <w:rPr>
          <w:rFonts w:asciiTheme="majorHAnsi" w:hAnsiTheme="majorHAnsi" w:cstheme="majorHAnsi"/>
          <w:sz w:val="24"/>
          <w:szCs w:val="24"/>
          <w:lang w:val="ro-MD"/>
        </w:rPr>
        <w:t xml:space="preserve">в 59 случаях аудит установил передачу информации из </w:t>
      </w:r>
      <w:r w:rsidR="00777D34">
        <w:rPr>
          <w:rFonts w:asciiTheme="majorHAnsi" w:hAnsiTheme="majorHAnsi" w:cstheme="majorHAnsi"/>
          <w:sz w:val="24"/>
          <w:szCs w:val="24"/>
          <w:lang w:val="ru-RU"/>
        </w:rPr>
        <w:t>больничных листов</w:t>
      </w:r>
      <w:r w:rsidRPr="00BF5DC5">
        <w:rPr>
          <w:rFonts w:asciiTheme="majorHAnsi" w:hAnsiTheme="majorHAnsi" w:cstheme="majorHAnsi"/>
          <w:sz w:val="24"/>
          <w:szCs w:val="24"/>
          <w:lang w:val="ro-MD"/>
        </w:rPr>
        <w:t xml:space="preserve"> с опозданием </w:t>
      </w:r>
      <w:r w:rsidR="00777D34">
        <w:rPr>
          <w:rFonts w:asciiTheme="majorHAnsi" w:hAnsiTheme="majorHAnsi" w:cstheme="majorHAnsi"/>
          <w:sz w:val="24"/>
          <w:szCs w:val="24"/>
          <w:lang w:val="ru-RU"/>
        </w:rPr>
        <w:t>от</w:t>
      </w:r>
      <w:r w:rsidRPr="00BF5DC5">
        <w:rPr>
          <w:rFonts w:asciiTheme="majorHAnsi" w:hAnsiTheme="majorHAnsi" w:cstheme="majorHAnsi"/>
          <w:sz w:val="24"/>
          <w:szCs w:val="24"/>
          <w:lang w:val="ro-MD"/>
        </w:rPr>
        <w:t xml:space="preserve"> 1 дня до 365 дней, хотя нормативные акты предусматривают регистрацию и передачу данных в течение не более 5 дней с даты закрытия </w:t>
      </w:r>
      <w:r w:rsidR="00777D34">
        <w:rPr>
          <w:rFonts w:asciiTheme="majorHAnsi" w:hAnsiTheme="majorHAnsi" w:cstheme="majorHAnsi"/>
          <w:sz w:val="24"/>
          <w:szCs w:val="24"/>
          <w:lang w:val="ru-RU"/>
        </w:rPr>
        <w:t>больничного листа</w:t>
      </w:r>
      <w:r w:rsidRPr="00BF5DC5">
        <w:rPr>
          <w:rFonts w:asciiTheme="majorHAnsi" w:hAnsiTheme="majorHAnsi" w:cstheme="majorHAnsi"/>
          <w:sz w:val="24"/>
          <w:szCs w:val="24"/>
          <w:lang w:val="ro-MD"/>
        </w:rPr>
        <w:t>. Это привело к задержке расчета и невыплате в срок социальн</w:t>
      </w:r>
      <w:r w:rsidR="00777D34">
        <w:rPr>
          <w:rFonts w:asciiTheme="majorHAnsi" w:hAnsiTheme="majorHAnsi" w:cstheme="majorHAnsi"/>
          <w:sz w:val="24"/>
          <w:szCs w:val="24"/>
          <w:lang w:val="ru-RU"/>
        </w:rPr>
        <w:t>ых</w:t>
      </w:r>
      <w:r w:rsidRPr="00BF5DC5">
        <w:rPr>
          <w:rFonts w:asciiTheme="majorHAnsi" w:hAnsiTheme="majorHAnsi" w:cstheme="majorHAnsi"/>
          <w:sz w:val="24"/>
          <w:szCs w:val="24"/>
          <w:lang w:val="ro-MD"/>
        </w:rPr>
        <w:t xml:space="preserve"> пособи</w:t>
      </w:r>
      <w:r w:rsidR="00777D34">
        <w:rPr>
          <w:rFonts w:asciiTheme="majorHAnsi" w:hAnsiTheme="majorHAnsi" w:cstheme="majorHAnsi"/>
          <w:sz w:val="24"/>
          <w:szCs w:val="24"/>
          <w:lang w:val="ru-RU"/>
        </w:rPr>
        <w:t>й</w:t>
      </w:r>
      <w:r w:rsidRPr="00BF5DC5">
        <w:rPr>
          <w:rFonts w:asciiTheme="majorHAnsi" w:hAnsiTheme="majorHAnsi" w:cstheme="majorHAnsi"/>
          <w:sz w:val="24"/>
          <w:szCs w:val="24"/>
          <w:lang w:val="ro-MD"/>
        </w:rPr>
        <w:t xml:space="preserve"> </w:t>
      </w:r>
      <w:r w:rsidR="00777D34">
        <w:rPr>
          <w:rFonts w:asciiTheme="majorHAnsi" w:hAnsiTheme="majorHAnsi" w:cstheme="majorHAnsi"/>
          <w:sz w:val="24"/>
          <w:szCs w:val="24"/>
          <w:lang w:val="ru-RU"/>
        </w:rPr>
        <w:t>на сумму</w:t>
      </w:r>
      <w:r w:rsidRPr="00BF5DC5">
        <w:rPr>
          <w:rFonts w:asciiTheme="majorHAnsi" w:hAnsiTheme="majorHAnsi" w:cstheme="majorHAnsi"/>
          <w:sz w:val="24"/>
          <w:szCs w:val="24"/>
          <w:lang w:val="ro-MD"/>
        </w:rPr>
        <w:t xml:space="preserve"> 168,3 тыс. леев. В этом контексте</w:t>
      </w:r>
      <w:r w:rsidR="00777D34">
        <w:rPr>
          <w:rFonts w:asciiTheme="majorHAnsi" w:hAnsiTheme="majorHAnsi" w:cstheme="majorHAnsi"/>
          <w:sz w:val="24"/>
          <w:szCs w:val="24"/>
          <w:lang w:val="ru-RU"/>
        </w:rPr>
        <w:t>,</w:t>
      </w:r>
      <w:r w:rsidRPr="00BF5DC5">
        <w:rPr>
          <w:rFonts w:asciiTheme="majorHAnsi" w:hAnsiTheme="majorHAnsi" w:cstheme="majorHAnsi"/>
          <w:sz w:val="24"/>
          <w:szCs w:val="24"/>
          <w:lang w:val="ro-MD"/>
        </w:rPr>
        <w:t xml:space="preserve"> аудит потребовал объяснений от </w:t>
      </w:r>
      <w:r w:rsidR="00777D34">
        <w:rPr>
          <w:rFonts w:asciiTheme="majorHAnsi" w:hAnsiTheme="majorHAnsi" w:cstheme="majorHAnsi"/>
          <w:sz w:val="24"/>
          <w:szCs w:val="24"/>
          <w:lang w:val="ru-RU"/>
        </w:rPr>
        <w:t>указанн</w:t>
      </w:r>
      <w:r w:rsidRPr="00BF5DC5">
        <w:rPr>
          <w:rFonts w:asciiTheme="majorHAnsi" w:hAnsiTheme="majorHAnsi" w:cstheme="majorHAnsi"/>
          <w:sz w:val="24"/>
          <w:szCs w:val="24"/>
          <w:lang w:val="ro-MD"/>
        </w:rPr>
        <w:t xml:space="preserve">ых поставщиков медицинских услуг. Таким образом, </w:t>
      </w:r>
      <w:r w:rsidR="00777D34">
        <w:rPr>
          <w:rFonts w:asciiTheme="majorHAnsi" w:hAnsiTheme="majorHAnsi" w:cstheme="majorHAnsi"/>
          <w:sz w:val="24"/>
          <w:szCs w:val="24"/>
          <w:lang w:val="ru-RU"/>
        </w:rPr>
        <w:t>отмечается</w:t>
      </w:r>
      <w:r w:rsidRPr="00BF5DC5">
        <w:rPr>
          <w:rFonts w:asciiTheme="majorHAnsi" w:hAnsiTheme="majorHAnsi" w:cstheme="majorHAnsi"/>
          <w:sz w:val="24"/>
          <w:szCs w:val="24"/>
          <w:lang w:val="ro-MD"/>
        </w:rPr>
        <w:t>, что в 5 случаях ответственные лица медицинских учреждени</w:t>
      </w:r>
      <w:r w:rsidR="00777D34">
        <w:rPr>
          <w:rFonts w:asciiTheme="majorHAnsi" w:hAnsiTheme="majorHAnsi" w:cstheme="majorHAnsi"/>
          <w:sz w:val="24"/>
          <w:szCs w:val="24"/>
          <w:lang w:val="ru-RU"/>
        </w:rPr>
        <w:t>й</w:t>
      </w:r>
      <w:r w:rsidRPr="00BF5DC5">
        <w:rPr>
          <w:rFonts w:asciiTheme="majorHAnsi" w:hAnsiTheme="majorHAnsi" w:cstheme="majorHAnsi"/>
          <w:sz w:val="24"/>
          <w:szCs w:val="24"/>
          <w:lang w:val="ro-MD"/>
        </w:rPr>
        <w:t xml:space="preserve"> не обеспечивали вв</w:t>
      </w:r>
      <w:r w:rsidR="00777D34">
        <w:rPr>
          <w:rFonts w:asciiTheme="majorHAnsi" w:hAnsiTheme="majorHAnsi" w:cstheme="majorHAnsi"/>
          <w:sz w:val="24"/>
          <w:szCs w:val="24"/>
          <w:lang w:val="ru-RU"/>
        </w:rPr>
        <w:t>од</w:t>
      </w:r>
      <w:r w:rsidRPr="00BF5DC5">
        <w:rPr>
          <w:rFonts w:asciiTheme="majorHAnsi" w:hAnsiTheme="majorHAnsi" w:cstheme="majorHAnsi"/>
          <w:sz w:val="24"/>
          <w:szCs w:val="24"/>
          <w:lang w:val="ro-MD"/>
        </w:rPr>
        <w:t xml:space="preserve"> информации в утвержденный срок, а в других были обнаружены </w:t>
      </w:r>
      <w:r w:rsidR="00777D34">
        <w:rPr>
          <w:rFonts w:asciiTheme="majorHAnsi" w:hAnsiTheme="majorHAnsi" w:cstheme="majorHAnsi"/>
          <w:sz w:val="24"/>
          <w:szCs w:val="24"/>
          <w:lang w:val="ru-RU"/>
        </w:rPr>
        <w:t>дисфункции ИТ</w:t>
      </w:r>
      <w:r w:rsidRPr="00BF5DC5">
        <w:rPr>
          <w:rFonts w:asciiTheme="majorHAnsi" w:hAnsiTheme="majorHAnsi" w:cstheme="majorHAnsi"/>
          <w:sz w:val="24"/>
          <w:szCs w:val="24"/>
          <w:lang w:val="ro-MD"/>
        </w:rPr>
        <w:t>. При вв</w:t>
      </w:r>
      <w:r w:rsidR="00777D34">
        <w:rPr>
          <w:rFonts w:asciiTheme="majorHAnsi" w:hAnsiTheme="majorHAnsi" w:cstheme="majorHAnsi"/>
          <w:sz w:val="24"/>
          <w:szCs w:val="24"/>
          <w:lang w:val="ru-RU"/>
        </w:rPr>
        <w:t>оде</w:t>
      </w:r>
      <w:r w:rsidRPr="00BF5DC5">
        <w:rPr>
          <w:rFonts w:asciiTheme="majorHAnsi" w:hAnsiTheme="majorHAnsi" w:cstheme="majorHAnsi"/>
          <w:sz w:val="24"/>
          <w:szCs w:val="24"/>
          <w:lang w:val="ro-MD"/>
        </w:rPr>
        <w:t xml:space="preserve"> </w:t>
      </w:r>
      <w:r w:rsidR="00777D34">
        <w:rPr>
          <w:rFonts w:asciiTheme="majorHAnsi" w:hAnsiTheme="majorHAnsi" w:cstheme="majorHAnsi"/>
          <w:sz w:val="24"/>
          <w:szCs w:val="24"/>
          <w:lang w:val="ru-RU"/>
        </w:rPr>
        <w:t>больничных листов</w:t>
      </w:r>
      <w:r w:rsidRPr="00BF5DC5">
        <w:rPr>
          <w:rFonts w:asciiTheme="majorHAnsi" w:hAnsiTheme="majorHAnsi" w:cstheme="majorHAnsi"/>
          <w:sz w:val="24"/>
          <w:szCs w:val="24"/>
          <w:lang w:val="ro-MD"/>
        </w:rPr>
        <w:t xml:space="preserve"> со статусом продолжения</w:t>
      </w:r>
      <w:r w:rsidR="00777D34">
        <w:rPr>
          <w:rFonts w:asciiTheme="majorHAnsi" w:hAnsiTheme="majorHAnsi" w:cstheme="majorHAnsi"/>
          <w:sz w:val="24"/>
          <w:szCs w:val="24"/>
          <w:lang w:val="ru-RU"/>
        </w:rPr>
        <w:t>,</w:t>
      </w:r>
      <w:r w:rsidRPr="00BF5DC5">
        <w:rPr>
          <w:rFonts w:asciiTheme="majorHAnsi" w:hAnsiTheme="majorHAnsi" w:cstheme="majorHAnsi"/>
          <w:sz w:val="24"/>
          <w:szCs w:val="24"/>
          <w:lang w:val="ro-MD"/>
        </w:rPr>
        <w:t xml:space="preserve"> медицинские учреждения испытывают трудности. Хотя вв</w:t>
      </w:r>
      <w:r w:rsidR="00777D34">
        <w:rPr>
          <w:rFonts w:asciiTheme="majorHAnsi" w:hAnsiTheme="majorHAnsi" w:cstheme="majorHAnsi"/>
          <w:sz w:val="24"/>
          <w:szCs w:val="24"/>
          <w:lang w:val="ru-RU"/>
        </w:rPr>
        <w:t>од</w:t>
      </w:r>
      <w:r w:rsidRPr="00BF5DC5">
        <w:rPr>
          <w:rFonts w:asciiTheme="majorHAnsi" w:hAnsiTheme="majorHAnsi" w:cstheme="majorHAnsi"/>
          <w:sz w:val="24"/>
          <w:szCs w:val="24"/>
          <w:lang w:val="ro-MD"/>
        </w:rPr>
        <w:t xml:space="preserve"> медицинских сертификатов с</w:t>
      </w:r>
      <w:r w:rsidR="00777D34">
        <w:rPr>
          <w:rFonts w:asciiTheme="majorHAnsi" w:hAnsiTheme="majorHAnsi" w:cstheme="majorHAnsi"/>
          <w:sz w:val="24"/>
          <w:szCs w:val="24"/>
          <w:lang w:val="ru-RU"/>
        </w:rPr>
        <w:t>о</w:t>
      </w:r>
      <w:r w:rsidRPr="00BF5DC5">
        <w:rPr>
          <w:rFonts w:asciiTheme="majorHAnsi" w:hAnsiTheme="majorHAnsi" w:cstheme="majorHAnsi"/>
          <w:sz w:val="24"/>
          <w:szCs w:val="24"/>
          <w:lang w:val="ro-MD"/>
        </w:rPr>
        <w:t xml:space="preserve"> статусом </w:t>
      </w:r>
      <w:r w:rsidR="00777D34">
        <w:rPr>
          <w:rFonts w:asciiTheme="majorHAnsi" w:hAnsiTheme="majorHAnsi" w:cstheme="majorHAnsi"/>
          <w:sz w:val="24"/>
          <w:szCs w:val="24"/>
          <w:lang w:val="ru-RU"/>
        </w:rPr>
        <w:t xml:space="preserve">продолжения </w:t>
      </w:r>
      <w:r w:rsidRPr="00BF5DC5">
        <w:rPr>
          <w:rFonts w:asciiTheme="majorHAnsi" w:hAnsiTheme="majorHAnsi" w:cstheme="majorHAnsi"/>
          <w:sz w:val="24"/>
          <w:szCs w:val="24"/>
          <w:lang w:val="ro-MD"/>
        </w:rPr>
        <w:t>было обеспечено в срок</w:t>
      </w:r>
      <w:r w:rsidR="00777D34">
        <w:rPr>
          <w:rFonts w:asciiTheme="majorHAnsi" w:hAnsiTheme="majorHAnsi" w:cstheme="majorHAnsi"/>
          <w:sz w:val="24"/>
          <w:szCs w:val="24"/>
          <w:lang w:val="ru-RU"/>
        </w:rPr>
        <w:t>,</w:t>
      </w:r>
      <w:r w:rsidRPr="00BF5DC5">
        <w:rPr>
          <w:rFonts w:asciiTheme="majorHAnsi" w:hAnsiTheme="majorHAnsi" w:cstheme="majorHAnsi"/>
          <w:sz w:val="24"/>
          <w:szCs w:val="24"/>
          <w:lang w:val="ro-MD"/>
        </w:rPr>
        <w:t xml:space="preserve"> и </w:t>
      </w:r>
      <w:r w:rsidR="00777D34">
        <w:rPr>
          <w:rFonts w:asciiTheme="majorHAnsi" w:hAnsiTheme="majorHAnsi" w:cstheme="majorHAnsi"/>
          <w:sz w:val="24"/>
          <w:szCs w:val="24"/>
          <w:lang w:val="ru-RU"/>
        </w:rPr>
        <w:t xml:space="preserve">они </w:t>
      </w:r>
      <w:r w:rsidRPr="00BF5DC5">
        <w:rPr>
          <w:rFonts w:asciiTheme="majorHAnsi" w:hAnsiTheme="majorHAnsi" w:cstheme="majorHAnsi"/>
          <w:sz w:val="24"/>
          <w:szCs w:val="24"/>
          <w:lang w:val="ro-MD"/>
        </w:rPr>
        <w:t>включен</w:t>
      </w:r>
      <w:r w:rsidR="00777D34">
        <w:rPr>
          <w:rFonts w:asciiTheme="majorHAnsi" w:hAnsiTheme="majorHAnsi" w:cstheme="majorHAnsi"/>
          <w:sz w:val="24"/>
          <w:szCs w:val="24"/>
          <w:lang w:val="ru-RU"/>
        </w:rPr>
        <w:t>ы</w:t>
      </w:r>
      <w:r w:rsidRPr="00BF5DC5">
        <w:rPr>
          <w:rFonts w:asciiTheme="majorHAnsi" w:hAnsiTheme="majorHAnsi" w:cstheme="majorHAnsi"/>
          <w:sz w:val="24"/>
          <w:szCs w:val="24"/>
          <w:lang w:val="ro-MD"/>
        </w:rPr>
        <w:t xml:space="preserve"> в </w:t>
      </w:r>
      <w:r w:rsidR="00777D34">
        <w:rPr>
          <w:rFonts w:asciiTheme="majorHAnsi" w:hAnsiTheme="majorHAnsi" w:cstheme="majorHAnsi"/>
          <w:sz w:val="24"/>
          <w:szCs w:val="24"/>
          <w:lang w:val="ru-RU"/>
        </w:rPr>
        <w:t>П</w:t>
      </w:r>
      <w:r w:rsidRPr="00BF5DC5">
        <w:rPr>
          <w:rFonts w:asciiTheme="majorHAnsi" w:hAnsiTheme="majorHAnsi" w:cstheme="majorHAnsi"/>
          <w:sz w:val="24"/>
          <w:szCs w:val="24"/>
          <w:lang w:val="ro-MD"/>
        </w:rPr>
        <w:t xml:space="preserve">ортал, их </w:t>
      </w:r>
      <w:r w:rsidR="00854C95">
        <w:rPr>
          <w:rFonts w:asciiTheme="majorHAnsi" w:hAnsiTheme="majorHAnsi" w:cstheme="majorHAnsi"/>
          <w:sz w:val="24"/>
          <w:szCs w:val="24"/>
          <w:lang w:val="ru-RU"/>
        </w:rPr>
        <w:t>валидация</w:t>
      </w:r>
      <w:r w:rsidRPr="00BF5DC5">
        <w:rPr>
          <w:rFonts w:asciiTheme="majorHAnsi" w:hAnsiTheme="majorHAnsi" w:cstheme="majorHAnsi"/>
          <w:sz w:val="24"/>
          <w:szCs w:val="24"/>
          <w:lang w:val="ro-MD"/>
        </w:rPr>
        <w:t xml:space="preserve"> и передача с опозданием </w:t>
      </w:r>
      <w:r w:rsidR="00E66FFA">
        <w:rPr>
          <w:rFonts w:asciiTheme="majorHAnsi" w:hAnsiTheme="majorHAnsi" w:cstheme="majorHAnsi"/>
          <w:sz w:val="24"/>
          <w:szCs w:val="24"/>
          <w:lang w:val="ru-RU"/>
        </w:rPr>
        <w:t>были обусловлены</w:t>
      </w:r>
      <w:r w:rsidRPr="00BF5DC5">
        <w:rPr>
          <w:rFonts w:asciiTheme="majorHAnsi" w:hAnsiTheme="majorHAnsi" w:cstheme="majorHAnsi"/>
          <w:sz w:val="24"/>
          <w:szCs w:val="24"/>
          <w:lang w:val="ro-MD"/>
        </w:rPr>
        <w:t xml:space="preserve"> статус</w:t>
      </w:r>
      <w:r w:rsidR="00E66FFA">
        <w:rPr>
          <w:rFonts w:asciiTheme="majorHAnsi" w:hAnsiTheme="majorHAnsi" w:cstheme="majorHAnsi"/>
          <w:sz w:val="24"/>
          <w:szCs w:val="24"/>
          <w:lang w:val="ru-RU"/>
        </w:rPr>
        <w:t>ом</w:t>
      </w:r>
      <w:r w:rsidRPr="00BF5DC5">
        <w:rPr>
          <w:rFonts w:asciiTheme="majorHAnsi" w:hAnsiTheme="majorHAnsi" w:cstheme="majorHAnsi"/>
          <w:sz w:val="24"/>
          <w:szCs w:val="24"/>
          <w:lang w:val="ro-MD"/>
        </w:rPr>
        <w:t xml:space="preserve"> первично</w:t>
      </w:r>
      <w:r w:rsidR="00777D34">
        <w:rPr>
          <w:rFonts w:asciiTheme="majorHAnsi" w:hAnsiTheme="majorHAnsi" w:cstheme="majorHAnsi"/>
          <w:sz w:val="24"/>
          <w:szCs w:val="24"/>
          <w:lang w:val="ru-RU"/>
        </w:rPr>
        <w:t>го больничного листа</w:t>
      </w:r>
      <w:r w:rsidRPr="00BF5DC5">
        <w:rPr>
          <w:rFonts w:asciiTheme="majorHAnsi" w:hAnsiTheme="majorHAnsi" w:cstheme="majorHAnsi"/>
          <w:sz w:val="24"/>
          <w:szCs w:val="24"/>
          <w:lang w:val="ro-MD"/>
        </w:rPr>
        <w:t xml:space="preserve">. Так, было </w:t>
      </w:r>
      <w:r w:rsidR="00E66FFA">
        <w:rPr>
          <w:rFonts w:asciiTheme="majorHAnsi" w:hAnsiTheme="majorHAnsi" w:cstheme="majorHAnsi"/>
          <w:sz w:val="24"/>
          <w:szCs w:val="24"/>
          <w:lang w:val="ru-RU"/>
        </w:rPr>
        <w:t>выявл</w:t>
      </w:r>
      <w:r w:rsidRPr="00BF5DC5">
        <w:rPr>
          <w:rFonts w:asciiTheme="majorHAnsi" w:hAnsiTheme="majorHAnsi" w:cstheme="majorHAnsi"/>
          <w:sz w:val="24"/>
          <w:szCs w:val="24"/>
          <w:lang w:val="ro-MD"/>
        </w:rPr>
        <w:t xml:space="preserve">ено, что информация </w:t>
      </w:r>
      <w:r w:rsidR="00E66FFA">
        <w:rPr>
          <w:rFonts w:asciiTheme="majorHAnsi" w:hAnsiTheme="majorHAnsi" w:cstheme="majorHAnsi"/>
          <w:sz w:val="24"/>
          <w:szCs w:val="24"/>
          <w:lang w:val="ru-RU"/>
        </w:rPr>
        <w:t>из</w:t>
      </w:r>
      <w:r w:rsidRPr="00BF5DC5">
        <w:rPr>
          <w:rFonts w:asciiTheme="majorHAnsi" w:hAnsiTheme="majorHAnsi" w:cstheme="majorHAnsi"/>
          <w:sz w:val="24"/>
          <w:szCs w:val="24"/>
          <w:lang w:val="ro-MD"/>
        </w:rPr>
        <w:t xml:space="preserve"> выписк</w:t>
      </w:r>
      <w:r w:rsidR="00E66FFA">
        <w:rPr>
          <w:rFonts w:asciiTheme="majorHAnsi" w:hAnsiTheme="majorHAnsi" w:cstheme="majorHAnsi"/>
          <w:sz w:val="24"/>
          <w:szCs w:val="24"/>
          <w:lang w:val="ru-RU"/>
        </w:rPr>
        <w:t>и</w:t>
      </w:r>
      <w:r w:rsidRPr="00BF5DC5">
        <w:rPr>
          <w:rFonts w:asciiTheme="majorHAnsi" w:hAnsiTheme="majorHAnsi" w:cstheme="majorHAnsi"/>
          <w:sz w:val="24"/>
          <w:szCs w:val="24"/>
          <w:lang w:val="ro-MD"/>
        </w:rPr>
        <w:t xml:space="preserve"> </w:t>
      </w:r>
      <w:r w:rsidR="00E66FFA">
        <w:rPr>
          <w:rFonts w:asciiTheme="majorHAnsi" w:hAnsiTheme="majorHAnsi" w:cstheme="majorHAnsi"/>
          <w:sz w:val="24"/>
          <w:szCs w:val="24"/>
          <w:lang w:val="ru-RU"/>
        </w:rPr>
        <w:t>с</w:t>
      </w:r>
      <w:r w:rsidRPr="00BF5DC5">
        <w:rPr>
          <w:rFonts w:asciiTheme="majorHAnsi" w:hAnsiTheme="majorHAnsi" w:cstheme="majorHAnsi"/>
          <w:sz w:val="24"/>
          <w:szCs w:val="24"/>
          <w:lang w:val="ro-MD"/>
        </w:rPr>
        <w:t>о счет</w:t>
      </w:r>
      <w:r w:rsidR="00E66FFA">
        <w:rPr>
          <w:rFonts w:asciiTheme="majorHAnsi" w:hAnsiTheme="majorHAnsi" w:cstheme="majorHAnsi"/>
          <w:sz w:val="24"/>
          <w:szCs w:val="24"/>
          <w:lang w:val="ru-RU"/>
        </w:rPr>
        <w:t>а</w:t>
      </w:r>
      <w:r w:rsidRPr="00BF5DC5">
        <w:rPr>
          <w:rFonts w:asciiTheme="majorHAnsi" w:hAnsiTheme="majorHAnsi" w:cstheme="majorHAnsi"/>
          <w:sz w:val="24"/>
          <w:szCs w:val="24"/>
          <w:lang w:val="ro-MD"/>
        </w:rPr>
        <w:t xml:space="preserve"> содержала ошибки, допущенные работодателем, из-за которых </w:t>
      </w:r>
      <w:r w:rsidR="00E66FFA">
        <w:rPr>
          <w:rFonts w:asciiTheme="majorHAnsi" w:hAnsiTheme="majorHAnsi" w:cstheme="majorHAnsi"/>
          <w:sz w:val="24"/>
          <w:szCs w:val="24"/>
          <w:lang w:val="ru-RU"/>
        </w:rPr>
        <w:t>НКСС</w:t>
      </w:r>
      <w:r w:rsidRPr="00BF5DC5">
        <w:rPr>
          <w:rFonts w:asciiTheme="majorHAnsi" w:hAnsiTheme="majorHAnsi" w:cstheme="majorHAnsi"/>
          <w:sz w:val="24"/>
          <w:szCs w:val="24"/>
          <w:lang w:val="ro-MD"/>
        </w:rPr>
        <w:t xml:space="preserve"> </w:t>
      </w:r>
      <w:r w:rsidR="00E66FFA">
        <w:rPr>
          <w:rFonts w:asciiTheme="majorHAnsi" w:hAnsiTheme="majorHAnsi" w:cstheme="majorHAnsi"/>
          <w:sz w:val="24"/>
          <w:szCs w:val="24"/>
          <w:lang w:val="ru-RU"/>
        </w:rPr>
        <w:t xml:space="preserve">пришлось </w:t>
      </w:r>
      <w:r w:rsidRPr="00BF5DC5">
        <w:rPr>
          <w:rFonts w:asciiTheme="majorHAnsi" w:hAnsiTheme="majorHAnsi" w:cstheme="majorHAnsi"/>
          <w:sz w:val="24"/>
          <w:szCs w:val="24"/>
          <w:lang w:val="ro-MD"/>
        </w:rPr>
        <w:t>отказ</w:t>
      </w:r>
      <w:r w:rsidR="00E66FFA">
        <w:rPr>
          <w:rFonts w:asciiTheme="majorHAnsi" w:hAnsiTheme="majorHAnsi" w:cstheme="majorHAnsi"/>
          <w:sz w:val="24"/>
          <w:szCs w:val="24"/>
          <w:lang w:val="ru-RU"/>
        </w:rPr>
        <w:t xml:space="preserve">ать в </w:t>
      </w:r>
      <w:r w:rsidRPr="00BF5DC5">
        <w:rPr>
          <w:rFonts w:asciiTheme="majorHAnsi" w:hAnsiTheme="majorHAnsi" w:cstheme="majorHAnsi"/>
          <w:sz w:val="24"/>
          <w:szCs w:val="24"/>
          <w:lang w:val="ro-MD"/>
        </w:rPr>
        <w:t>установлени</w:t>
      </w:r>
      <w:r w:rsidR="00E66FFA">
        <w:rPr>
          <w:rFonts w:asciiTheme="majorHAnsi" w:hAnsiTheme="majorHAnsi" w:cstheme="majorHAnsi"/>
          <w:sz w:val="24"/>
          <w:szCs w:val="24"/>
          <w:lang w:val="ru-RU"/>
        </w:rPr>
        <w:t>и пособия</w:t>
      </w:r>
      <w:r w:rsidRPr="00BF5DC5">
        <w:rPr>
          <w:rFonts w:asciiTheme="majorHAnsi" w:hAnsiTheme="majorHAnsi" w:cstheme="majorHAnsi"/>
          <w:sz w:val="24"/>
          <w:szCs w:val="24"/>
          <w:lang w:val="ro-MD"/>
        </w:rPr>
        <w:t>. Решение об отказе в установлении пособия</w:t>
      </w:r>
      <w:r w:rsidR="00E66FFA">
        <w:rPr>
          <w:rFonts w:asciiTheme="majorHAnsi" w:hAnsiTheme="majorHAnsi" w:cstheme="majorHAnsi"/>
          <w:sz w:val="24"/>
          <w:szCs w:val="24"/>
          <w:lang w:val="ru-RU"/>
        </w:rPr>
        <w:t>,</w:t>
      </w:r>
      <w:r w:rsidRPr="00BF5DC5">
        <w:rPr>
          <w:rFonts w:asciiTheme="majorHAnsi" w:hAnsiTheme="majorHAnsi" w:cstheme="majorHAnsi"/>
          <w:sz w:val="24"/>
          <w:szCs w:val="24"/>
          <w:lang w:val="ro-MD"/>
        </w:rPr>
        <w:t xml:space="preserve"> в случае введения первично</w:t>
      </w:r>
      <w:r w:rsidR="00E66FFA">
        <w:rPr>
          <w:rFonts w:asciiTheme="majorHAnsi" w:hAnsiTheme="majorHAnsi" w:cstheme="majorHAnsi"/>
          <w:sz w:val="24"/>
          <w:szCs w:val="24"/>
          <w:lang w:val="ru-RU"/>
        </w:rPr>
        <w:t>го больничного листа,</w:t>
      </w:r>
      <w:r w:rsidRPr="00BF5DC5">
        <w:rPr>
          <w:rFonts w:asciiTheme="majorHAnsi" w:hAnsiTheme="majorHAnsi" w:cstheme="majorHAnsi"/>
          <w:sz w:val="24"/>
          <w:szCs w:val="24"/>
          <w:lang w:val="ro-MD"/>
        </w:rPr>
        <w:t xml:space="preserve"> ограничивало с</w:t>
      </w:r>
      <w:r w:rsidR="00E66FFA">
        <w:rPr>
          <w:rFonts w:asciiTheme="majorHAnsi" w:hAnsiTheme="majorHAnsi" w:cstheme="majorHAnsi"/>
          <w:sz w:val="24"/>
          <w:szCs w:val="24"/>
          <w:lang w:val="ru-RU"/>
        </w:rPr>
        <w:t xml:space="preserve">воевременную </w:t>
      </w:r>
      <w:r w:rsidRPr="00BF5DC5">
        <w:rPr>
          <w:rFonts w:asciiTheme="majorHAnsi" w:hAnsiTheme="majorHAnsi" w:cstheme="majorHAnsi"/>
          <w:sz w:val="24"/>
          <w:szCs w:val="24"/>
          <w:lang w:val="ro-MD"/>
        </w:rPr>
        <w:t xml:space="preserve">передачу </w:t>
      </w:r>
      <w:r w:rsidR="00E66FFA">
        <w:rPr>
          <w:rFonts w:asciiTheme="majorHAnsi" w:hAnsiTheme="majorHAnsi" w:cstheme="majorHAnsi"/>
          <w:sz w:val="24"/>
          <w:szCs w:val="24"/>
          <w:lang w:val="ru-RU"/>
        </w:rPr>
        <w:t>больничного листа</w:t>
      </w:r>
      <w:r w:rsidRPr="00BF5DC5">
        <w:rPr>
          <w:rFonts w:asciiTheme="majorHAnsi" w:hAnsiTheme="majorHAnsi" w:cstheme="majorHAnsi"/>
          <w:sz w:val="24"/>
          <w:szCs w:val="24"/>
          <w:lang w:val="ro-MD"/>
        </w:rPr>
        <w:t xml:space="preserve"> со статусом продолжения.</w:t>
      </w:r>
      <w:r>
        <w:rPr>
          <w:rFonts w:asciiTheme="majorHAnsi" w:hAnsiTheme="majorHAnsi" w:cstheme="majorHAnsi"/>
          <w:sz w:val="24"/>
          <w:szCs w:val="24"/>
          <w:lang w:val="ru-RU"/>
        </w:rPr>
        <w:t xml:space="preserve"> </w:t>
      </w:r>
      <w:r w:rsidRPr="00BF5DC5">
        <w:rPr>
          <w:rFonts w:asciiTheme="majorHAnsi" w:hAnsiTheme="majorHAnsi" w:cstheme="majorHAnsi"/>
          <w:sz w:val="24"/>
          <w:szCs w:val="24"/>
          <w:lang w:val="ro-MD"/>
        </w:rPr>
        <w:t>Отме</w:t>
      </w:r>
      <w:r w:rsidR="00854C95">
        <w:rPr>
          <w:rFonts w:asciiTheme="majorHAnsi" w:hAnsiTheme="majorHAnsi" w:cstheme="majorHAnsi"/>
          <w:sz w:val="24"/>
          <w:szCs w:val="24"/>
          <w:lang w:val="ru-RU"/>
        </w:rPr>
        <w:t>чается</w:t>
      </w:r>
      <w:r w:rsidRPr="00BF5DC5">
        <w:rPr>
          <w:rFonts w:asciiTheme="majorHAnsi" w:hAnsiTheme="majorHAnsi" w:cstheme="majorHAnsi"/>
          <w:sz w:val="24"/>
          <w:szCs w:val="24"/>
          <w:lang w:val="ro-MD"/>
        </w:rPr>
        <w:t xml:space="preserve">, что </w:t>
      </w:r>
      <w:r w:rsidR="00854C95">
        <w:rPr>
          <w:rFonts w:asciiTheme="majorHAnsi" w:hAnsiTheme="majorHAnsi" w:cstheme="majorHAnsi"/>
          <w:sz w:val="24"/>
          <w:szCs w:val="24"/>
          <w:lang w:val="ru-RU"/>
        </w:rPr>
        <w:t>согласно п</w:t>
      </w:r>
      <w:r w:rsidRPr="00BF5DC5">
        <w:rPr>
          <w:rFonts w:asciiTheme="majorHAnsi" w:hAnsiTheme="majorHAnsi" w:cstheme="majorHAnsi"/>
          <w:sz w:val="24"/>
          <w:szCs w:val="24"/>
          <w:lang w:val="ro-MD"/>
        </w:rPr>
        <w:t xml:space="preserve">.8 </w:t>
      </w:r>
      <w:r w:rsidR="00854C95">
        <w:rPr>
          <w:rFonts w:asciiTheme="majorHAnsi" w:hAnsiTheme="majorHAnsi" w:cstheme="majorHAnsi"/>
          <w:sz w:val="24"/>
          <w:szCs w:val="24"/>
          <w:lang w:val="ru-RU"/>
        </w:rPr>
        <w:t>П</w:t>
      </w:r>
      <w:r w:rsidRPr="00BF5DC5">
        <w:rPr>
          <w:rFonts w:asciiTheme="majorHAnsi" w:hAnsiTheme="majorHAnsi" w:cstheme="majorHAnsi"/>
          <w:sz w:val="24"/>
          <w:szCs w:val="24"/>
          <w:lang w:val="ro-MD"/>
        </w:rPr>
        <w:t xml:space="preserve">риказа </w:t>
      </w:r>
      <w:r w:rsidR="00854C95">
        <w:rPr>
          <w:rFonts w:asciiTheme="majorHAnsi" w:hAnsiTheme="majorHAnsi" w:cstheme="majorHAnsi"/>
          <w:sz w:val="24"/>
          <w:szCs w:val="24"/>
          <w:lang w:val="ru-RU"/>
        </w:rPr>
        <w:t>МЗТСЗ</w:t>
      </w:r>
      <w:r w:rsidRPr="00BF5DC5">
        <w:rPr>
          <w:rFonts w:asciiTheme="majorHAnsi" w:hAnsiTheme="majorHAnsi" w:cstheme="majorHAnsi"/>
          <w:sz w:val="24"/>
          <w:szCs w:val="24"/>
          <w:lang w:val="ro-MD"/>
        </w:rPr>
        <w:t xml:space="preserve"> №933 от 15.08.2019</w:t>
      </w:r>
      <w:r w:rsidR="00854C95">
        <w:rPr>
          <w:rFonts w:asciiTheme="majorHAnsi" w:hAnsiTheme="majorHAnsi" w:cstheme="majorHAnsi"/>
          <w:sz w:val="24"/>
          <w:szCs w:val="24"/>
          <w:lang w:val="ru-RU"/>
        </w:rPr>
        <w:t xml:space="preserve"> </w:t>
      </w:r>
      <w:r w:rsidR="00854C95" w:rsidRPr="00BF5DC5">
        <w:rPr>
          <w:rFonts w:asciiTheme="majorHAnsi" w:hAnsiTheme="majorHAnsi" w:cstheme="majorHAnsi"/>
          <w:sz w:val="24"/>
          <w:szCs w:val="24"/>
          <w:lang w:val="ro-MD"/>
        </w:rPr>
        <w:t>„</w:t>
      </w:r>
      <w:r w:rsidRPr="00BF5DC5">
        <w:rPr>
          <w:rFonts w:asciiTheme="majorHAnsi" w:hAnsiTheme="majorHAnsi" w:cstheme="majorHAnsi"/>
          <w:sz w:val="24"/>
          <w:szCs w:val="24"/>
          <w:lang w:val="ro-MD"/>
        </w:rPr>
        <w:t xml:space="preserve">Об утверждении Положения об организации и функционировании </w:t>
      </w:r>
      <w:r w:rsidR="00854C95">
        <w:rPr>
          <w:rFonts w:asciiTheme="majorHAnsi" w:hAnsiTheme="majorHAnsi" w:cstheme="majorHAnsi"/>
          <w:sz w:val="24"/>
          <w:szCs w:val="24"/>
          <w:lang w:val="ru-RU"/>
        </w:rPr>
        <w:t>П</w:t>
      </w:r>
      <w:r w:rsidRPr="00BF5DC5">
        <w:rPr>
          <w:rFonts w:asciiTheme="majorHAnsi" w:hAnsiTheme="majorHAnsi" w:cstheme="majorHAnsi"/>
          <w:sz w:val="24"/>
          <w:szCs w:val="24"/>
          <w:lang w:val="ro-MD"/>
        </w:rPr>
        <w:t xml:space="preserve">ортала </w:t>
      </w:r>
      <w:r w:rsidR="00854C95">
        <w:rPr>
          <w:rFonts w:asciiTheme="majorHAnsi" w:hAnsiTheme="majorHAnsi" w:cstheme="majorHAnsi"/>
          <w:sz w:val="24"/>
          <w:szCs w:val="24"/>
          <w:lang w:val="ru-RU"/>
        </w:rPr>
        <w:t>больничны</w:t>
      </w:r>
      <w:r w:rsidRPr="00BF5DC5">
        <w:rPr>
          <w:rFonts w:asciiTheme="majorHAnsi" w:hAnsiTheme="majorHAnsi" w:cstheme="majorHAnsi"/>
          <w:sz w:val="24"/>
          <w:szCs w:val="24"/>
          <w:lang w:val="ro-MD"/>
        </w:rPr>
        <w:t xml:space="preserve">х </w:t>
      </w:r>
      <w:r w:rsidR="00854C95">
        <w:rPr>
          <w:rFonts w:asciiTheme="majorHAnsi" w:hAnsiTheme="majorHAnsi" w:cstheme="majorHAnsi"/>
          <w:sz w:val="24"/>
          <w:szCs w:val="24"/>
          <w:lang w:val="ru-RU"/>
        </w:rPr>
        <w:t>листов</w:t>
      </w:r>
      <w:r w:rsidRPr="00BF5DC5">
        <w:rPr>
          <w:rFonts w:asciiTheme="majorHAnsi" w:hAnsiTheme="majorHAnsi" w:cstheme="majorHAnsi"/>
          <w:sz w:val="24"/>
          <w:szCs w:val="24"/>
          <w:lang w:val="ro-MD"/>
        </w:rPr>
        <w:t>”</w:t>
      </w:r>
      <w:r w:rsidR="00854C95" w:rsidRPr="00BF5DC5">
        <w:rPr>
          <w:rFonts w:asciiTheme="majorHAnsi" w:hAnsiTheme="majorHAnsi" w:cstheme="majorHAnsi"/>
          <w:sz w:val="24"/>
          <w:szCs w:val="24"/>
          <w:lang w:val="ro-MD"/>
        </w:rPr>
        <w:t>,</w:t>
      </w:r>
      <w:r w:rsidR="00854C95">
        <w:rPr>
          <w:rFonts w:asciiTheme="majorHAnsi" w:hAnsiTheme="majorHAnsi" w:cstheme="majorHAnsi"/>
          <w:sz w:val="24"/>
          <w:szCs w:val="24"/>
          <w:lang w:val="ru-RU"/>
        </w:rPr>
        <w:t xml:space="preserve"> </w:t>
      </w:r>
      <w:r w:rsidR="00854C95" w:rsidRPr="00736448">
        <w:rPr>
          <w:rFonts w:asciiTheme="majorHAnsi" w:hAnsiTheme="majorHAnsi" w:cstheme="majorHAnsi"/>
          <w:sz w:val="24"/>
          <w:szCs w:val="24"/>
          <w:lang w:val="ro-MD"/>
        </w:rPr>
        <w:t>„</w:t>
      </w:r>
      <w:r w:rsidR="00854C95">
        <w:rPr>
          <w:rFonts w:asciiTheme="majorHAnsi" w:hAnsiTheme="majorHAnsi" w:cstheme="majorHAnsi"/>
          <w:sz w:val="24"/>
          <w:szCs w:val="24"/>
          <w:lang w:val="ru-RU"/>
        </w:rPr>
        <w:t>В</w:t>
      </w:r>
      <w:r w:rsidRPr="00BF5DC5">
        <w:rPr>
          <w:rFonts w:asciiTheme="majorHAnsi" w:hAnsiTheme="majorHAnsi" w:cstheme="majorHAnsi"/>
          <w:sz w:val="24"/>
          <w:szCs w:val="24"/>
          <w:lang w:val="ro-MD"/>
        </w:rPr>
        <w:t xml:space="preserve">ладельцем </w:t>
      </w:r>
      <w:r w:rsidR="00854C95">
        <w:rPr>
          <w:rFonts w:asciiTheme="majorHAnsi" w:hAnsiTheme="majorHAnsi" w:cstheme="majorHAnsi"/>
          <w:sz w:val="24"/>
          <w:szCs w:val="24"/>
          <w:lang w:val="ru-RU"/>
        </w:rPr>
        <w:t>П</w:t>
      </w:r>
      <w:r w:rsidRPr="00BF5DC5">
        <w:rPr>
          <w:rFonts w:asciiTheme="majorHAnsi" w:hAnsiTheme="majorHAnsi" w:cstheme="majorHAnsi"/>
          <w:sz w:val="24"/>
          <w:szCs w:val="24"/>
          <w:lang w:val="ro-MD"/>
        </w:rPr>
        <w:t xml:space="preserve">ортала является </w:t>
      </w:r>
      <w:r w:rsidR="00854C95" w:rsidRPr="00854C95">
        <w:rPr>
          <w:rFonts w:asciiTheme="majorHAnsi" w:hAnsiTheme="majorHAnsi" w:cstheme="majorHAnsi"/>
          <w:sz w:val="24"/>
          <w:szCs w:val="24"/>
          <w:lang w:val="ru-MD"/>
        </w:rPr>
        <w:t>НМСК</w:t>
      </w:r>
      <w:r w:rsidR="00854C95" w:rsidRPr="00BF5DC5">
        <w:rPr>
          <w:rFonts w:asciiTheme="majorHAnsi" w:hAnsiTheme="majorHAnsi" w:cstheme="majorHAnsi"/>
          <w:sz w:val="24"/>
          <w:szCs w:val="24"/>
          <w:lang w:val="ro-MD"/>
        </w:rPr>
        <w:t>”</w:t>
      </w:r>
      <w:r w:rsidRPr="00BF5DC5">
        <w:rPr>
          <w:rFonts w:asciiTheme="majorHAnsi" w:hAnsiTheme="majorHAnsi" w:cstheme="majorHAnsi"/>
          <w:sz w:val="24"/>
          <w:szCs w:val="24"/>
          <w:lang w:val="ro-MD"/>
        </w:rPr>
        <w:t xml:space="preserve">. Следовательно, </w:t>
      </w:r>
      <w:r w:rsidR="00854C95" w:rsidRPr="00854C95">
        <w:rPr>
          <w:rFonts w:asciiTheme="majorHAnsi" w:hAnsiTheme="majorHAnsi" w:cstheme="majorHAnsi"/>
          <w:sz w:val="24"/>
          <w:szCs w:val="24"/>
          <w:lang w:val="ro-MD"/>
        </w:rPr>
        <w:t xml:space="preserve">из-за </w:t>
      </w:r>
      <w:r w:rsidRPr="00BF5DC5">
        <w:rPr>
          <w:rFonts w:asciiTheme="majorHAnsi" w:hAnsiTheme="majorHAnsi" w:cstheme="majorHAnsi"/>
          <w:sz w:val="24"/>
          <w:szCs w:val="24"/>
          <w:lang w:val="ro-MD"/>
        </w:rPr>
        <w:t>несовершен</w:t>
      </w:r>
      <w:r w:rsidR="00854C95" w:rsidRPr="00854C95">
        <w:rPr>
          <w:rFonts w:asciiTheme="majorHAnsi" w:hAnsiTheme="majorHAnsi" w:cstheme="majorHAnsi"/>
          <w:sz w:val="24"/>
          <w:szCs w:val="24"/>
          <w:lang w:val="ro-MD"/>
        </w:rPr>
        <w:t>ства</w:t>
      </w:r>
      <w:r w:rsidRPr="00BF5DC5">
        <w:rPr>
          <w:rFonts w:asciiTheme="majorHAnsi" w:hAnsiTheme="majorHAnsi" w:cstheme="majorHAnsi"/>
          <w:sz w:val="24"/>
          <w:szCs w:val="24"/>
          <w:lang w:val="ro-MD"/>
        </w:rPr>
        <w:t xml:space="preserve"> информационн</w:t>
      </w:r>
      <w:r w:rsidR="00854C95" w:rsidRPr="00854C95">
        <w:rPr>
          <w:rFonts w:asciiTheme="majorHAnsi" w:hAnsiTheme="majorHAnsi" w:cstheme="majorHAnsi"/>
          <w:sz w:val="24"/>
          <w:szCs w:val="24"/>
          <w:lang w:val="ro-MD"/>
        </w:rPr>
        <w:t>ой</w:t>
      </w:r>
      <w:r w:rsidRPr="00BF5DC5">
        <w:rPr>
          <w:rFonts w:asciiTheme="majorHAnsi" w:hAnsiTheme="majorHAnsi" w:cstheme="majorHAnsi"/>
          <w:sz w:val="24"/>
          <w:szCs w:val="24"/>
          <w:lang w:val="ro-MD"/>
        </w:rPr>
        <w:t xml:space="preserve"> систем</w:t>
      </w:r>
      <w:r w:rsidR="00854C95" w:rsidRPr="00854C95">
        <w:rPr>
          <w:rFonts w:asciiTheme="majorHAnsi" w:hAnsiTheme="majorHAnsi" w:cstheme="majorHAnsi"/>
          <w:sz w:val="24"/>
          <w:szCs w:val="24"/>
          <w:lang w:val="ro-MD"/>
        </w:rPr>
        <w:t>ы</w:t>
      </w:r>
      <w:r w:rsidRPr="00BF5DC5">
        <w:rPr>
          <w:rFonts w:asciiTheme="majorHAnsi" w:hAnsiTheme="majorHAnsi" w:cstheme="majorHAnsi"/>
          <w:sz w:val="24"/>
          <w:szCs w:val="24"/>
          <w:lang w:val="ro-MD"/>
        </w:rPr>
        <w:t>, а также безответственност</w:t>
      </w:r>
      <w:r w:rsidR="00854C95" w:rsidRPr="00854C95">
        <w:rPr>
          <w:rFonts w:asciiTheme="majorHAnsi" w:hAnsiTheme="majorHAnsi" w:cstheme="majorHAnsi"/>
          <w:sz w:val="24"/>
          <w:szCs w:val="24"/>
          <w:lang w:val="ro-MD"/>
        </w:rPr>
        <w:t>и</w:t>
      </w:r>
      <w:r w:rsidRPr="00BF5DC5">
        <w:rPr>
          <w:rFonts w:asciiTheme="majorHAnsi" w:hAnsiTheme="majorHAnsi" w:cstheme="majorHAnsi"/>
          <w:sz w:val="24"/>
          <w:szCs w:val="24"/>
          <w:lang w:val="ro-MD"/>
        </w:rPr>
        <w:t xml:space="preserve"> вовлеченных </w:t>
      </w:r>
      <w:r w:rsidR="00854C95" w:rsidRPr="00854C95">
        <w:rPr>
          <w:rFonts w:asciiTheme="majorHAnsi" w:hAnsiTheme="majorHAnsi" w:cstheme="majorHAnsi"/>
          <w:sz w:val="24"/>
          <w:szCs w:val="24"/>
          <w:lang w:val="ro-MD"/>
        </w:rPr>
        <w:t>сторон,</w:t>
      </w:r>
      <w:r w:rsidRPr="00BF5DC5">
        <w:rPr>
          <w:rFonts w:asciiTheme="majorHAnsi" w:hAnsiTheme="majorHAnsi" w:cstheme="majorHAnsi"/>
          <w:sz w:val="24"/>
          <w:szCs w:val="24"/>
          <w:lang w:val="ro-MD"/>
        </w:rPr>
        <w:t xml:space="preserve"> не </w:t>
      </w:r>
      <w:r w:rsidR="00854C95" w:rsidRPr="00854C95">
        <w:rPr>
          <w:rFonts w:asciiTheme="majorHAnsi" w:hAnsiTheme="majorHAnsi" w:cstheme="majorHAnsi"/>
          <w:sz w:val="24"/>
          <w:szCs w:val="24"/>
          <w:lang w:val="ro-MD"/>
        </w:rPr>
        <w:t xml:space="preserve">было </w:t>
      </w:r>
      <w:r w:rsidRPr="00BF5DC5">
        <w:rPr>
          <w:rFonts w:asciiTheme="majorHAnsi" w:hAnsiTheme="majorHAnsi" w:cstheme="majorHAnsi"/>
          <w:sz w:val="24"/>
          <w:szCs w:val="24"/>
          <w:lang w:val="ro-MD"/>
        </w:rPr>
        <w:t>обеспеч</w:t>
      </w:r>
      <w:r w:rsidR="00854C95" w:rsidRPr="00854C95">
        <w:rPr>
          <w:rFonts w:asciiTheme="majorHAnsi" w:hAnsiTheme="majorHAnsi" w:cstheme="majorHAnsi"/>
          <w:sz w:val="24"/>
          <w:szCs w:val="24"/>
          <w:lang w:val="ro-MD"/>
        </w:rPr>
        <w:t>ено</w:t>
      </w:r>
      <w:r w:rsidRPr="00BF5DC5">
        <w:rPr>
          <w:rFonts w:asciiTheme="majorHAnsi" w:hAnsiTheme="majorHAnsi" w:cstheme="majorHAnsi"/>
          <w:sz w:val="24"/>
          <w:szCs w:val="24"/>
          <w:lang w:val="ro-MD"/>
        </w:rPr>
        <w:t xml:space="preserve"> срочное предоставление/выплату пособия </w:t>
      </w:r>
      <w:r w:rsidR="00854C95" w:rsidRPr="00BF5DC5">
        <w:rPr>
          <w:rFonts w:asciiTheme="majorHAnsi" w:hAnsiTheme="majorHAnsi" w:cstheme="majorHAnsi"/>
          <w:sz w:val="24"/>
          <w:szCs w:val="24"/>
          <w:lang w:val="ro-MD"/>
        </w:rPr>
        <w:t>нетрудоспособно</w:t>
      </w:r>
      <w:r w:rsidR="00854C95" w:rsidRPr="00854C95">
        <w:rPr>
          <w:rFonts w:asciiTheme="majorHAnsi" w:hAnsiTheme="majorHAnsi" w:cstheme="majorHAnsi"/>
          <w:sz w:val="24"/>
          <w:szCs w:val="24"/>
          <w:lang w:val="ro-MD"/>
        </w:rPr>
        <w:t xml:space="preserve">му </w:t>
      </w:r>
      <w:r w:rsidRPr="00BF5DC5">
        <w:rPr>
          <w:rFonts w:asciiTheme="majorHAnsi" w:hAnsiTheme="majorHAnsi" w:cstheme="majorHAnsi"/>
          <w:sz w:val="24"/>
          <w:szCs w:val="24"/>
          <w:lang w:val="ro-MD"/>
        </w:rPr>
        <w:t>бенефициару</w:t>
      </w:r>
      <w:r w:rsidR="00854C95" w:rsidRPr="00854C95">
        <w:rPr>
          <w:rFonts w:asciiTheme="majorHAnsi" w:hAnsiTheme="majorHAnsi" w:cstheme="majorHAnsi"/>
          <w:sz w:val="24"/>
          <w:szCs w:val="24"/>
          <w:lang w:val="ro-MD"/>
        </w:rPr>
        <w:t>.</w:t>
      </w:r>
    </w:p>
    <w:p w14:paraId="5EA6E9DB" w14:textId="162E4C4C" w:rsidR="00040D51" w:rsidRPr="00736448" w:rsidRDefault="00BF5DC5" w:rsidP="009030C4">
      <w:pPr>
        <w:pStyle w:val="aa"/>
        <w:spacing w:after="0" w:line="276" w:lineRule="auto"/>
        <w:jc w:val="both"/>
        <w:rPr>
          <w:rFonts w:asciiTheme="majorHAnsi" w:hAnsiTheme="majorHAnsi" w:cstheme="majorHAnsi"/>
          <w:sz w:val="24"/>
          <w:szCs w:val="24"/>
          <w:lang w:val="ro-MD"/>
        </w:rPr>
      </w:pPr>
      <w:r w:rsidRPr="00BF5DC5">
        <w:rPr>
          <w:rFonts w:asciiTheme="majorHAnsi" w:hAnsiTheme="majorHAnsi" w:cstheme="majorHAnsi"/>
          <w:sz w:val="24"/>
          <w:szCs w:val="24"/>
          <w:lang w:val="ro-MD"/>
        </w:rPr>
        <w:t xml:space="preserve">В результате обращений </w:t>
      </w:r>
      <w:r w:rsidR="00915D92">
        <w:rPr>
          <w:rFonts w:asciiTheme="majorHAnsi" w:hAnsiTheme="majorHAnsi" w:cstheme="majorHAnsi"/>
          <w:sz w:val="24"/>
          <w:szCs w:val="24"/>
          <w:lang w:val="ru-RU"/>
        </w:rPr>
        <w:t>ПМСУ</w:t>
      </w:r>
      <w:r w:rsidRPr="00BF5DC5">
        <w:rPr>
          <w:rFonts w:asciiTheme="majorHAnsi" w:hAnsiTheme="majorHAnsi" w:cstheme="majorHAnsi"/>
          <w:sz w:val="24"/>
          <w:szCs w:val="24"/>
          <w:lang w:val="ro-MD"/>
        </w:rPr>
        <w:t xml:space="preserve"> и бенефициаров </w:t>
      </w:r>
      <w:r w:rsidR="00915D92">
        <w:rPr>
          <w:rFonts w:asciiTheme="majorHAnsi" w:hAnsiTheme="majorHAnsi" w:cstheme="majorHAnsi"/>
          <w:sz w:val="24"/>
          <w:szCs w:val="24"/>
          <w:lang w:val="ru-RU"/>
        </w:rPr>
        <w:t>в связи с непредоставлением</w:t>
      </w:r>
      <w:r w:rsidRPr="00BF5DC5">
        <w:rPr>
          <w:rFonts w:asciiTheme="majorHAnsi" w:hAnsiTheme="majorHAnsi" w:cstheme="majorHAnsi"/>
          <w:sz w:val="24"/>
          <w:szCs w:val="24"/>
          <w:lang w:val="ro-MD"/>
        </w:rPr>
        <w:t xml:space="preserve"> пособия </w:t>
      </w:r>
      <w:r w:rsidR="00915D92">
        <w:rPr>
          <w:rFonts w:asciiTheme="majorHAnsi" w:hAnsiTheme="majorHAnsi" w:cstheme="majorHAnsi"/>
          <w:sz w:val="24"/>
          <w:szCs w:val="24"/>
          <w:lang w:val="ru-RU"/>
        </w:rPr>
        <w:t xml:space="preserve">в срок, </w:t>
      </w:r>
      <w:r w:rsidRPr="00BF5DC5">
        <w:rPr>
          <w:rFonts w:asciiTheme="majorHAnsi" w:hAnsiTheme="majorHAnsi" w:cstheme="majorHAnsi"/>
          <w:sz w:val="24"/>
          <w:szCs w:val="24"/>
          <w:lang w:val="ro-MD"/>
        </w:rPr>
        <w:t>были внесены изменения и</w:t>
      </w:r>
      <w:r w:rsidR="00F27155">
        <w:rPr>
          <w:rFonts w:asciiTheme="majorHAnsi" w:hAnsiTheme="majorHAnsi" w:cstheme="majorHAnsi"/>
          <w:sz w:val="24"/>
          <w:szCs w:val="24"/>
          <w:lang w:val="ru-RU"/>
        </w:rPr>
        <w:t xml:space="preserve"> </w:t>
      </w:r>
      <w:r w:rsidR="00F27155" w:rsidRPr="00736448">
        <w:rPr>
          <w:rFonts w:asciiTheme="majorHAnsi" w:hAnsiTheme="majorHAnsi" w:cstheme="majorHAnsi"/>
          <w:sz w:val="24"/>
          <w:szCs w:val="24"/>
          <w:lang w:val="ro-MD"/>
        </w:rPr>
        <w:t>„</w:t>
      </w:r>
      <w:r w:rsidR="00F27155">
        <w:rPr>
          <w:rFonts w:asciiTheme="majorHAnsi" w:hAnsiTheme="majorHAnsi" w:cstheme="majorHAnsi"/>
          <w:sz w:val="24"/>
          <w:szCs w:val="24"/>
          <w:lang w:val="ru-RU"/>
        </w:rPr>
        <w:t>исключен</w:t>
      </w:r>
      <w:r w:rsidRPr="00BF5DC5">
        <w:rPr>
          <w:rFonts w:asciiTheme="majorHAnsi" w:hAnsiTheme="majorHAnsi" w:cstheme="majorHAnsi"/>
          <w:sz w:val="24"/>
          <w:szCs w:val="24"/>
          <w:lang w:val="ro-MD"/>
        </w:rPr>
        <w:t xml:space="preserve">о ограничение </w:t>
      </w:r>
      <w:r w:rsidR="00F27155">
        <w:rPr>
          <w:rFonts w:asciiTheme="majorHAnsi" w:hAnsiTheme="majorHAnsi" w:cstheme="majorHAnsi"/>
          <w:sz w:val="24"/>
          <w:szCs w:val="24"/>
          <w:lang w:val="ru-RU"/>
        </w:rPr>
        <w:t>по</w:t>
      </w:r>
      <w:r w:rsidRPr="00BF5DC5">
        <w:rPr>
          <w:rFonts w:asciiTheme="majorHAnsi" w:hAnsiTheme="majorHAnsi" w:cstheme="majorHAnsi"/>
          <w:sz w:val="24"/>
          <w:szCs w:val="24"/>
          <w:lang w:val="ro-MD"/>
        </w:rPr>
        <w:t xml:space="preserve"> регистраци</w:t>
      </w:r>
      <w:r w:rsidR="00F27155">
        <w:rPr>
          <w:rFonts w:asciiTheme="majorHAnsi" w:hAnsiTheme="majorHAnsi" w:cstheme="majorHAnsi"/>
          <w:sz w:val="24"/>
          <w:szCs w:val="24"/>
          <w:lang w:val="ru-RU"/>
        </w:rPr>
        <w:t>и</w:t>
      </w:r>
      <w:r w:rsidRPr="00BF5DC5">
        <w:rPr>
          <w:rFonts w:asciiTheme="majorHAnsi" w:hAnsiTheme="majorHAnsi" w:cstheme="majorHAnsi"/>
          <w:sz w:val="24"/>
          <w:szCs w:val="24"/>
          <w:lang w:val="ro-MD"/>
        </w:rPr>
        <w:t xml:space="preserve"> </w:t>
      </w:r>
      <w:r w:rsidR="00F27155">
        <w:rPr>
          <w:rFonts w:asciiTheme="majorHAnsi" w:hAnsiTheme="majorHAnsi" w:cstheme="majorHAnsi"/>
          <w:sz w:val="24"/>
          <w:szCs w:val="24"/>
          <w:lang w:val="ru-RU"/>
        </w:rPr>
        <w:t>больничных листов</w:t>
      </w:r>
      <w:r w:rsidRPr="00BF5DC5">
        <w:rPr>
          <w:rFonts w:asciiTheme="majorHAnsi" w:hAnsiTheme="majorHAnsi" w:cstheme="majorHAnsi"/>
          <w:sz w:val="24"/>
          <w:szCs w:val="24"/>
          <w:lang w:val="ro-MD"/>
        </w:rPr>
        <w:t xml:space="preserve"> со статусом продолжения, если для предыдуще</w:t>
      </w:r>
      <w:r w:rsidR="00F27155">
        <w:rPr>
          <w:rFonts w:asciiTheme="majorHAnsi" w:hAnsiTheme="majorHAnsi" w:cstheme="majorHAnsi"/>
          <w:sz w:val="24"/>
          <w:szCs w:val="24"/>
          <w:lang w:val="ru-RU"/>
        </w:rPr>
        <w:t>го больничного листа</w:t>
      </w:r>
      <w:r w:rsidRPr="00BF5DC5">
        <w:rPr>
          <w:rFonts w:asciiTheme="majorHAnsi" w:hAnsiTheme="majorHAnsi" w:cstheme="majorHAnsi"/>
          <w:sz w:val="24"/>
          <w:szCs w:val="24"/>
          <w:lang w:val="ro-MD"/>
        </w:rPr>
        <w:t xml:space="preserve"> было </w:t>
      </w:r>
      <w:r w:rsidR="00F27155">
        <w:rPr>
          <w:rFonts w:asciiTheme="majorHAnsi" w:hAnsiTheme="majorHAnsi" w:cstheme="majorHAnsi"/>
          <w:sz w:val="24"/>
          <w:szCs w:val="24"/>
          <w:lang w:val="ru-RU"/>
        </w:rPr>
        <w:t>принят</w:t>
      </w:r>
      <w:r w:rsidRPr="00BF5DC5">
        <w:rPr>
          <w:rFonts w:asciiTheme="majorHAnsi" w:hAnsiTheme="majorHAnsi" w:cstheme="majorHAnsi"/>
          <w:sz w:val="24"/>
          <w:szCs w:val="24"/>
          <w:lang w:val="ro-MD"/>
        </w:rPr>
        <w:t>о решение об отказе в у</w:t>
      </w:r>
      <w:r w:rsidR="00F27155">
        <w:rPr>
          <w:rFonts w:asciiTheme="majorHAnsi" w:hAnsiTheme="majorHAnsi" w:cstheme="majorHAnsi"/>
          <w:sz w:val="24"/>
          <w:szCs w:val="24"/>
          <w:lang w:val="ru-RU"/>
        </w:rPr>
        <w:t>становл</w:t>
      </w:r>
      <w:r w:rsidRPr="00BF5DC5">
        <w:rPr>
          <w:rFonts w:asciiTheme="majorHAnsi" w:hAnsiTheme="majorHAnsi" w:cstheme="majorHAnsi"/>
          <w:sz w:val="24"/>
          <w:szCs w:val="24"/>
          <w:lang w:val="ro-MD"/>
        </w:rPr>
        <w:t>ении</w:t>
      </w:r>
      <w:r w:rsidR="00F27155">
        <w:rPr>
          <w:rFonts w:asciiTheme="majorHAnsi" w:hAnsiTheme="majorHAnsi" w:cstheme="majorHAnsi"/>
          <w:sz w:val="24"/>
          <w:szCs w:val="24"/>
          <w:lang w:val="ru-RU"/>
        </w:rPr>
        <w:t xml:space="preserve"> пособия</w:t>
      </w:r>
      <w:r w:rsidR="00F27155" w:rsidRPr="00BF5DC5">
        <w:rPr>
          <w:rFonts w:asciiTheme="majorHAnsi" w:hAnsiTheme="majorHAnsi" w:cstheme="majorHAnsi"/>
          <w:sz w:val="24"/>
          <w:szCs w:val="24"/>
          <w:lang w:val="ro-MD"/>
        </w:rPr>
        <w:t>”</w:t>
      </w:r>
      <w:r w:rsidR="00F27155" w:rsidRPr="00736448">
        <w:rPr>
          <w:rStyle w:val="a5"/>
          <w:rFonts w:asciiTheme="majorHAnsi" w:hAnsiTheme="majorHAnsi" w:cstheme="majorHAnsi"/>
          <w:sz w:val="24"/>
          <w:szCs w:val="24"/>
          <w:lang w:val="ro-MD"/>
        </w:rPr>
        <w:footnoteReference w:id="78"/>
      </w:r>
      <w:r w:rsidRPr="00BF5DC5">
        <w:rPr>
          <w:rFonts w:asciiTheme="majorHAnsi" w:hAnsiTheme="majorHAnsi" w:cstheme="majorHAnsi"/>
          <w:sz w:val="24"/>
          <w:szCs w:val="24"/>
          <w:lang w:val="ro-MD"/>
        </w:rPr>
        <w:t xml:space="preserve">. Это изменение в алгоритме </w:t>
      </w:r>
      <w:r w:rsidR="00F27155" w:rsidRPr="00F27155">
        <w:rPr>
          <w:rFonts w:asciiTheme="majorHAnsi" w:hAnsiTheme="majorHAnsi" w:cstheme="majorHAnsi"/>
          <w:sz w:val="24"/>
          <w:szCs w:val="24"/>
          <w:lang w:val="ro-MD"/>
        </w:rPr>
        <w:t>П</w:t>
      </w:r>
      <w:r w:rsidRPr="00BF5DC5">
        <w:rPr>
          <w:rFonts w:asciiTheme="majorHAnsi" w:hAnsiTheme="majorHAnsi" w:cstheme="majorHAnsi"/>
          <w:sz w:val="24"/>
          <w:szCs w:val="24"/>
          <w:lang w:val="ro-MD"/>
        </w:rPr>
        <w:t xml:space="preserve">ортала позволит своевременно проверять и передавать </w:t>
      </w:r>
      <w:r w:rsidR="00F27155" w:rsidRPr="00F27155">
        <w:rPr>
          <w:rFonts w:asciiTheme="majorHAnsi" w:hAnsiTheme="majorHAnsi" w:cstheme="majorHAnsi"/>
          <w:sz w:val="24"/>
          <w:szCs w:val="24"/>
          <w:lang w:val="ro-MD"/>
        </w:rPr>
        <w:t>больничные листы</w:t>
      </w:r>
      <w:r w:rsidR="00AB48B2" w:rsidRPr="00736448">
        <w:rPr>
          <w:rFonts w:asciiTheme="majorHAnsi" w:hAnsiTheme="majorHAnsi" w:cstheme="majorHAnsi"/>
          <w:sz w:val="24"/>
          <w:szCs w:val="24"/>
          <w:lang w:val="ro-MD"/>
        </w:rPr>
        <w:t>;</w:t>
      </w:r>
    </w:p>
    <w:p w14:paraId="4C73E53A" w14:textId="55EAD100" w:rsidR="00061CCE" w:rsidRPr="00736448" w:rsidRDefault="00BF5DC5" w:rsidP="00BF5DC5">
      <w:pPr>
        <w:pStyle w:val="aa"/>
        <w:numPr>
          <w:ilvl w:val="0"/>
          <w:numId w:val="3"/>
        </w:numPr>
        <w:spacing w:after="0" w:line="276" w:lineRule="auto"/>
        <w:jc w:val="both"/>
        <w:rPr>
          <w:rFonts w:asciiTheme="majorHAnsi" w:hAnsiTheme="majorHAnsi" w:cstheme="majorHAnsi"/>
          <w:sz w:val="24"/>
          <w:szCs w:val="24"/>
          <w:lang w:val="ro-MD"/>
        </w:rPr>
      </w:pPr>
      <w:r w:rsidRPr="00BF5DC5">
        <w:rPr>
          <w:rFonts w:asciiTheme="majorHAnsi" w:hAnsiTheme="majorHAnsi" w:cstheme="majorHAnsi"/>
          <w:sz w:val="24"/>
          <w:szCs w:val="24"/>
          <w:lang w:val="ro-MD"/>
        </w:rPr>
        <w:t xml:space="preserve">в 20 других случаях решения </w:t>
      </w:r>
      <w:r w:rsidR="00F27155">
        <w:rPr>
          <w:rFonts w:asciiTheme="majorHAnsi" w:hAnsiTheme="majorHAnsi" w:cstheme="majorHAnsi"/>
          <w:sz w:val="24"/>
          <w:szCs w:val="24"/>
          <w:lang w:val="ru-RU"/>
        </w:rPr>
        <w:t>принимались</w:t>
      </w:r>
      <w:r w:rsidRPr="00BF5DC5">
        <w:rPr>
          <w:rFonts w:asciiTheme="majorHAnsi" w:hAnsiTheme="majorHAnsi" w:cstheme="majorHAnsi"/>
          <w:sz w:val="24"/>
          <w:szCs w:val="24"/>
          <w:lang w:val="ro-MD"/>
        </w:rPr>
        <w:t xml:space="preserve"> НКСС с опозданием </w:t>
      </w:r>
      <w:r w:rsidR="00F27155">
        <w:rPr>
          <w:rFonts w:asciiTheme="majorHAnsi" w:hAnsiTheme="majorHAnsi" w:cstheme="majorHAnsi"/>
          <w:sz w:val="24"/>
          <w:szCs w:val="24"/>
          <w:lang w:val="ru-RU"/>
        </w:rPr>
        <w:t>от</w:t>
      </w:r>
      <w:r w:rsidRPr="00BF5DC5">
        <w:rPr>
          <w:rFonts w:asciiTheme="majorHAnsi" w:hAnsiTheme="majorHAnsi" w:cstheme="majorHAnsi"/>
          <w:sz w:val="24"/>
          <w:szCs w:val="24"/>
          <w:lang w:val="ro-MD"/>
        </w:rPr>
        <w:t xml:space="preserve"> 13</w:t>
      </w:r>
      <w:r w:rsidR="00F27155">
        <w:rPr>
          <w:rFonts w:asciiTheme="majorHAnsi" w:hAnsiTheme="majorHAnsi" w:cstheme="majorHAnsi"/>
          <w:sz w:val="24"/>
          <w:szCs w:val="24"/>
          <w:lang w:val="ru-RU"/>
        </w:rPr>
        <w:t xml:space="preserve"> до </w:t>
      </w:r>
      <w:r w:rsidRPr="00BF5DC5">
        <w:rPr>
          <w:rFonts w:asciiTheme="majorHAnsi" w:hAnsiTheme="majorHAnsi" w:cstheme="majorHAnsi"/>
          <w:sz w:val="24"/>
          <w:szCs w:val="24"/>
          <w:lang w:val="ro-MD"/>
        </w:rPr>
        <w:t xml:space="preserve">466 дней, </w:t>
      </w:r>
      <w:r w:rsidR="00F27155">
        <w:rPr>
          <w:rFonts w:asciiTheme="majorHAnsi" w:hAnsiTheme="majorHAnsi" w:cstheme="majorHAnsi"/>
          <w:sz w:val="24"/>
          <w:szCs w:val="24"/>
          <w:lang w:val="ru-RU"/>
        </w:rPr>
        <w:t>с ущемлением</w:t>
      </w:r>
      <w:r w:rsidRPr="00BF5DC5">
        <w:rPr>
          <w:rFonts w:asciiTheme="majorHAnsi" w:hAnsiTheme="majorHAnsi" w:cstheme="majorHAnsi"/>
          <w:sz w:val="24"/>
          <w:szCs w:val="24"/>
          <w:lang w:val="ro-MD"/>
        </w:rPr>
        <w:t xml:space="preserve"> прав</w:t>
      </w:r>
      <w:r w:rsidR="00F27155">
        <w:rPr>
          <w:rFonts w:asciiTheme="majorHAnsi" w:hAnsiTheme="majorHAnsi" w:cstheme="majorHAnsi"/>
          <w:sz w:val="24"/>
          <w:szCs w:val="24"/>
          <w:lang w:val="ru-RU"/>
        </w:rPr>
        <w:t>а</w:t>
      </w:r>
      <w:r w:rsidRPr="00BF5DC5">
        <w:rPr>
          <w:rFonts w:asciiTheme="majorHAnsi" w:hAnsiTheme="majorHAnsi" w:cstheme="majorHAnsi"/>
          <w:sz w:val="24"/>
          <w:szCs w:val="24"/>
          <w:lang w:val="ro-MD"/>
        </w:rPr>
        <w:t xml:space="preserve"> получателя своевременно получать пособие по временной нетрудоспособности </w:t>
      </w:r>
      <w:r w:rsidR="00F27155">
        <w:rPr>
          <w:rFonts w:asciiTheme="majorHAnsi" w:hAnsiTheme="majorHAnsi" w:cstheme="majorHAnsi"/>
          <w:sz w:val="24"/>
          <w:szCs w:val="24"/>
          <w:lang w:val="ru-RU"/>
        </w:rPr>
        <w:t>на сумму</w:t>
      </w:r>
      <w:r w:rsidRPr="00BF5DC5">
        <w:rPr>
          <w:rFonts w:asciiTheme="majorHAnsi" w:hAnsiTheme="majorHAnsi" w:cstheme="majorHAnsi"/>
          <w:sz w:val="24"/>
          <w:szCs w:val="24"/>
          <w:lang w:val="ro-MD"/>
        </w:rPr>
        <w:t xml:space="preserve"> 67,6 тыс. леев. Согласно объяснениям НКСС, при получении данных </w:t>
      </w:r>
      <w:r w:rsidR="00F27155">
        <w:rPr>
          <w:rFonts w:asciiTheme="majorHAnsi" w:hAnsiTheme="majorHAnsi" w:cstheme="majorHAnsi"/>
          <w:sz w:val="24"/>
          <w:szCs w:val="24"/>
          <w:lang w:val="ru-RU"/>
        </w:rPr>
        <w:t>из больничных листов</w:t>
      </w:r>
      <w:r w:rsidRPr="00BF5DC5">
        <w:rPr>
          <w:rFonts w:asciiTheme="majorHAnsi" w:hAnsiTheme="majorHAnsi" w:cstheme="majorHAnsi"/>
          <w:sz w:val="24"/>
          <w:szCs w:val="24"/>
          <w:lang w:val="ro-MD"/>
        </w:rPr>
        <w:t xml:space="preserve"> были вынесены решения об отказе в установлении пособия на том основании, что в личных счетах получателя, согласно </w:t>
      </w:r>
      <w:r w:rsidR="00F27155">
        <w:rPr>
          <w:rFonts w:asciiTheme="majorHAnsi" w:hAnsiTheme="majorHAnsi" w:cstheme="majorHAnsi"/>
          <w:sz w:val="24"/>
          <w:szCs w:val="24"/>
          <w:lang w:val="ru-RU"/>
        </w:rPr>
        <w:t>данным, задекларированным</w:t>
      </w:r>
      <w:r w:rsidRPr="00BF5DC5">
        <w:rPr>
          <w:rFonts w:asciiTheme="majorHAnsi" w:hAnsiTheme="majorHAnsi" w:cstheme="majorHAnsi"/>
          <w:sz w:val="24"/>
          <w:szCs w:val="24"/>
          <w:lang w:val="ro-MD"/>
        </w:rPr>
        <w:t xml:space="preserve"> работодател</w:t>
      </w:r>
      <w:r w:rsidR="00F27155">
        <w:rPr>
          <w:rFonts w:asciiTheme="majorHAnsi" w:hAnsiTheme="majorHAnsi" w:cstheme="majorHAnsi"/>
          <w:sz w:val="24"/>
          <w:szCs w:val="24"/>
          <w:lang w:val="ru-RU"/>
        </w:rPr>
        <w:t>ем</w:t>
      </w:r>
      <w:r w:rsidRPr="00BF5DC5">
        <w:rPr>
          <w:rFonts w:asciiTheme="majorHAnsi" w:hAnsiTheme="majorHAnsi" w:cstheme="majorHAnsi"/>
          <w:sz w:val="24"/>
          <w:szCs w:val="24"/>
          <w:lang w:val="ro-MD"/>
        </w:rPr>
        <w:t xml:space="preserve">, </w:t>
      </w:r>
      <w:r w:rsidR="00F27155">
        <w:rPr>
          <w:rFonts w:asciiTheme="majorHAnsi" w:hAnsiTheme="majorHAnsi" w:cstheme="majorHAnsi"/>
          <w:sz w:val="24"/>
          <w:szCs w:val="24"/>
          <w:lang w:val="ru-RU"/>
        </w:rPr>
        <w:t xml:space="preserve">указанные </w:t>
      </w:r>
      <w:r w:rsidRPr="00BF5DC5">
        <w:rPr>
          <w:rFonts w:asciiTheme="majorHAnsi" w:hAnsiTheme="majorHAnsi" w:cstheme="majorHAnsi"/>
          <w:sz w:val="24"/>
          <w:szCs w:val="24"/>
          <w:lang w:val="ro-MD"/>
        </w:rPr>
        <w:t>лица работали в период отпуска по болезни</w:t>
      </w:r>
      <w:r w:rsidR="00F27155">
        <w:rPr>
          <w:rFonts w:asciiTheme="majorHAnsi" w:hAnsiTheme="majorHAnsi" w:cstheme="majorHAnsi"/>
          <w:sz w:val="24"/>
          <w:szCs w:val="24"/>
          <w:lang w:val="ru-RU"/>
        </w:rPr>
        <w:t>,</w:t>
      </w:r>
      <w:r w:rsidRPr="00BF5DC5">
        <w:rPr>
          <w:rFonts w:asciiTheme="majorHAnsi" w:hAnsiTheme="majorHAnsi" w:cstheme="majorHAnsi"/>
          <w:sz w:val="24"/>
          <w:szCs w:val="24"/>
          <w:lang w:val="ro-MD"/>
        </w:rPr>
        <w:t xml:space="preserve"> </w:t>
      </w:r>
      <w:r w:rsidR="00F27155">
        <w:rPr>
          <w:rFonts w:asciiTheme="majorHAnsi" w:hAnsiTheme="majorHAnsi" w:cstheme="majorHAnsi"/>
          <w:sz w:val="24"/>
          <w:szCs w:val="24"/>
          <w:lang w:val="ru-RU"/>
        </w:rPr>
        <w:t>либо</w:t>
      </w:r>
      <w:r w:rsidRPr="00BF5DC5">
        <w:rPr>
          <w:rFonts w:asciiTheme="majorHAnsi" w:hAnsiTheme="majorHAnsi" w:cstheme="majorHAnsi"/>
          <w:sz w:val="24"/>
          <w:szCs w:val="24"/>
          <w:lang w:val="ro-MD"/>
        </w:rPr>
        <w:t xml:space="preserve"> информация </w:t>
      </w:r>
      <w:r w:rsidR="00F27155">
        <w:rPr>
          <w:rFonts w:asciiTheme="majorHAnsi" w:hAnsiTheme="majorHAnsi" w:cstheme="majorHAnsi"/>
          <w:sz w:val="24"/>
          <w:szCs w:val="24"/>
          <w:lang w:val="ru-RU"/>
        </w:rPr>
        <w:t>из</w:t>
      </w:r>
      <w:r w:rsidRPr="00BF5DC5">
        <w:rPr>
          <w:rFonts w:asciiTheme="majorHAnsi" w:hAnsiTheme="majorHAnsi" w:cstheme="majorHAnsi"/>
          <w:sz w:val="24"/>
          <w:szCs w:val="24"/>
          <w:lang w:val="ro-MD"/>
        </w:rPr>
        <w:t xml:space="preserve"> выписк</w:t>
      </w:r>
      <w:r w:rsidR="00F27155">
        <w:rPr>
          <w:rFonts w:asciiTheme="majorHAnsi" w:hAnsiTheme="majorHAnsi" w:cstheme="majorHAnsi"/>
          <w:sz w:val="24"/>
          <w:szCs w:val="24"/>
          <w:lang w:val="ru-RU"/>
        </w:rPr>
        <w:t>и</w:t>
      </w:r>
      <w:r w:rsidRPr="00BF5DC5">
        <w:rPr>
          <w:rFonts w:asciiTheme="majorHAnsi" w:hAnsiTheme="majorHAnsi" w:cstheme="majorHAnsi"/>
          <w:sz w:val="24"/>
          <w:szCs w:val="24"/>
          <w:lang w:val="ro-MD"/>
        </w:rPr>
        <w:t xml:space="preserve"> </w:t>
      </w:r>
      <w:r w:rsidR="00F27155">
        <w:rPr>
          <w:rFonts w:asciiTheme="majorHAnsi" w:hAnsiTheme="majorHAnsi" w:cstheme="majorHAnsi"/>
          <w:sz w:val="24"/>
          <w:szCs w:val="24"/>
          <w:lang w:val="ru-RU"/>
        </w:rPr>
        <w:t>с</w:t>
      </w:r>
      <w:r w:rsidRPr="00BF5DC5">
        <w:rPr>
          <w:rFonts w:asciiTheme="majorHAnsi" w:hAnsiTheme="majorHAnsi" w:cstheme="majorHAnsi"/>
          <w:sz w:val="24"/>
          <w:szCs w:val="24"/>
          <w:lang w:val="ro-MD"/>
        </w:rPr>
        <w:t>о счет</w:t>
      </w:r>
      <w:r w:rsidR="00F27155">
        <w:rPr>
          <w:rFonts w:asciiTheme="majorHAnsi" w:hAnsiTheme="majorHAnsi" w:cstheme="majorHAnsi"/>
          <w:sz w:val="24"/>
          <w:szCs w:val="24"/>
          <w:lang w:val="ru-RU"/>
        </w:rPr>
        <w:t>а</w:t>
      </w:r>
      <w:r w:rsidRPr="00BF5DC5">
        <w:rPr>
          <w:rFonts w:asciiTheme="majorHAnsi" w:hAnsiTheme="majorHAnsi" w:cstheme="majorHAnsi"/>
          <w:sz w:val="24"/>
          <w:szCs w:val="24"/>
          <w:lang w:val="ro-MD"/>
        </w:rPr>
        <w:t>, необходимая при определении пособия, была неправильной/неполной.</w:t>
      </w:r>
      <w:r>
        <w:rPr>
          <w:rFonts w:asciiTheme="majorHAnsi" w:hAnsiTheme="majorHAnsi" w:cstheme="majorHAnsi"/>
          <w:sz w:val="24"/>
          <w:szCs w:val="24"/>
          <w:lang w:val="ru-RU"/>
        </w:rPr>
        <w:t xml:space="preserve"> </w:t>
      </w:r>
      <w:r w:rsidRPr="00BF5DC5">
        <w:rPr>
          <w:rFonts w:asciiTheme="majorHAnsi" w:eastAsia="Calibri" w:hAnsiTheme="majorHAnsi" w:cstheme="majorHAnsi"/>
          <w:noProof/>
          <w:sz w:val="24"/>
          <w:szCs w:val="24"/>
          <w:lang w:val="ro-MD"/>
        </w:rPr>
        <w:t xml:space="preserve">Впоследствии, после представления работодателем </w:t>
      </w:r>
      <w:r w:rsidR="00F27155">
        <w:rPr>
          <w:rFonts w:asciiTheme="majorHAnsi" w:eastAsia="Calibri" w:hAnsiTheme="majorHAnsi" w:cstheme="majorHAnsi"/>
          <w:noProof/>
          <w:sz w:val="24"/>
          <w:szCs w:val="24"/>
          <w:lang w:val="ru-RU"/>
        </w:rPr>
        <w:t>исправленно</w:t>
      </w:r>
      <w:r w:rsidRPr="00BF5DC5">
        <w:rPr>
          <w:rFonts w:asciiTheme="majorHAnsi" w:eastAsia="Calibri" w:hAnsiTheme="majorHAnsi" w:cstheme="majorHAnsi"/>
          <w:noProof/>
          <w:sz w:val="24"/>
          <w:szCs w:val="24"/>
          <w:lang w:val="ro-MD"/>
        </w:rPr>
        <w:t xml:space="preserve">й информации и ее просмотра в выписке </w:t>
      </w:r>
      <w:r w:rsidR="00F27155">
        <w:rPr>
          <w:rFonts w:asciiTheme="majorHAnsi" w:eastAsia="Calibri" w:hAnsiTheme="majorHAnsi" w:cstheme="majorHAnsi"/>
          <w:noProof/>
          <w:sz w:val="24"/>
          <w:szCs w:val="24"/>
          <w:lang w:val="ru-RU"/>
        </w:rPr>
        <w:t>с</w:t>
      </w:r>
      <w:r w:rsidRPr="00BF5DC5">
        <w:rPr>
          <w:rFonts w:asciiTheme="majorHAnsi" w:eastAsia="Calibri" w:hAnsiTheme="majorHAnsi" w:cstheme="majorHAnsi"/>
          <w:noProof/>
          <w:sz w:val="24"/>
          <w:szCs w:val="24"/>
          <w:lang w:val="ro-MD"/>
        </w:rPr>
        <w:t>о счет</w:t>
      </w:r>
      <w:r w:rsidR="00F27155">
        <w:rPr>
          <w:rFonts w:asciiTheme="majorHAnsi" w:eastAsia="Calibri" w:hAnsiTheme="majorHAnsi" w:cstheme="majorHAnsi"/>
          <w:noProof/>
          <w:sz w:val="24"/>
          <w:szCs w:val="24"/>
          <w:lang w:val="ru-RU"/>
        </w:rPr>
        <w:t>а</w:t>
      </w:r>
      <w:r w:rsidRPr="00BF5DC5">
        <w:rPr>
          <w:rFonts w:asciiTheme="majorHAnsi" w:eastAsia="Calibri" w:hAnsiTheme="majorHAnsi" w:cstheme="majorHAnsi"/>
          <w:noProof/>
          <w:sz w:val="24"/>
          <w:szCs w:val="24"/>
          <w:lang w:val="ro-MD"/>
        </w:rPr>
        <w:t xml:space="preserve">, право было пересмотрено, и пособие было установлено на основе данных </w:t>
      </w:r>
      <w:r w:rsidR="00F27155">
        <w:rPr>
          <w:rFonts w:asciiTheme="majorHAnsi" w:eastAsia="Calibri" w:hAnsiTheme="majorHAnsi" w:cstheme="majorHAnsi"/>
          <w:noProof/>
          <w:sz w:val="24"/>
          <w:szCs w:val="24"/>
          <w:lang w:val="ru-RU"/>
        </w:rPr>
        <w:t>больничных листов</w:t>
      </w:r>
      <w:r w:rsidRPr="00BF5DC5">
        <w:rPr>
          <w:rFonts w:asciiTheme="majorHAnsi" w:eastAsia="Calibri" w:hAnsiTheme="majorHAnsi" w:cstheme="majorHAnsi"/>
          <w:noProof/>
          <w:sz w:val="24"/>
          <w:szCs w:val="24"/>
          <w:lang w:val="ro-MD"/>
        </w:rPr>
        <w:t xml:space="preserve">, переданных </w:t>
      </w:r>
      <w:r w:rsidR="00F27155">
        <w:rPr>
          <w:rFonts w:asciiTheme="majorHAnsi" w:eastAsia="Calibri" w:hAnsiTheme="majorHAnsi" w:cstheme="majorHAnsi"/>
          <w:noProof/>
          <w:sz w:val="24"/>
          <w:szCs w:val="24"/>
          <w:lang w:val="ru-RU"/>
        </w:rPr>
        <w:t>из</w:t>
      </w:r>
      <w:r w:rsidRPr="00BF5DC5">
        <w:rPr>
          <w:rFonts w:asciiTheme="majorHAnsi" w:eastAsia="Calibri" w:hAnsiTheme="majorHAnsi" w:cstheme="majorHAnsi"/>
          <w:noProof/>
          <w:sz w:val="24"/>
          <w:szCs w:val="24"/>
          <w:lang w:val="ro-MD"/>
        </w:rPr>
        <w:t>начальн</w:t>
      </w:r>
      <w:r w:rsidR="00F27155">
        <w:rPr>
          <w:rFonts w:asciiTheme="majorHAnsi" w:eastAsia="Calibri" w:hAnsiTheme="majorHAnsi" w:cstheme="majorHAnsi"/>
          <w:noProof/>
          <w:sz w:val="24"/>
          <w:szCs w:val="24"/>
          <w:lang w:val="ru-RU"/>
        </w:rPr>
        <w:t>о</w:t>
      </w:r>
      <w:r w:rsidRPr="00BF5DC5">
        <w:rPr>
          <w:rFonts w:asciiTheme="majorHAnsi" w:eastAsia="Calibri" w:hAnsiTheme="majorHAnsi" w:cstheme="majorHAnsi"/>
          <w:noProof/>
          <w:sz w:val="24"/>
          <w:szCs w:val="24"/>
          <w:lang w:val="ro-MD"/>
        </w:rPr>
        <w:t xml:space="preserve"> медицинским учреждением. Таким образом, срок установления пособия по временной нетрудоспособности был обусловлен ошибочной информацией, представленной работодателями</w:t>
      </w:r>
      <w:r w:rsidR="00061CCE" w:rsidRPr="00736448">
        <w:rPr>
          <w:rFonts w:asciiTheme="majorHAnsi" w:eastAsia="Calibri" w:hAnsiTheme="majorHAnsi" w:cstheme="majorHAnsi"/>
          <w:noProof/>
          <w:sz w:val="24"/>
          <w:szCs w:val="24"/>
          <w:lang w:val="ro-MD"/>
        </w:rPr>
        <w:t>.</w:t>
      </w:r>
    </w:p>
    <w:p w14:paraId="152DC521" w14:textId="120216FA" w:rsidR="00061CCE" w:rsidRPr="00736448" w:rsidRDefault="00CE1151" w:rsidP="00061CCE">
      <w:pPr>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u-RU"/>
        </w:rPr>
        <w:t>Следовательно</w:t>
      </w:r>
      <w:r w:rsidR="007C01B7" w:rsidRPr="007C01B7">
        <w:rPr>
          <w:rFonts w:asciiTheme="majorHAnsi" w:hAnsiTheme="majorHAnsi" w:cstheme="majorHAnsi"/>
          <w:sz w:val="24"/>
          <w:szCs w:val="24"/>
          <w:lang w:val="ro-MD"/>
        </w:rPr>
        <w:t xml:space="preserve">, </w:t>
      </w:r>
      <w:r w:rsidR="002C6F74">
        <w:rPr>
          <w:rFonts w:asciiTheme="majorHAnsi" w:hAnsiTheme="majorHAnsi" w:cstheme="majorHAnsi"/>
          <w:sz w:val="24"/>
          <w:szCs w:val="24"/>
          <w:lang w:val="ru-RU"/>
        </w:rPr>
        <w:t>н</w:t>
      </w:r>
      <w:r w:rsidR="007C01B7" w:rsidRPr="007C01B7">
        <w:rPr>
          <w:rFonts w:asciiTheme="majorHAnsi" w:hAnsiTheme="majorHAnsi" w:cstheme="majorHAnsi"/>
          <w:sz w:val="24"/>
          <w:szCs w:val="24"/>
          <w:lang w:val="ro-MD"/>
        </w:rPr>
        <w:t xml:space="preserve">еисправность </w:t>
      </w:r>
      <w:r w:rsidR="002C6F74">
        <w:rPr>
          <w:rFonts w:asciiTheme="majorHAnsi" w:hAnsiTheme="majorHAnsi" w:cstheme="majorHAnsi"/>
          <w:sz w:val="24"/>
          <w:szCs w:val="24"/>
          <w:lang w:val="ru-RU"/>
        </w:rPr>
        <w:t>П</w:t>
      </w:r>
      <w:r w:rsidR="007C01B7" w:rsidRPr="007C01B7">
        <w:rPr>
          <w:rFonts w:asciiTheme="majorHAnsi" w:hAnsiTheme="majorHAnsi" w:cstheme="majorHAnsi"/>
          <w:sz w:val="24"/>
          <w:szCs w:val="24"/>
          <w:lang w:val="ro-MD"/>
        </w:rPr>
        <w:t xml:space="preserve">ортала </w:t>
      </w:r>
      <w:r w:rsidR="002C6F74">
        <w:rPr>
          <w:rFonts w:asciiTheme="majorHAnsi" w:hAnsiTheme="majorHAnsi" w:cstheme="majorHAnsi"/>
          <w:sz w:val="24"/>
          <w:szCs w:val="24"/>
          <w:lang w:val="ru-RU"/>
        </w:rPr>
        <w:t>больничных листов</w:t>
      </w:r>
      <w:r w:rsidR="007C01B7" w:rsidRPr="007C01B7">
        <w:rPr>
          <w:rFonts w:asciiTheme="majorHAnsi" w:hAnsiTheme="majorHAnsi" w:cstheme="majorHAnsi"/>
          <w:sz w:val="24"/>
          <w:szCs w:val="24"/>
          <w:lang w:val="ro-MD"/>
        </w:rPr>
        <w:t xml:space="preserve">, а также представление работодателями ошибочной информации о деятельности </w:t>
      </w:r>
      <w:r w:rsidR="002C6F74">
        <w:rPr>
          <w:rFonts w:asciiTheme="majorHAnsi" w:hAnsiTheme="majorHAnsi" w:cstheme="majorHAnsi"/>
          <w:sz w:val="24"/>
          <w:szCs w:val="24"/>
          <w:lang w:val="ru-RU"/>
        </w:rPr>
        <w:t xml:space="preserve">работника </w:t>
      </w:r>
      <w:r w:rsidR="007C01B7" w:rsidRPr="007C01B7">
        <w:rPr>
          <w:rFonts w:asciiTheme="majorHAnsi" w:hAnsiTheme="majorHAnsi" w:cstheme="majorHAnsi"/>
          <w:sz w:val="24"/>
          <w:szCs w:val="24"/>
          <w:lang w:val="ro-MD"/>
        </w:rPr>
        <w:t xml:space="preserve">в период </w:t>
      </w:r>
      <w:r w:rsidR="002C6F74">
        <w:rPr>
          <w:rFonts w:asciiTheme="majorHAnsi" w:hAnsiTheme="majorHAnsi" w:cstheme="majorHAnsi"/>
          <w:sz w:val="24"/>
          <w:szCs w:val="24"/>
          <w:lang w:val="ru-RU"/>
        </w:rPr>
        <w:t xml:space="preserve">его нахождения в </w:t>
      </w:r>
      <w:r w:rsidR="007C01B7" w:rsidRPr="007C01B7">
        <w:rPr>
          <w:rFonts w:asciiTheme="majorHAnsi" w:hAnsiTheme="majorHAnsi" w:cstheme="majorHAnsi"/>
          <w:sz w:val="24"/>
          <w:szCs w:val="24"/>
          <w:lang w:val="ro-MD"/>
        </w:rPr>
        <w:t>отпуск</w:t>
      </w:r>
      <w:r w:rsidR="002C6F74">
        <w:rPr>
          <w:rFonts w:asciiTheme="majorHAnsi" w:hAnsiTheme="majorHAnsi" w:cstheme="majorHAnsi"/>
          <w:sz w:val="24"/>
          <w:szCs w:val="24"/>
          <w:lang w:val="ru-RU"/>
        </w:rPr>
        <w:t>е</w:t>
      </w:r>
      <w:r w:rsidR="007C01B7" w:rsidRPr="007C01B7">
        <w:rPr>
          <w:rFonts w:asciiTheme="majorHAnsi" w:hAnsiTheme="majorHAnsi" w:cstheme="majorHAnsi"/>
          <w:sz w:val="24"/>
          <w:szCs w:val="24"/>
          <w:lang w:val="ro-MD"/>
        </w:rPr>
        <w:t xml:space="preserve"> по болезни</w:t>
      </w:r>
      <w:r w:rsidR="002C6F74">
        <w:rPr>
          <w:rFonts w:asciiTheme="majorHAnsi" w:hAnsiTheme="majorHAnsi" w:cstheme="majorHAnsi"/>
          <w:sz w:val="24"/>
          <w:szCs w:val="24"/>
          <w:lang w:val="ru-RU"/>
        </w:rPr>
        <w:t>,</w:t>
      </w:r>
      <w:r w:rsidR="007C01B7" w:rsidRPr="007C01B7">
        <w:rPr>
          <w:rFonts w:asciiTheme="majorHAnsi" w:hAnsiTheme="majorHAnsi" w:cstheme="majorHAnsi"/>
          <w:sz w:val="24"/>
          <w:szCs w:val="24"/>
          <w:lang w:val="ro-MD"/>
        </w:rPr>
        <w:t xml:space="preserve"> </w:t>
      </w:r>
      <w:r w:rsidR="002C6F74">
        <w:rPr>
          <w:rFonts w:asciiTheme="majorHAnsi" w:hAnsiTheme="majorHAnsi" w:cstheme="majorHAnsi"/>
          <w:sz w:val="24"/>
          <w:szCs w:val="24"/>
          <w:lang w:val="ru-RU"/>
        </w:rPr>
        <w:t>отрази</w:t>
      </w:r>
      <w:r w:rsidR="007C01B7" w:rsidRPr="007C01B7">
        <w:rPr>
          <w:rFonts w:asciiTheme="majorHAnsi" w:hAnsiTheme="majorHAnsi" w:cstheme="majorHAnsi"/>
          <w:sz w:val="24"/>
          <w:szCs w:val="24"/>
          <w:lang w:val="ro-MD"/>
        </w:rPr>
        <w:t xml:space="preserve">лись на качестве услуг, предоставляемых гражданам. Таким образом, бенефициары </w:t>
      </w:r>
      <w:r w:rsidR="002C6F74" w:rsidRPr="007C01B7">
        <w:rPr>
          <w:rFonts w:asciiTheme="majorHAnsi" w:hAnsiTheme="majorHAnsi" w:cstheme="majorHAnsi"/>
          <w:sz w:val="24"/>
          <w:szCs w:val="24"/>
          <w:lang w:val="ro-MD"/>
        </w:rPr>
        <w:t>ежегодн</w:t>
      </w:r>
      <w:r w:rsidR="002C6F74" w:rsidRPr="002C6F74">
        <w:rPr>
          <w:rFonts w:asciiTheme="majorHAnsi" w:hAnsiTheme="majorHAnsi" w:cstheme="majorHAnsi"/>
          <w:sz w:val="24"/>
          <w:szCs w:val="24"/>
          <w:lang w:val="ro-MD"/>
        </w:rPr>
        <w:t>о</w:t>
      </w:r>
      <w:r w:rsidR="002C6F74" w:rsidRPr="00736448">
        <w:rPr>
          <w:rStyle w:val="a5"/>
          <w:rFonts w:asciiTheme="majorHAnsi" w:hAnsiTheme="majorHAnsi" w:cstheme="majorHAnsi"/>
          <w:sz w:val="24"/>
          <w:szCs w:val="24"/>
          <w:lang w:val="ro-MD"/>
        </w:rPr>
        <w:footnoteReference w:id="79"/>
      </w:r>
      <w:r w:rsidR="002C6F74" w:rsidRPr="002C6F74">
        <w:rPr>
          <w:rFonts w:asciiTheme="majorHAnsi" w:hAnsiTheme="majorHAnsi" w:cstheme="majorHAnsi"/>
          <w:sz w:val="24"/>
          <w:szCs w:val="24"/>
          <w:lang w:val="ro-MD"/>
        </w:rPr>
        <w:t xml:space="preserve"> ущемлены в праве</w:t>
      </w:r>
      <w:r w:rsidR="007C01B7" w:rsidRPr="007C01B7">
        <w:rPr>
          <w:rFonts w:asciiTheme="majorHAnsi" w:hAnsiTheme="majorHAnsi" w:cstheme="majorHAnsi"/>
          <w:sz w:val="24"/>
          <w:szCs w:val="24"/>
          <w:lang w:val="ro-MD"/>
        </w:rPr>
        <w:t xml:space="preserve"> </w:t>
      </w:r>
      <w:r w:rsidR="002C6F74" w:rsidRPr="002C6F74">
        <w:rPr>
          <w:rFonts w:asciiTheme="majorHAnsi" w:hAnsiTheme="majorHAnsi" w:cstheme="majorHAnsi"/>
          <w:sz w:val="24"/>
          <w:szCs w:val="24"/>
          <w:lang w:val="ro-MD"/>
        </w:rPr>
        <w:t xml:space="preserve">своевременно </w:t>
      </w:r>
      <w:r w:rsidR="007C01B7" w:rsidRPr="007C01B7">
        <w:rPr>
          <w:rFonts w:asciiTheme="majorHAnsi" w:hAnsiTheme="majorHAnsi" w:cstheme="majorHAnsi"/>
          <w:sz w:val="24"/>
          <w:szCs w:val="24"/>
          <w:lang w:val="ro-MD"/>
        </w:rPr>
        <w:t>получ</w:t>
      </w:r>
      <w:r w:rsidR="002C6F74" w:rsidRPr="002C6F74">
        <w:rPr>
          <w:rFonts w:asciiTheme="majorHAnsi" w:hAnsiTheme="majorHAnsi" w:cstheme="majorHAnsi"/>
          <w:sz w:val="24"/>
          <w:szCs w:val="24"/>
          <w:lang w:val="ro-MD"/>
        </w:rPr>
        <w:t>ать</w:t>
      </w:r>
      <w:r w:rsidR="007C01B7" w:rsidRPr="007C01B7">
        <w:rPr>
          <w:rFonts w:asciiTheme="majorHAnsi" w:hAnsiTheme="majorHAnsi" w:cstheme="majorHAnsi"/>
          <w:sz w:val="24"/>
          <w:szCs w:val="24"/>
          <w:lang w:val="ro-MD"/>
        </w:rPr>
        <w:t xml:space="preserve"> пособия, что влияет </w:t>
      </w:r>
      <w:r w:rsidR="002C6F74" w:rsidRPr="002C6F74">
        <w:rPr>
          <w:rFonts w:asciiTheme="majorHAnsi" w:hAnsiTheme="majorHAnsi" w:cstheme="majorHAnsi"/>
          <w:sz w:val="24"/>
          <w:szCs w:val="24"/>
          <w:lang w:val="ro-MD"/>
        </w:rPr>
        <w:t xml:space="preserve">на </w:t>
      </w:r>
      <w:r w:rsidR="007C01B7" w:rsidRPr="007C01B7">
        <w:rPr>
          <w:rFonts w:asciiTheme="majorHAnsi" w:hAnsiTheme="majorHAnsi" w:cstheme="majorHAnsi"/>
          <w:sz w:val="24"/>
          <w:szCs w:val="24"/>
          <w:lang w:val="ro-MD"/>
        </w:rPr>
        <w:t xml:space="preserve">качество </w:t>
      </w:r>
      <w:r w:rsidR="002C6F74" w:rsidRPr="007C01B7">
        <w:rPr>
          <w:rFonts w:asciiTheme="majorHAnsi" w:hAnsiTheme="majorHAnsi" w:cstheme="majorHAnsi"/>
          <w:sz w:val="24"/>
          <w:szCs w:val="24"/>
          <w:lang w:val="ro-MD"/>
        </w:rPr>
        <w:t xml:space="preserve">предоставляемых </w:t>
      </w:r>
      <w:r w:rsidR="007C01B7" w:rsidRPr="007C01B7">
        <w:rPr>
          <w:rFonts w:asciiTheme="majorHAnsi" w:hAnsiTheme="majorHAnsi" w:cstheme="majorHAnsi"/>
          <w:sz w:val="24"/>
          <w:szCs w:val="24"/>
          <w:lang w:val="ro-MD"/>
        </w:rPr>
        <w:t xml:space="preserve">услуг бенефициарам, и, </w:t>
      </w:r>
      <w:r w:rsidR="002C6F74" w:rsidRPr="002C6F74">
        <w:rPr>
          <w:rFonts w:asciiTheme="majorHAnsi" w:hAnsiTheme="majorHAnsi" w:cstheme="majorHAnsi"/>
          <w:sz w:val="24"/>
          <w:szCs w:val="24"/>
          <w:lang w:val="ro-MD"/>
        </w:rPr>
        <w:t>соответственно</w:t>
      </w:r>
      <w:r w:rsidR="007C01B7" w:rsidRPr="007C01B7">
        <w:rPr>
          <w:rFonts w:asciiTheme="majorHAnsi" w:hAnsiTheme="majorHAnsi" w:cstheme="majorHAnsi"/>
          <w:sz w:val="24"/>
          <w:szCs w:val="24"/>
          <w:lang w:val="ro-MD"/>
        </w:rPr>
        <w:t xml:space="preserve">, </w:t>
      </w:r>
      <w:r w:rsidR="002C6F74" w:rsidRPr="002C6F74">
        <w:rPr>
          <w:rFonts w:asciiTheme="majorHAnsi" w:hAnsiTheme="majorHAnsi" w:cstheme="majorHAnsi"/>
          <w:sz w:val="24"/>
          <w:szCs w:val="24"/>
          <w:lang w:val="ro-MD"/>
        </w:rPr>
        <w:t xml:space="preserve">на задержку </w:t>
      </w:r>
      <w:r w:rsidR="007C01B7" w:rsidRPr="007C01B7">
        <w:rPr>
          <w:rFonts w:asciiTheme="majorHAnsi" w:hAnsiTheme="majorHAnsi" w:cstheme="majorHAnsi"/>
          <w:sz w:val="24"/>
          <w:szCs w:val="24"/>
          <w:lang w:val="ro-MD"/>
        </w:rPr>
        <w:t>расчета/не</w:t>
      </w:r>
      <w:r w:rsidR="002C6F74" w:rsidRPr="002C6F74">
        <w:rPr>
          <w:rFonts w:asciiTheme="majorHAnsi" w:hAnsiTheme="majorHAnsi" w:cstheme="majorHAnsi"/>
          <w:sz w:val="24"/>
          <w:szCs w:val="24"/>
          <w:lang w:val="ro-MD"/>
        </w:rPr>
        <w:t>вы</w:t>
      </w:r>
      <w:r w:rsidR="007C01B7" w:rsidRPr="007C01B7">
        <w:rPr>
          <w:rFonts w:asciiTheme="majorHAnsi" w:hAnsiTheme="majorHAnsi" w:cstheme="majorHAnsi"/>
          <w:sz w:val="24"/>
          <w:szCs w:val="24"/>
          <w:lang w:val="ro-MD"/>
        </w:rPr>
        <w:t>плат</w:t>
      </w:r>
      <w:r w:rsidR="002C6F74" w:rsidRPr="002C6F74">
        <w:rPr>
          <w:rFonts w:asciiTheme="majorHAnsi" w:hAnsiTheme="majorHAnsi" w:cstheme="majorHAnsi"/>
          <w:sz w:val="24"/>
          <w:szCs w:val="24"/>
          <w:lang w:val="ro-MD"/>
        </w:rPr>
        <w:t>у</w:t>
      </w:r>
      <w:r w:rsidR="007C01B7" w:rsidRPr="007C01B7">
        <w:rPr>
          <w:rFonts w:asciiTheme="majorHAnsi" w:hAnsiTheme="majorHAnsi" w:cstheme="majorHAnsi"/>
          <w:sz w:val="24"/>
          <w:szCs w:val="24"/>
          <w:lang w:val="ro-MD"/>
        </w:rPr>
        <w:t xml:space="preserve"> социального пособия в срок</w:t>
      </w:r>
      <w:r w:rsidR="00061CCE" w:rsidRPr="00736448">
        <w:rPr>
          <w:rFonts w:asciiTheme="majorHAnsi" w:hAnsiTheme="majorHAnsi" w:cstheme="majorHAnsi"/>
          <w:sz w:val="24"/>
          <w:szCs w:val="24"/>
          <w:lang w:val="ro-MD"/>
        </w:rPr>
        <w:t>.</w:t>
      </w:r>
    </w:p>
    <w:p w14:paraId="61A53B92" w14:textId="77777777" w:rsidR="00143F9A" w:rsidRPr="00736448" w:rsidRDefault="00143F9A" w:rsidP="00143F9A">
      <w:pPr>
        <w:shd w:val="clear" w:color="auto" w:fill="FFFFFF" w:themeFill="background1"/>
        <w:spacing w:line="276" w:lineRule="auto"/>
        <w:jc w:val="both"/>
        <w:rPr>
          <w:rFonts w:asciiTheme="majorHAnsi" w:hAnsiTheme="majorHAnsi" w:cstheme="majorHAnsi"/>
          <w:b/>
          <w:sz w:val="24"/>
          <w:szCs w:val="24"/>
          <w:lang w:val="ro-MD"/>
        </w:rPr>
      </w:pPr>
    </w:p>
    <w:p w14:paraId="71B47EC5" w14:textId="5E63B946" w:rsidR="00053CBC" w:rsidRPr="00736448" w:rsidRDefault="00DD3C9B" w:rsidP="00DD3C9B">
      <w:pPr>
        <w:pStyle w:val="aa"/>
        <w:numPr>
          <w:ilvl w:val="1"/>
          <w:numId w:val="2"/>
        </w:numPr>
        <w:shd w:val="clear" w:color="auto" w:fill="FFFFFF" w:themeFill="background1"/>
        <w:spacing w:line="276" w:lineRule="auto"/>
        <w:ind w:left="0" w:firstLine="0"/>
        <w:jc w:val="both"/>
        <w:outlineLvl w:val="1"/>
        <w:rPr>
          <w:rFonts w:asciiTheme="majorHAnsi" w:hAnsiTheme="majorHAnsi" w:cstheme="majorHAnsi"/>
          <w:b/>
          <w:sz w:val="24"/>
          <w:szCs w:val="24"/>
          <w:lang w:val="ro-MD"/>
        </w:rPr>
      </w:pPr>
      <w:r w:rsidRPr="00DD3C9B">
        <w:rPr>
          <w:rFonts w:asciiTheme="majorHAnsi" w:hAnsiTheme="majorHAnsi" w:cstheme="majorHAnsi"/>
          <w:b/>
          <w:sz w:val="24"/>
          <w:szCs w:val="24"/>
          <w:lang w:val="ro-MD"/>
        </w:rPr>
        <w:t>Несвоевременная передача работодателями документов расследования несчастного случая на производстве или констатации профессионального заболевания, составленных компетентными органами, повлекла за собой превышение срока установления пособий по временной нетрудоспособности, вызванной несчастным случаем на производстве или профессиональным заболеванием, с опоздание</w:t>
      </w:r>
      <w:r>
        <w:rPr>
          <w:rFonts w:asciiTheme="majorHAnsi" w:hAnsiTheme="majorHAnsi" w:cstheme="majorHAnsi"/>
          <w:b/>
          <w:sz w:val="24"/>
          <w:szCs w:val="24"/>
          <w:lang w:val="ru-RU"/>
        </w:rPr>
        <w:t>м</w:t>
      </w:r>
      <w:r w:rsidRPr="00DD3C9B">
        <w:rPr>
          <w:rFonts w:asciiTheme="majorHAnsi" w:hAnsiTheme="majorHAnsi" w:cstheme="majorHAnsi"/>
          <w:b/>
          <w:sz w:val="24"/>
          <w:szCs w:val="24"/>
          <w:lang w:val="ro-MD"/>
        </w:rPr>
        <w:t xml:space="preserve"> от 1 дня до 265 дней, что лишило </w:t>
      </w:r>
      <w:r>
        <w:rPr>
          <w:rFonts w:asciiTheme="majorHAnsi" w:hAnsiTheme="majorHAnsi" w:cstheme="majorHAnsi"/>
          <w:b/>
          <w:sz w:val="24"/>
          <w:szCs w:val="24"/>
          <w:lang w:val="ru-RU"/>
        </w:rPr>
        <w:t>бенефициаров</w:t>
      </w:r>
      <w:r w:rsidRPr="00DD3C9B">
        <w:rPr>
          <w:rFonts w:asciiTheme="majorHAnsi" w:hAnsiTheme="majorHAnsi" w:cstheme="majorHAnsi"/>
          <w:b/>
          <w:sz w:val="24"/>
          <w:szCs w:val="24"/>
          <w:lang w:val="ro-MD"/>
        </w:rPr>
        <w:t xml:space="preserve"> своевременного получения пособия </w:t>
      </w:r>
      <w:r>
        <w:rPr>
          <w:rFonts w:asciiTheme="majorHAnsi" w:hAnsiTheme="majorHAnsi" w:cstheme="majorHAnsi"/>
          <w:b/>
          <w:sz w:val="24"/>
          <w:szCs w:val="24"/>
          <w:lang w:val="ru-RU"/>
        </w:rPr>
        <w:t>на сумму</w:t>
      </w:r>
      <w:r w:rsidRPr="00DD3C9B">
        <w:rPr>
          <w:rFonts w:asciiTheme="majorHAnsi" w:hAnsiTheme="majorHAnsi" w:cstheme="majorHAnsi"/>
          <w:b/>
          <w:sz w:val="24"/>
          <w:szCs w:val="24"/>
          <w:lang w:val="ro-MD"/>
        </w:rPr>
        <w:t xml:space="preserve"> 134,7 тыс. леев</w:t>
      </w:r>
      <w:r w:rsidR="00053CBC" w:rsidRPr="00736448">
        <w:rPr>
          <w:rFonts w:asciiTheme="majorHAnsi" w:hAnsiTheme="majorHAnsi" w:cstheme="majorHAnsi"/>
          <w:b/>
          <w:sz w:val="24"/>
          <w:szCs w:val="24"/>
          <w:lang w:val="ro-MD"/>
        </w:rPr>
        <w:t>.</w:t>
      </w:r>
    </w:p>
    <w:p w14:paraId="631440BE" w14:textId="4F87EAF9" w:rsidR="00296C7A" w:rsidRPr="00736448" w:rsidRDefault="00DD3C9B" w:rsidP="00296C7A">
      <w:pPr>
        <w:shd w:val="clear" w:color="auto" w:fill="FFFFFF" w:themeFill="background1"/>
        <w:spacing w:line="276" w:lineRule="auto"/>
        <w:jc w:val="both"/>
        <w:rPr>
          <w:rFonts w:asciiTheme="majorHAnsi" w:hAnsiTheme="majorHAnsi" w:cstheme="majorHAnsi"/>
          <w:sz w:val="24"/>
          <w:szCs w:val="24"/>
          <w:lang w:val="ro-MD"/>
        </w:rPr>
      </w:pPr>
      <w:r w:rsidRPr="00DD3C9B">
        <w:rPr>
          <w:rFonts w:asciiTheme="majorHAnsi" w:hAnsiTheme="majorHAnsi" w:cstheme="majorHAnsi"/>
          <w:sz w:val="24"/>
          <w:szCs w:val="24"/>
          <w:lang w:val="ro-MD"/>
        </w:rPr>
        <w:t>Согласно законодательству</w:t>
      </w:r>
      <w:r w:rsidR="00296C7A" w:rsidRPr="00736448">
        <w:rPr>
          <w:rStyle w:val="a5"/>
          <w:rFonts w:asciiTheme="majorHAnsi" w:hAnsiTheme="majorHAnsi" w:cstheme="majorHAnsi"/>
          <w:sz w:val="24"/>
          <w:szCs w:val="24"/>
          <w:lang w:val="ro-MD"/>
        </w:rPr>
        <w:footnoteReference w:id="80"/>
      </w:r>
      <w:r w:rsidR="00053CBC" w:rsidRPr="00736448">
        <w:rPr>
          <w:rFonts w:asciiTheme="majorHAnsi" w:hAnsiTheme="majorHAnsi" w:cstheme="majorHAnsi"/>
          <w:sz w:val="24"/>
          <w:szCs w:val="24"/>
          <w:lang w:val="ro-MD"/>
        </w:rPr>
        <w:t xml:space="preserve">, </w:t>
      </w:r>
      <w:r w:rsidRPr="00DD3C9B">
        <w:rPr>
          <w:rFonts w:asciiTheme="majorHAnsi" w:hAnsiTheme="majorHAnsi" w:cstheme="majorHAnsi"/>
          <w:sz w:val="24"/>
          <w:szCs w:val="24"/>
          <w:lang w:val="ro-MD"/>
        </w:rPr>
        <w:t>з</w:t>
      </w:r>
      <w:r w:rsidR="00A15C52" w:rsidRPr="00A15C52">
        <w:rPr>
          <w:rFonts w:asciiTheme="majorHAnsi" w:hAnsiTheme="majorHAnsi" w:cstheme="majorHAnsi"/>
          <w:sz w:val="24"/>
          <w:szCs w:val="24"/>
          <w:lang w:val="ro-MD"/>
        </w:rPr>
        <w:t>астрахованные лица имеют право на получение пособия в период временной нетрудоспособности, явившейся следствием несчастного случая на производстве или профессионального заболевания</w:t>
      </w:r>
      <w:r w:rsidR="00053CBC" w:rsidRPr="00736448">
        <w:rPr>
          <w:rFonts w:asciiTheme="majorHAnsi" w:hAnsiTheme="majorHAnsi" w:cstheme="majorHAnsi"/>
          <w:sz w:val="24"/>
          <w:szCs w:val="24"/>
          <w:lang w:val="ro-MD"/>
        </w:rPr>
        <w:t xml:space="preserve">. </w:t>
      </w:r>
      <w:r w:rsidR="00A15C52" w:rsidRPr="00A15C52">
        <w:rPr>
          <w:rFonts w:asciiTheme="majorHAnsi" w:hAnsiTheme="majorHAnsi" w:cstheme="majorHAnsi"/>
          <w:sz w:val="24"/>
          <w:szCs w:val="24"/>
          <w:lang w:val="ro-MD"/>
        </w:rPr>
        <w:t xml:space="preserve">Пособие по временной нетрудоспособности выплачивается за 20 календарных дней, исчисленных со дня временной потери трудоспособности, из собственных средств </w:t>
      </w:r>
      <w:r w:rsidR="008469B7" w:rsidRPr="00A15C52">
        <w:rPr>
          <w:rFonts w:asciiTheme="majorHAnsi" w:hAnsiTheme="majorHAnsi" w:cstheme="majorHAnsi"/>
          <w:sz w:val="24"/>
          <w:szCs w:val="24"/>
          <w:lang w:val="ro-MD"/>
        </w:rPr>
        <w:t>работодател</w:t>
      </w:r>
      <w:r w:rsidR="008469B7" w:rsidRPr="008469B7">
        <w:rPr>
          <w:rFonts w:asciiTheme="majorHAnsi" w:hAnsiTheme="majorHAnsi" w:cstheme="majorHAnsi"/>
          <w:sz w:val="24"/>
          <w:szCs w:val="24"/>
          <w:lang w:val="ro-MD"/>
        </w:rPr>
        <w:t xml:space="preserve">я, у которого произошел </w:t>
      </w:r>
      <w:r w:rsidR="008469B7" w:rsidRPr="00A15C52">
        <w:rPr>
          <w:rFonts w:asciiTheme="majorHAnsi" w:hAnsiTheme="majorHAnsi" w:cstheme="majorHAnsi"/>
          <w:sz w:val="24"/>
          <w:szCs w:val="24"/>
          <w:lang w:val="ro-MD"/>
        </w:rPr>
        <w:t>несчастны</w:t>
      </w:r>
      <w:r w:rsidR="008469B7" w:rsidRPr="008469B7">
        <w:rPr>
          <w:rFonts w:asciiTheme="majorHAnsi" w:hAnsiTheme="majorHAnsi" w:cstheme="majorHAnsi"/>
          <w:sz w:val="24"/>
          <w:szCs w:val="24"/>
          <w:lang w:val="ro-MD"/>
        </w:rPr>
        <w:t>й</w:t>
      </w:r>
      <w:r w:rsidR="008469B7" w:rsidRPr="00A15C52">
        <w:rPr>
          <w:rFonts w:asciiTheme="majorHAnsi" w:hAnsiTheme="majorHAnsi" w:cstheme="majorHAnsi"/>
          <w:sz w:val="24"/>
          <w:szCs w:val="24"/>
          <w:lang w:val="ro-MD"/>
        </w:rPr>
        <w:t xml:space="preserve"> случа</w:t>
      </w:r>
      <w:r w:rsidR="008469B7" w:rsidRPr="008469B7">
        <w:rPr>
          <w:rFonts w:asciiTheme="majorHAnsi" w:hAnsiTheme="majorHAnsi" w:cstheme="majorHAnsi"/>
          <w:sz w:val="24"/>
          <w:szCs w:val="24"/>
          <w:lang w:val="ro-MD"/>
        </w:rPr>
        <w:t>й</w:t>
      </w:r>
      <w:r w:rsidR="008469B7" w:rsidRPr="00A15C52">
        <w:rPr>
          <w:rFonts w:asciiTheme="majorHAnsi" w:hAnsiTheme="majorHAnsi" w:cstheme="majorHAnsi"/>
          <w:sz w:val="24"/>
          <w:szCs w:val="24"/>
          <w:lang w:val="ro-MD"/>
        </w:rPr>
        <w:t xml:space="preserve"> на производстве или </w:t>
      </w:r>
      <w:r w:rsidR="008469B7" w:rsidRPr="008469B7">
        <w:rPr>
          <w:rFonts w:asciiTheme="majorHAnsi" w:hAnsiTheme="majorHAnsi" w:cstheme="majorHAnsi"/>
          <w:sz w:val="24"/>
          <w:szCs w:val="24"/>
          <w:lang w:val="ro-MD"/>
        </w:rPr>
        <w:t xml:space="preserve">было констатировано </w:t>
      </w:r>
      <w:r w:rsidR="008469B7" w:rsidRPr="00A15C52">
        <w:rPr>
          <w:rFonts w:asciiTheme="majorHAnsi" w:hAnsiTheme="majorHAnsi" w:cstheme="majorHAnsi"/>
          <w:sz w:val="24"/>
          <w:szCs w:val="24"/>
          <w:lang w:val="ro-MD"/>
        </w:rPr>
        <w:t>профессиональн</w:t>
      </w:r>
      <w:r w:rsidR="008469B7" w:rsidRPr="008469B7">
        <w:rPr>
          <w:rFonts w:asciiTheme="majorHAnsi" w:hAnsiTheme="majorHAnsi" w:cstheme="majorHAnsi"/>
          <w:sz w:val="24"/>
          <w:szCs w:val="24"/>
          <w:lang w:val="ro-MD"/>
        </w:rPr>
        <w:t>ое</w:t>
      </w:r>
      <w:r w:rsidR="008469B7" w:rsidRPr="00A15C52">
        <w:rPr>
          <w:rFonts w:asciiTheme="majorHAnsi" w:hAnsiTheme="majorHAnsi" w:cstheme="majorHAnsi"/>
          <w:sz w:val="24"/>
          <w:szCs w:val="24"/>
          <w:lang w:val="ro-MD"/>
        </w:rPr>
        <w:t xml:space="preserve"> заболевани</w:t>
      </w:r>
      <w:r w:rsidR="008469B7" w:rsidRPr="008469B7">
        <w:rPr>
          <w:rFonts w:asciiTheme="majorHAnsi" w:hAnsiTheme="majorHAnsi" w:cstheme="majorHAnsi"/>
          <w:sz w:val="24"/>
          <w:szCs w:val="24"/>
          <w:lang w:val="ro-MD"/>
        </w:rPr>
        <w:t>е,</w:t>
      </w:r>
      <w:r w:rsidR="008469B7" w:rsidRPr="00A15C52">
        <w:rPr>
          <w:rFonts w:asciiTheme="majorHAnsi" w:hAnsiTheme="majorHAnsi" w:cstheme="majorHAnsi"/>
          <w:sz w:val="24"/>
          <w:szCs w:val="24"/>
          <w:lang w:val="ro-MD"/>
        </w:rPr>
        <w:t xml:space="preserve"> </w:t>
      </w:r>
      <w:r w:rsidR="008469B7" w:rsidRPr="008469B7">
        <w:rPr>
          <w:rFonts w:asciiTheme="majorHAnsi" w:hAnsiTheme="majorHAnsi" w:cstheme="majorHAnsi"/>
          <w:sz w:val="24"/>
          <w:szCs w:val="24"/>
          <w:lang w:val="ro-MD"/>
        </w:rPr>
        <w:t>а</w:t>
      </w:r>
      <w:r w:rsidR="00A15C52" w:rsidRPr="00A15C52">
        <w:rPr>
          <w:rFonts w:asciiTheme="majorHAnsi" w:hAnsiTheme="majorHAnsi" w:cstheme="majorHAnsi"/>
          <w:sz w:val="24"/>
          <w:szCs w:val="24"/>
          <w:lang w:val="ro-MD"/>
        </w:rPr>
        <w:t xml:space="preserve"> с 21-го </w:t>
      </w:r>
      <w:r w:rsidR="008469B7" w:rsidRPr="008469B7">
        <w:rPr>
          <w:rFonts w:asciiTheme="majorHAnsi" w:hAnsiTheme="majorHAnsi" w:cstheme="majorHAnsi"/>
          <w:sz w:val="24"/>
          <w:szCs w:val="24"/>
          <w:lang w:val="ro-MD"/>
        </w:rPr>
        <w:t xml:space="preserve">календарного </w:t>
      </w:r>
      <w:r w:rsidR="00A15C52" w:rsidRPr="00A15C52">
        <w:rPr>
          <w:rFonts w:asciiTheme="majorHAnsi" w:hAnsiTheme="majorHAnsi" w:cstheme="majorHAnsi"/>
          <w:sz w:val="24"/>
          <w:szCs w:val="24"/>
          <w:lang w:val="ro-MD"/>
        </w:rPr>
        <w:t>дня - Национальной касс</w:t>
      </w:r>
      <w:r w:rsidR="008469B7" w:rsidRPr="008469B7">
        <w:rPr>
          <w:rFonts w:asciiTheme="majorHAnsi" w:hAnsiTheme="majorHAnsi" w:cstheme="majorHAnsi"/>
          <w:sz w:val="24"/>
          <w:szCs w:val="24"/>
          <w:lang w:val="ro-MD"/>
        </w:rPr>
        <w:t>ой</w:t>
      </w:r>
      <w:r w:rsidR="00A15C52" w:rsidRPr="00A15C52">
        <w:rPr>
          <w:rFonts w:asciiTheme="majorHAnsi" w:hAnsiTheme="majorHAnsi" w:cstheme="majorHAnsi"/>
          <w:sz w:val="24"/>
          <w:szCs w:val="24"/>
          <w:lang w:val="ro-MD"/>
        </w:rPr>
        <w:t xml:space="preserve"> социального страхования из средств </w:t>
      </w:r>
      <w:r w:rsidR="008469B7" w:rsidRPr="008469B7">
        <w:rPr>
          <w:rFonts w:asciiTheme="majorHAnsi" w:hAnsiTheme="majorHAnsi" w:cstheme="majorHAnsi"/>
          <w:sz w:val="24"/>
          <w:szCs w:val="24"/>
          <w:lang w:val="ro-MD"/>
        </w:rPr>
        <w:t xml:space="preserve">бюджета </w:t>
      </w:r>
      <w:r w:rsidR="00A15C52" w:rsidRPr="00A15C52">
        <w:rPr>
          <w:rFonts w:asciiTheme="majorHAnsi" w:hAnsiTheme="majorHAnsi" w:cstheme="majorHAnsi"/>
          <w:sz w:val="24"/>
          <w:szCs w:val="24"/>
          <w:lang w:val="ro-MD"/>
        </w:rPr>
        <w:t xml:space="preserve"> </w:t>
      </w:r>
      <w:r w:rsidR="008469B7" w:rsidRPr="008469B7">
        <w:rPr>
          <w:rFonts w:asciiTheme="majorHAnsi" w:hAnsiTheme="majorHAnsi" w:cstheme="majorHAnsi"/>
          <w:sz w:val="24"/>
          <w:szCs w:val="24"/>
          <w:lang w:val="ro-MD"/>
        </w:rPr>
        <w:t xml:space="preserve">государственного </w:t>
      </w:r>
      <w:r w:rsidR="008469B7" w:rsidRPr="00A15C52">
        <w:rPr>
          <w:rFonts w:asciiTheme="majorHAnsi" w:hAnsiTheme="majorHAnsi" w:cstheme="majorHAnsi"/>
          <w:sz w:val="24"/>
          <w:szCs w:val="24"/>
          <w:lang w:val="ro-MD"/>
        </w:rPr>
        <w:t>социального страхования</w:t>
      </w:r>
      <w:r w:rsidR="00053CBC" w:rsidRPr="00736448">
        <w:rPr>
          <w:rFonts w:asciiTheme="majorHAnsi" w:hAnsiTheme="majorHAnsi" w:cstheme="majorHAnsi"/>
          <w:sz w:val="24"/>
          <w:szCs w:val="24"/>
          <w:lang w:val="ro-MD"/>
        </w:rPr>
        <w:t xml:space="preserve">. </w:t>
      </w:r>
      <w:r w:rsidR="00A15C52" w:rsidRPr="00A15C52">
        <w:rPr>
          <w:rFonts w:asciiTheme="majorHAnsi" w:hAnsiTheme="majorHAnsi" w:cstheme="majorHAnsi"/>
          <w:sz w:val="24"/>
          <w:szCs w:val="24"/>
          <w:lang w:val="ro-MD"/>
        </w:rPr>
        <w:t xml:space="preserve">Так, в 2022 году </w:t>
      </w:r>
      <w:r w:rsidR="008469B7" w:rsidRPr="00A15C52">
        <w:rPr>
          <w:rFonts w:asciiTheme="majorHAnsi" w:hAnsiTheme="majorHAnsi" w:cstheme="majorHAnsi"/>
          <w:sz w:val="24"/>
          <w:szCs w:val="24"/>
          <w:lang w:val="ro-MD"/>
        </w:rPr>
        <w:t>был</w:t>
      </w:r>
      <w:r w:rsidR="008469B7" w:rsidRPr="008469B7">
        <w:rPr>
          <w:rFonts w:asciiTheme="majorHAnsi" w:hAnsiTheme="majorHAnsi" w:cstheme="majorHAnsi"/>
          <w:sz w:val="24"/>
          <w:szCs w:val="24"/>
          <w:lang w:val="ro-MD"/>
        </w:rPr>
        <w:t>и</w:t>
      </w:r>
      <w:r w:rsidR="008469B7" w:rsidRPr="00A15C52">
        <w:rPr>
          <w:rFonts w:asciiTheme="majorHAnsi" w:hAnsiTheme="majorHAnsi" w:cstheme="majorHAnsi"/>
          <w:sz w:val="24"/>
          <w:szCs w:val="24"/>
          <w:lang w:val="ro-MD"/>
        </w:rPr>
        <w:t xml:space="preserve"> принят</w:t>
      </w:r>
      <w:r w:rsidR="008469B7" w:rsidRPr="008469B7">
        <w:rPr>
          <w:rFonts w:asciiTheme="majorHAnsi" w:hAnsiTheme="majorHAnsi" w:cstheme="majorHAnsi"/>
          <w:sz w:val="24"/>
          <w:szCs w:val="24"/>
          <w:lang w:val="ro-MD"/>
        </w:rPr>
        <w:t>я</w:t>
      </w:r>
      <w:r w:rsidR="008469B7" w:rsidRPr="00A15C52">
        <w:rPr>
          <w:rFonts w:asciiTheme="majorHAnsi" w:hAnsiTheme="majorHAnsi" w:cstheme="majorHAnsi"/>
          <w:sz w:val="24"/>
          <w:szCs w:val="24"/>
          <w:lang w:val="ro-MD"/>
        </w:rPr>
        <w:t xml:space="preserve"> 692 решения о пособиях по временной нетрудоспособности, вызванной несчастными случаями на производстве или профессиональными заболеваниями</w:t>
      </w:r>
      <w:r w:rsidR="008469B7" w:rsidRPr="008469B7">
        <w:rPr>
          <w:rFonts w:asciiTheme="majorHAnsi" w:hAnsiTheme="majorHAnsi" w:cstheme="majorHAnsi"/>
          <w:sz w:val="24"/>
          <w:szCs w:val="24"/>
          <w:lang w:val="ro-MD"/>
        </w:rPr>
        <w:t>,</w:t>
      </w:r>
      <w:r w:rsidR="008469B7" w:rsidRPr="00A15C52">
        <w:rPr>
          <w:rFonts w:asciiTheme="majorHAnsi" w:hAnsiTheme="majorHAnsi" w:cstheme="majorHAnsi"/>
          <w:sz w:val="24"/>
          <w:szCs w:val="24"/>
          <w:lang w:val="ro-MD"/>
        </w:rPr>
        <w:t xml:space="preserve"> </w:t>
      </w:r>
      <w:r w:rsidR="00A15C52" w:rsidRPr="00A15C52">
        <w:rPr>
          <w:rFonts w:asciiTheme="majorHAnsi" w:hAnsiTheme="majorHAnsi" w:cstheme="majorHAnsi"/>
          <w:sz w:val="24"/>
          <w:szCs w:val="24"/>
          <w:lang w:val="ro-MD"/>
        </w:rPr>
        <w:t>для 337 бенефициаров</w:t>
      </w:r>
      <w:r w:rsidR="008469B7" w:rsidRPr="008469B7">
        <w:rPr>
          <w:rFonts w:asciiTheme="majorHAnsi" w:hAnsiTheme="majorHAnsi" w:cstheme="majorHAnsi"/>
          <w:sz w:val="24"/>
          <w:szCs w:val="24"/>
          <w:lang w:val="ro-MD"/>
        </w:rPr>
        <w:t>,</w:t>
      </w:r>
      <w:r w:rsidR="00A15C52" w:rsidRPr="00A15C52">
        <w:rPr>
          <w:rFonts w:asciiTheme="majorHAnsi" w:hAnsiTheme="majorHAnsi" w:cstheme="majorHAnsi"/>
          <w:sz w:val="24"/>
          <w:szCs w:val="24"/>
          <w:lang w:val="ro-MD"/>
        </w:rPr>
        <w:t xml:space="preserve"> по сравнению с 343 бенефициарами в предыдущем году</w:t>
      </w:r>
      <w:r w:rsidR="00296C7A" w:rsidRPr="00736448">
        <w:rPr>
          <w:rFonts w:asciiTheme="majorHAnsi" w:hAnsiTheme="majorHAnsi" w:cstheme="majorHAnsi"/>
          <w:sz w:val="24"/>
          <w:szCs w:val="24"/>
          <w:lang w:val="ro-MD"/>
        </w:rPr>
        <w:t>.</w:t>
      </w:r>
    </w:p>
    <w:p w14:paraId="0B4C9EF1" w14:textId="6C420601" w:rsidR="00053CBC" w:rsidRPr="00736448" w:rsidRDefault="00A15C52" w:rsidP="00053CBC">
      <w:pPr>
        <w:shd w:val="clear" w:color="auto" w:fill="FFFFFF" w:themeFill="background1"/>
        <w:spacing w:line="276" w:lineRule="auto"/>
        <w:jc w:val="both"/>
        <w:rPr>
          <w:rFonts w:asciiTheme="majorHAnsi" w:hAnsiTheme="majorHAnsi" w:cstheme="majorHAnsi"/>
          <w:sz w:val="24"/>
          <w:szCs w:val="24"/>
          <w:lang w:val="ro-MD"/>
        </w:rPr>
      </w:pPr>
      <w:r w:rsidRPr="00A15C52">
        <w:rPr>
          <w:rFonts w:asciiTheme="majorHAnsi" w:hAnsiTheme="majorHAnsi" w:cstheme="majorHAnsi"/>
          <w:sz w:val="24"/>
          <w:szCs w:val="24"/>
          <w:lang w:val="ro-MD"/>
        </w:rPr>
        <w:t>Хотя число бенефициаров меньше, НКСС за</w:t>
      </w:r>
      <w:r w:rsidR="008469B7" w:rsidRPr="008469B7">
        <w:rPr>
          <w:rFonts w:asciiTheme="majorHAnsi" w:hAnsiTheme="majorHAnsi" w:cstheme="majorHAnsi"/>
          <w:sz w:val="24"/>
          <w:szCs w:val="24"/>
          <w:lang w:val="ro-MD"/>
        </w:rPr>
        <w:t>регистр</w:t>
      </w:r>
      <w:r w:rsidRPr="00A15C52">
        <w:rPr>
          <w:rFonts w:asciiTheme="majorHAnsi" w:hAnsiTheme="majorHAnsi" w:cstheme="majorHAnsi"/>
          <w:sz w:val="24"/>
          <w:szCs w:val="24"/>
          <w:lang w:val="ro-MD"/>
        </w:rPr>
        <w:t xml:space="preserve">ировала </w:t>
      </w:r>
      <w:r w:rsidR="008469B7" w:rsidRPr="008469B7">
        <w:rPr>
          <w:rFonts w:asciiTheme="majorHAnsi" w:hAnsiTheme="majorHAnsi" w:cstheme="majorHAnsi"/>
          <w:sz w:val="24"/>
          <w:szCs w:val="24"/>
          <w:lang w:val="ro-MD"/>
        </w:rPr>
        <w:t>з</w:t>
      </w:r>
      <w:r w:rsidRPr="00A15C52">
        <w:rPr>
          <w:rFonts w:asciiTheme="majorHAnsi" w:hAnsiTheme="majorHAnsi" w:cstheme="majorHAnsi"/>
          <w:sz w:val="24"/>
          <w:szCs w:val="24"/>
          <w:lang w:val="ro-MD"/>
        </w:rPr>
        <w:t xml:space="preserve">а 2022 год фактические расходы в размере 4 097,4 тыс. леев, </w:t>
      </w:r>
      <w:r w:rsidR="008469B7" w:rsidRPr="008469B7">
        <w:rPr>
          <w:rFonts w:asciiTheme="majorHAnsi" w:hAnsiTheme="majorHAnsi" w:cstheme="majorHAnsi"/>
          <w:sz w:val="24"/>
          <w:szCs w:val="24"/>
          <w:lang w:val="ro-MD"/>
        </w:rPr>
        <w:t xml:space="preserve">что </w:t>
      </w:r>
      <w:r w:rsidRPr="00A15C52">
        <w:rPr>
          <w:rFonts w:asciiTheme="majorHAnsi" w:hAnsiTheme="majorHAnsi" w:cstheme="majorHAnsi"/>
          <w:sz w:val="24"/>
          <w:szCs w:val="24"/>
          <w:lang w:val="ro-MD"/>
        </w:rPr>
        <w:t xml:space="preserve">на 1 440,4 тыс. леев, или на 54,2%, больше по сравнению с 2021 годом, причем увеличение было </w:t>
      </w:r>
      <w:r w:rsidR="008469B7" w:rsidRPr="008469B7">
        <w:rPr>
          <w:rFonts w:asciiTheme="majorHAnsi" w:hAnsiTheme="majorHAnsi" w:cstheme="majorHAnsi"/>
          <w:sz w:val="24"/>
          <w:szCs w:val="24"/>
          <w:lang w:val="ro-MD"/>
        </w:rPr>
        <w:t>обусловле</w:t>
      </w:r>
      <w:r w:rsidRPr="00A15C52">
        <w:rPr>
          <w:rFonts w:asciiTheme="majorHAnsi" w:hAnsiTheme="majorHAnsi" w:cstheme="majorHAnsi"/>
          <w:sz w:val="24"/>
          <w:szCs w:val="24"/>
          <w:lang w:val="ro-MD"/>
        </w:rPr>
        <w:t>но увеличением среднего размера данного вида пособия</w:t>
      </w:r>
      <w:r w:rsidR="00296C7A" w:rsidRPr="00736448">
        <w:rPr>
          <w:rFonts w:asciiTheme="majorHAnsi" w:hAnsiTheme="majorHAnsi" w:cstheme="majorHAnsi"/>
          <w:sz w:val="24"/>
          <w:szCs w:val="24"/>
          <w:lang w:val="ro-MD"/>
        </w:rPr>
        <w:t>.</w:t>
      </w:r>
    </w:p>
    <w:p w14:paraId="3C574A85" w14:textId="22C5488D" w:rsidR="00782913" w:rsidRPr="00736448" w:rsidRDefault="00A15C52" w:rsidP="004720C1">
      <w:pPr>
        <w:shd w:val="clear" w:color="auto" w:fill="FFFFFF" w:themeFill="background1"/>
        <w:spacing w:line="276" w:lineRule="auto"/>
        <w:jc w:val="both"/>
        <w:rPr>
          <w:rFonts w:asciiTheme="majorHAnsi" w:hAnsiTheme="majorHAnsi" w:cstheme="majorHAnsi"/>
          <w:sz w:val="24"/>
          <w:szCs w:val="24"/>
          <w:lang w:val="ro-MD"/>
        </w:rPr>
      </w:pPr>
      <w:r w:rsidRPr="00A15C52">
        <w:rPr>
          <w:rFonts w:asciiTheme="majorHAnsi" w:hAnsiTheme="majorHAnsi" w:cstheme="majorHAnsi"/>
          <w:sz w:val="24"/>
          <w:szCs w:val="24"/>
          <w:lang w:val="ro-MD"/>
        </w:rPr>
        <w:t xml:space="preserve">Было </w:t>
      </w:r>
      <w:r w:rsidR="008469B7">
        <w:rPr>
          <w:rFonts w:asciiTheme="majorHAnsi" w:hAnsiTheme="majorHAnsi" w:cstheme="majorHAnsi"/>
          <w:sz w:val="24"/>
          <w:szCs w:val="24"/>
          <w:lang w:val="ru-RU"/>
        </w:rPr>
        <w:t>установл</w:t>
      </w:r>
      <w:r w:rsidRPr="00A15C52">
        <w:rPr>
          <w:rFonts w:asciiTheme="majorHAnsi" w:hAnsiTheme="majorHAnsi" w:cstheme="majorHAnsi"/>
          <w:sz w:val="24"/>
          <w:szCs w:val="24"/>
          <w:lang w:val="ro-MD"/>
        </w:rPr>
        <w:t>ено, что для 31,4% проверенных пособий по временной нетрудоспособности (86 решений)</w:t>
      </w:r>
      <w:r w:rsidR="00934D70">
        <w:rPr>
          <w:rFonts w:asciiTheme="majorHAnsi" w:hAnsiTheme="majorHAnsi" w:cstheme="majorHAnsi"/>
          <w:sz w:val="24"/>
          <w:szCs w:val="24"/>
          <w:lang w:val="ru-RU"/>
        </w:rPr>
        <w:t>,</w:t>
      </w:r>
      <w:r w:rsidRPr="00A15C52">
        <w:rPr>
          <w:rFonts w:asciiTheme="majorHAnsi" w:hAnsiTheme="majorHAnsi" w:cstheme="majorHAnsi"/>
          <w:sz w:val="24"/>
          <w:szCs w:val="24"/>
          <w:lang w:val="ro-MD"/>
        </w:rPr>
        <w:t xml:space="preserve"> 30-дневный срок рассмотрения </w:t>
      </w:r>
      <w:r w:rsidR="00934D70">
        <w:rPr>
          <w:rFonts w:asciiTheme="majorHAnsi" w:hAnsiTheme="majorHAnsi" w:cstheme="majorHAnsi"/>
          <w:sz w:val="24"/>
          <w:szCs w:val="24"/>
          <w:lang w:val="ru-RU"/>
        </w:rPr>
        <w:t xml:space="preserve">заявления о </w:t>
      </w:r>
      <w:r w:rsidRPr="00A15C52">
        <w:rPr>
          <w:rFonts w:asciiTheme="majorHAnsi" w:hAnsiTheme="majorHAnsi" w:cstheme="majorHAnsi"/>
          <w:sz w:val="24"/>
          <w:szCs w:val="24"/>
          <w:lang w:val="ro-MD"/>
        </w:rPr>
        <w:t>пособи</w:t>
      </w:r>
      <w:r w:rsidR="00934D70">
        <w:rPr>
          <w:rFonts w:asciiTheme="majorHAnsi" w:hAnsiTheme="majorHAnsi" w:cstheme="majorHAnsi"/>
          <w:sz w:val="24"/>
          <w:szCs w:val="24"/>
          <w:lang w:val="ru-RU"/>
        </w:rPr>
        <w:t>и</w:t>
      </w:r>
      <w:r w:rsidRPr="00A15C52">
        <w:rPr>
          <w:rFonts w:asciiTheme="majorHAnsi" w:hAnsiTheme="majorHAnsi" w:cstheme="majorHAnsi"/>
          <w:sz w:val="24"/>
          <w:szCs w:val="24"/>
          <w:lang w:val="ro-MD"/>
        </w:rPr>
        <w:t xml:space="preserve"> был превышен </w:t>
      </w:r>
      <w:r w:rsidR="00934D70">
        <w:rPr>
          <w:rFonts w:asciiTheme="majorHAnsi" w:hAnsiTheme="majorHAnsi" w:cstheme="majorHAnsi"/>
          <w:sz w:val="24"/>
          <w:szCs w:val="24"/>
          <w:lang w:val="ru-RU"/>
        </w:rPr>
        <w:t>от</w:t>
      </w:r>
      <w:r w:rsidRPr="00A15C52">
        <w:rPr>
          <w:rFonts w:asciiTheme="majorHAnsi" w:hAnsiTheme="majorHAnsi" w:cstheme="majorHAnsi"/>
          <w:sz w:val="24"/>
          <w:szCs w:val="24"/>
          <w:lang w:val="ro-MD"/>
        </w:rPr>
        <w:t xml:space="preserve"> 1 дня до 265 дней. </w:t>
      </w:r>
      <w:r w:rsidR="00934D70">
        <w:rPr>
          <w:rFonts w:asciiTheme="majorHAnsi" w:hAnsiTheme="majorHAnsi" w:cstheme="majorHAnsi"/>
          <w:sz w:val="24"/>
          <w:szCs w:val="24"/>
          <w:lang w:val="ru-RU"/>
        </w:rPr>
        <w:t>Такая с</w:t>
      </w:r>
      <w:r w:rsidRPr="00A15C52">
        <w:rPr>
          <w:rFonts w:asciiTheme="majorHAnsi" w:hAnsiTheme="majorHAnsi" w:cstheme="majorHAnsi"/>
          <w:sz w:val="24"/>
          <w:szCs w:val="24"/>
          <w:lang w:val="ro-MD"/>
        </w:rPr>
        <w:t xml:space="preserve">итуация была вызвана запоздалой передачей работодателями документов об исследовании несчастного случая на производстве или </w:t>
      </w:r>
      <w:r w:rsidR="00934D70">
        <w:rPr>
          <w:rFonts w:asciiTheme="majorHAnsi" w:hAnsiTheme="majorHAnsi" w:cstheme="majorHAnsi"/>
          <w:sz w:val="24"/>
          <w:szCs w:val="24"/>
          <w:lang w:val="ru-RU"/>
        </w:rPr>
        <w:t>констатации</w:t>
      </w:r>
      <w:r w:rsidRPr="00A15C52">
        <w:rPr>
          <w:rFonts w:asciiTheme="majorHAnsi" w:hAnsiTheme="majorHAnsi" w:cstheme="majorHAnsi"/>
          <w:sz w:val="24"/>
          <w:szCs w:val="24"/>
          <w:lang w:val="ro-MD"/>
        </w:rPr>
        <w:t xml:space="preserve"> профессионального заболевания, </w:t>
      </w:r>
      <w:r w:rsidR="00934D70">
        <w:rPr>
          <w:rFonts w:asciiTheme="majorHAnsi" w:hAnsiTheme="majorHAnsi" w:cstheme="majorHAnsi"/>
          <w:sz w:val="24"/>
          <w:szCs w:val="24"/>
          <w:lang w:val="ru-RU"/>
        </w:rPr>
        <w:t>соста</w:t>
      </w:r>
      <w:r w:rsidRPr="00A15C52">
        <w:rPr>
          <w:rFonts w:asciiTheme="majorHAnsi" w:hAnsiTheme="majorHAnsi" w:cstheme="majorHAnsi"/>
          <w:sz w:val="24"/>
          <w:szCs w:val="24"/>
          <w:lang w:val="ro-MD"/>
        </w:rPr>
        <w:t xml:space="preserve">вленных компетентными органами. Эти обстоятельства привели к тому, что 134,7 тыс. леев </w:t>
      </w:r>
      <w:r w:rsidR="00934D70" w:rsidRPr="00934D70">
        <w:rPr>
          <w:rFonts w:asciiTheme="majorHAnsi" w:hAnsiTheme="majorHAnsi" w:cstheme="majorHAnsi"/>
          <w:sz w:val="24"/>
          <w:szCs w:val="24"/>
          <w:lang w:val="ro-MD"/>
        </w:rPr>
        <w:t xml:space="preserve">не </w:t>
      </w:r>
      <w:r w:rsidRPr="00A15C52">
        <w:rPr>
          <w:rFonts w:asciiTheme="majorHAnsi" w:hAnsiTheme="majorHAnsi" w:cstheme="majorHAnsi"/>
          <w:sz w:val="24"/>
          <w:szCs w:val="24"/>
          <w:lang w:val="ro-MD"/>
        </w:rPr>
        <w:t xml:space="preserve">были отражены надлежащим образом в </w:t>
      </w:r>
      <w:r w:rsidR="00934D70" w:rsidRPr="00934D70">
        <w:rPr>
          <w:rFonts w:asciiTheme="majorHAnsi" w:hAnsiTheme="majorHAnsi" w:cstheme="majorHAnsi"/>
          <w:sz w:val="24"/>
          <w:szCs w:val="24"/>
          <w:lang w:val="ro-MD"/>
        </w:rPr>
        <w:t>отчетном</w:t>
      </w:r>
      <w:r w:rsidRPr="00A15C52">
        <w:rPr>
          <w:rFonts w:asciiTheme="majorHAnsi" w:hAnsiTheme="majorHAnsi" w:cstheme="majorHAnsi"/>
          <w:sz w:val="24"/>
          <w:szCs w:val="24"/>
          <w:lang w:val="ro-MD"/>
        </w:rPr>
        <w:t xml:space="preserve"> период</w:t>
      </w:r>
      <w:r w:rsidR="00934D70" w:rsidRPr="00934D70">
        <w:rPr>
          <w:rFonts w:asciiTheme="majorHAnsi" w:hAnsiTheme="majorHAnsi" w:cstheme="majorHAnsi"/>
          <w:sz w:val="24"/>
          <w:szCs w:val="24"/>
          <w:lang w:val="ro-MD"/>
        </w:rPr>
        <w:t>е,</w:t>
      </w:r>
      <w:r w:rsidRPr="00A15C52">
        <w:rPr>
          <w:rFonts w:asciiTheme="majorHAnsi" w:hAnsiTheme="majorHAnsi" w:cstheme="majorHAnsi"/>
          <w:sz w:val="24"/>
          <w:szCs w:val="24"/>
          <w:lang w:val="ro-MD"/>
        </w:rPr>
        <w:t xml:space="preserve"> </w:t>
      </w:r>
      <w:r w:rsidR="00934D70" w:rsidRPr="00934D70">
        <w:rPr>
          <w:rFonts w:asciiTheme="majorHAnsi" w:hAnsiTheme="majorHAnsi" w:cstheme="majorHAnsi"/>
          <w:sz w:val="24"/>
          <w:szCs w:val="24"/>
          <w:lang w:val="ro-MD"/>
        </w:rPr>
        <w:t>а</w:t>
      </w:r>
      <w:r w:rsidRPr="00A15C52">
        <w:rPr>
          <w:rFonts w:asciiTheme="majorHAnsi" w:hAnsiTheme="majorHAnsi" w:cstheme="majorHAnsi"/>
          <w:sz w:val="24"/>
          <w:szCs w:val="24"/>
          <w:lang w:val="ro-MD"/>
        </w:rPr>
        <w:t xml:space="preserve"> бенефициар</w:t>
      </w:r>
      <w:r w:rsidR="00934D70" w:rsidRPr="00934D70">
        <w:rPr>
          <w:rFonts w:asciiTheme="majorHAnsi" w:hAnsiTheme="majorHAnsi" w:cstheme="majorHAnsi"/>
          <w:sz w:val="24"/>
          <w:szCs w:val="24"/>
          <w:lang w:val="ro-MD"/>
        </w:rPr>
        <w:t>ы</w:t>
      </w:r>
      <w:r w:rsidRPr="00A15C52">
        <w:rPr>
          <w:rFonts w:asciiTheme="majorHAnsi" w:hAnsiTheme="majorHAnsi" w:cstheme="majorHAnsi"/>
          <w:sz w:val="24"/>
          <w:szCs w:val="24"/>
          <w:lang w:val="ro-MD"/>
        </w:rPr>
        <w:t xml:space="preserve"> </w:t>
      </w:r>
      <w:r w:rsidR="00934D70" w:rsidRPr="00934D70">
        <w:rPr>
          <w:rFonts w:asciiTheme="majorHAnsi" w:hAnsiTheme="majorHAnsi" w:cstheme="majorHAnsi"/>
          <w:sz w:val="24"/>
          <w:szCs w:val="24"/>
          <w:lang w:val="ro-MD"/>
        </w:rPr>
        <w:t xml:space="preserve">были </w:t>
      </w:r>
      <w:r w:rsidR="00934D70" w:rsidRPr="00A15C52">
        <w:rPr>
          <w:rFonts w:asciiTheme="majorHAnsi" w:hAnsiTheme="majorHAnsi" w:cstheme="majorHAnsi"/>
          <w:sz w:val="24"/>
          <w:szCs w:val="24"/>
          <w:lang w:val="ro-MD"/>
        </w:rPr>
        <w:t xml:space="preserve">лишены </w:t>
      </w:r>
      <w:r w:rsidRPr="00A15C52">
        <w:rPr>
          <w:rFonts w:asciiTheme="majorHAnsi" w:hAnsiTheme="majorHAnsi" w:cstheme="majorHAnsi"/>
          <w:sz w:val="24"/>
          <w:szCs w:val="24"/>
          <w:lang w:val="ro-MD"/>
        </w:rPr>
        <w:t>права на пособие в установленные сроки</w:t>
      </w:r>
      <w:r w:rsidR="00053CBC" w:rsidRPr="00736448">
        <w:rPr>
          <w:rFonts w:asciiTheme="majorHAnsi" w:hAnsiTheme="majorHAnsi" w:cstheme="majorHAnsi"/>
          <w:sz w:val="24"/>
          <w:szCs w:val="24"/>
          <w:lang w:val="ro-MD"/>
        </w:rPr>
        <w:t>.</w:t>
      </w:r>
    </w:p>
    <w:p w14:paraId="0AEFF96B" w14:textId="608BFE6D" w:rsidR="00C87A3D" w:rsidRPr="00B7675F" w:rsidRDefault="00A15C52" w:rsidP="00A15C52">
      <w:pPr>
        <w:pStyle w:val="aa"/>
        <w:numPr>
          <w:ilvl w:val="1"/>
          <w:numId w:val="2"/>
        </w:numPr>
        <w:shd w:val="clear" w:color="auto" w:fill="FFFFFF" w:themeFill="background1"/>
        <w:spacing w:line="276" w:lineRule="auto"/>
        <w:ind w:left="0" w:firstLine="0"/>
        <w:jc w:val="both"/>
        <w:outlineLvl w:val="1"/>
        <w:rPr>
          <w:rFonts w:asciiTheme="majorHAnsi" w:hAnsiTheme="majorHAnsi" w:cstheme="majorHAnsi"/>
          <w:sz w:val="24"/>
          <w:szCs w:val="24"/>
          <w:lang w:val="ro-MD"/>
        </w:rPr>
      </w:pPr>
      <w:r w:rsidRPr="00A15C52">
        <w:rPr>
          <w:rFonts w:asciiTheme="majorHAnsi" w:hAnsiTheme="majorHAnsi" w:cstheme="majorHAnsi"/>
          <w:b/>
          <w:sz w:val="24"/>
          <w:szCs w:val="24"/>
          <w:lang w:val="ro-MD"/>
        </w:rPr>
        <w:t xml:space="preserve">Интерпретируемые нормы и </w:t>
      </w:r>
      <w:r w:rsidR="00F55EDE" w:rsidRPr="00F55EDE">
        <w:rPr>
          <w:rFonts w:asciiTheme="majorHAnsi" w:hAnsiTheme="majorHAnsi" w:cstheme="majorHAnsi"/>
          <w:b/>
          <w:sz w:val="24"/>
          <w:szCs w:val="24"/>
          <w:lang w:val="ro-MD"/>
        </w:rPr>
        <w:t>неоднознач</w:t>
      </w:r>
      <w:r w:rsidRPr="00A15C52">
        <w:rPr>
          <w:rFonts w:asciiTheme="majorHAnsi" w:hAnsiTheme="majorHAnsi" w:cstheme="majorHAnsi"/>
          <w:b/>
          <w:sz w:val="24"/>
          <w:szCs w:val="24"/>
          <w:lang w:val="ro-MD"/>
        </w:rPr>
        <w:t xml:space="preserve">ность </w:t>
      </w:r>
      <w:r w:rsidR="00707272">
        <w:rPr>
          <w:rFonts w:asciiTheme="majorHAnsi" w:hAnsiTheme="majorHAnsi" w:cstheme="majorHAnsi"/>
          <w:b/>
          <w:sz w:val="24"/>
          <w:szCs w:val="24"/>
          <w:lang w:val="ro-MD"/>
        </w:rPr>
        <w:t>законодательн</w:t>
      </w:r>
      <w:r w:rsidRPr="00A15C52">
        <w:rPr>
          <w:rFonts w:asciiTheme="majorHAnsi" w:hAnsiTheme="majorHAnsi" w:cstheme="majorHAnsi"/>
          <w:b/>
          <w:sz w:val="24"/>
          <w:szCs w:val="24"/>
          <w:lang w:val="ro-MD"/>
        </w:rPr>
        <w:t>ой базы создают не</w:t>
      </w:r>
      <w:r w:rsidR="00F55EDE" w:rsidRPr="00F55EDE">
        <w:rPr>
          <w:rFonts w:asciiTheme="majorHAnsi" w:hAnsiTheme="majorHAnsi" w:cstheme="majorHAnsi"/>
          <w:b/>
          <w:sz w:val="24"/>
          <w:szCs w:val="24"/>
          <w:lang w:val="ro-MD"/>
        </w:rPr>
        <w:t>яс</w:t>
      </w:r>
      <w:r w:rsidRPr="00A15C52">
        <w:rPr>
          <w:rFonts w:asciiTheme="majorHAnsi" w:hAnsiTheme="majorHAnsi" w:cstheme="majorHAnsi"/>
          <w:b/>
          <w:sz w:val="24"/>
          <w:szCs w:val="24"/>
          <w:lang w:val="ro-MD"/>
        </w:rPr>
        <w:t xml:space="preserve">ность при определении размера пенсий по </w:t>
      </w:r>
      <w:r w:rsidR="00F55EDE" w:rsidRPr="00F55EDE">
        <w:rPr>
          <w:rFonts w:asciiTheme="majorHAnsi" w:hAnsiTheme="majorHAnsi" w:cstheme="majorHAnsi"/>
          <w:b/>
          <w:sz w:val="24"/>
          <w:szCs w:val="24"/>
          <w:lang w:val="ro-MD"/>
        </w:rPr>
        <w:t>выслуге лет</w:t>
      </w:r>
      <w:r w:rsidRPr="00A15C52">
        <w:rPr>
          <w:rFonts w:asciiTheme="majorHAnsi" w:hAnsiTheme="majorHAnsi" w:cstheme="majorHAnsi"/>
          <w:b/>
          <w:sz w:val="24"/>
          <w:szCs w:val="24"/>
          <w:lang w:val="ro-MD"/>
        </w:rPr>
        <w:t xml:space="preserve"> </w:t>
      </w:r>
      <w:r w:rsidR="00F55EDE" w:rsidRPr="00BC2FEC">
        <w:rPr>
          <w:rFonts w:asciiTheme="majorHAnsi" w:hAnsiTheme="majorHAnsi" w:cstheme="majorHAnsi"/>
          <w:b/>
          <w:bCs/>
          <w:sz w:val="24"/>
          <w:szCs w:val="24"/>
          <w:lang w:val="ro-MD" w:eastAsia="ru-RU"/>
        </w:rPr>
        <w:t xml:space="preserve">военнослужащим и лицам </w:t>
      </w:r>
      <w:r w:rsidR="00F55EDE" w:rsidRPr="00F55EDE">
        <w:rPr>
          <w:rFonts w:asciiTheme="majorHAnsi" w:hAnsiTheme="majorHAnsi" w:cstheme="majorHAnsi"/>
          <w:b/>
          <w:bCs/>
          <w:sz w:val="24"/>
          <w:szCs w:val="24"/>
          <w:lang w:val="ro-MD" w:eastAsia="ru-RU"/>
        </w:rPr>
        <w:t>начальствующего и рядового состава органов внутренних дел</w:t>
      </w:r>
      <w:r w:rsidR="00C87A3D" w:rsidRPr="00736448">
        <w:rPr>
          <w:rFonts w:asciiTheme="majorHAnsi" w:hAnsiTheme="majorHAnsi"/>
          <w:b/>
          <w:color w:val="000000" w:themeColor="text1"/>
          <w:sz w:val="24"/>
          <w:lang w:val="ro-MD"/>
        </w:rPr>
        <w:t>.</w:t>
      </w:r>
    </w:p>
    <w:p w14:paraId="55CBDD5C" w14:textId="477DE2BB" w:rsidR="00084F75" w:rsidRPr="00B7675F" w:rsidRDefault="00BF5DC5" w:rsidP="00C87A3D">
      <w:pPr>
        <w:pStyle w:val="aa"/>
        <w:shd w:val="clear" w:color="auto" w:fill="FFFFFF" w:themeFill="background1"/>
        <w:spacing w:line="276" w:lineRule="auto"/>
        <w:ind w:left="0"/>
        <w:jc w:val="both"/>
        <w:rPr>
          <w:rFonts w:asciiTheme="majorHAnsi" w:hAnsiTheme="majorHAnsi" w:cstheme="majorHAnsi"/>
          <w:sz w:val="24"/>
          <w:szCs w:val="24"/>
          <w:lang w:val="ro-MD"/>
        </w:rPr>
      </w:pPr>
      <w:r w:rsidRPr="00BF5DC5">
        <w:rPr>
          <w:rFonts w:asciiTheme="majorHAnsi" w:hAnsiTheme="majorHAnsi"/>
          <w:iCs/>
          <w:color w:val="000000" w:themeColor="text1"/>
          <w:sz w:val="24"/>
          <w:szCs w:val="24"/>
          <w:lang w:val="ro-MD"/>
        </w:rPr>
        <w:t>Предыдущие рекомендации Счетной палаты относительно разработки предложений по изменению/дополнению законодательно-нормативной базы</w:t>
      </w:r>
      <w:r w:rsidR="00AA6677">
        <w:rPr>
          <w:rFonts w:asciiTheme="majorHAnsi" w:hAnsiTheme="majorHAnsi"/>
          <w:iCs/>
          <w:color w:val="000000" w:themeColor="text1"/>
          <w:sz w:val="24"/>
          <w:szCs w:val="24"/>
          <w:lang w:val="ru-RU"/>
        </w:rPr>
        <w:t>,</w:t>
      </w:r>
      <w:r w:rsidRPr="00BF5DC5">
        <w:rPr>
          <w:rFonts w:asciiTheme="majorHAnsi" w:hAnsiTheme="majorHAnsi"/>
          <w:iCs/>
          <w:color w:val="000000" w:themeColor="text1"/>
          <w:sz w:val="24"/>
          <w:szCs w:val="24"/>
          <w:lang w:val="ro-MD"/>
        </w:rPr>
        <w:t xml:space="preserve"> с целью четкого и исчерпывающего описания инструментов, механизмов, приемов и процедур расчета </w:t>
      </w:r>
      <w:r w:rsidR="00AA6677">
        <w:rPr>
          <w:rFonts w:asciiTheme="majorHAnsi" w:hAnsiTheme="majorHAnsi"/>
          <w:iCs/>
          <w:color w:val="000000" w:themeColor="text1"/>
          <w:sz w:val="24"/>
          <w:szCs w:val="24"/>
          <w:lang w:val="ru-RU"/>
        </w:rPr>
        <w:t>выслуги лет</w:t>
      </w:r>
      <w:r w:rsidRPr="00BF5DC5">
        <w:rPr>
          <w:rFonts w:asciiTheme="majorHAnsi" w:hAnsiTheme="majorHAnsi"/>
          <w:iCs/>
          <w:color w:val="000000" w:themeColor="text1"/>
          <w:sz w:val="24"/>
          <w:szCs w:val="24"/>
          <w:lang w:val="ro-MD"/>
        </w:rPr>
        <w:t xml:space="preserve"> и </w:t>
      </w:r>
      <w:r w:rsidR="00AA6677">
        <w:rPr>
          <w:rFonts w:asciiTheme="majorHAnsi" w:hAnsiTheme="majorHAnsi" w:cstheme="majorHAnsi"/>
          <w:sz w:val="24"/>
          <w:szCs w:val="24"/>
          <w:lang w:val="ru-RU"/>
        </w:rPr>
        <w:t>денежного довольствия,</w:t>
      </w:r>
      <w:r w:rsidR="00AA6677" w:rsidRPr="00BF5DC5">
        <w:rPr>
          <w:rFonts w:asciiTheme="majorHAnsi" w:hAnsiTheme="majorHAnsi"/>
          <w:iCs/>
          <w:color w:val="000000" w:themeColor="text1"/>
          <w:sz w:val="24"/>
          <w:szCs w:val="24"/>
          <w:lang w:val="ro-MD"/>
        </w:rPr>
        <w:t xml:space="preserve"> </w:t>
      </w:r>
      <w:r w:rsidRPr="00BF5DC5">
        <w:rPr>
          <w:rFonts w:asciiTheme="majorHAnsi" w:hAnsiTheme="majorHAnsi"/>
          <w:iCs/>
          <w:color w:val="000000" w:themeColor="text1"/>
          <w:sz w:val="24"/>
          <w:szCs w:val="24"/>
          <w:lang w:val="ro-MD"/>
        </w:rPr>
        <w:t xml:space="preserve">не были реализованы, что </w:t>
      </w:r>
      <w:r w:rsidR="00E86E20">
        <w:rPr>
          <w:rFonts w:asciiTheme="majorHAnsi" w:hAnsiTheme="majorHAnsi"/>
          <w:iCs/>
          <w:color w:val="000000" w:themeColor="text1"/>
          <w:sz w:val="24"/>
          <w:szCs w:val="24"/>
          <w:lang w:val="ru-RU"/>
        </w:rPr>
        <w:t>указывает и сейчас на наличие слож</w:t>
      </w:r>
      <w:r w:rsidRPr="00BF5DC5">
        <w:rPr>
          <w:rFonts w:asciiTheme="majorHAnsi" w:hAnsiTheme="majorHAnsi"/>
          <w:iCs/>
          <w:color w:val="000000" w:themeColor="text1"/>
          <w:sz w:val="24"/>
          <w:szCs w:val="24"/>
          <w:lang w:val="ro-MD"/>
        </w:rPr>
        <w:t>ност</w:t>
      </w:r>
      <w:r w:rsidR="00E86E20">
        <w:rPr>
          <w:rFonts w:asciiTheme="majorHAnsi" w:hAnsiTheme="majorHAnsi"/>
          <w:iCs/>
          <w:color w:val="000000" w:themeColor="text1"/>
          <w:sz w:val="24"/>
          <w:szCs w:val="24"/>
          <w:lang w:val="ru-RU"/>
        </w:rPr>
        <w:t>ей</w:t>
      </w:r>
      <w:r w:rsidRPr="00BF5DC5">
        <w:rPr>
          <w:rFonts w:asciiTheme="majorHAnsi" w:hAnsiTheme="majorHAnsi"/>
          <w:iCs/>
          <w:color w:val="000000" w:themeColor="text1"/>
          <w:sz w:val="24"/>
          <w:szCs w:val="24"/>
          <w:lang w:val="ro-MD"/>
        </w:rPr>
        <w:t xml:space="preserve"> и не</w:t>
      </w:r>
      <w:r w:rsidR="00E86E20">
        <w:rPr>
          <w:rFonts w:asciiTheme="majorHAnsi" w:hAnsiTheme="majorHAnsi"/>
          <w:iCs/>
          <w:color w:val="000000" w:themeColor="text1"/>
          <w:sz w:val="24"/>
          <w:szCs w:val="24"/>
          <w:lang w:val="ru-RU"/>
        </w:rPr>
        <w:t>яс</w:t>
      </w:r>
      <w:r w:rsidRPr="00BF5DC5">
        <w:rPr>
          <w:rFonts w:asciiTheme="majorHAnsi" w:hAnsiTheme="majorHAnsi"/>
          <w:iCs/>
          <w:color w:val="000000" w:themeColor="text1"/>
          <w:sz w:val="24"/>
          <w:szCs w:val="24"/>
          <w:lang w:val="ro-MD"/>
        </w:rPr>
        <w:t>ност</w:t>
      </w:r>
      <w:r w:rsidR="00E86E20">
        <w:rPr>
          <w:rFonts w:asciiTheme="majorHAnsi" w:hAnsiTheme="majorHAnsi"/>
          <w:iCs/>
          <w:color w:val="000000" w:themeColor="text1"/>
          <w:sz w:val="24"/>
          <w:szCs w:val="24"/>
          <w:lang w:val="ru-RU"/>
        </w:rPr>
        <w:t>ей</w:t>
      </w:r>
      <w:r w:rsidRPr="00BF5DC5">
        <w:rPr>
          <w:rFonts w:asciiTheme="majorHAnsi" w:hAnsiTheme="majorHAnsi"/>
          <w:iCs/>
          <w:color w:val="000000" w:themeColor="text1"/>
          <w:sz w:val="24"/>
          <w:szCs w:val="24"/>
          <w:lang w:val="ro-MD"/>
        </w:rPr>
        <w:t xml:space="preserve"> </w:t>
      </w:r>
      <w:r w:rsidR="00E86E20">
        <w:rPr>
          <w:rFonts w:asciiTheme="majorHAnsi" w:hAnsiTheme="majorHAnsi"/>
          <w:iCs/>
          <w:color w:val="000000" w:themeColor="text1"/>
          <w:sz w:val="24"/>
          <w:szCs w:val="24"/>
          <w:lang w:val="ru-RU"/>
        </w:rPr>
        <w:t>для</w:t>
      </w:r>
      <w:r w:rsidRPr="00BF5DC5">
        <w:rPr>
          <w:rFonts w:asciiTheme="majorHAnsi" w:hAnsiTheme="majorHAnsi"/>
          <w:iCs/>
          <w:color w:val="000000" w:themeColor="text1"/>
          <w:sz w:val="24"/>
          <w:szCs w:val="24"/>
          <w:lang w:val="ro-MD"/>
        </w:rPr>
        <w:t xml:space="preserve"> правильно</w:t>
      </w:r>
      <w:r w:rsidR="00E86E20">
        <w:rPr>
          <w:rFonts w:asciiTheme="majorHAnsi" w:hAnsiTheme="majorHAnsi"/>
          <w:iCs/>
          <w:color w:val="000000" w:themeColor="text1"/>
          <w:sz w:val="24"/>
          <w:szCs w:val="24"/>
          <w:lang w:val="ru-RU"/>
        </w:rPr>
        <w:t>го</w:t>
      </w:r>
      <w:r w:rsidRPr="00BF5DC5">
        <w:rPr>
          <w:rFonts w:asciiTheme="majorHAnsi" w:hAnsiTheme="majorHAnsi"/>
          <w:iCs/>
          <w:color w:val="000000" w:themeColor="text1"/>
          <w:sz w:val="24"/>
          <w:szCs w:val="24"/>
          <w:lang w:val="ro-MD"/>
        </w:rPr>
        <w:t xml:space="preserve"> и справедливо</w:t>
      </w:r>
      <w:r w:rsidR="00E86E20">
        <w:rPr>
          <w:rFonts w:asciiTheme="majorHAnsi" w:hAnsiTheme="majorHAnsi"/>
          <w:iCs/>
          <w:color w:val="000000" w:themeColor="text1"/>
          <w:sz w:val="24"/>
          <w:szCs w:val="24"/>
          <w:lang w:val="ru-RU"/>
        </w:rPr>
        <w:t>го</w:t>
      </w:r>
      <w:r w:rsidRPr="00BF5DC5">
        <w:rPr>
          <w:rFonts w:asciiTheme="majorHAnsi" w:hAnsiTheme="majorHAnsi"/>
          <w:iCs/>
          <w:color w:val="000000" w:themeColor="text1"/>
          <w:sz w:val="24"/>
          <w:szCs w:val="24"/>
          <w:lang w:val="ro-MD"/>
        </w:rPr>
        <w:t xml:space="preserve"> установлени</w:t>
      </w:r>
      <w:r w:rsidR="00E86E20">
        <w:rPr>
          <w:rFonts w:asciiTheme="majorHAnsi" w:hAnsiTheme="majorHAnsi"/>
          <w:iCs/>
          <w:color w:val="000000" w:themeColor="text1"/>
          <w:sz w:val="24"/>
          <w:szCs w:val="24"/>
          <w:lang w:val="ru-RU"/>
        </w:rPr>
        <w:t>я</w:t>
      </w:r>
      <w:r w:rsidRPr="00BF5DC5">
        <w:rPr>
          <w:rFonts w:asciiTheme="majorHAnsi" w:hAnsiTheme="majorHAnsi"/>
          <w:iCs/>
          <w:color w:val="000000" w:themeColor="text1"/>
          <w:sz w:val="24"/>
          <w:szCs w:val="24"/>
          <w:lang w:val="ro-MD"/>
        </w:rPr>
        <w:t xml:space="preserve"> пенсии для всех бенефициаров </w:t>
      </w:r>
      <w:r w:rsidR="00E86E20">
        <w:rPr>
          <w:rFonts w:asciiTheme="majorHAnsi" w:hAnsiTheme="majorHAnsi"/>
          <w:iCs/>
          <w:color w:val="000000" w:themeColor="text1"/>
          <w:sz w:val="24"/>
          <w:szCs w:val="24"/>
          <w:lang w:val="ru-RU"/>
        </w:rPr>
        <w:t>данн</w:t>
      </w:r>
      <w:r w:rsidRPr="00BF5DC5">
        <w:rPr>
          <w:rFonts w:asciiTheme="majorHAnsi" w:hAnsiTheme="majorHAnsi"/>
          <w:iCs/>
          <w:color w:val="000000" w:themeColor="text1"/>
          <w:sz w:val="24"/>
          <w:szCs w:val="24"/>
          <w:lang w:val="ro-MD"/>
        </w:rPr>
        <w:t>ого контингента. Так, согласно законодательной базе</w:t>
      </w:r>
      <w:r w:rsidR="00E86E20" w:rsidRPr="00736448">
        <w:rPr>
          <w:rFonts w:asciiTheme="majorHAnsi" w:hAnsiTheme="majorHAnsi"/>
          <w:sz w:val="24"/>
          <w:szCs w:val="24"/>
          <w:vertAlign w:val="superscript"/>
          <w:lang w:val="ro-MD"/>
        </w:rPr>
        <w:footnoteReference w:id="81"/>
      </w:r>
      <w:r w:rsidRPr="00BF5DC5">
        <w:rPr>
          <w:rFonts w:asciiTheme="majorHAnsi" w:hAnsiTheme="majorHAnsi"/>
          <w:iCs/>
          <w:color w:val="000000" w:themeColor="text1"/>
          <w:sz w:val="24"/>
          <w:szCs w:val="24"/>
          <w:lang w:val="ro-MD"/>
        </w:rPr>
        <w:t xml:space="preserve">, </w:t>
      </w:r>
      <w:r w:rsidR="00E86E20">
        <w:rPr>
          <w:rFonts w:asciiTheme="majorHAnsi" w:hAnsiTheme="majorHAnsi"/>
          <w:iCs/>
          <w:color w:val="000000" w:themeColor="text1"/>
          <w:sz w:val="24"/>
          <w:szCs w:val="24"/>
          <w:lang w:val="ru-RU"/>
        </w:rPr>
        <w:t>и</w:t>
      </w:r>
      <w:r w:rsidR="00E86E20" w:rsidRPr="00E86E20">
        <w:rPr>
          <w:rFonts w:asciiTheme="majorHAnsi" w:hAnsiTheme="majorHAnsi"/>
          <w:iCs/>
          <w:color w:val="000000" w:themeColor="text1"/>
          <w:sz w:val="24"/>
          <w:szCs w:val="24"/>
          <w:lang w:val="ru-RU"/>
        </w:rPr>
        <w:t xml:space="preserve">счисление пенсии </w:t>
      </w:r>
      <w:r w:rsidR="00E86E20" w:rsidRPr="00E86E20">
        <w:rPr>
          <w:rFonts w:asciiTheme="majorHAnsi" w:hAnsiTheme="majorHAnsi"/>
          <w:bCs/>
          <w:iCs/>
          <w:color w:val="000000" w:themeColor="text1"/>
          <w:sz w:val="24"/>
          <w:szCs w:val="24"/>
          <w:lang w:val="ru-RU"/>
        </w:rPr>
        <w:t>военнослужащих и лиц  начальствующего и рядового состава органов внутренних дел</w:t>
      </w:r>
      <w:r w:rsidR="00E86E20" w:rsidRPr="00E86E20">
        <w:rPr>
          <w:rFonts w:asciiTheme="majorHAnsi" w:hAnsiTheme="majorHAnsi"/>
          <w:iCs/>
          <w:color w:val="000000" w:themeColor="text1"/>
          <w:sz w:val="24"/>
          <w:szCs w:val="24"/>
          <w:lang w:val="ru-RU"/>
        </w:rPr>
        <w:t xml:space="preserve"> производится из окладов по должности, воинскому или специальному званию, процентной надбавки за выслугу лет, получаемых ими перед увольнением, а также из среднемесячного уровня других вознаграждений, выплат, надбавок и доплат, получаемых ими за последний год службы, за исключением выплат, носящих компенсационный характер, и единовременного денежного вознаграждения</w:t>
      </w:r>
      <w:r w:rsidR="00084F75" w:rsidRPr="00B7675F">
        <w:rPr>
          <w:rFonts w:asciiTheme="majorHAnsi" w:hAnsiTheme="majorHAnsi" w:cstheme="majorHAnsi"/>
          <w:sz w:val="24"/>
          <w:szCs w:val="24"/>
          <w:lang w:val="ro-MD"/>
        </w:rPr>
        <w:t>.</w:t>
      </w:r>
      <w:r w:rsidR="0053271A" w:rsidRPr="00B7675F">
        <w:rPr>
          <w:rFonts w:asciiTheme="majorHAnsi" w:hAnsiTheme="majorHAnsi" w:cstheme="majorHAnsi"/>
          <w:sz w:val="24"/>
          <w:szCs w:val="24"/>
          <w:lang w:val="ro-MD"/>
        </w:rPr>
        <w:t xml:space="preserve"> </w:t>
      </w:r>
      <w:r w:rsidRPr="00BF5DC5">
        <w:rPr>
          <w:rFonts w:asciiTheme="majorHAnsi" w:hAnsiTheme="majorHAnsi" w:cstheme="majorHAnsi"/>
          <w:sz w:val="24"/>
          <w:szCs w:val="24"/>
          <w:lang w:val="ro-MD"/>
        </w:rPr>
        <w:t>В то же время</w:t>
      </w:r>
      <w:r w:rsidR="004158A7">
        <w:rPr>
          <w:rFonts w:asciiTheme="majorHAnsi" w:hAnsiTheme="majorHAnsi" w:cstheme="majorHAnsi"/>
          <w:sz w:val="24"/>
          <w:szCs w:val="24"/>
          <w:lang w:val="ru-RU"/>
        </w:rPr>
        <w:t>,</w:t>
      </w:r>
      <w:r w:rsidRPr="00BF5DC5">
        <w:rPr>
          <w:rFonts w:asciiTheme="majorHAnsi" w:hAnsiTheme="majorHAnsi" w:cstheme="majorHAnsi"/>
          <w:sz w:val="24"/>
          <w:szCs w:val="24"/>
          <w:lang w:val="ro-MD"/>
        </w:rPr>
        <w:t xml:space="preserve"> </w:t>
      </w:r>
      <w:r w:rsidR="004158A7">
        <w:rPr>
          <w:rFonts w:asciiTheme="majorHAnsi" w:hAnsiTheme="majorHAnsi" w:cstheme="majorHAnsi"/>
          <w:sz w:val="24"/>
          <w:szCs w:val="24"/>
          <w:lang w:val="ru-RU"/>
        </w:rPr>
        <w:t>З</w:t>
      </w:r>
      <w:r w:rsidRPr="00BF5DC5">
        <w:rPr>
          <w:rFonts w:asciiTheme="majorHAnsi" w:hAnsiTheme="majorHAnsi" w:cstheme="majorHAnsi"/>
          <w:sz w:val="24"/>
          <w:szCs w:val="24"/>
          <w:lang w:val="ro-MD"/>
        </w:rPr>
        <w:t>акон №270 предусматривает, что ежемесячная заработная плата персонала бюджетн</w:t>
      </w:r>
      <w:r w:rsidR="004158A7">
        <w:rPr>
          <w:rFonts w:asciiTheme="majorHAnsi" w:hAnsiTheme="majorHAnsi" w:cstheme="majorHAnsi"/>
          <w:sz w:val="24"/>
          <w:szCs w:val="24"/>
          <w:lang w:val="ru-RU"/>
        </w:rPr>
        <w:t>ой</w:t>
      </w:r>
      <w:r w:rsidRPr="00BF5DC5">
        <w:rPr>
          <w:rFonts w:asciiTheme="majorHAnsi" w:hAnsiTheme="majorHAnsi" w:cstheme="majorHAnsi"/>
          <w:sz w:val="24"/>
          <w:szCs w:val="24"/>
          <w:lang w:val="ro-MD"/>
        </w:rPr>
        <w:t xml:space="preserve"> </w:t>
      </w:r>
      <w:r w:rsidR="004158A7">
        <w:rPr>
          <w:rFonts w:asciiTheme="majorHAnsi" w:hAnsiTheme="majorHAnsi" w:cstheme="majorHAnsi"/>
          <w:sz w:val="24"/>
          <w:szCs w:val="24"/>
          <w:lang w:val="ru-RU"/>
        </w:rPr>
        <w:t>сферы</w:t>
      </w:r>
      <w:r w:rsidRPr="00BF5DC5">
        <w:rPr>
          <w:rFonts w:asciiTheme="majorHAnsi" w:hAnsiTheme="majorHAnsi" w:cstheme="majorHAnsi"/>
          <w:sz w:val="24"/>
          <w:szCs w:val="24"/>
          <w:lang w:val="ro-MD"/>
        </w:rPr>
        <w:t xml:space="preserve"> состоит из: </w:t>
      </w:r>
      <w:r w:rsidR="004158A7">
        <w:rPr>
          <w:rFonts w:asciiTheme="majorHAnsi" w:hAnsiTheme="majorHAnsi" w:cstheme="majorHAnsi"/>
          <w:sz w:val="24"/>
          <w:szCs w:val="24"/>
          <w:lang w:val="ru-RU"/>
        </w:rPr>
        <w:t>основн</w:t>
      </w:r>
      <w:r w:rsidRPr="00BF5DC5">
        <w:rPr>
          <w:rFonts w:asciiTheme="majorHAnsi" w:hAnsiTheme="majorHAnsi" w:cstheme="majorHAnsi"/>
          <w:sz w:val="24"/>
          <w:szCs w:val="24"/>
          <w:lang w:val="ro-MD"/>
        </w:rPr>
        <w:t xml:space="preserve">ой заработной платы, </w:t>
      </w:r>
      <w:r w:rsidR="004158A7">
        <w:rPr>
          <w:rFonts w:asciiTheme="majorHAnsi" w:hAnsiTheme="majorHAnsi" w:cstheme="majorHAnsi"/>
          <w:sz w:val="24"/>
          <w:szCs w:val="24"/>
          <w:lang w:val="ru-RU"/>
        </w:rPr>
        <w:t>надбавки за эффективность</w:t>
      </w:r>
      <w:r w:rsidRPr="00BF5DC5">
        <w:rPr>
          <w:rFonts w:asciiTheme="majorHAnsi" w:hAnsiTheme="majorHAnsi" w:cstheme="majorHAnsi"/>
          <w:sz w:val="24"/>
          <w:szCs w:val="24"/>
          <w:lang w:val="ro-MD"/>
        </w:rPr>
        <w:t xml:space="preserve"> и </w:t>
      </w:r>
      <w:r w:rsidR="004158A7">
        <w:rPr>
          <w:rFonts w:asciiTheme="majorHAnsi" w:hAnsiTheme="majorHAnsi" w:cstheme="majorHAnsi"/>
          <w:sz w:val="24"/>
          <w:szCs w:val="24"/>
          <w:lang w:val="ru-RU"/>
        </w:rPr>
        <w:t>надбовки</w:t>
      </w:r>
      <w:r w:rsidRPr="00BF5DC5">
        <w:rPr>
          <w:rFonts w:asciiTheme="majorHAnsi" w:hAnsiTheme="majorHAnsi" w:cstheme="majorHAnsi"/>
          <w:sz w:val="24"/>
          <w:szCs w:val="24"/>
          <w:lang w:val="ro-MD"/>
        </w:rPr>
        <w:t xml:space="preserve"> </w:t>
      </w:r>
      <w:r w:rsidR="004158A7">
        <w:rPr>
          <w:rFonts w:asciiTheme="majorHAnsi" w:hAnsiTheme="majorHAnsi" w:cstheme="majorHAnsi"/>
          <w:sz w:val="24"/>
          <w:szCs w:val="24"/>
          <w:lang w:val="ru-RU"/>
        </w:rPr>
        <w:t>специаль</w:t>
      </w:r>
      <w:r w:rsidRPr="00BF5DC5">
        <w:rPr>
          <w:rFonts w:asciiTheme="majorHAnsi" w:hAnsiTheme="majorHAnsi" w:cstheme="majorHAnsi"/>
          <w:sz w:val="24"/>
          <w:szCs w:val="24"/>
          <w:lang w:val="ro-MD"/>
        </w:rPr>
        <w:t xml:space="preserve">ного характера. С вступлением в силу </w:t>
      </w:r>
      <w:r w:rsidR="004158A7">
        <w:rPr>
          <w:rFonts w:asciiTheme="majorHAnsi" w:hAnsiTheme="majorHAnsi" w:cstheme="majorHAnsi"/>
          <w:sz w:val="24"/>
          <w:szCs w:val="24"/>
          <w:lang w:val="ru-RU"/>
        </w:rPr>
        <w:t>З</w:t>
      </w:r>
      <w:r w:rsidRPr="00BF5DC5">
        <w:rPr>
          <w:rFonts w:asciiTheme="majorHAnsi" w:hAnsiTheme="majorHAnsi" w:cstheme="majorHAnsi"/>
          <w:sz w:val="24"/>
          <w:szCs w:val="24"/>
          <w:lang w:val="ro-MD"/>
        </w:rPr>
        <w:t>акона об единой системе оплаты труда</w:t>
      </w:r>
      <w:r w:rsidR="004158A7" w:rsidRPr="00B7675F">
        <w:rPr>
          <w:rStyle w:val="a5"/>
          <w:rFonts w:asciiTheme="majorHAnsi" w:hAnsiTheme="majorHAnsi" w:cstheme="majorHAnsi"/>
          <w:sz w:val="24"/>
          <w:szCs w:val="24"/>
          <w:lang w:val="ro-MD"/>
        </w:rPr>
        <w:footnoteReference w:id="82"/>
      </w:r>
      <w:r w:rsidR="004158A7">
        <w:rPr>
          <w:rFonts w:asciiTheme="majorHAnsi" w:hAnsiTheme="majorHAnsi" w:cstheme="majorHAnsi"/>
          <w:sz w:val="24"/>
          <w:szCs w:val="24"/>
          <w:lang w:val="ru-RU"/>
        </w:rPr>
        <w:t>,</w:t>
      </w:r>
      <w:r w:rsidRPr="00BF5DC5">
        <w:rPr>
          <w:rFonts w:asciiTheme="majorHAnsi" w:hAnsiTheme="majorHAnsi" w:cstheme="majorHAnsi"/>
          <w:sz w:val="24"/>
          <w:szCs w:val="24"/>
          <w:lang w:val="ro-MD"/>
        </w:rPr>
        <w:t xml:space="preserve"> о</w:t>
      </w:r>
      <w:r w:rsidR="004158A7">
        <w:rPr>
          <w:rFonts w:asciiTheme="majorHAnsi" w:hAnsiTheme="majorHAnsi" w:cstheme="majorHAnsi"/>
          <w:sz w:val="24"/>
          <w:szCs w:val="24"/>
          <w:lang w:val="ru-RU"/>
        </w:rPr>
        <w:t>тме</w:t>
      </w:r>
      <w:r w:rsidRPr="00BF5DC5">
        <w:rPr>
          <w:rFonts w:asciiTheme="majorHAnsi" w:hAnsiTheme="majorHAnsi" w:cstheme="majorHAnsi"/>
          <w:sz w:val="24"/>
          <w:szCs w:val="24"/>
          <w:lang w:val="ro-MD"/>
        </w:rPr>
        <w:t xml:space="preserve">чается </w:t>
      </w:r>
      <w:r w:rsidR="004158A7">
        <w:rPr>
          <w:rFonts w:asciiTheme="majorHAnsi" w:hAnsiTheme="majorHAnsi" w:cstheme="majorHAnsi"/>
          <w:sz w:val="24"/>
          <w:szCs w:val="24"/>
          <w:lang w:val="ru-RU"/>
        </w:rPr>
        <w:t>несогласованность</w:t>
      </w:r>
      <w:r w:rsidRPr="00BF5DC5">
        <w:rPr>
          <w:rFonts w:asciiTheme="majorHAnsi" w:hAnsiTheme="majorHAnsi" w:cstheme="majorHAnsi"/>
          <w:sz w:val="24"/>
          <w:szCs w:val="24"/>
          <w:lang w:val="ro-MD"/>
        </w:rPr>
        <w:t xml:space="preserve"> между </w:t>
      </w:r>
      <w:r w:rsidR="004158A7">
        <w:rPr>
          <w:rFonts w:asciiTheme="majorHAnsi" w:hAnsiTheme="majorHAnsi" w:cstheme="majorHAnsi"/>
          <w:sz w:val="24"/>
          <w:szCs w:val="24"/>
          <w:lang w:val="ru-RU"/>
        </w:rPr>
        <w:t>надбака</w:t>
      </w:r>
      <w:r w:rsidRPr="00BF5DC5">
        <w:rPr>
          <w:rFonts w:asciiTheme="majorHAnsi" w:hAnsiTheme="majorHAnsi" w:cstheme="majorHAnsi"/>
          <w:sz w:val="24"/>
          <w:szCs w:val="24"/>
          <w:lang w:val="ro-MD"/>
        </w:rPr>
        <w:t xml:space="preserve">ми </w:t>
      </w:r>
      <w:r w:rsidR="004158A7">
        <w:rPr>
          <w:rFonts w:asciiTheme="majorHAnsi" w:hAnsiTheme="majorHAnsi" w:cstheme="majorHAnsi"/>
          <w:sz w:val="24"/>
          <w:szCs w:val="24"/>
          <w:lang w:val="ru-RU"/>
        </w:rPr>
        <w:t xml:space="preserve">к </w:t>
      </w:r>
      <w:r w:rsidRPr="00BF5DC5">
        <w:rPr>
          <w:rFonts w:asciiTheme="majorHAnsi" w:hAnsiTheme="majorHAnsi" w:cstheme="majorHAnsi"/>
          <w:sz w:val="24"/>
          <w:szCs w:val="24"/>
          <w:lang w:val="ro-MD"/>
        </w:rPr>
        <w:t>заработной плат</w:t>
      </w:r>
      <w:r w:rsidR="004158A7">
        <w:rPr>
          <w:rFonts w:asciiTheme="majorHAnsi" w:hAnsiTheme="majorHAnsi" w:cstheme="majorHAnsi"/>
          <w:sz w:val="24"/>
          <w:szCs w:val="24"/>
          <w:lang w:val="ru-RU"/>
        </w:rPr>
        <w:t>е</w:t>
      </w:r>
      <w:r w:rsidRPr="00BF5DC5">
        <w:rPr>
          <w:rFonts w:asciiTheme="majorHAnsi" w:hAnsiTheme="majorHAnsi" w:cstheme="majorHAnsi"/>
          <w:sz w:val="24"/>
          <w:szCs w:val="24"/>
          <w:lang w:val="ro-MD"/>
        </w:rPr>
        <w:t xml:space="preserve"> и теми, которые учитываются при </w:t>
      </w:r>
      <w:r w:rsidR="004158A7">
        <w:rPr>
          <w:rFonts w:asciiTheme="majorHAnsi" w:hAnsiTheme="majorHAnsi" w:cstheme="majorHAnsi"/>
          <w:sz w:val="24"/>
          <w:szCs w:val="24"/>
          <w:lang w:val="ru-RU"/>
        </w:rPr>
        <w:t>назнач</w:t>
      </w:r>
      <w:r w:rsidRPr="00BF5DC5">
        <w:rPr>
          <w:rFonts w:asciiTheme="majorHAnsi" w:hAnsiTheme="majorHAnsi" w:cstheme="majorHAnsi"/>
          <w:sz w:val="24"/>
          <w:szCs w:val="24"/>
          <w:lang w:val="ro-MD"/>
        </w:rPr>
        <w:t>ении пенсии. Эти обстоятельства создают неопределенность отно</w:t>
      </w:r>
      <w:r w:rsidR="004158A7" w:rsidRPr="004158A7">
        <w:rPr>
          <w:rFonts w:asciiTheme="majorHAnsi" w:hAnsiTheme="majorHAnsi" w:cstheme="majorHAnsi"/>
          <w:sz w:val="24"/>
          <w:szCs w:val="24"/>
          <w:lang w:val="ro-MD"/>
        </w:rPr>
        <w:t>сительно соответствия установления пенсии данн</w:t>
      </w:r>
      <w:r w:rsidRPr="00BF5DC5">
        <w:rPr>
          <w:rFonts w:asciiTheme="majorHAnsi" w:hAnsiTheme="majorHAnsi" w:cstheme="majorHAnsi"/>
          <w:sz w:val="24"/>
          <w:szCs w:val="24"/>
          <w:lang w:val="ro-MD"/>
        </w:rPr>
        <w:t>ой категории бенефициаров</w:t>
      </w:r>
      <w:r w:rsidR="00084F75" w:rsidRPr="00B7675F">
        <w:rPr>
          <w:rFonts w:asciiTheme="majorHAnsi" w:hAnsiTheme="majorHAnsi" w:cstheme="majorHAnsi"/>
          <w:sz w:val="24"/>
          <w:szCs w:val="24"/>
          <w:lang w:val="ro-MD"/>
        </w:rPr>
        <w:t>.</w:t>
      </w:r>
    </w:p>
    <w:p w14:paraId="712A9086" w14:textId="43B2A519" w:rsidR="0053271A" w:rsidRPr="00B7675F" w:rsidRDefault="00BF5DC5" w:rsidP="00C87A3D">
      <w:pPr>
        <w:pStyle w:val="aa"/>
        <w:shd w:val="clear" w:color="auto" w:fill="FFFFFF" w:themeFill="background1"/>
        <w:spacing w:line="276" w:lineRule="auto"/>
        <w:ind w:left="0"/>
        <w:jc w:val="both"/>
        <w:rPr>
          <w:rFonts w:asciiTheme="majorHAnsi" w:hAnsiTheme="majorHAnsi" w:cstheme="majorHAnsi"/>
          <w:sz w:val="24"/>
          <w:szCs w:val="24"/>
          <w:lang w:val="ro-MD"/>
        </w:rPr>
      </w:pPr>
      <w:r w:rsidRPr="00BF5DC5">
        <w:rPr>
          <w:rFonts w:asciiTheme="majorHAnsi" w:hAnsiTheme="majorHAnsi" w:cstheme="majorHAnsi"/>
          <w:sz w:val="24"/>
          <w:szCs w:val="24"/>
          <w:lang w:val="ro-MD"/>
        </w:rPr>
        <w:t xml:space="preserve">Хотя НКСС </w:t>
      </w:r>
      <w:r w:rsidR="005C5DCE">
        <w:rPr>
          <w:rFonts w:asciiTheme="majorHAnsi" w:hAnsiTheme="majorHAnsi" w:cstheme="majorHAnsi"/>
          <w:sz w:val="24"/>
          <w:szCs w:val="24"/>
          <w:lang w:val="ru-RU"/>
        </w:rPr>
        <w:t>запраши</w:t>
      </w:r>
      <w:r w:rsidRPr="00BF5DC5">
        <w:rPr>
          <w:rFonts w:asciiTheme="majorHAnsi" w:hAnsiTheme="majorHAnsi" w:cstheme="majorHAnsi"/>
          <w:sz w:val="24"/>
          <w:szCs w:val="24"/>
          <w:lang w:val="ro-MD"/>
        </w:rPr>
        <w:t>вала толковани</w:t>
      </w:r>
      <w:r w:rsidR="005C5DCE">
        <w:rPr>
          <w:rFonts w:asciiTheme="majorHAnsi" w:hAnsiTheme="majorHAnsi" w:cstheme="majorHAnsi"/>
          <w:sz w:val="24"/>
          <w:szCs w:val="24"/>
          <w:lang w:val="ru-RU"/>
        </w:rPr>
        <w:t>я</w:t>
      </w:r>
      <w:r w:rsidRPr="00BF5DC5">
        <w:rPr>
          <w:rFonts w:asciiTheme="majorHAnsi" w:hAnsiTheme="majorHAnsi" w:cstheme="majorHAnsi"/>
          <w:sz w:val="24"/>
          <w:szCs w:val="24"/>
          <w:lang w:val="ro-MD"/>
        </w:rPr>
        <w:t xml:space="preserve"> законодательных актов </w:t>
      </w:r>
      <w:r w:rsidR="005C5DCE">
        <w:rPr>
          <w:rFonts w:asciiTheme="majorHAnsi" w:hAnsiTheme="majorHAnsi" w:cstheme="majorHAnsi"/>
          <w:sz w:val="24"/>
          <w:szCs w:val="24"/>
          <w:lang w:val="ru-RU"/>
        </w:rPr>
        <w:t xml:space="preserve">от </w:t>
      </w:r>
      <w:r w:rsidRPr="00BF5DC5">
        <w:rPr>
          <w:rFonts w:asciiTheme="majorHAnsi" w:hAnsiTheme="majorHAnsi" w:cstheme="majorHAnsi"/>
          <w:sz w:val="24"/>
          <w:szCs w:val="24"/>
          <w:lang w:val="ro-MD"/>
        </w:rPr>
        <w:t>Министерства труда и социальной защиты, отме</w:t>
      </w:r>
      <w:r w:rsidR="005C5DCE">
        <w:rPr>
          <w:rFonts w:asciiTheme="majorHAnsi" w:hAnsiTheme="majorHAnsi" w:cstheme="majorHAnsi"/>
          <w:sz w:val="24"/>
          <w:szCs w:val="24"/>
          <w:lang w:val="ru-RU"/>
        </w:rPr>
        <w:t>чаем</w:t>
      </w:r>
      <w:r w:rsidRPr="00BF5DC5">
        <w:rPr>
          <w:rFonts w:asciiTheme="majorHAnsi" w:hAnsiTheme="majorHAnsi" w:cstheme="majorHAnsi"/>
          <w:sz w:val="24"/>
          <w:szCs w:val="24"/>
          <w:lang w:val="ro-MD"/>
        </w:rPr>
        <w:t xml:space="preserve">, что </w:t>
      </w:r>
      <w:r w:rsidR="005C5DCE">
        <w:rPr>
          <w:rFonts w:asciiTheme="majorHAnsi" w:hAnsiTheme="majorHAnsi" w:cstheme="majorHAnsi"/>
          <w:sz w:val="24"/>
          <w:szCs w:val="24"/>
          <w:lang w:val="ru-RU"/>
        </w:rPr>
        <w:t>З</w:t>
      </w:r>
      <w:r w:rsidR="005C5DCE">
        <w:rPr>
          <w:rFonts w:asciiTheme="majorHAnsi" w:hAnsiTheme="majorHAnsi" w:cstheme="majorHAnsi"/>
          <w:sz w:val="24"/>
          <w:szCs w:val="24"/>
          <w:lang w:val="ro-MD"/>
        </w:rPr>
        <w:t>акон №</w:t>
      </w:r>
      <w:r w:rsidR="005C5DCE" w:rsidRPr="00B7675F">
        <w:rPr>
          <w:rFonts w:asciiTheme="majorHAnsi" w:hAnsiTheme="majorHAnsi" w:cstheme="majorHAnsi"/>
          <w:sz w:val="24"/>
          <w:szCs w:val="24"/>
          <w:lang w:val="ro-MD"/>
        </w:rPr>
        <w:t>100</w:t>
      </w:r>
      <w:r w:rsidR="005C5DCE" w:rsidRPr="00B7675F">
        <w:rPr>
          <w:rStyle w:val="a5"/>
          <w:rFonts w:asciiTheme="majorHAnsi" w:hAnsiTheme="majorHAnsi" w:cstheme="majorHAnsi"/>
          <w:sz w:val="24"/>
          <w:szCs w:val="24"/>
          <w:lang w:val="ro-MD"/>
        </w:rPr>
        <w:footnoteReference w:id="83"/>
      </w:r>
      <w:r w:rsidRPr="00BF5DC5">
        <w:rPr>
          <w:rFonts w:asciiTheme="majorHAnsi" w:hAnsiTheme="majorHAnsi" w:cstheme="majorHAnsi"/>
          <w:sz w:val="24"/>
          <w:szCs w:val="24"/>
          <w:lang w:val="ro-MD"/>
        </w:rPr>
        <w:t xml:space="preserve"> предусматривает, что официальное толкование законодательных актов осуществляется </w:t>
      </w:r>
      <w:r w:rsidR="005C5DCE">
        <w:rPr>
          <w:rFonts w:asciiTheme="majorHAnsi" w:hAnsiTheme="majorHAnsi" w:cstheme="majorHAnsi"/>
          <w:sz w:val="24"/>
          <w:szCs w:val="24"/>
          <w:lang w:val="ru-RU"/>
        </w:rPr>
        <w:t>П</w:t>
      </w:r>
      <w:r w:rsidRPr="00BF5DC5">
        <w:rPr>
          <w:rFonts w:asciiTheme="majorHAnsi" w:hAnsiTheme="majorHAnsi" w:cstheme="majorHAnsi"/>
          <w:sz w:val="24"/>
          <w:szCs w:val="24"/>
          <w:lang w:val="ro-MD"/>
        </w:rPr>
        <w:t xml:space="preserve">арламентом. Соответственно, расчет пенсии осуществляется на основе среднемесячной заработной платы – </w:t>
      </w:r>
      <w:r w:rsidR="005C5DCE" w:rsidRPr="005C5DCE">
        <w:rPr>
          <w:rFonts w:asciiTheme="majorHAnsi" w:hAnsiTheme="majorHAnsi" w:cstheme="majorHAnsi"/>
          <w:sz w:val="24"/>
          <w:szCs w:val="24"/>
          <w:lang w:val="ro-MD"/>
        </w:rPr>
        <w:t>основн</w:t>
      </w:r>
      <w:r w:rsidRPr="00BF5DC5">
        <w:rPr>
          <w:rFonts w:asciiTheme="majorHAnsi" w:hAnsiTheme="majorHAnsi" w:cstheme="majorHAnsi"/>
          <w:sz w:val="24"/>
          <w:szCs w:val="24"/>
          <w:lang w:val="ro-MD"/>
        </w:rPr>
        <w:t xml:space="preserve">ой заработной платы, степени, разницы и </w:t>
      </w:r>
      <w:r w:rsidR="005C5DCE" w:rsidRPr="00BF5DC5">
        <w:rPr>
          <w:rFonts w:asciiTheme="majorHAnsi" w:hAnsiTheme="majorHAnsi" w:cstheme="majorHAnsi"/>
          <w:sz w:val="24"/>
          <w:szCs w:val="24"/>
          <w:lang w:val="ro-MD"/>
        </w:rPr>
        <w:t xml:space="preserve">установленных </w:t>
      </w:r>
      <w:r w:rsidRPr="00BF5DC5">
        <w:rPr>
          <w:rFonts w:asciiTheme="majorHAnsi" w:hAnsiTheme="majorHAnsi" w:cstheme="majorHAnsi"/>
          <w:sz w:val="24"/>
          <w:szCs w:val="24"/>
          <w:lang w:val="ro-MD"/>
        </w:rPr>
        <w:t>надбавок постоянн</w:t>
      </w:r>
      <w:r w:rsidR="005C5DCE" w:rsidRPr="005C5DCE">
        <w:rPr>
          <w:rFonts w:asciiTheme="majorHAnsi" w:hAnsiTheme="majorHAnsi" w:cstheme="majorHAnsi"/>
          <w:sz w:val="24"/>
          <w:szCs w:val="24"/>
          <w:lang w:val="ro-MD"/>
        </w:rPr>
        <w:t>ого</w:t>
      </w:r>
      <w:r w:rsidRPr="00BF5DC5">
        <w:rPr>
          <w:rFonts w:asciiTheme="majorHAnsi" w:hAnsiTheme="majorHAnsi" w:cstheme="majorHAnsi"/>
          <w:sz w:val="24"/>
          <w:szCs w:val="24"/>
          <w:lang w:val="ro-MD"/>
        </w:rPr>
        <w:t xml:space="preserve"> характер</w:t>
      </w:r>
      <w:r w:rsidR="005C5DCE" w:rsidRPr="005C5DCE">
        <w:rPr>
          <w:rFonts w:asciiTheme="majorHAnsi" w:hAnsiTheme="majorHAnsi" w:cstheme="majorHAnsi"/>
          <w:sz w:val="24"/>
          <w:szCs w:val="24"/>
          <w:lang w:val="ro-MD"/>
        </w:rPr>
        <w:t>а,</w:t>
      </w:r>
      <w:r w:rsidRPr="00BF5DC5">
        <w:rPr>
          <w:rFonts w:asciiTheme="majorHAnsi" w:hAnsiTheme="majorHAnsi" w:cstheme="majorHAnsi"/>
          <w:sz w:val="24"/>
          <w:szCs w:val="24"/>
          <w:lang w:val="ro-MD"/>
        </w:rPr>
        <w:t xml:space="preserve"> в соответствии с </w:t>
      </w:r>
      <w:r w:rsidR="005C5DCE" w:rsidRPr="005C5DCE">
        <w:rPr>
          <w:rFonts w:asciiTheme="majorHAnsi" w:hAnsiTheme="majorHAnsi" w:cstheme="majorHAnsi"/>
          <w:sz w:val="24"/>
          <w:szCs w:val="24"/>
          <w:lang w:val="ro-MD"/>
        </w:rPr>
        <w:t>З</w:t>
      </w:r>
      <w:r w:rsidR="005C5DCE">
        <w:rPr>
          <w:rFonts w:asciiTheme="majorHAnsi" w:hAnsiTheme="majorHAnsi" w:cstheme="majorHAnsi"/>
          <w:sz w:val="24"/>
          <w:szCs w:val="24"/>
          <w:lang w:val="ro-MD"/>
        </w:rPr>
        <w:t>аконом №</w:t>
      </w:r>
      <w:r w:rsidRPr="00BF5DC5">
        <w:rPr>
          <w:rFonts w:asciiTheme="majorHAnsi" w:hAnsiTheme="majorHAnsi" w:cstheme="majorHAnsi"/>
          <w:sz w:val="24"/>
          <w:szCs w:val="24"/>
          <w:lang w:val="ro-MD"/>
        </w:rPr>
        <w:t>270/2018 и интерпретаци</w:t>
      </w:r>
      <w:r w:rsidR="005C5DCE" w:rsidRPr="005C5DCE">
        <w:rPr>
          <w:rFonts w:asciiTheme="majorHAnsi" w:hAnsiTheme="majorHAnsi" w:cstheme="majorHAnsi"/>
          <w:sz w:val="24"/>
          <w:szCs w:val="24"/>
          <w:lang w:val="ro-MD"/>
        </w:rPr>
        <w:t>ями</w:t>
      </w:r>
      <w:r w:rsidRPr="00BF5DC5">
        <w:rPr>
          <w:rFonts w:asciiTheme="majorHAnsi" w:hAnsiTheme="majorHAnsi" w:cstheme="majorHAnsi"/>
          <w:sz w:val="24"/>
          <w:szCs w:val="24"/>
          <w:lang w:val="ro-MD"/>
        </w:rPr>
        <w:t xml:space="preserve"> </w:t>
      </w:r>
      <w:r w:rsidR="005C5DCE" w:rsidRPr="005C5DCE">
        <w:rPr>
          <w:rFonts w:asciiTheme="majorHAnsi" w:hAnsiTheme="majorHAnsi" w:cstheme="majorHAnsi"/>
          <w:sz w:val="24"/>
          <w:szCs w:val="24"/>
          <w:lang w:val="ro-MD"/>
        </w:rPr>
        <w:t>МТСЗ</w:t>
      </w:r>
      <w:r w:rsidR="0053271A" w:rsidRPr="00B7675F">
        <w:rPr>
          <w:rFonts w:asciiTheme="majorHAnsi" w:hAnsiTheme="majorHAnsi" w:cstheme="majorHAnsi"/>
          <w:sz w:val="24"/>
          <w:szCs w:val="24"/>
          <w:lang w:val="ro-MD"/>
        </w:rPr>
        <w:t xml:space="preserve">. </w:t>
      </w:r>
    </w:p>
    <w:p w14:paraId="59E909FE" w14:textId="77777777" w:rsidR="00424EFE" w:rsidRPr="00B7675F" w:rsidRDefault="00424EFE" w:rsidP="00C87A3D">
      <w:pPr>
        <w:pStyle w:val="aa"/>
        <w:shd w:val="clear" w:color="auto" w:fill="FFFFFF" w:themeFill="background1"/>
        <w:spacing w:line="276" w:lineRule="auto"/>
        <w:ind w:left="0"/>
        <w:jc w:val="both"/>
        <w:rPr>
          <w:rFonts w:asciiTheme="majorHAnsi" w:hAnsiTheme="majorHAnsi" w:cstheme="majorHAnsi"/>
          <w:sz w:val="24"/>
          <w:szCs w:val="24"/>
          <w:lang w:val="ro-MD"/>
        </w:rPr>
      </w:pPr>
    </w:p>
    <w:p w14:paraId="1508AB08" w14:textId="3278425D" w:rsidR="004720C1" w:rsidRPr="00B7675F" w:rsidRDefault="00BF5DC5" w:rsidP="002A0DCE">
      <w:pPr>
        <w:pStyle w:val="aa"/>
        <w:shd w:val="clear" w:color="auto" w:fill="FFFFFF" w:themeFill="background1"/>
        <w:spacing w:line="276" w:lineRule="auto"/>
        <w:ind w:left="0"/>
        <w:jc w:val="both"/>
        <w:rPr>
          <w:rFonts w:asciiTheme="majorHAnsi" w:hAnsiTheme="majorHAnsi" w:cstheme="majorHAnsi"/>
          <w:sz w:val="24"/>
          <w:szCs w:val="24"/>
          <w:lang w:val="ro-MD"/>
        </w:rPr>
      </w:pPr>
      <w:r w:rsidRPr="00BF5DC5">
        <w:rPr>
          <w:rFonts w:asciiTheme="majorHAnsi" w:hAnsiTheme="majorHAnsi" w:cstheme="majorHAnsi"/>
          <w:sz w:val="24"/>
          <w:szCs w:val="24"/>
          <w:lang w:val="ro-MD"/>
        </w:rPr>
        <w:t xml:space="preserve">В этом контексте уточняем, что </w:t>
      </w:r>
      <w:r w:rsidR="005C5DCE" w:rsidRPr="005C5DCE">
        <w:rPr>
          <w:rFonts w:asciiTheme="majorHAnsi" w:hAnsiTheme="majorHAnsi" w:cstheme="majorHAnsi"/>
          <w:sz w:val="24"/>
          <w:szCs w:val="24"/>
          <w:lang w:val="ro-MD"/>
        </w:rPr>
        <w:t>неоднознач</w:t>
      </w:r>
      <w:r w:rsidRPr="00BF5DC5">
        <w:rPr>
          <w:rFonts w:asciiTheme="majorHAnsi" w:hAnsiTheme="majorHAnsi" w:cstheme="majorHAnsi"/>
          <w:sz w:val="24"/>
          <w:szCs w:val="24"/>
          <w:lang w:val="ro-MD"/>
        </w:rPr>
        <w:t xml:space="preserve">ность </w:t>
      </w:r>
      <w:r w:rsidR="00707272">
        <w:rPr>
          <w:rFonts w:asciiTheme="majorHAnsi" w:hAnsiTheme="majorHAnsi" w:cstheme="majorHAnsi"/>
          <w:sz w:val="24"/>
          <w:szCs w:val="24"/>
          <w:lang w:val="ro-MD"/>
        </w:rPr>
        <w:t>законодательн</w:t>
      </w:r>
      <w:r w:rsidRPr="00BF5DC5">
        <w:rPr>
          <w:rFonts w:asciiTheme="majorHAnsi" w:hAnsiTheme="majorHAnsi" w:cstheme="majorHAnsi"/>
          <w:sz w:val="24"/>
          <w:szCs w:val="24"/>
          <w:lang w:val="ro-MD"/>
        </w:rPr>
        <w:t>ой базы создает неопределенность при определении размера пенсии, которая</w:t>
      </w:r>
      <w:r w:rsidR="005C5DCE" w:rsidRPr="005C5DCE">
        <w:rPr>
          <w:rFonts w:asciiTheme="majorHAnsi" w:hAnsiTheme="majorHAnsi" w:cstheme="majorHAnsi"/>
          <w:sz w:val="24"/>
          <w:szCs w:val="24"/>
          <w:lang w:val="ro-MD"/>
        </w:rPr>
        <w:t>,</w:t>
      </w:r>
      <w:r w:rsidRPr="00BF5DC5">
        <w:rPr>
          <w:rFonts w:asciiTheme="majorHAnsi" w:hAnsiTheme="majorHAnsi" w:cstheme="majorHAnsi"/>
          <w:sz w:val="24"/>
          <w:szCs w:val="24"/>
          <w:lang w:val="ro-MD"/>
        </w:rPr>
        <w:t xml:space="preserve"> при различной интерпретации</w:t>
      </w:r>
      <w:r w:rsidR="005C5DCE" w:rsidRPr="005C5DCE">
        <w:rPr>
          <w:rFonts w:asciiTheme="majorHAnsi" w:hAnsiTheme="majorHAnsi" w:cstheme="majorHAnsi"/>
          <w:sz w:val="24"/>
          <w:szCs w:val="24"/>
          <w:lang w:val="ro-MD"/>
        </w:rPr>
        <w:t>,</w:t>
      </w:r>
      <w:r w:rsidRPr="00BF5DC5">
        <w:rPr>
          <w:rFonts w:asciiTheme="majorHAnsi" w:hAnsiTheme="majorHAnsi" w:cstheme="majorHAnsi"/>
          <w:sz w:val="24"/>
          <w:szCs w:val="24"/>
          <w:lang w:val="ro-MD"/>
        </w:rPr>
        <w:t xml:space="preserve"> может </w:t>
      </w:r>
      <w:r w:rsidR="005C5DCE" w:rsidRPr="005C5DCE">
        <w:rPr>
          <w:rFonts w:asciiTheme="majorHAnsi" w:hAnsiTheme="majorHAnsi" w:cstheme="majorHAnsi"/>
          <w:sz w:val="24"/>
          <w:szCs w:val="24"/>
          <w:lang w:val="ro-MD"/>
        </w:rPr>
        <w:t>нанести ущерб</w:t>
      </w:r>
      <w:r w:rsidRPr="00BF5DC5">
        <w:rPr>
          <w:rFonts w:asciiTheme="majorHAnsi" w:hAnsiTheme="majorHAnsi" w:cstheme="majorHAnsi"/>
          <w:sz w:val="24"/>
          <w:szCs w:val="24"/>
          <w:lang w:val="ro-MD"/>
        </w:rPr>
        <w:t>/ выгод</w:t>
      </w:r>
      <w:r w:rsidR="005C5DCE" w:rsidRPr="005C5DCE">
        <w:rPr>
          <w:rFonts w:asciiTheme="majorHAnsi" w:hAnsiTheme="majorHAnsi" w:cstheme="majorHAnsi"/>
          <w:sz w:val="24"/>
          <w:szCs w:val="24"/>
          <w:lang w:val="ro-MD"/>
        </w:rPr>
        <w:t>у</w:t>
      </w:r>
      <w:r w:rsidRPr="00BF5DC5">
        <w:rPr>
          <w:rFonts w:asciiTheme="majorHAnsi" w:hAnsiTheme="majorHAnsi" w:cstheme="majorHAnsi"/>
          <w:sz w:val="24"/>
          <w:szCs w:val="24"/>
          <w:lang w:val="ro-MD"/>
        </w:rPr>
        <w:t xml:space="preserve"> бенефициарам</w:t>
      </w:r>
      <w:r w:rsidR="0053271A" w:rsidRPr="00B7675F">
        <w:rPr>
          <w:rFonts w:asciiTheme="majorHAnsi" w:hAnsiTheme="majorHAnsi" w:cstheme="majorHAnsi"/>
          <w:sz w:val="24"/>
          <w:szCs w:val="24"/>
          <w:lang w:val="ro-MD"/>
        </w:rPr>
        <w:t>.</w:t>
      </w:r>
    </w:p>
    <w:p w14:paraId="4002384A" w14:textId="77777777" w:rsidR="002A0DCE" w:rsidRPr="00B7675F" w:rsidRDefault="002A0DCE" w:rsidP="002A0DCE">
      <w:pPr>
        <w:pStyle w:val="aa"/>
        <w:shd w:val="clear" w:color="auto" w:fill="FFFFFF" w:themeFill="background1"/>
        <w:spacing w:line="276" w:lineRule="auto"/>
        <w:ind w:left="0"/>
        <w:jc w:val="both"/>
        <w:rPr>
          <w:rFonts w:asciiTheme="majorHAnsi" w:hAnsiTheme="majorHAnsi" w:cstheme="majorHAnsi"/>
          <w:sz w:val="24"/>
          <w:szCs w:val="24"/>
          <w:lang w:val="ro-MD"/>
        </w:rPr>
      </w:pPr>
    </w:p>
    <w:p w14:paraId="7BD29D90" w14:textId="0F8CB797" w:rsidR="00782913" w:rsidRPr="00736448" w:rsidRDefault="00BF5DC5" w:rsidP="00BF5DC5">
      <w:pPr>
        <w:pStyle w:val="aa"/>
        <w:numPr>
          <w:ilvl w:val="1"/>
          <w:numId w:val="2"/>
        </w:numPr>
        <w:spacing w:after="0" w:line="276" w:lineRule="auto"/>
        <w:ind w:left="0" w:firstLine="0"/>
        <w:jc w:val="both"/>
        <w:outlineLvl w:val="1"/>
        <w:rPr>
          <w:rFonts w:asciiTheme="majorHAnsi" w:eastAsia="Calibri" w:hAnsiTheme="majorHAnsi" w:cstheme="majorHAnsi"/>
          <w:b/>
          <w:noProof/>
          <w:sz w:val="24"/>
          <w:szCs w:val="24"/>
          <w:lang w:val="ro-MD"/>
        </w:rPr>
      </w:pPr>
      <w:r w:rsidRPr="00BF5DC5">
        <w:rPr>
          <w:rFonts w:asciiTheme="majorHAnsi" w:eastAsia="Calibri" w:hAnsiTheme="majorHAnsi" w:cstheme="majorHAnsi"/>
          <w:b/>
          <w:noProof/>
          <w:sz w:val="24"/>
          <w:szCs w:val="24"/>
          <w:lang w:val="ro-MD"/>
        </w:rPr>
        <w:t>Срок рассмотрения пособия в случае смерти одного из супругов превышает</w:t>
      </w:r>
      <w:r w:rsidR="00C45D9D" w:rsidRPr="00C45D9D">
        <w:rPr>
          <w:rFonts w:asciiTheme="majorHAnsi" w:eastAsia="Calibri" w:hAnsiTheme="majorHAnsi" w:cstheme="majorHAnsi"/>
          <w:b/>
          <w:noProof/>
          <w:sz w:val="24"/>
          <w:szCs w:val="24"/>
          <w:lang w:val="ro-MD"/>
        </w:rPr>
        <w:t>ся</w:t>
      </w:r>
      <w:r w:rsidRPr="00BF5DC5">
        <w:rPr>
          <w:rFonts w:asciiTheme="majorHAnsi" w:eastAsia="Calibri" w:hAnsiTheme="majorHAnsi" w:cstheme="majorHAnsi"/>
          <w:b/>
          <w:noProof/>
          <w:sz w:val="24"/>
          <w:szCs w:val="24"/>
          <w:lang w:val="ro-MD"/>
        </w:rPr>
        <w:t xml:space="preserve"> от 14 до 75 дней</w:t>
      </w:r>
      <w:r w:rsidR="00424EFE" w:rsidRPr="00736448">
        <w:rPr>
          <w:rFonts w:asciiTheme="majorHAnsi" w:eastAsia="Calibri" w:hAnsiTheme="majorHAnsi" w:cstheme="majorHAnsi"/>
          <w:b/>
          <w:noProof/>
          <w:sz w:val="24"/>
          <w:szCs w:val="24"/>
          <w:lang w:val="ro-MD"/>
        </w:rPr>
        <w:t>.</w:t>
      </w:r>
      <w:r w:rsidR="00782913" w:rsidRPr="00736448">
        <w:rPr>
          <w:rFonts w:asciiTheme="majorHAnsi" w:eastAsia="Calibri" w:hAnsiTheme="majorHAnsi" w:cstheme="majorHAnsi"/>
          <w:b/>
          <w:noProof/>
          <w:sz w:val="24"/>
          <w:szCs w:val="24"/>
          <w:lang w:val="ro-MD"/>
        </w:rPr>
        <w:t xml:space="preserve"> </w:t>
      </w:r>
    </w:p>
    <w:p w14:paraId="4C1F2DB4" w14:textId="33E32F28" w:rsidR="00727823" w:rsidRPr="00736448" w:rsidRDefault="00C45D9D" w:rsidP="00207E44">
      <w:pPr>
        <w:spacing w:line="276" w:lineRule="auto"/>
        <w:jc w:val="both"/>
        <w:rPr>
          <w:rFonts w:asciiTheme="majorHAnsi" w:eastAsia="Calibri" w:hAnsiTheme="majorHAnsi" w:cstheme="majorHAnsi"/>
          <w:bCs/>
          <w:iCs/>
          <w:noProof/>
          <w:sz w:val="24"/>
          <w:szCs w:val="24"/>
          <w:lang w:val="ro-MD"/>
        </w:rPr>
      </w:pPr>
      <w:r>
        <w:rPr>
          <w:rFonts w:asciiTheme="majorHAnsi" w:eastAsia="Calibri" w:hAnsiTheme="majorHAnsi" w:cstheme="majorHAnsi"/>
          <w:bCs/>
          <w:iCs/>
          <w:noProof/>
          <w:sz w:val="24"/>
          <w:szCs w:val="24"/>
          <w:lang w:val="ru-RU"/>
        </w:rPr>
        <w:t>На</w:t>
      </w:r>
      <w:r w:rsidR="00370E16" w:rsidRPr="00C45D9D">
        <w:rPr>
          <w:rFonts w:asciiTheme="majorHAnsi" w:eastAsia="Calibri" w:hAnsiTheme="majorHAnsi" w:cstheme="majorHAnsi"/>
          <w:bCs/>
          <w:iCs/>
          <w:noProof/>
          <w:sz w:val="24"/>
          <w:szCs w:val="24"/>
          <w:lang w:val="ro-MD"/>
        </w:rPr>
        <w:t xml:space="preserve"> выплат</w:t>
      </w:r>
      <w:r>
        <w:rPr>
          <w:rFonts w:asciiTheme="majorHAnsi" w:eastAsia="Calibri" w:hAnsiTheme="majorHAnsi" w:cstheme="majorHAnsi"/>
          <w:bCs/>
          <w:iCs/>
          <w:noProof/>
          <w:sz w:val="24"/>
          <w:szCs w:val="24"/>
          <w:lang w:val="ru-RU"/>
        </w:rPr>
        <w:t>у</w:t>
      </w:r>
      <w:r w:rsidR="00370E16" w:rsidRPr="00C45D9D">
        <w:rPr>
          <w:rFonts w:asciiTheme="majorHAnsi" w:eastAsia="Calibri" w:hAnsiTheme="majorHAnsi" w:cstheme="majorHAnsi"/>
          <w:bCs/>
          <w:iCs/>
          <w:noProof/>
          <w:sz w:val="24"/>
          <w:szCs w:val="24"/>
          <w:lang w:val="ro-MD"/>
        </w:rPr>
        <w:t xml:space="preserve"> пособия в случае смерти одного из супругов изначально были предусмотрены расходы в размере 37 479,0 тыс. леев, которые впоследствии были </w:t>
      </w:r>
      <w:r>
        <w:rPr>
          <w:rFonts w:asciiTheme="majorHAnsi" w:eastAsia="Calibri" w:hAnsiTheme="majorHAnsi" w:cstheme="majorHAnsi"/>
          <w:bCs/>
          <w:iCs/>
          <w:noProof/>
          <w:sz w:val="24"/>
          <w:szCs w:val="24"/>
          <w:lang w:val="ru-RU"/>
        </w:rPr>
        <w:t>уточне</w:t>
      </w:r>
      <w:r w:rsidR="00370E16" w:rsidRPr="00C45D9D">
        <w:rPr>
          <w:rFonts w:asciiTheme="majorHAnsi" w:eastAsia="Calibri" w:hAnsiTheme="majorHAnsi" w:cstheme="majorHAnsi"/>
          <w:bCs/>
          <w:iCs/>
          <w:noProof/>
          <w:sz w:val="24"/>
          <w:szCs w:val="24"/>
          <w:lang w:val="ro-MD"/>
        </w:rPr>
        <w:t>ны до 41 636,7 тыс. леев.</w:t>
      </w:r>
      <w:r w:rsidR="00370E16" w:rsidRPr="00370E16">
        <w:rPr>
          <w:rFonts w:asciiTheme="majorHAnsi" w:eastAsia="Calibri" w:hAnsiTheme="majorHAnsi" w:cstheme="majorHAnsi"/>
          <w:bCs/>
          <w:iCs/>
          <w:noProof/>
          <w:sz w:val="24"/>
          <w:szCs w:val="24"/>
          <w:lang w:val="ro-MD"/>
        </w:rPr>
        <w:t xml:space="preserve"> Эт</w:t>
      </w:r>
      <w:r>
        <w:rPr>
          <w:rFonts w:asciiTheme="majorHAnsi" w:eastAsia="Calibri" w:hAnsiTheme="majorHAnsi" w:cstheme="majorHAnsi"/>
          <w:bCs/>
          <w:iCs/>
          <w:noProof/>
          <w:sz w:val="24"/>
          <w:szCs w:val="24"/>
          <w:lang w:val="ru-RU"/>
        </w:rPr>
        <w:t>им</w:t>
      </w:r>
      <w:r w:rsidR="00370E16" w:rsidRPr="00370E16">
        <w:rPr>
          <w:rFonts w:asciiTheme="majorHAnsi" w:eastAsia="Calibri" w:hAnsiTheme="majorHAnsi" w:cstheme="majorHAnsi"/>
          <w:bCs/>
          <w:iCs/>
          <w:noProof/>
          <w:sz w:val="24"/>
          <w:szCs w:val="24"/>
          <w:lang w:val="ro-MD"/>
        </w:rPr>
        <w:t xml:space="preserve"> пособие</w:t>
      </w:r>
      <w:r>
        <w:rPr>
          <w:rFonts w:asciiTheme="majorHAnsi" w:eastAsia="Calibri" w:hAnsiTheme="majorHAnsi" w:cstheme="majorHAnsi"/>
          <w:bCs/>
          <w:iCs/>
          <w:noProof/>
          <w:sz w:val="24"/>
          <w:szCs w:val="24"/>
          <w:lang w:val="ru-RU"/>
        </w:rPr>
        <w:t>м</w:t>
      </w:r>
      <w:r w:rsidR="00370E16" w:rsidRPr="00370E16">
        <w:rPr>
          <w:rFonts w:asciiTheme="majorHAnsi" w:eastAsia="Calibri" w:hAnsiTheme="majorHAnsi" w:cstheme="majorHAnsi"/>
          <w:bCs/>
          <w:iCs/>
          <w:noProof/>
          <w:sz w:val="24"/>
          <w:szCs w:val="24"/>
          <w:lang w:val="ro-MD"/>
        </w:rPr>
        <w:t xml:space="preserve"> пользу</w:t>
      </w:r>
      <w:r>
        <w:rPr>
          <w:rFonts w:asciiTheme="majorHAnsi" w:eastAsia="Calibri" w:hAnsiTheme="majorHAnsi" w:cstheme="majorHAnsi"/>
          <w:bCs/>
          <w:iCs/>
          <w:noProof/>
          <w:sz w:val="24"/>
          <w:szCs w:val="24"/>
          <w:lang w:val="ru-RU"/>
        </w:rPr>
        <w:t>юися</w:t>
      </w:r>
      <w:r w:rsidR="00370E16" w:rsidRPr="00370E16">
        <w:rPr>
          <w:rFonts w:asciiTheme="majorHAnsi" w:eastAsia="Calibri" w:hAnsiTheme="majorHAnsi" w:cstheme="majorHAnsi"/>
          <w:bCs/>
          <w:iCs/>
          <w:noProof/>
          <w:sz w:val="24"/>
          <w:szCs w:val="24"/>
          <w:lang w:val="ro-MD"/>
        </w:rPr>
        <w:t xml:space="preserve"> 1 854 бенефициар</w:t>
      </w:r>
      <w:r>
        <w:rPr>
          <w:rFonts w:asciiTheme="majorHAnsi" w:eastAsia="Calibri" w:hAnsiTheme="majorHAnsi" w:cstheme="majorHAnsi"/>
          <w:bCs/>
          <w:iCs/>
          <w:noProof/>
          <w:sz w:val="24"/>
          <w:szCs w:val="24"/>
          <w:lang w:val="ru-RU"/>
        </w:rPr>
        <w:t>ов</w:t>
      </w:r>
      <w:r w:rsidR="00370E16" w:rsidRPr="00370E16">
        <w:rPr>
          <w:rFonts w:asciiTheme="majorHAnsi" w:eastAsia="Calibri" w:hAnsiTheme="majorHAnsi" w:cstheme="majorHAnsi"/>
          <w:bCs/>
          <w:iCs/>
          <w:noProof/>
          <w:sz w:val="24"/>
          <w:szCs w:val="24"/>
          <w:lang w:val="ro-MD"/>
        </w:rPr>
        <w:t xml:space="preserve">, а средний размер пособия составил 2 152,49 </w:t>
      </w:r>
      <w:r>
        <w:rPr>
          <w:rFonts w:asciiTheme="majorHAnsi" w:eastAsia="Calibri" w:hAnsiTheme="majorHAnsi" w:cstheme="majorHAnsi"/>
          <w:bCs/>
          <w:iCs/>
          <w:noProof/>
          <w:sz w:val="24"/>
          <w:szCs w:val="24"/>
          <w:lang w:val="ru-RU"/>
        </w:rPr>
        <w:t>леев</w:t>
      </w:r>
      <w:r w:rsidR="00370E16" w:rsidRPr="00370E16">
        <w:rPr>
          <w:rFonts w:asciiTheme="majorHAnsi" w:eastAsia="Calibri" w:hAnsiTheme="majorHAnsi" w:cstheme="majorHAnsi"/>
          <w:bCs/>
          <w:iCs/>
          <w:noProof/>
          <w:sz w:val="24"/>
          <w:szCs w:val="24"/>
          <w:lang w:val="ro-MD"/>
        </w:rPr>
        <w:t>. По сравнению с фактическими расходами 2021 года</w:t>
      </w:r>
      <w:r>
        <w:rPr>
          <w:rFonts w:asciiTheme="majorHAnsi" w:eastAsia="Calibri" w:hAnsiTheme="majorHAnsi" w:cstheme="majorHAnsi"/>
          <w:bCs/>
          <w:iCs/>
          <w:noProof/>
          <w:sz w:val="24"/>
          <w:szCs w:val="24"/>
          <w:lang w:val="ru-RU"/>
        </w:rPr>
        <w:t>,</w:t>
      </w:r>
      <w:r w:rsidR="00370E16" w:rsidRPr="00370E16">
        <w:rPr>
          <w:rFonts w:asciiTheme="majorHAnsi" w:eastAsia="Calibri" w:hAnsiTheme="majorHAnsi" w:cstheme="majorHAnsi"/>
          <w:bCs/>
          <w:iCs/>
          <w:noProof/>
          <w:sz w:val="24"/>
          <w:szCs w:val="24"/>
          <w:lang w:val="ro-MD"/>
        </w:rPr>
        <w:t xml:space="preserve"> расходы выросли на 15 129,6 тыс. леев, </w:t>
      </w:r>
      <w:r>
        <w:rPr>
          <w:rFonts w:asciiTheme="majorHAnsi" w:eastAsia="Calibri" w:hAnsiTheme="majorHAnsi" w:cstheme="majorHAnsi"/>
          <w:bCs/>
          <w:iCs/>
          <w:noProof/>
          <w:sz w:val="24"/>
          <w:szCs w:val="24"/>
          <w:lang w:val="ru-RU"/>
        </w:rPr>
        <w:t>этот</w:t>
      </w:r>
      <w:r w:rsidR="00370E16" w:rsidRPr="00370E16">
        <w:rPr>
          <w:rFonts w:asciiTheme="majorHAnsi" w:eastAsia="Calibri" w:hAnsiTheme="majorHAnsi" w:cstheme="majorHAnsi"/>
          <w:bCs/>
          <w:iCs/>
          <w:noProof/>
          <w:sz w:val="24"/>
          <w:szCs w:val="24"/>
          <w:lang w:val="ro-MD"/>
        </w:rPr>
        <w:t xml:space="preserve"> рост </w:t>
      </w:r>
      <w:r>
        <w:rPr>
          <w:rFonts w:asciiTheme="majorHAnsi" w:eastAsia="Calibri" w:hAnsiTheme="majorHAnsi" w:cstheme="majorHAnsi"/>
          <w:bCs/>
          <w:iCs/>
          <w:noProof/>
          <w:sz w:val="24"/>
          <w:szCs w:val="24"/>
          <w:lang w:val="ru-RU"/>
        </w:rPr>
        <w:t>был обусловлен ка</w:t>
      </w:r>
      <w:r w:rsidR="00370E16" w:rsidRPr="00370E16">
        <w:rPr>
          <w:rFonts w:asciiTheme="majorHAnsi" w:eastAsia="Calibri" w:hAnsiTheme="majorHAnsi" w:cstheme="majorHAnsi"/>
          <w:bCs/>
          <w:iCs/>
          <w:noProof/>
          <w:sz w:val="24"/>
          <w:szCs w:val="24"/>
          <w:lang w:val="ro-MD"/>
        </w:rPr>
        <w:t xml:space="preserve"> увеличение</w:t>
      </w:r>
      <w:r>
        <w:rPr>
          <w:rFonts w:asciiTheme="majorHAnsi" w:eastAsia="Calibri" w:hAnsiTheme="majorHAnsi" w:cstheme="majorHAnsi"/>
          <w:bCs/>
          <w:iCs/>
          <w:noProof/>
          <w:sz w:val="24"/>
          <w:szCs w:val="24"/>
          <w:lang w:val="ru-RU"/>
        </w:rPr>
        <w:t>м</w:t>
      </w:r>
      <w:r w:rsidR="00370E16" w:rsidRPr="00370E16">
        <w:rPr>
          <w:rFonts w:asciiTheme="majorHAnsi" w:eastAsia="Calibri" w:hAnsiTheme="majorHAnsi" w:cstheme="majorHAnsi"/>
          <w:bCs/>
          <w:iCs/>
          <w:noProof/>
          <w:sz w:val="24"/>
          <w:szCs w:val="24"/>
          <w:lang w:val="ro-MD"/>
        </w:rPr>
        <w:t xml:space="preserve"> числа бенефициаров на 441 человек, так и увеличение</w:t>
      </w:r>
      <w:r>
        <w:rPr>
          <w:rFonts w:asciiTheme="majorHAnsi" w:eastAsia="Calibri" w:hAnsiTheme="majorHAnsi" w:cstheme="majorHAnsi"/>
          <w:bCs/>
          <w:iCs/>
          <w:noProof/>
          <w:sz w:val="24"/>
          <w:szCs w:val="24"/>
          <w:lang w:val="ru-RU"/>
        </w:rPr>
        <w:t>м</w:t>
      </w:r>
      <w:r w:rsidR="00370E16" w:rsidRPr="00370E16">
        <w:rPr>
          <w:rFonts w:asciiTheme="majorHAnsi" w:eastAsia="Calibri" w:hAnsiTheme="majorHAnsi" w:cstheme="majorHAnsi"/>
          <w:bCs/>
          <w:iCs/>
          <w:noProof/>
          <w:sz w:val="24"/>
          <w:szCs w:val="24"/>
          <w:lang w:val="ro-MD"/>
        </w:rPr>
        <w:t xml:space="preserve"> среднего размера пособия на 196,65 леев</w:t>
      </w:r>
      <w:r w:rsidR="00207E44" w:rsidRPr="00736448">
        <w:rPr>
          <w:rFonts w:asciiTheme="majorHAnsi" w:eastAsia="Calibri" w:hAnsiTheme="majorHAnsi" w:cstheme="majorHAnsi"/>
          <w:bCs/>
          <w:iCs/>
          <w:noProof/>
          <w:sz w:val="24"/>
          <w:szCs w:val="24"/>
          <w:lang w:val="ro-MD"/>
        </w:rPr>
        <w:t>.</w:t>
      </w:r>
    </w:p>
    <w:p w14:paraId="2211B6AF" w14:textId="39C8FCA4" w:rsidR="00782913" w:rsidRPr="00736448" w:rsidRDefault="00370E16" w:rsidP="00207E44">
      <w:pPr>
        <w:spacing w:line="276" w:lineRule="auto"/>
        <w:jc w:val="both"/>
        <w:rPr>
          <w:rFonts w:asciiTheme="majorHAnsi" w:eastAsia="Calibri" w:hAnsiTheme="majorHAnsi" w:cstheme="majorHAnsi"/>
          <w:sz w:val="24"/>
          <w:szCs w:val="24"/>
          <w:lang w:val="ro-MD" w:eastAsia="ro-RO"/>
        </w:rPr>
      </w:pPr>
      <w:r w:rsidRPr="00370E16">
        <w:rPr>
          <w:rFonts w:asciiTheme="majorHAnsi" w:eastAsia="Calibri" w:hAnsiTheme="majorHAnsi" w:cstheme="majorHAnsi"/>
          <w:sz w:val="24"/>
          <w:szCs w:val="24"/>
          <w:lang w:val="ro-MD"/>
        </w:rPr>
        <w:t xml:space="preserve">При проверке </w:t>
      </w:r>
      <w:r w:rsidR="00C45D9D">
        <w:rPr>
          <w:rFonts w:asciiTheme="majorHAnsi" w:eastAsia="Calibri" w:hAnsiTheme="majorHAnsi" w:cstheme="majorHAnsi"/>
          <w:sz w:val="24"/>
          <w:szCs w:val="24"/>
          <w:lang w:val="ru-RU"/>
        </w:rPr>
        <w:t>соответствия</w:t>
      </w:r>
      <w:r w:rsidRPr="00370E16">
        <w:rPr>
          <w:rFonts w:asciiTheme="majorHAnsi" w:eastAsia="Calibri" w:hAnsiTheme="majorHAnsi" w:cstheme="majorHAnsi"/>
          <w:sz w:val="24"/>
          <w:szCs w:val="24"/>
          <w:lang w:val="ro-MD"/>
        </w:rPr>
        <w:t xml:space="preserve"> установления/расчета пособия в случае смерти одного из супругов</w:t>
      </w:r>
      <w:r w:rsidR="00C45D9D">
        <w:rPr>
          <w:rFonts w:asciiTheme="majorHAnsi" w:eastAsia="Calibri" w:hAnsiTheme="majorHAnsi" w:cstheme="majorHAnsi"/>
          <w:sz w:val="24"/>
          <w:szCs w:val="24"/>
          <w:lang w:val="ru-RU"/>
        </w:rPr>
        <w:t>,</w:t>
      </w:r>
      <w:r w:rsidRPr="00370E16">
        <w:rPr>
          <w:rFonts w:asciiTheme="majorHAnsi" w:eastAsia="Calibri" w:hAnsiTheme="majorHAnsi" w:cstheme="majorHAnsi"/>
          <w:sz w:val="24"/>
          <w:szCs w:val="24"/>
          <w:lang w:val="ro-MD"/>
        </w:rPr>
        <w:t xml:space="preserve"> нарушени</w:t>
      </w:r>
      <w:r w:rsidR="00104B47">
        <w:rPr>
          <w:rFonts w:asciiTheme="majorHAnsi" w:eastAsia="Calibri" w:hAnsiTheme="majorHAnsi" w:cstheme="majorHAnsi"/>
          <w:sz w:val="24"/>
          <w:szCs w:val="24"/>
          <w:lang w:val="ru-RU"/>
        </w:rPr>
        <w:t>й</w:t>
      </w:r>
      <w:r w:rsidRPr="00370E16">
        <w:rPr>
          <w:rFonts w:asciiTheme="majorHAnsi" w:eastAsia="Calibri" w:hAnsiTheme="majorHAnsi" w:cstheme="majorHAnsi"/>
          <w:sz w:val="24"/>
          <w:szCs w:val="24"/>
          <w:lang w:val="ro-MD"/>
        </w:rPr>
        <w:t xml:space="preserve"> </w:t>
      </w:r>
      <w:r w:rsidR="00C45D9D" w:rsidRPr="00370E16">
        <w:rPr>
          <w:rFonts w:asciiTheme="majorHAnsi" w:eastAsia="Calibri" w:hAnsiTheme="majorHAnsi" w:cstheme="majorHAnsi"/>
          <w:sz w:val="24"/>
          <w:szCs w:val="24"/>
          <w:lang w:val="ro-MD"/>
        </w:rPr>
        <w:t xml:space="preserve">не </w:t>
      </w:r>
      <w:r w:rsidR="00104B47">
        <w:rPr>
          <w:rFonts w:asciiTheme="majorHAnsi" w:eastAsia="Calibri" w:hAnsiTheme="majorHAnsi" w:cstheme="majorHAnsi"/>
          <w:sz w:val="24"/>
          <w:szCs w:val="24"/>
          <w:lang w:val="ru-RU"/>
        </w:rPr>
        <w:t xml:space="preserve">было </w:t>
      </w:r>
      <w:r w:rsidR="00C45D9D">
        <w:rPr>
          <w:rFonts w:asciiTheme="majorHAnsi" w:eastAsia="Calibri" w:hAnsiTheme="majorHAnsi" w:cstheme="majorHAnsi"/>
          <w:sz w:val="24"/>
          <w:szCs w:val="24"/>
          <w:lang w:val="ru-RU"/>
        </w:rPr>
        <w:t>выявлен</w:t>
      </w:r>
      <w:r w:rsidR="00104B47">
        <w:rPr>
          <w:rFonts w:asciiTheme="majorHAnsi" w:eastAsia="Calibri" w:hAnsiTheme="majorHAnsi" w:cstheme="majorHAnsi"/>
          <w:sz w:val="24"/>
          <w:szCs w:val="24"/>
          <w:lang w:val="ru-RU"/>
        </w:rPr>
        <w:t>о</w:t>
      </w:r>
      <w:r w:rsidRPr="00370E16">
        <w:rPr>
          <w:rFonts w:asciiTheme="majorHAnsi" w:eastAsia="Calibri" w:hAnsiTheme="majorHAnsi" w:cstheme="majorHAnsi"/>
          <w:sz w:val="24"/>
          <w:szCs w:val="24"/>
          <w:lang w:val="ro-MD"/>
        </w:rPr>
        <w:t xml:space="preserve">. </w:t>
      </w:r>
      <w:r w:rsidR="00C45D9D">
        <w:rPr>
          <w:rFonts w:asciiTheme="majorHAnsi" w:eastAsia="Calibri" w:hAnsiTheme="majorHAnsi" w:cstheme="majorHAnsi"/>
          <w:sz w:val="24"/>
          <w:szCs w:val="24"/>
          <w:lang w:val="ru-RU"/>
        </w:rPr>
        <w:t>Одновременно,</w:t>
      </w:r>
      <w:r w:rsidRPr="00370E16">
        <w:rPr>
          <w:rFonts w:asciiTheme="majorHAnsi" w:eastAsia="Calibri" w:hAnsiTheme="majorHAnsi" w:cstheme="majorHAnsi"/>
          <w:sz w:val="24"/>
          <w:szCs w:val="24"/>
          <w:lang w:val="ro-MD"/>
        </w:rPr>
        <w:t xml:space="preserve"> было установлено, что в случае 10,3% проверенных </w:t>
      </w:r>
      <w:r w:rsidR="00104B47">
        <w:rPr>
          <w:rFonts w:asciiTheme="majorHAnsi" w:eastAsia="Calibri" w:hAnsiTheme="majorHAnsi" w:cstheme="majorHAnsi"/>
          <w:sz w:val="24"/>
          <w:szCs w:val="24"/>
          <w:lang w:val="ru-RU"/>
        </w:rPr>
        <w:t>дел</w:t>
      </w:r>
      <w:r w:rsidRPr="00370E16">
        <w:rPr>
          <w:rFonts w:asciiTheme="majorHAnsi" w:eastAsia="Calibri" w:hAnsiTheme="majorHAnsi" w:cstheme="majorHAnsi"/>
          <w:sz w:val="24"/>
          <w:szCs w:val="24"/>
          <w:lang w:val="ro-MD"/>
        </w:rPr>
        <w:t xml:space="preserve"> срок рассмотрения пособия в случае смерти одного из супругов превыш</w:t>
      </w:r>
      <w:r w:rsidR="00104B47">
        <w:rPr>
          <w:rFonts w:asciiTheme="majorHAnsi" w:eastAsia="Calibri" w:hAnsiTheme="majorHAnsi" w:cstheme="majorHAnsi"/>
          <w:sz w:val="24"/>
          <w:szCs w:val="24"/>
          <w:lang w:val="ru-RU"/>
        </w:rPr>
        <w:t>ается от</w:t>
      </w:r>
      <w:r w:rsidRPr="00370E16">
        <w:rPr>
          <w:rFonts w:asciiTheme="majorHAnsi" w:eastAsia="Calibri" w:hAnsiTheme="majorHAnsi" w:cstheme="majorHAnsi"/>
          <w:sz w:val="24"/>
          <w:szCs w:val="24"/>
          <w:lang w:val="ro-MD"/>
        </w:rPr>
        <w:t xml:space="preserve"> 14</w:t>
      </w:r>
      <w:r w:rsidR="00104B47">
        <w:rPr>
          <w:rFonts w:asciiTheme="majorHAnsi" w:eastAsia="Calibri" w:hAnsiTheme="majorHAnsi" w:cstheme="majorHAnsi"/>
          <w:sz w:val="24"/>
          <w:szCs w:val="24"/>
          <w:lang w:val="ru-RU"/>
        </w:rPr>
        <w:t xml:space="preserve"> до </w:t>
      </w:r>
      <w:r w:rsidRPr="00370E16">
        <w:rPr>
          <w:rFonts w:asciiTheme="majorHAnsi" w:eastAsia="Calibri" w:hAnsiTheme="majorHAnsi" w:cstheme="majorHAnsi"/>
          <w:sz w:val="24"/>
          <w:szCs w:val="24"/>
          <w:lang w:val="ro-MD"/>
        </w:rPr>
        <w:t xml:space="preserve">75 дней, что </w:t>
      </w:r>
      <w:r w:rsidR="00104B47">
        <w:rPr>
          <w:rFonts w:asciiTheme="majorHAnsi" w:eastAsia="Calibri" w:hAnsiTheme="majorHAnsi" w:cstheme="majorHAnsi"/>
          <w:sz w:val="24"/>
          <w:szCs w:val="24"/>
          <w:lang w:val="ru-RU"/>
        </w:rPr>
        <w:t>обусловливает</w:t>
      </w:r>
      <w:r w:rsidRPr="00370E16">
        <w:rPr>
          <w:rFonts w:asciiTheme="majorHAnsi" w:eastAsia="Calibri" w:hAnsiTheme="majorHAnsi" w:cstheme="majorHAnsi"/>
          <w:sz w:val="24"/>
          <w:szCs w:val="24"/>
          <w:lang w:val="ro-MD"/>
        </w:rPr>
        <w:t xml:space="preserve"> отражени</w:t>
      </w:r>
      <w:r w:rsidR="00104B47">
        <w:rPr>
          <w:rFonts w:asciiTheme="majorHAnsi" w:eastAsia="Calibri" w:hAnsiTheme="majorHAnsi" w:cstheme="majorHAnsi"/>
          <w:sz w:val="24"/>
          <w:szCs w:val="24"/>
          <w:lang w:val="ru-RU"/>
        </w:rPr>
        <w:t>е</w:t>
      </w:r>
      <w:r w:rsidRPr="00370E16">
        <w:rPr>
          <w:rFonts w:asciiTheme="majorHAnsi" w:eastAsia="Calibri" w:hAnsiTheme="majorHAnsi" w:cstheme="majorHAnsi"/>
          <w:sz w:val="24"/>
          <w:szCs w:val="24"/>
          <w:lang w:val="ro-MD"/>
        </w:rPr>
        <w:t xml:space="preserve"> </w:t>
      </w:r>
      <w:r w:rsidR="00104B47">
        <w:rPr>
          <w:rFonts w:asciiTheme="majorHAnsi" w:eastAsia="Calibri" w:hAnsiTheme="majorHAnsi" w:cstheme="majorHAnsi"/>
          <w:sz w:val="24"/>
          <w:szCs w:val="24"/>
          <w:lang w:val="ru-RU"/>
        </w:rPr>
        <w:t>вы</w:t>
      </w:r>
      <w:r w:rsidRPr="00370E16">
        <w:rPr>
          <w:rFonts w:asciiTheme="majorHAnsi" w:eastAsia="Calibri" w:hAnsiTheme="majorHAnsi" w:cstheme="majorHAnsi"/>
          <w:sz w:val="24"/>
          <w:szCs w:val="24"/>
          <w:lang w:val="ro-MD"/>
        </w:rPr>
        <w:t>плаченных сумм (32,7 тыс. леев) в не</w:t>
      </w:r>
      <w:r w:rsidR="00104B47">
        <w:rPr>
          <w:rFonts w:asciiTheme="majorHAnsi" w:eastAsia="Calibri" w:hAnsiTheme="majorHAnsi" w:cstheme="majorHAnsi"/>
          <w:sz w:val="24"/>
          <w:szCs w:val="24"/>
          <w:lang w:val="ru-RU"/>
        </w:rPr>
        <w:t>соответствую</w:t>
      </w:r>
      <w:r w:rsidRPr="00370E16">
        <w:rPr>
          <w:rFonts w:asciiTheme="majorHAnsi" w:eastAsia="Calibri" w:hAnsiTheme="majorHAnsi" w:cstheme="majorHAnsi"/>
          <w:sz w:val="24"/>
          <w:szCs w:val="24"/>
          <w:lang w:val="ro-MD"/>
        </w:rPr>
        <w:t>щие периоды. Что касается отчетности о расходах</w:t>
      </w:r>
      <w:r w:rsidR="00104B47" w:rsidRPr="00104B47">
        <w:rPr>
          <w:rFonts w:asciiTheme="majorHAnsi" w:eastAsia="Calibri" w:hAnsiTheme="majorHAnsi" w:cstheme="majorHAnsi"/>
          <w:sz w:val="24"/>
          <w:szCs w:val="24"/>
          <w:lang w:val="ro-MD"/>
        </w:rPr>
        <w:t xml:space="preserve"> на них</w:t>
      </w:r>
      <w:r w:rsidRPr="00370E16">
        <w:rPr>
          <w:rFonts w:asciiTheme="majorHAnsi" w:eastAsia="Calibri" w:hAnsiTheme="majorHAnsi" w:cstheme="majorHAnsi"/>
          <w:sz w:val="24"/>
          <w:szCs w:val="24"/>
          <w:lang w:val="ro-MD"/>
        </w:rPr>
        <w:t>, ошибок не было установлено, размеры пособий регистрируются на счетах, предусмотренных в этом отношении</w:t>
      </w:r>
      <w:r w:rsidR="00782913" w:rsidRPr="00736448">
        <w:rPr>
          <w:rFonts w:asciiTheme="majorHAnsi" w:eastAsia="Calibri" w:hAnsiTheme="majorHAnsi" w:cstheme="majorHAnsi"/>
          <w:sz w:val="24"/>
          <w:szCs w:val="24"/>
          <w:lang w:val="ro-MD" w:eastAsia="ro-RO"/>
        </w:rPr>
        <w:t>.</w:t>
      </w:r>
    </w:p>
    <w:p w14:paraId="6DAF7D48" w14:textId="6C7A6628" w:rsidR="00FA7FB2" w:rsidRPr="00736448" w:rsidRDefault="00370E16" w:rsidP="00370E16">
      <w:pPr>
        <w:pStyle w:val="Default"/>
        <w:numPr>
          <w:ilvl w:val="1"/>
          <w:numId w:val="2"/>
        </w:numPr>
        <w:spacing w:line="276" w:lineRule="auto"/>
        <w:ind w:left="0" w:firstLine="0"/>
        <w:jc w:val="both"/>
        <w:outlineLvl w:val="1"/>
        <w:rPr>
          <w:color w:val="000000" w:themeColor="text1"/>
          <w:lang w:val="ro-MD"/>
        </w:rPr>
      </w:pPr>
      <w:r w:rsidRPr="00370E16">
        <w:rPr>
          <w:rFonts w:asciiTheme="majorHAnsi" w:hAnsiTheme="majorHAnsi" w:cstheme="majorHAnsi"/>
          <w:b/>
          <w:color w:val="000000" w:themeColor="text1"/>
          <w:lang w:val="ro-MD"/>
        </w:rPr>
        <w:t>Пособие по безработице было установлено в точном размере. В то же время</w:t>
      </w:r>
      <w:r w:rsidR="00104B47">
        <w:rPr>
          <w:rFonts w:asciiTheme="majorHAnsi" w:hAnsiTheme="majorHAnsi" w:cstheme="majorHAnsi"/>
          <w:b/>
          <w:color w:val="000000" w:themeColor="text1"/>
          <w:lang w:val="ru-RU"/>
        </w:rPr>
        <w:t>,</w:t>
      </w:r>
      <w:r w:rsidRPr="00370E16">
        <w:rPr>
          <w:rFonts w:asciiTheme="majorHAnsi" w:hAnsiTheme="majorHAnsi" w:cstheme="majorHAnsi"/>
          <w:b/>
          <w:color w:val="000000" w:themeColor="text1"/>
          <w:lang w:val="ro-MD"/>
        </w:rPr>
        <w:t xml:space="preserve"> запоздалая передача </w:t>
      </w:r>
      <w:r w:rsidR="00104B47">
        <w:rPr>
          <w:rFonts w:asciiTheme="majorHAnsi" w:hAnsiTheme="majorHAnsi" w:cstheme="majorHAnsi"/>
          <w:b/>
          <w:color w:val="000000" w:themeColor="text1"/>
          <w:lang w:val="ru-RU"/>
        </w:rPr>
        <w:t>НАЗН</w:t>
      </w:r>
      <w:r w:rsidRPr="00370E16">
        <w:rPr>
          <w:rFonts w:asciiTheme="majorHAnsi" w:hAnsiTheme="majorHAnsi" w:cstheme="majorHAnsi"/>
          <w:b/>
          <w:color w:val="000000" w:themeColor="text1"/>
          <w:lang w:val="ro-MD"/>
        </w:rPr>
        <w:t xml:space="preserve"> некоторых данных </w:t>
      </w:r>
      <w:r w:rsidR="00104B47">
        <w:rPr>
          <w:rFonts w:asciiTheme="majorHAnsi" w:hAnsiTheme="majorHAnsi" w:cstheme="majorHAnsi"/>
          <w:b/>
          <w:color w:val="000000" w:themeColor="text1"/>
          <w:lang w:val="ru-RU"/>
        </w:rPr>
        <w:t xml:space="preserve">из </w:t>
      </w:r>
      <w:r w:rsidRPr="00370E16">
        <w:rPr>
          <w:rFonts w:asciiTheme="majorHAnsi" w:hAnsiTheme="majorHAnsi" w:cstheme="majorHAnsi"/>
          <w:b/>
          <w:color w:val="000000" w:themeColor="text1"/>
          <w:lang w:val="ro-MD"/>
        </w:rPr>
        <w:t xml:space="preserve">решения о приостановлении пособия по безработице </w:t>
      </w:r>
      <w:r w:rsidR="00104B47">
        <w:rPr>
          <w:rFonts w:asciiTheme="majorHAnsi" w:hAnsiTheme="majorHAnsi" w:cstheme="majorHAnsi"/>
          <w:b/>
          <w:color w:val="000000" w:themeColor="text1"/>
          <w:lang w:val="ru-RU"/>
        </w:rPr>
        <w:t>обуслови</w:t>
      </w:r>
      <w:r w:rsidRPr="00370E16">
        <w:rPr>
          <w:rFonts w:asciiTheme="majorHAnsi" w:hAnsiTheme="majorHAnsi" w:cstheme="majorHAnsi"/>
          <w:b/>
          <w:color w:val="000000" w:themeColor="text1"/>
          <w:lang w:val="ro-MD"/>
        </w:rPr>
        <w:t xml:space="preserve">ла переплату </w:t>
      </w:r>
      <w:r w:rsidR="00104B47">
        <w:rPr>
          <w:rFonts w:asciiTheme="majorHAnsi" w:hAnsiTheme="majorHAnsi" w:cstheme="majorHAnsi"/>
          <w:b/>
          <w:color w:val="000000" w:themeColor="text1"/>
          <w:lang w:val="ru-RU"/>
        </w:rPr>
        <w:t xml:space="preserve">одному </w:t>
      </w:r>
      <w:r w:rsidRPr="00370E16">
        <w:rPr>
          <w:rFonts w:asciiTheme="majorHAnsi" w:hAnsiTheme="majorHAnsi" w:cstheme="majorHAnsi"/>
          <w:b/>
          <w:color w:val="000000" w:themeColor="text1"/>
          <w:lang w:val="ro-MD"/>
        </w:rPr>
        <w:t xml:space="preserve">бенефициару </w:t>
      </w:r>
      <w:r w:rsidR="00104B47">
        <w:rPr>
          <w:rFonts w:asciiTheme="majorHAnsi" w:hAnsiTheme="majorHAnsi" w:cstheme="majorHAnsi"/>
          <w:b/>
          <w:color w:val="000000" w:themeColor="text1"/>
          <w:lang w:val="ru-RU"/>
        </w:rPr>
        <w:t>на сумму</w:t>
      </w:r>
      <w:r w:rsidRPr="00370E16">
        <w:rPr>
          <w:rFonts w:asciiTheme="majorHAnsi" w:hAnsiTheme="majorHAnsi" w:cstheme="majorHAnsi"/>
          <w:b/>
          <w:color w:val="000000" w:themeColor="text1"/>
          <w:lang w:val="ro-MD"/>
        </w:rPr>
        <w:t xml:space="preserve"> 1,2 тыс. леев</w:t>
      </w:r>
      <w:r w:rsidR="00FA7FB2" w:rsidRPr="00736448">
        <w:rPr>
          <w:rFonts w:asciiTheme="majorHAnsi" w:hAnsiTheme="majorHAnsi" w:cstheme="majorHAnsi"/>
          <w:b/>
          <w:color w:val="000000" w:themeColor="text1"/>
          <w:lang w:val="ro-MD"/>
        </w:rPr>
        <w:t>.</w:t>
      </w:r>
    </w:p>
    <w:p w14:paraId="006617B7" w14:textId="7B505268" w:rsidR="00FA7FB2" w:rsidRPr="00B7675F" w:rsidRDefault="00370E16" w:rsidP="00FA7FB2">
      <w:pPr>
        <w:pStyle w:val="a6"/>
        <w:spacing w:line="276" w:lineRule="auto"/>
        <w:ind w:firstLine="0"/>
        <w:rPr>
          <w:rFonts w:asciiTheme="majorHAnsi" w:eastAsiaTheme="minorHAnsi" w:hAnsiTheme="majorHAnsi" w:cstheme="majorHAnsi"/>
          <w:lang w:val="ro-MD"/>
        </w:rPr>
      </w:pPr>
      <w:r w:rsidRPr="00370E16">
        <w:rPr>
          <w:rFonts w:asciiTheme="majorHAnsi" w:hAnsiTheme="majorHAnsi" w:cstheme="majorHAnsi"/>
          <w:color w:val="000000"/>
          <w:lang w:val="ro-MD"/>
        </w:rPr>
        <w:t xml:space="preserve">Право на пособие по безработице устанавливается территориальными подразделениями Национального агентства </w:t>
      </w:r>
      <w:r w:rsidR="00104B47">
        <w:rPr>
          <w:rFonts w:asciiTheme="majorHAnsi" w:hAnsiTheme="majorHAnsi" w:cstheme="majorHAnsi"/>
          <w:color w:val="000000"/>
          <w:lang w:val="ru-RU"/>
        </w:rPr>
        <w:t>занятости населения</w:t>
      </w:r>
      <w:r w:rsidR="00104B47" w:rsidRPr="00736448">
        <w:rPr>
          <w:rStyle w:val="a5"/>
          <w:rFonts w:asciiTheme="majorHAnsi" w:eastAsiaTheme="majorEastAsia" w:hAnsiTheme="majorHAnsi" w:cstheme="majorHAnsi"/>
          <w:color w:val="000000"/>
          <w:lang w:val="ro-MD"/>
        </w:rPr>
        <w:footnoteReference w:id="84"/>
      </w:r>
      <w:r w:rsidRPr="00370E16">
        <w:rPr>
          <w:rFonts w:asciiTheme="majorHAnsi" w:hAnsiTheme="majorHAnsi" w:cstheme="majorHAnsi"/>
          <w:color w:val="000000"/>
          <w:lang w:val="ro-MD"/>
        </w:rPr>
        <w:t xml:space="preserve">. </w:t>
      </w:r>
      <w:r w:rsidR="00104B47">
        <w:rPr>
          <w:rFonts w:asciiTheme="majorHAnsi" w:hAnsiTheme="majorHAnsi" w:cstheme="majorHAnsi"/>
          <w:color w:val="000000"/>
          <w:lang w:val="ru-RU"/>
        </w:rPr>
        <w:t>Начиная с</w:t>
      </w:r>
      <w:r w:rsidRPr="00370E16">
        <w:rPr>
          <w:rFonts w:asciiTheme="majorHAnsi" w:hAnsiTheme="majorHAnsi" w:cstheme="majorHAnsi"/>
          <w:color w:val="000000"/>
          <w:lang w:val="ro-MD"/>
        </w:rPr>
        <w:t xml:space="preserve"> 1 января 2019 года</w:t>
      </w:r>
      <w:r w:rsidR="00104B47" w:rsidRPr="00736448">
        <w:rPr>
          <w:rStyle w:val="a5"/>
          <w:rFonts w:asciiTheme="majorHAnsi" w:eastAsiaTheme="majorEastAsia" w:hAnsiTheme="majorHAnsi" w:cstheme="majorHAnsi"/>
          <w:color w:val="000000"/>
          <w:lang w:val="ro-MD"/>
        </w:rPr>
        <w:footnoteReference w:id="85"/>
      </w:r>
      <w:r w:rsidR="005F2ED7">
        <w:rPr>
          <w:rFonts w:asciiTheme="majorHAnsi" w:hAnsiTheme="majorHAnsi" w:cstheme="majorHAnsi"/>
          <w:color w:val="000000"/>
          <w:lang w:val="ru-RU"/>
        </w:rPr>
        <w:t>,</w:t>
      </w:r>
      <w:r w:rsidRPr="00370E16">
        <w:rPr>
          <w:rFonts w:asciiTheme="majorHAnsi" w:hAnsiTheme="majorHAnsi" w:cstheme="majorHAnsi"/>
          <w:color w:val="000000"/>
          <w:lang w:val="ro-MD"/>
        </w:rPr>
        <w:t xml:space="preserve"> размер и ежемесячную выплату пособия по безработице</w:t>
      </w:r>
      <w:r w:rsidR="005F2ED7" w:rsidRPr="005F2ED7">
        <w:rPr>
          <w:rFonts w:asciiTheme="majorHAnsi" w:hAnsiTheme="majorHAnsi" w:cstheme="majorHAnsi"/>
          <w:color w:val="000000"/>
          <w:lang w:val="ro-MD"/>
        </w:rPr>
        <w:t xml:space="preserve"> </w:t>
      </w:r>
      <w:r w:rsidR="005F2ED7" w:rsidRPr="00370E16">
        <w:rPr>
          <w:rFonts w:asciiTheme="majorHAnsi" w:hAnsiTheme="majorHAnsi" w:cstheme="majorHAnsi"/>
          <w:color w:val="000000"/>
          <w:lang w:val="ro-MD"/>
        </w:rPr>
        <w:t>устанавливает</w:t>
      </w:r>
      <w:r w:rsidR="005F2ED7" w:rsidRPr="005F2ED7">
        <w:rPr>
          <w:rFonts w:asciiTheme="majorHAnsi" w:hAnsiTheme="majorHAnsi" w:cstheme="majorHAnsi"/>
          <w:color w:val="000000"/>
          <w:lang w:val="ro-MD"/>
        </w:rPr>
        <w:t xml:space="preserve"> </w:t>
      </w:r>
      <w:r w:rsidR="005F2ED7" w:rsidRPr="00370E16">
        <w:rPr>
          <w:rFonts w:asciiTheme="majorHAnsi" w:hAnsiTheme="majorHAnsi" w:cstheme="majorHAnsi"/>
          <w:color w:val="000000"/>
          <w:lang w:val="ro-MD"/>
        </w:rPr>
        <w:t>Национальная касса социального страхования</w:t>
      </w:r>
      <w:r w:rsidRPr="00370E16">
        <w:rPr>
          <w:rFonts w:asciiTheme="majorHAnsi" w:hAnsiTheme="majorHAnsi" w:cstheme="majorHAnsi"/>
          <w:color w:val="000000"/>
          <w:lang w:val="ro-MD"/>
        </w:rPr>
        <w:t>. Таким образом, территориальные подразделения НКСС</w:t>
      </w:r>
      <w:r w:rsidR="00EB3F85">
        <w:rPr>
          <w:rFonts w:asciiTheme="majorHAnsi" w:hAnsiTheme="majorHAnsi" w:cstheme="majorHAnsi"/>
          <w:color w:val="000000"/>
          <w:lang w:val="ru-RU"/>
        </w:rPr>
        <w:t>,</w:t>
      </w:r>
      <w:r w:rsidRPr="00370E16">
        <w:rPr>
          <w:rFonts w:asciiTheme="majorHAnsi" w:hAnsiTheme="majorHAnsi" w:cstheme="majorHAnsi"/>
          <w:color w:val="000000"/>
          <w:lang w:val="ro-MD"/>
        </w:rPr>
        <w:t xml:space="preserve"> посредством межсистемных </w:t>
      </w:r>
      <w:r w:rsidR="00EB3F85">
        <w:rPr>
          <w:rFonts w:asciiTheme="majorHAnsi" w:hAnsiTheme="majorHAnsi" w:cstheme="majorHAnsi"/>
          <w:color w:val="000000"/>
          <w:lang w:val="ru-RU"/>
        </w:rPr>
        <w:t>подключени</w:t>
      </w:r>
      <w:r w:rsidRPr="00370E16">
        <w:rPr>
          <w:rFonts w:asciiTheme="majorHAnsi" w:hAnsiTheme="majorHAnsi" w:cstheme="majorHAnsi"/>
          <w:color w:val="000000"/>
          <w:lang w:val="ro-MD"/>
        </w:rPr>
        <w:t>й</w:t>
      </w:r>
      <w:r w:rsidR="00EB3F85">
        <w:rPr>
          <w:rFonts w:asciiTheme="majorHAnsi" w:hAnsiTheme="majorHAnsi" w:cstheme="majorHAnsi"/>
          <w:color w:val="000000"/>
          <w:lang w:val="ru-RU"/>
        </w:rPr>
        <w:t>,</w:t>
      </w:r>
      <w:r w:rsidRPr="00370E16">
        <w:rPr>
          <w:rFonts w:asciiTheme="majorHAnsi" w:hAnsiTheme="majorHAnsi" w:cstheme="majorHAnsi"/>
          <w:color w:val="000000"/>
          <w:lang w:val="ro-MD"/>
        </w:rPr>
        <w:t xml:space="preserve"> получают в режиме онлайн данные </w:t>
      </w:r>
      <w:r w:rsidR="00EB3F85">
        <w:rPr>
          <w:rFonts w:asciiTheme="majorHAnsi" w:hAnsiTheme="majorHAnsi" w:cstheme="majorHAnsi"/>
          <w:color w:val="000000"/>
          <w:lang w:val="ru-RU"/>
        </w:rPr>
        <w:t xml:space="preserve">из </w:t>
      </w:r>
      <w:r w:rsidRPr="00370E16">
        <w:rPr>
          <w:rFonts w:asciiTheme="majorHAnsi" w:hAnsiTheme="majorHAnsi" w:cstheme="majorHAnsi"/>
          <w:color w:val="000000"/>
          <w:lang w:val="ro-MD"/>
        </w:rPr>
        <w:t>решения об установлении права на пособие по безработице, решени</w:t>
      </w:r>
      <w:r w:rsidR="0062708B">
        <w:rPr>
          <w:rFonts w:asciiTheme="majorHAnsi" w:hAnsiTheme="majorHAnsi" w:cstheme="majorHAnsi"/>
          <w:color w:val="000000"/>
          <w:lang w:val="ru-RU"/>
        </w:rPr>
        <w:t>я</w:t>
      </w:r>
      <w:r w:rsidRPr="00370E16">
        <w:rPr>
          <w:rFonts w:asciiTheme="majorHAnsi" w:hAnsiTheme="majorHAnsi" w:cstheme="majorHAnsi"/>
          <w:color w:val="000000"/>
          <w:lang w:val="ro-MD"/>
        </w:rPr>
        <w:t xml:space="preserve"> о приостановлении или прекращении выплаты пособия по безработице, решени</w:t>
      </w:r>
      <w:r w:rsidR="0062708B">
        <w:rPr>
          <w:rFonts w:asciiTheme="majorHAnsi" w:hAnsiTheme="majorHAnsi" w:cstheme="majorHAnsi"/>
          <w:color w:val="000000"/>
          <w:lang w:val="ru-RU"/>
        </w:rPr>
        <w:t>я</w:t>
      </w:r>
      <w:r w:rsidRPr="00370E16">
        <w:rPr>
          <w:rFonts w:asciiTheme="majorHAnsi" w:hAnsiTheme="majorHAnsi" w:cstheme="majorHAnsi"/>
          <w:color w:val="000000"/>
          <w:lang w:val="ro-MD"/>
        </w:rPr>
        <w:t xml:space="preserve"> о восстановлении выплаты пособия по безработице. Решение о расчете суммы пособия по безработице выдается автоматически в информационной системе</w:t>
      </w:r>
      <w:r w:rsidR="00FA7FB2" w:rsidRPr="00B7675F">
        <w:rPr>
          <w:rFonts w:asciiTheme="majorHAnsi" w:eastAsiaTheme="minorHAnsi" w:hAnsiTheme="majorHAnsi" w:cstheme="majorHAnsi"/>
          <w:vertAlign w:val="superscript"/>
          <w:lang w:val="ro-MD"/>
        </w:rPr>
        <w:footnoteReference w:id="86"/>
      </w:r>
      <w:r w:rsidR="00FA7FB2" w:rsidRPr="00B7675F">
        <w:rPr>
          <w:rFonts w:asciiTheme="majorHAnsi" w:eastAsiaTheme="minorHAnsi" w:hAnsiTheme="majorHAnsi" w:cstheme="majorHAnsi"/>
          <w:lang w:val="ro-MD"/>
        </w:rPr>
        <w:t>.</w:t>
      </w:r>
    </w:p>
    <w:p w14:paraId="26A01CEF" w14:textId="77777777" w:rsidR="00296463" w:rsidRPr="00736448" w:rsidRDefault="00296463" w:rsidP="00FA7FB2">
      <w:pPr>
        <w:pStyle w:val="a6"/>
        <w:spacing w:line="276" w:lineRule="auto"/>
        <w:ind w:firstLine="0"/>
        <w:rPr>
          <w:rFonts w:asciiTheme="majorHAnsi" w:hAnsiTheme="majorHAnsi" w:cstheme="majorHAnsi"/>
          <w:color w:val="000000"/>
          <w:lang w:val="ro-MD"/>
        </w:rPr>
      </w:pPr>
    </w:p>
    <w:p w14:paraId="67A871F6" w14:textId="79B3823A" w:rsidR="00FA7FB2" w:rsidRPr="00736448" w:rsidRDefault="00370E16" w:rsidP="00FA7FB2">
      <w:pPr>
        <w:pStyle w:val="a6"/>
        <w:spacing w:line="276" w:lineRule="auto"/>
        <w:ind w:firstLine="0"/>
        <w:rPr>
          <w:rFonts w:asciiTheme="majorHAnsi" w:hAnsiTheme="majorHAnsi" w:cstheme="majorHAnsi"/>
          <w:color w:val="000000"/>
          <w:lang w:val="ro-MD"/>
        </w:rPr>
      </w:pPr>
      <w:r w:rsidRPr="00370E16">
        <w:rPr>
          <w:rFonts w:asciiTheme="majorHAnsi" w:hAnsiTheme="majorHAnsi" w:cstheme="majorHAnsi"/>
          <w:color w:val="000000"/>
          <w:lang w:val="ro-MD"/>
        </w:rPr>
        <w:t xml:space="preserve">В течение 2022 года Национальное агентство </w:t>
      </w:r>
      <w:r w:rsidR="00760197">
        <w:rPr>
          <w:rFonts w:asciiTheme="majorHAnsi" w:hAnsiTheme="majorHAnsi" w:cstheme="majorHAnsi"/>
          <w:color w:val="000000"/>
          <w:lang w:val="ru-RU"/>
        </w:rPr>
        <w:t>занятости населения</w:t>
      </w:r>
      <w:r w:rsidRPr="00370E16">
        <w:rPr>
          <w:rFonts w:asciiTheme="majorHAnsi" w:hAnsiTheme="majorHAnsi" w:cstheme="majorHAnsi"/>
          <w:color w:val="000000"/>
          <w:lang w:val="ro-MD"/>
        </w:rPr>
        <w:t xml:space="preserve"> выпустило и передало в режиме онлайн в Национальную </w:t>
      </w:r>
      <w:r w:rsidR="00760197">
        <w:rPr>
          <w:rFonts w:asciiTheme="majorHAnsi" w:hAnsiTheme="majorHAnsi" w:cstheme="majorHAnsi"/>
          <w:color w:val="000000"/>
          <w:lang w:val="ru-RU"/>
        </w:rPr>
        <w:t>касс</w:t>
      </w:r>
      <w:r w:rsidRPr="00370E16">
        <w:rPr>
          <w:rFonts w:asciiTheme="majorHAnsi" w:hAnsiTheme="majorHAnsi" w:cstheme="majorHAnsi"/>
          <w:color w:val="000000"/>
          <w:lang w:val="ro-MD"/>
        </w:rPr>
        <w:t>у 4 726 решений об установлении права на пособие по безработице, а в 2021 году</w:t>
      </w:r>
      <w:r w:rsidR="00760197">
        <w:rPr>
          <w:rFonts w:asciiTheme="majorHAnsi" w:hAnsiTheme="majorHAnsi" w:cstheme="majorHAnsi"/>
          <w:color w:val="000000"/>
          <w:lang w:val="ru-RU"/>
        </w:rPr>
        <w:t xml:space="preserve"> </w:t>
      </w:r>
      <w:r w:rsidRPr="00370E16">
        <w:rPr>
          <w:rFonts w:asciiTheme="majorHAnsi" w:hAnsiTheme="majorHAnsi" w:cstheme="majorHAnsi"/>
          <w:color w:val="000000"/>
          <w:lang w:val="ro-MD"/>
        </w:rPr>
        <w:t>-</w:t>
      </w:r>
      <w:r w:rsidR="00760197">
        <w:rPr>
          <w:rFonts w:asciiTheme="majorHAnsi" w:hAnsiTheme="majorHAnsi" w:cstheme="majorHAnsi"/>
          <w:color w:val="000000"/>
          <w:lang w:val="ru-RU"/>
        </w:rPr>
        <w:t xml:space="preserve"> </w:t>
      </w:r>
      <w:r w:rsidRPr="00370E16">
        <w:rPr>
          <w:rFonts w:asciiTheme="majorHAnsi" w:hAnsiTheme="majorHAnsi" w:cstheme="majorHAnsi"/>
          <w:color w:val="000000"/>
          <w:lang w:val="ro-MD"/>
        </w:rPr>
        <w:t xml:space="preserve">5 886 решений, что на 1 160 меньше по сравнению с предыдущим годом. Таким образом, в 2022 году было </w:t>
      </w:r>
      <w:r w:rsidR="00760197">
        <w:rPr>
          <w:rFonts w:asciiTheme="majorHAnsi" w:hAnsiTheme="majorHAnsi" w:cstheme="majorHAnsi"/>
          <w:color w:val="000000"/>
          <w:lang w:val="ru-RU"/>
        </w:rPr>
        <w:t>испол</w:t>
      </w:r>
      <w:r w:rsidRPr="00370E16">
        <w:rPr>
          <w:rFonts w:asciiTheme="majorHAnsi" w:hAnsiTheme="majorHAnsi" w:cstheme="majorHAnsi"/>
          <w:color w:val="000000"/>
          <w:lang w:val="ro-MD"/>
        </w:rPr>
        <w:t>нено 40,9 млн.</w:t>
      </w:r>
      <w:r w:rsidR="00760197">
        <w:rPr>
          <w:rFonts w:asciiTheme="majorHAnsi" w:hAnsiTheme="majorHAnsi" w:cstheme="majorHAnsi"/>
          <w:color w:val="000000"/>
          <w:lang w:val="ru-RU"/>
        </w:rPr>
        <w:t xml:space="preserve"> </w:t>
      </w:r>
      <w:r w:rsidRPr="00370E16">
        <w:rPr>
          <w:rFonts w:asciiTheme="majorHAnsi" w:hAnsiTheme="majorHAnsi" w:cstheme="majorHAnsi"/>
          <w:color w:val="000000"/>
          <w:lang w:val="ro-MD"/>
        </w:rPr>
        <w:t xml:space="preserve">леев </w:t>
      </w:r>
      <w:r w:rsidR="00760197">
        <w:rPr>
          <w:rFonts w:asciiTheme="majorHAnsi" w:hAnsiTheme="majorHAnsi" w:cstheme="majorHAnsi"/>
          <w:color w:val="000000"/>
          <w:lang w:val="ru-RU"/>
        </w:rPr>
        <w:t>н</w:t>
      </w:r>
      <w:r w:rsidRPr="00370E16">
        <w:rPr>
          <w:rFonts w:asciiTheme="majorHAnsi" w:hAnsiTheme="majorHAnsi" w:cstheme="majorHAnsi"/>
          <w:color w:val="000000"/>
          <w:lang w:val="ro-MD"/>
        </w:rPr>
        <w:t xml:space="preserve">а обеспечение права на пособие по безработице, </w:t>
      </w:r>
      <w:r w:rsidR="00760197">
        <w:rPr>
          <w:rFonts w:asciiTheme="majorHAnsi" w:hAnsiTheme="majorHAnsi" w:cstheme="majorHAnsi"/>
          <w:color w:val="000000"/>
          <w:lang w:val="ru-RU"/>
        </w:rPr>
        <w:t xml:space="preserve">или на </w:t>
      </w:r>
      <w:r w:rsidRPr="00370E16">
        <w:rPr>
          <w:rFonts w:asciiTheme="majorHAnsi" w:hAnsiTheme="majorHAnsi" w:cstheme="majorHAnsi"/>
          <w:color w:val="000000"/>
          <w:lang w:val="ro-MD"/>
        </w:rPr>
        <w:t>7,2 млн.</w:t>
      </w:r>
      <w:r w:rsidR="00760197">
        <w:rPr>
          <w:rFonts w:asciiTheme="majorHAnsi" w:hAnsiTheme="majorHAnsi" w:cstheme="majorHAnsi"/>
          <w:color w:val="000000"/>
          <w:lang w:val="ru-RU"/>
        </w:rPr>
        <w:t xml:space="preserve"> леев </w:t>
      </w:r>
      <w:r w:rsidRPr="00370E16">
        <w:rPr>
          <w:rFonts w:asciiTheme="majorHAnsi" w:hAnsiTheme="majorHAnsi" w:cstheme="majorHAnsi"/>
          <w:color w:val="000000"/>
          <w:lang w:val="ro-MD"/>
        </w:rPr>
        <w:t xml:space="preserve">меньше, чем в 2021 году. </w:t>
      </w:r>
      <w:r w:rsidR="00760197" w:rsidRPr="00760197">
        <w:rPr>
          <w:rFonts w:asciiTheme="majorHAnsi" w:hAnsiTheme="majorHAnsi" w:cstheme="majorHAnsi"/>
          <w:color w:val="000000"/>
          <w:lang w:val="ro-MD"/>
        </w:rPr>
        <w:t>Сниж</w:t>
      </w:r>
      <w:r w:rsidRPr="00370E16">
        <w:rPr>
          <w:rFonts w:asciiTheme="majorHAnsi" w:hAnsiTheme="majorHAnsi" w:cstheme="majorHAnsi"/>
          <w:color w:val="000000"/>
          <w:lang w:val="ro-MD"/>
        </w:rPr>
        <w:t xml:space="preserve">ение количества решений, а также связанных с ними расходов было обусловлено </w:t>
      </w:r>
      <w:r w:rsidR="00760197" w:rsidRPr="00760197">
        <w:rPr>
          <w:rFonts w:asciiTheme="majorHAnsi" w:hAnsiTheme="majorHAnsi" w:cstheme="majorHAnsi"/>
          <w:color w:val="000000"/>
          <w:lang w:val="ro-MD"/>
        </w:rPr>
        <w:t>улучше</w:t>
      </w:r>
      <w:r w:rsidRPr="00370E16">
        <w:rPr>
          <w:rFonts w:asciiTheme="majorHAnsi" w:hAnsiTheme="majorHAnsi" w:cstheme="majorHAnsi"/>
          <w:color w:val="000000"/>
          <w:lang w:val="ro-MD"/>
        </w:rPr>
        <w:t>нием пандемической ситуации</w:t>
      </w:r>
      <w:r w:rsidR="00FA7FB2" w:rsidRPr="00736448">
        <w:rPr>
          <w:rFonts w:asciiTheme="majorHAnsi" w:hAnsiTheme="majorHAnsi" w:cstheme="majorHAnsi"/>
          <w:color w:val="000000"/>
          <w:lang w:val="ro-MD"/>
        </w:rPr>
        <w:t>.</w:t>
      </w:r>
    </w:p>
    <w:p w14:paraId="4428EA32" w14:textId="162F4837" w:rsidR="00FA7FB2" w:rsidRPr="00736448" w:rsidRDefault="00760197" w:rsidP="00FA7FB2">
      <w:pPr>
        <w:spacing w:after="0" w:line="276" w:lineRule="auto"/>
        <w:jc w:val="both"/>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u-RU"/>
        </w:rPr>
        <w:t>Относительно</w:t>
      </w:r>
      <w:r w:rsidR="00370E16" w:rsidRPr="00370E16">
        <w:rPr>
          <w:rFonts w:asciiTheme="majorHAnsi" w:eastAsia="Times New Roman" w:hAnsiTheme="majorHAnsi" w:cstheme="majorHAnsi"/>
          <w:color w:val="000000"/>
          <w:sz w:val="24"/>
          <w:szCs w:val="24"/>
          <w:lang w:val="ro-MD"/>
        </w:rPr>
        <w:t xml:space="preserve"> точности определения пособия по безработице</w:t>
      </w:r>
      <w:r>
        <w:rPr>
          <w:rFonts w:asciiTheme="majorHAnsi" w:eastAsia="Times New Roman" w:hAnsiTheme="majorHAnsi" w:cstheme="majorHAnsi"/>
          <w:color w:val="000000"/>
          <w:sz w:val="24"/>
          <w:szCs w:val="24"/>
          <w:lang w:val="ru-RU"/>
        </w:rPr>
        <w:t>,</w:t>
      </w:r>
      <w:r w:rsidR="00370E16" w:rsidRPr="00370E16">
        <w:rPr>
          <w:rFonts w:asciiTheme="majorHAnsi" w:eastAsia="Times New Roman" w:hAnsiTheme="majorHAnsi" w:cstheme="majorHAnsi"/>
          <w:color w:val="000000"/>
          <w:sz w:val="24"/>
          <w:szCs w:val="24"/>
          <w:lang w:val="ro-MD"/>
        </w:rPr>
        <w:t xml:space="preserve"> аудитор </w:t>
      </w:r>
      <w:r>
        <w:rPr>
          <w:rFonts w:asciiTheme="majorHAnsi" w:eastAsia="Times New Roman" w:hAnsiTheme="majorHAnsi" w:cstheme="majorHAnsi"/>
          <w:color w:val="000000"/>
          <w:sz w:val="24"/>
          <w:szCs w:val="24"/>
          <w:lang w:val="ru-RU"/>
        </w:rPr>
        <w:t>отмеч</w:t>
      </w:r>
      <w:r w:rsidR="00370E16" w:rsidRPr="00370E16">
        <w:rPr>
          <w:rFonts w:asciiTheme="majorHAnsi" w:eastAsia="Times New Roman" w:hAnsiTheme="majorHAnsi" w:cstheme="majorHAnsi"/>
          <w:color w:val="000000"/>
          <w:sz w:val="24"/>
          <w:szCs w:val="24"/>
          <w:lang w:val="ro-MD"/>
        </w:rPr>
        <w:t xml:space="preserve">ает, что в случае 60 проверенных </w:t>
      </w:r>
      <w:r>
        <w:rPr>
          <w:rFonts w:asciiTheme="majorHAnsi" w:eastAsia="Times New Roman" w:hAnsiTheme="majorHAnsi" w:cstheme="majorHAnsi"/>
          <w:color w:val="000000"/>
          <w:sz w:val="24"/>
          <w:szCs w:val="24"/>
          <w:lang w:val="ru-RU"/>
        </w:rPr>
        <w:t>дел</w:t>
      </w:r>
      <w:r w:rsidR="00370E16" w:rsidRPr="00370E16">
        <w:rPr>
          <w:rFonts w:asciiTheme="majorHAnsi" w:eastAsia="Times New Roman" w:hAnsiTheme="majorHAnsi" w:cstheme="majorHAnsi"/>
          <w:color w:val="000000"/>
          <w:sz w:val="24"/>
          <w:szCs w:val="24"/>
          <w:lang w:val="ro-MD"/>
        </w:rPr>
        <w:t xml:space="preserve"> размер был рассчитан </w:t>
      </w:r>
      <w:r w:rsidRPr="00370E16">
        <w:rPr>
          <w:rFonts w:asciiTheme="majorHAnsi" w:eastAsia="Times New Roman" w:hAnsiTheme="majorHAnsi" w:cstheme="majorHAnsi"/>
          <w:color w:val="000000"/>
          <w:sz w:val="24"/>
          <w:szCs w:val="24"/>
          <w:lang w:val="ro-MD"/>
        </w:rPr>
        <w:t>точно</w:t>
      </w:r>
      <w:r>
        <w:rPr>
          <w:rFonts w:asciiTheme="majorHAnsi" w:eastAsia="Times New Roman" w:hAnsiTheme="majorHAnsi" w:cstheme="majorHAnsi"/>
          <w:color w:val="000000"/>
          <w:sz w:val="24"/>
          <w:szCs w:val="24"/>
          <w:lang w:val="ru-RU"/>
        </w:rPr>
        <w:t>,</w:t>
      </w:r>
      <w:r w:rsidRPr="00370E16">
        <w:rPr>
          <w:rFonts w:asciiTheme="majorHAnsi" w:eastAsia="Times New Roman" w:hAnsiTheme="majorHAnsi" w:cstheme="majorHAnsi"/>
          <w:color w:val="000000"/>
          <w:sz w:val="24"/>
          <w:szCs w:val="24"/>
          <w:lang w:val="ro-MD"/>
        </w:rPr>
        <w:t xml:space="preserve"> </w:t>
      </w:r>
      <w:r w:rsidR="00370E16" w:rsidRPr="00370E16">
        <w:rPr>
          <w:rFonts w:asciiTheme="majorHAnsi" w:eastAsia="Times New Roman" w:hAnsiTheme="majorHAnsi" w:cstheme="majorHAnsi"/>
          <w:color w:val="000000"/>
          <w:sz w:val="24"/>
          <w:szCs w:val="24"/>
          <w:lang w:val="ro-MD"/>
        </w:rPr>
        <w:t>с соблюдением условий, предусмотренных законодательством. В</w:t>
      </w:r>
      <w:r>
        <w:rPr>
          <w:rFonts w:asciiTheme="majorHAnsi" w:eastAsia="Times New Roman" w:hAnsiTheme="majorHAnsi" w:cstheme="majorHAnsi"/>
          <w:color w:val="000000"/>
          <w:sz w:val="24"/>
          <w:szCs w:val="24"/>
          <w:lang w:val="ru-RU"/>
        </w:rPr>
        <w:t>месте с тем,</w:t>
      </w:r>
      <w:r w:rsidR="00370E16" w:rsidRPr="00370E16">
        <w:rPr>
          <w:rFonts w:asciiTheme="majorHAnsi" w:eastAsia="Times New Roman" w:hAnsiTheme="majorHAnsi" w:cstheme="majorHAnsi"/>
          <w:color w:val="000000"/>
          <w:sz w:val="24"/>
          <w:szCs w:val="24"/>
          <w:lang w:val="ro-MD"/>
        </w:rPr>
        <w:t xml:space="preserve"> были выявлены </w:t>
      </w:r>
      <w:r>
        <w:rPr>
          <w:rFonts w:asciiTheme="majorHAnsi" w:eastAsia="Times New Roman" w:hAnsiTheme="majorHAnsi" w:cstheme="majorHAnsi"/>
          <w:color w:val="000000"/>
          <w:sz w:val="24"/>
          <w:szCs w:val="24"/>
          <w:lang w:val="ru-RU"/>
        </w:rPr>
        <w:t xml:space="preserve">и </w:t>
      </w:r>
      <w:r w:rsidR="00370E16" w:rsidRPr="00370E16">
        <w:rPr>
          <w:rFonts w:asciiTheme="majorHAnsi" w:eastAsia="Times New Roman" w:hAnsiTheme="majorHAnsi" w:cstheme="majorHAnsi"/>
          <w:color w:val="000000"/>
          <w:sz w:val="24"/>
          <w:szCs w:val="24"/>
          <w:lang w:val="ro-MD"/>
        </w:rPr>
        <w:t>некоторые недостатки, связанные с точно</w:t>
      </w:r>
      <w:r>
        <w:rPr>
          <w:rFonts w:asciiTheme="majorHAnsi" w:eastAsia="Times New Roman" w:hAnsiTheme="majorHAnsi" w:cstheme="majorHAnsi"/>
          <w:color w:val="000000"/>
          <w:sz w:val="24"/>
          <w:szCs w:val="24"/>
          <w:lang w:val="ru-RU"/>
        </w:rPr>
        <w:t>стью</w:t>
      </w:r>
      <w:r w:rsidR="00370E16" w:rsidRPr="00370E16">
        <w:rPr>
          <w:rFonts w:asciiTheme="majorHAnsi" w:eastAsia="Times New Roman" w:hAnsiTheme="majorHAnsi" w:cstheme="majorHAnsi"/>
          <w:color w:val="000000"/>
          <w:sz w:val="24"/>
          <w:szCs w:val="24"/>
          <w:lang w:val="ro-MD"/>
        </w:rPr>
        <w:t xml:space="preserve"> </w:t>
      </w:r>
      <w:r>
        <w:rPr>
          <w:rFonts w:asciiTheme="majorHAnsi" w:eastAsia="Times New Roman" w:hAnsiTheme="majorHAnsi" w:cstheme="majorHAnsi"/>
          <w:color w:val="000000"/>
          <w:sz w:val="24"/>
          <w:szCs w:val="24"/>
          <w:lang w:val="ru-RU"/>
        </w:rPr>
        <w:t>выплаты</w:t>
      </w:r>
      <w:r w:rsidR="00370E16" w:rsidRPr="00370E16">
        <w:rPr>
          <w:rFonts w:asciiTheme="majorHAnsi" w:eastAsia="Times New Roman" w:hAnsiTheme="majorHAnsi" w:cstheme="majorHAnsi"/>
          <w:color w:val="000000"/>
          <w:sz w:val="24"/>
          <w:szCs w:val="24"/>
          <w:lang w:val="ro-MD"/>
        </w:rPr>
        <w:t xml:space="preserve"> пособия. Так</w:t>
      </w:r>
      <w:r w:rsidR="00A846C2" w:rsidRPr="00736448">
        <w:rPr>
          <w:rFonts w:asciiTheme="majorHAnsi" w:eastAsia="Times New Roman" w:hAnsiTheme="majorHAnsi" w:cstheme="majorHAnsi"/>
          <w:color w:val="000000"/>
          <w:sz w:val="24"/>
          <w:szCs w:val="24"/>
          <w:lang w:val="ro-MD"/>
        </w:rPr>
        <w:t>,</w:t>
      </w:r>
    </w:p>
    <w:p w14:paraId="70AD63BE" w14:textId="0CFA9856" w:rsidR="00FA7FB2" w:rsidRPr="00736448" w:rsidRDefault="00370E16" w:rsidP="00370E16">
      <w:pPr>
        <w:pStyle w:val="aa"/>
        <w:numPr>
          <w:ilvl w:val="0"/>
          <w:numId w:val="3"/>
        </w:numPr>
        <w:spacing w:after="0" w:line="276" w:lineRule="auto"/>
        <w:jc w:val="both"/>
        <w:rPr>
          <w:rFonts w:asciiTheme="majorHAnsi" w:eastAsia="Times New Roman" w:hAnsiTheme="majorHAnsi" w:cstheme="majorHAnsi"/>
          <w:color w:val="000000"/>
          <w:sz w:val="24"/>
          <w:szCs w:val="24"/>
          <w:lang w:val="ro-MD"/>
        </w:rPr>
      </w:pPr>
      <w:r w:rsidRPr="00370E16">
        <w:rPr>
          <w:rFonts w:asciiTheme="majorHAnsi" w:eastAsia="Times New Roman" w:hAnsiTheme="majorHAnsi" w:cstheme="majorHAnsi"/>
          <w:color w:val="000000"/>
          <w:sz w:val="24"/>
          <w:szCs w:val="24"/>
          <w:lang w:val="ro-MD"/>
        </w:rPr>
        <w:t xml:space="preserve">в случае </w:t>
      </w:r>
      <w:r w:rsidR="00E079EC" w:rsidRPr="00E079EC">
        <w:rPr>
          <w:rFonts w:asciiTheme="majorHAnsi" w:eastAsia="Times New Roman" w:hAnsiTheme="majorHAnsi" w:cstheme="majorHAnsi"/>
          <w:color w:val="000000"/>
          <w:sz w:val="24"/>
          <w:szCs w:val="24"/>
          <w:lang w:val="ro-MD"/>
        </w:rPr>
        <w:t xml:space="preserve">одного </w:t>
      </w:r>
      <w:r w:rsidRPr="00370E16">
        <w:rPr>
          <w:rFonts w:asciiTheme="majorHAnsi" w:eastAsia="Times New Roman" w:hAnsiTheme="majorHAnsi" w:cstheme="majorHAnsi"/>
          <w:color w:val="000000"/>
          <w:sz w:val="24"/>
          <w:szCs w:val="24"/>
          <w:lang w:val="ro-MD"/>
        </w:rPr>
        <w:t>бенефициара</w:t>
      </w:r>
      <w:r w:rsidR="00E079EC" w:rsidRPr="00E079EC">
        <w:rPr>
          <w:rFonts w:asciiTheme="majorHAnsi" w:eastAsia="Times New Roman" w:hAnsiTheme="majorHAnsi" w:cstheme="majorHAnsi"/>
          <w:color w:val="000000"/>
          <w:sz w:val="24"/>
          <w:szCs w:val="24"/>
          <w:lang w:val="ro-MD"/>
        </w:rPr>
        <w:t>,</w:t>
      </w:r>
      <w:r w:rsidRPr="00370E16">
        <w:rPr>
          <w:rFonts w:asciiTheme="majorHAnsi" w:eastAsia="Times New Roman" w:hAnsiTheme="majorHAnsi" w:cstheme="majorHAnsi"/>
          <w:color w:val="000000"/>
          <w:sz w:val="24"/>
          <w:szCs w:val="24"/>
          <w:lang w:val="ro-MD"/>
        </w:rPr>
        <w:t xml:space="preserve"> пособие по безработице было выплачено </w:t>
      </w:r>
      <w:r w:rsidR="00E079EC" w:rsidRPr="00E079EC">
        <w:rPr>
          <w:rFonts w:asciiTheme="majorHAnsi" w:eastAsia="Times New Roman" w:hAnsiTheme="majorHAnsi" w:cstheme="majorHAnsi"/>
          <w:color w:val="000000"/>
          <w:sz w:val="24"/>
          <w:szCs w:val="24"/>
          <w:lang w:val="ro-MD"/>
        </w:rPr>
        <w:t>на</w:t>
      </w:r>
      <w:r w:rsidRPr="00370E16">
        <w:rPr>
          <w:rFonts w:asciiTheme="majorHAnsi" w:eastAsia="Times New Roman" w:hAnsiTheme="majorHAnsi" w:cstheme="majorHAnsi"/>
          <w:color w:val="000000"/>
          <w:sz w:val="24"/>
          <w:szCs w:val="24"/>
          <w:lang w:val="ro-MD"/>
        </w:rPr>
        <w:t xml:space="preserve"> 7 дней</w:t>
      </w:r>
      <w:r w:rsidR="00E079EC" w:rsidRPr="00E079EC">
        <w:rPr>
          <w:rFonts w:asciiTheme="majorHAnsi" w:eastAsia="Times New Roman" w:hAnsiTheme="majorHAnsi" w:cstheme="majorHAnsi"/>
          <w:color w:val="000000"/>
          <w:sz w:val="24"/>
          <w:szCs w:val="24"/>
          <w:lang w:val="ro-MD"/>
        </w:rPr>
        <w:t xml:space="preserve"> больше</w:t>
      </w:r>
      <w:r w:rsidRPr="00370E16">
        <w:rPr>
          <w:rFonts w:asciiTheme="majorHAnsi" w:eastAsia="Times New Roman" w:hAnsiTheme="majorHAnsi" w:cstheme="majorHAnsi"/>
          <w:color w:val="000000"/>
          <w:sz w:val="24"/>
          <w:szCs w:val="24"/>
          <w:lang w:val="ro-MD"/>
        </w:rPr>
        <w:t xml:space="preserve">, вопреки </w:t>
      </w:r>
      <w:r w:rsidR="00707272">
        <w:rPr>
          <w:rFonts w:asciiTheme="majorHAnsi" w:eastAsia="Times New Roman" w:hAnsiTheme="majorHAnsi" w:cstheme="majorHAnsi"/>
          <w:color w:val="000000"/>
          <w:sz w:val="24"/>
          <w:szCs w:val="24"/>
          <w:lang w:val="ro-MD"/>
        </w:rPr>
        <w:t>законодательн</w:t>
      </w:r>
      <w:r w:rsidRPr="00370E16">
        <w:rPr>
          <w:rFonts w:asciiTheme="majorHAnsi" w:eastAsia="Times New Roman" w:hAnsiTheme="majorHAnsi" w:cstheme="majorHAnsi"/>
          <w:color w:val="000000"/>
          <w:sz w:val="24"/>
          <w:szCs w:val="24"/>
          <w:lang w:val="ro-MD"/>
        </w:rPr>
        <w:t xml:space="preserve">ым положениям, на том основании, что он был </w:t>
      </w:r>
      <w:r w:rsidR="00E079EC" w:rsidRPr="00E079EC">
        <w:rPr>
          <w:rFonts w:asciiTheme="majorHAnsi" w:eastAsia="Times New Roman" w:hAnsiTheme="majorHAnsi" w:cstheme="majorHAnsi"/>
          <w:color w:val="000000"/>
          <w:sz w:val="24"/>
          <w:szCs w:val="24"/>
          <w:lang w:val="ro-MD"/>
        </w:rPr>
        <w:t>трудоустроен занов</w:t>
      </w:r>
      <w:r w:rsidR="00E079EC" w:rsidRPr="00370E16">
        <w:rPr>
          <w:rFonts w:asciiTheme="majorHAnsi" w:eastAsia="Times New Roman" w:hAnsiTheme="majorHAnsi" w:cstheme="majorHAnsi"/>
          <w:color w:val="000000"/>
          <w:sz w:val="24"/>
          <w:szCs w:val="24"/>
          <w:lang w:val="ro-MD"/>
        </w:rPr>
        <w:t>о</w:t>
      </w:r>
      <w:r w:rsidRPr="00370E16">
        <w:rPr>
          <w:rFonts w:asciiTheme="majorHAnsi" w:eastAsia="Times New Roman" w:hAnsiTheme="majorHAnsi" w:cstheme="majorHAnsi"/>
          <w:color w:val="000000"/>
          <w:sz w:val="24"/>
          <w:szCs w:val="24"/>
          <w:lang w:val="ro-MD"/>
        </w:rPr>
        <w:t xml:space="preserve">, в этом контексте </w:t>
      </w:r>
      <w:r w:rsidR="00E079EC" w:rsidRPr="00370E16">
        <w:rPr>
          <w:rFonts w:asciiTheme="majorHAnsi" w:eastAsia="Times New Roman" w:hAnsiTheme="majorHAnsi" w:cstheme="majorHAnsi"/>
          <w:color w:val="000000"/>
          <w:sz w:val="24"/>
          <w:szCs w:val="24"/>
          <w:lang w:val="ro-MD"/>
        </w:rPr>
        <w:t>ему</w:t>
      </w:r>
      <w:r w:rsidR="00E079EC" w:rsidRPr="00E079EC">
        <w:rPr>
          <w:rFonts w:asciiTheme="majorHAnsi" w:eastAsia="Times New Roman" w:hAnsiTheme="majorHAnsi" w:cstheme="majorHAnsi"/>
          <w:color w:val="000000"/>
          <w:sz w:val="24"/>
          <w:szCs w:val="24"/>
          <w:lang w:val="ro-MD"/>
        </w:rPr>
        <w:t xml:space="preserve"> было</w:t>
      </w:r>
      <w:r w:rsidR="00E079EC" w:rsidRPr="00370E16">
        <w:rPr>
          <w:rFonts w:asciiTheme="majorHAnsi" w:eastAsia="Times New Roman" w:hAnsiTheme="majorHAnsi" w:cstheme="majorHAnsi"/>
          <w:color w:val="000000"/>
          <w:sz w:val="24"/>
          <w:szCs w:val="24"/>
          <w:lang w:val="ro-MD"/>
        </w:rPr>
        <w:t xml:space="preserve"> </w:t>
      </w:r>
      <w:r w:rsidRPr="00370E16">
        <w:rPr>
          <w:rFonts w:asciiTheme="majorHAnsi" w:eastAsia="Times New Roman" w:hAnsiTheme="majorHAnsi" w:cstheme="majorHAnsi"/>
          <w:color w:val="000000"/>
          <w:sz w:val="24"/>
          <w:szCs w:val="24"/>
          <w:lang w:val="ro-MD"/>
        </w:rPr>
        <w:t>выплачено дополнительно 1,2 тыс. леев</w:t>
      </w:r>
      <w:r w:rsidR="00FA7FB2" w:rsidRPr="00736448">
        <w:rPr>
          <w:rFonts w:asciiTheme="majorHAnsi" w:eastAsia="Times New Roman" w:hAnsiTheme="majorHAnsi" w:cstheme="majorHAnsi"/>
          <w:color w:val="000000"/>
          <w:sz w:val="24"/>
          <w:szCs w:val="24"/>
          <w:lang w:val="ro-MD"/>
        </w:rPr>
        <w:t>;</w:t>
      </w:r>
    </w:p>
    <w:p w14:paraId="46D85939" w14:textId="260276B6" w:rsidR="00FA7FB2" w:rsidRPr="00736448" w:rsidRDefault="00370E16" w:rsidP="00370E16">
      <w:pPr>
        <w:pStyle w:val="aa"/>
        <w:numPr>
          <w:ilvl w:val="0"/>
          <w:numId w:val="3"/>
        </w:numPr>
        <w:spacing w:after="0" w:line="276" w:lineRule="auto"/>
        <w:jc w:val="both"/>
        <w:rPr>
          <w:rFonts w:asciiTheme="majorHAnsi" w:eastAsia="Times New Roman" w:hAnsiTheme="majorHAnsi" w:cstheme="majorHAnsi"/>
          <w:color w:val="000000"/>
          <w:sz w:val="24"/>
          <w:szCs w:val="24"/>
          <w:lang w:val="ro-MD"/>
        </w:rPr>
      </w:pPr>
      <w:r w:rsidRPr="00370E16">
        <w:rPr>
          <w:rFonts w:asciiTheme="majorHAnsi" w:hAnsiTheme="majorHAnsi" w:cstheme="majorHAnsi"/>
          <w:sz w:val="24"/>
          <w:szCs w:val="24"/>
          <w:lang w:val="ro-MD"/>
        </w:rPr>
        <w:t>в другом случае</w:t>
      </w:r>
      <w:r w:rsidR="00E079EC">
        <w:rPr>
          <w:rFonts w:asciiTheme="majorHAnsi" w:hAnsiTheme="majorHAnsi" w:cstheme="majorHAnsi"/>
          <w:sz w:val="24"/>
          <w:szCs w:val="24"/>
          <w:lang w:val="ru-RU"/>
        </w:rPr>
        <w:t>,</w:t>
      </w:r>
      <w:r w:rsidRPr="00370E16">
        <w:rPr>
          <w:rFonts w:asciiTheme="majorHAnsi" w:hAnsiTheme="majorHAnsi" w:cstheme="majorHAnsi"/>
          <w:sz w:val="24"/>
          <w:szCs w:val="24"/>
          <w:lang w:val="ro-MD"/>
        </w:rPr>
        <w:t xml:space="preserve"> бенефициар получил пособие по безработице в размере 19,7 тыс. леев</w:t>
      </w:r>
      <w:r w:rsidR="00E079EC">
        <w:rPr>
          <w:rFonts w:asciiTheme="majorHAnsi" w:hAnsiTheme="majorHAnsi" w:cstheme="majorHAnsi"/>
          <w:sz w:val="24"/>
          <w:szCs w:val="24"/>
          <w:lang w:val="ru-RU"/>
        </w:rPr>
        <w:t>,</w:t>
      </w:r>
      <w:r w:rsidRPr="00370E16">
        <w:rPr>
          <w:rFonts w:asciiTheme="majorHAnsi" w:hAnsiTheme="majorHAnsi" w:cstheme="majorHAnsi"/>
          <w:sz w:val="24"/>
          <w:szCs w:val="24"/>
          <w:lang w:val="ro-MD"/>
        </w:rPr>
        <w:t xml:space="preserve"> одновременно с пособием по уходу за ребенком, что противоречит законодательству. Впоследствии он вернул нео</w:t>
      </w:r>
      <w:r w:rsidR="00E079EC" w:rsidRPr="00614E7C">
        <w:rPr>
          <w:rFonts w:asciiTheme="majorHAnsi" w:hAnsiTheme="majorHAnsi" w:cstheme="majorHAnsi"/>
          <w:sz w:val="24"/>
          <w:szCs w:val="24"/>
          <w:lang w:val="ro-MD"/>
        </w:rPr>
        <w:t>боснованно вы</w:t>
      </w:r>
      <w:r w:rsidRPr="00370E16">
        <w:rPr>
          <w:rFonts w:asciiTheme="majorHAnsi" w:hAnsiTheme="majorHAnsi" w:cstheme="majorHAnsi"/>
          <w:sz w:val="24"/>
          <w:szCs w:val="24"/>
          <w:lang w:val="ro-MD"/>
        </w:rPr>
        <w:t>лаченную сумму</w:t>
      </w:r>
      <w:r w:rsidR="00FA7FB2" w:rsidRPr="00736448">
        <w:rPr>
          <w:rFonts w:asciiTheme="majorHAnsi" w:hAnsiTheme="majorHAnsi" w:cstheme="majorHAnsi"/>
          <w:sz w:val="24"/>
          <w:szCs w:val="24"/>
          <w:lang w:val="ro-MD"/>
        </w:rPr>
        <w:t xml:space="preserve">. </w:t>
      </w:r>
    </w:p>
    <w:p w14:paraId="0A252569" w14:textId="52B34F47" w:rsidR="009B0BEC" w:rsidRPr="00736448" w:rsidRDefault="00A93C21" w:rsidP="009B0BEC">
      <w:pPr>
        <w:shd w:val="clear" w:color="auto" w:fill="FFFFFF" w:themeFill="background1"/>
        <w:spacing w:line="276" w:lineRule="auto"/>
        <w:jc w:val="both"/>
        <w:rPr>
          <w:rFonts w:asciiTheme="majorHAnsi" w:hAnsiTheme="majorHAnsi" w:cstheme="majorHAnsi"/>
          <w:sz w:val="24"/>
          <w:szCs w:val="24"/>
          <w:lang w:val="ro-MD"/>
        </w:rPr>
      </w:pPr>
      <w:r>
        <w:rPr>
          <w:rFonts w:asciiTheme="majorHAnsi" w:hAnsiTheme="majorHAnsi" w:cstheme="majorHAnsi"/>
          <w:sz w:val="24"/>
          <w:szCs w:val="24"/>
          <w:lang w:val="ru-RU"/>
        </w:rPr>
        <w:t>В итоге</w:t>
      </w:r>
      <w:r w:rsidR="00370E16" w:rsidRPr="00370E16">
        <w:rPr>
          <w:rFonts w:asciiTheme="majorHAnsi" w:hAnsiTheme="majorHAnsi" w:cstheme="majorHAnsi"/>
          <w:sz w:val="24"/>
          <w:szCs w:val="24"/>
          <w:lang w:val="ro-MD"/>
        </w:rPr>
        <w:t xml:space="preserve">, мы отмечаем, что </w:t>
      </w:r>
      <w:r w:rsidRPr="00370E16">
        <w:rPr>
          <w:rFonts w:asciiTheme="majorHAnsi" w:hAnsiTheme="majorHAnsi" w:cstheme="majorHAnsi"/>
          <w:sz w:val="24"/>
          <w:szCs w:val="24"/>
          <w:lang w:val="ro-MD"/>
        </w:rPr>
        <w:t>данные</w:t>
      </w:r>
      <w:r>
        <w:rPr>
          <w:rFonts w:asciiTheme="majorHAnsi" w:hAnsiTheme="majorHAnsi" w:cstheme="majorHAnsi"/>
          <w:sz w:val="24"/>
          <w:szCs w:val="24"/>
          <w:lang w:val="ru-RU"/>
        </w:rPr>
        <w:t>, генерируемые через</w:t>
      </w:r>
      <w:r w:rsidR="00370E16" w:rsidRPr="00370E16">
        <w:rPr>
          <w:rFonts w:asciiTheme="majorHAnsi" w:hAnsiTheme="majorHAnsi" w:cstheme="majorHAnsi"/>
          <w:sz w:val="24"/>
          <w:szCs w:val="24"/>
          <w:lang w:val="ro-MD"/>
        </w:rPr>
        <w:t xml:space="preserve"> </w:t>
      </w:r>
      <w:r w:rsidRPr="00370E16">
        <w:rPr>
          <w:rFonts w:asciiTheme="majorHAnsi" w:hAnsiTheme="majorHAnsi" w:cstheme="majorHAnsi"/>
          <w:sz w:val="24"/>
          <w:szCs w:val="24"/>
          <w:lang w:val="ro-MD"/>
        </w:rPr>
        <w:t>меж</w:t>
      </w:r>
      <w:r w:rsidR="00370E16" w:rsidRPr="00370E16">
        <w:rPr>
          <w:rFonts w:asciiTheme="majorHAnsi" w:hAnsiTheme="majorHAnsi" w:cstheme="majorHAnsi"/>
          <w:sz w:val="24"/>
          <w:szCs w:val="24"/>
          <w:lang w:val="ro-MD"/>
        </w:rPr>
        <w:t>систем</w:t>
      </w:r>
      <w:r>
        <w:rPr>
          <w:rFonts w:asciiTheme="majorHAnsi" w:hAnsiTheme="majorHAnsi" w:cstheme="majorHAnsi"/>
          <w:sz w:val="24"/>
          <w:szCs w:val="24"/>
          <w:lang w:val="ru-RU"/>
        </w:rPr>
        <w:t>ное подключение к НАЗН</w:t>
      </w:r>
      <w:r w:rsidR="00370E16" w:rsidRPr="00370E16">
        <w:rPr>
          <w:rFonts w:asciiTheme="majorHAnsi" w:hAnsiTheme="majorHAnsi" w:cstheme="majorHAnsi"/>
          <w:sz w:val="24"/>
          <w:szCs w:val="24"/>
          <w:lang w:val="ro-MD"/>
        </w:rPr>
        <w:t xml:space="preserve">, являются неточными/ошибочными, </w:t>
      </w:r>
      <w:r>
        <w:rPr>
          <w:rFonts w:asciiTheme="majorHAnsi" w:hAnsiTheme="majorHAnsi" w:cstheme="majorHAnsi"/>
          <w:sz w:val="24"/>
          <w:szCs w:val="24"/>
          <w:lang w:val="ru-RU"/>
        </w:rPr>
        <w:t>были выявлены</w:t>
      </w:r>
      <w:r w:rsidR="00370E16" w:rsidRPr="00370E16">
        <w:rPr>
          <w:rFonts w:asciiTheme="majorHAnsi" w:hAnsiTheme="majorHAnsi" w:cstheme="majorHAnsi"/>
          <w:sz w:val="24"/>
          <w:szCs w:val="24"/>
          <w:lang w:val="ro-MD"/>
        </w:rPr>
        <w:t xml:space="preserve"> расхождени</w:t>
      </w:r>
      <w:r>
        <w:rPr>
          <w:rFonts w:asciiTheme="majorHAnsi" w:hAnsiTheme="majorHAnsi" w:cstheme="majorHAnsi"/>
          <w:sz w:val="24"/>
          <w:szCs w:val="24"/>
          <w:lang w:val="ru-RU"/>
        </w:rPr>
        <w:t>я</w:t>
      </w:r>
      <w:r w:rsidR="00370E16" w:rsidRPr="00370E16">
        <w:rPr>
          <w:rFonts w:asciiTheme="majorHAnsi" w:hAnsiTheme="majorHAnsi" w:cstheme="majorHAnsi"/>
          <w:sz w:val="24"/>
          <w:szCs w:val="24"/>
          <w:lang w:val="ro-MD"/>
        </w:rPr>
        <w:t xml:space="preserve"> от 1 месяца до 14 лет. Таким образом, </w:t>
      </w:r>
      <w:r>
        <w:rPr>
          <w:rFonts w:asciiTheme="majorHAnsi" w:hAnsiTheme="majorHAnsi" w:cstheme="majorHAnsi"/>
          <w:sz w:val="24"/>
          <w:szCs w:val="24"/>
          <w:lang w:val="ru-RU"/>
        </w:rPr>
        <w:t>НАЗН</w:t>
      </w:r>
      <w:r w:rsidR="00370E16" w:rsidRPr="00370E16">
        <w:rPr>
          <w:rFonts w:asciiTheme="majorHAnsi" w:hAnsiTheme="majorHAnsi" w:cstheme="majorHAnsi"/>
          <w:sz w:val="24"/>
          <w:szCs w:val="24"/>
          <w:lang w:val="ro-MD"/>
        </w:rPr>
        <w:t xml:space="preserve"> не имеет доступа к полным данным, относящимся к обще</w:t>
      </w:r>
      <w:r>
        <w:rPr>
          <w:rFonts w:asciiTheme="majorHAnsi" w:hAnsiTheme="majorHAnsi" w:cstheme="majorHAnsi"/>
          <w:sz w:val="24"/>
          <w:szCs w:val="24"/>
          <w:lang w:val="ru-RU"/>
        </w:rPr>
        <w:t>му</w:t>
      </w:r>
      <w:r w:rsidR="00370E16" w:rsidRPr="00370E16">
        <w:rPr>
          <w:rFonts w:asciiTheme="majorHAnsi" w:hAnsiTheme="majorHAnsi" w:cstheme="majorHAnsi"/>
          <w:sz w:val="24"/>
          <w:szCs w:val="24"/>
          <w:lang w:val="ro-MD"/>
        </w:rPr>
        <w:t xml:space="preserve"> </w:t>
      </w:r>
      <w:r>
        <w:rPr>
          <w:rFonts w:asciiTheme="majorHAnsi" w:hAnsiTheme="majorHAnsi" w:cstheme="majorHAnsi"/>
          <w:sz w:val="24"/>
          <w:szCs w:val="24"/>
          <w:lang w:val="ru-RU"/>
        </w:rPr>
        <w:t xml:space="preserve">страховому </w:t>
      </w:r>
      <w:r w:rsidR="00370E16" w:rsidRPr="00370E16">
        <w:rPr>
          <w:rFonts w:asciiTheme="majorHAnsi" w:hAnsiTheme="majorHAnsi" w:cstheme="majorHAnsi"/>
          <w:sz w:val="24"/>
          <w:szCs w:val="24"/>
          <w:lang w:val="ro-MD"/>
        </w:rPr>
        <w:t>стаж</w:t>
      </w:r>
      <w:r>
        <w:rPr>
          <w:rFonts w:asciiTheme="majorHAnsi" w:hAnsiTheme="majorHAnsi" w:cstheme="majorHAnsi"/>
          <w:sz w:val="24"/>
          <w:szCs w:val="24"/>
          <w:lang w:val="ru-RU"/>
        </w:rPr>
        <w:t>у</w:t>
      </w:r>
      <w:r w:rsidR="00370E16" w:rsidRPr="00370E16">
        <w:rPr>
          <w:rFonts w:asciiTheme="majorHAnsi" w:hAnsiTheme="majorHAnsi" w:cstheme="majorHAnsi"/>
          <w:sz w:val="24"/>
          <w:szCs w:val="24"/>
          <w:lang w:val="ro-MD"/>
        </w:rPr>
        <w:t>, а только к стаж</w:t>
      </w:r>
      <w:r>
        <w:rPr>
          <w:rFonts w:asciiTheme="majorHAnsi" w:hAnsiTheme="majorHAnsi" w:cstheme="majorHAnsi"/>
          <w:sz w:val="24"/>
          <w:szCs w:val="24"/>
          <w:lang w:val="ru-RU"/>
        </w:rPr>
        <w:t>у</w:t>
      </w:r>
      <w:r w:rsidR="00370E16" w:rsidRPr="00370E16">
        <w:rPr>
          <w:rFonts w:asciiTheme="majorHAnsi" w:hAnsiTheme="majorHAnsi" w:cstheme="majorHAnsi"/>
          <w:sz w:val="24"/>
          <w:szCs w:val="24"/>
          <w:lang w:val="ro-MD"/>
        </w:rPr>
        <w:t xml:space="preserve">, </w:t>
      </w:r>
      <w:r>
        <w:rPr>
          <w:rFonts w:asciiTheme="majorHAnsi" w:hAnsiTheme="majorHAnsi" w:cstheme="majorHAnsi"/>
          <w:sz w:val="24"/>
          <w:szCs w:val="24"/>
          <w:lang w:val="ru-RU"/>
        </w:rPr>
        <w:t>реализованному</w:t>
      </w:r>
      <w:r w:rsidR="00370E16" w:rsidRPr="00370E16">
        <w:rPr>
          <w:rFonts w:asciiTheme="majorHAnsi" w:hAnsiTheme="majorHAnsi" w:cstheme="majorHAnsi"/>
          <w:sz w:val="24"/>
          <w:szCs w:val="24"/>
          <w:lang w:val="ro-MD"/>
        </w:rPr>
        <w:t xml:space="preserve"> после 1999 года. Поэтому </w:t>
      </w:r>
      <w:r>
        <w:rPr>
          <w:rFonts w:asciiTheme="majorHAnsi" w:hAnsiTheme="majorHAnsi" w:cstheme="majorHAnsi"/>
          <w:sz w:val="24"/>
          <w:szCs w:val="24"/>
          <w:lang w:val="ru-RU"/>
        </w:rPr>
        <w:t>НАЗН</w:t>
      </w:r>
      <w:r w:rsidR="00370E16" w:rsidRPr="00370E16">
        <w:rPr>
          <w:rFonts w:asciiTheme="majorHAnsi" w:hAnsiTheme="majorHAnsi" w:cstheme="majorHAnsi"/>
          <w:sz w:val="24"/>
          <w:szCs w:val="24"/>
          <w:lang w:val="ro-MD"/>
        </w:rPr>
        <w:t xml:space="preserve"> </w:t>
      </w:r>
      <w:r>
        <w:rPr>
          <w:rFonts w:asciiTheme="majorHAnsi" w:hAnsiTheme="majorHAnsi" w:cstheme="majorHAnsi"/>
          <w:sz w:val="24"/>
          <w:szCs w:val="24"/>
          <w:lang w:val="ru-RU"/>
        </w:rPr>
        <w:t>вынуждено</w:t>
      </w:r>
      <w:r w:rsidR="00370E16" w:rsidRPr="00370E16">
        <w:rPr>
          <w:rFonts w:asciiTheme="majorHAnsi" w:hAnsiTheme="majorHAnsi" w:cstheme="majorHAnsi"/>
          <w:sz w:val="24"/>
          <w:szCs w:val="24"/>
          <w:lang w:val="ro-MD"/>
        </w:rPr>
        <w:t xml:space="preserve"> запр</w:t>
      </w:r>
      <w:r>
        <w:rPr>
          <w:rFonts w:asciiTheme="majorHAnsi" w:hAnsiTheme="majorHAnsi" w:cstheme="majorHAnsi"/>
          <w:sz w:val="24"/>
          <w:szCs w:val="24"/>
          <w:lang w:val="ru-RU"/>
        </w:rPr>
        <w:t>ашивать</w:t>
      </w:r>
      <w:r w:rsidR="00370E16" w:rsidRPr="00370E16">
        <w:rPr>
          <w:rFonts w:asciiTheme="majorHAnsi" w:hAnsiTheme="majorHAnsi" w:cstheme="majorHAnsi"/>
          <w:sz w:val="24"/>
          <w:szCs w:val="24"/>
          <w:lang w:val="ro-MD"/>
        </w:rPr>
        <w:t xml:space="preserve"> у </w:t>
      </w:r>
      <w:r>
        <w:rPr>
          <w:rFonts w:asciiTheme="majorHAnsi" w:hAnsiTheme="majorHAnsi" w:cstheme="majorHAnsi"/>
          <w:sz w:val="24"/>
          <w:szCs w:val="24"/>
          <w:lang w:val="ru-RU"/>
        </w:rPr>
        <w:t>НКСС</w:t>
      </w:r>
      <w:r w:rsidR="00370E16" w:rsidRPr="00370E16">
        <w:rPr>
          <w:rFonts w:asciiTheme="majorHAnsi" w:hAnsiTheme="majorHAnsi" w:cstheme="majorHAnsi"/>
          <w:sz w:val="24"/>
          <w:szCs w:val="24"/>
          <w:lang w:val="ro-MD"/>
        </w:rPr>
        <w:t xml:space="preserve"> информацию из отсканированных трудовых книжек через MConnet. Отметим, что </w:t>
      </w:r>
      <w:r w:rsidRPr="00A93C21">
        <w:rPr>
          <w:rFonts w:asciiTheme="majorHAnsi" w:hAnsiTheme="majorHAnsi" w:cstheme="majorHAnsi"/>
          <w:sz w:val="24"/>
          <w:szCs w:val="24"/>
          <w:lang w:val="ro-MD"/>
        </w:rPr>
        <w:t xml:space="preserve">страховой </w:t>
      </w:r>
      <w:r w:rsidR="00370E16" w:rsidRPr="00370E16">
        <w:rPr>
          <w:rFonts w:asciiTheme="majorHAnsi" w:hAnsiTheme="majorHAnsi" w:cstheme="majorHAnsi"/>
          <w:sz w:val="24"/>
          <w:szCs w:val="24"/>
          <w:lang w:val="ro-MD"/>
        </w:rPr>
        <w:t>стаж является обязательным условием для установления права и продолжительности пособия по безработице</w:t>
      </w:r>
      <w:r w:rsidR="009B0BEC" w:rsidRPr="00736448">
        <w:rPr>
          <w:rFonts w:asciiTheme="majorHAnsi" w:hAnsiTheme="majorHAnsi" w:cstheme="majorHAnsi"/>
          <w:sz w:val="24"/>
          <w:szCs w:val="24"/>
          <w:lang w:val="ro-MD"/>
        </w:rPr>
        <w:t>.</w:t>
      </w:r>
    </w:p>
    <w:p w14:paraId="7A97E905" w14:textId="6C881E16" w:rsidR="009B0BEC" w:rsidRPr="00736448" w:rsidRDefault="00370E16" w:rsidP="009B0BEC">
      <w:pPr>
        <w:shd w:val="clear" w:color="auto" w:fill="FFFFFF" w:themeFill="background1"/>
        <w:spacing w:line="276" w:lineRule="auto"/>
        <w:jc w:val="both"/>
        <w:rPr>
          <w:rFonts w:asciiTheme="majorHAnsi" w:hAnsiTheme="majorHAnsi" w:cstheme="majorHAnsi"/>
          <w:sz w:val="24"/>
          <w:szCs w:val="24"/>
          <w:lang w:val="ro-MD"/>
        </w:rPr>
      </w:pPr>
      <w:r w:rsidRPr="00370E16">
        <w:rPr>
          <w:rFonts w:asciiTheme="majorHAnsi" w:hAnsiTheme="majorHAnsi" w:cstheme="majorHAnsi"/>
          <w:sz w:val="24"/>
          <w:szCs w:val="24"/>
          <w:lang w:val="ro-MD"/>
        </w:rPr>
        <w:t xml:space="preserve">Некоторые недостатки были выявлены </w:t>
      </w:r>
      <w:r w:rsidR="00FE60EC" w:rsidRPr="00FE60EC">
        <w:rPr>
          <w:rFonts w:asciiTheme="majorHAnsi" w:hAnsiTheme="majorHAnsi" w:cstheme="majorHAnsi"/>
          <w:sz w:val="24"/>
          <w:szCs w:val="24"/>
          <w:lang w:val="ro-MD"/>
        </w:rPr>
        <w:t xml:space="preserve">и </w:t>
      </w:r>
      <w:r w:rsidRPr="00370E16">
        <w:rPr>
          <w:rFonts w:asciiTheme="majorHAnsi" w:hAnsiTheme="majorHAnsi" w:cstheme="majorHAnsi"/>
          <w:sz w:val="24"/>
          <w:szCs w:val="24"/>
          <w:lang w:val="ro-MD"/>
        </w:rPr>
        <w:t xml:space="preserve">в аспекте целостности </w:t>
      </w:r>
      <w:r w:rsidR="00FE60EC" w:rsidRPr="00FE60EC">
        <w:rPr>
          <w:rFonts w:asciiTheme="majorHAnsi" w:hAnsiTheme="majorHAnsi" w:cstheme="majorHAnsi"/>
          <w:sz w:val="24"/>
          <w:szCs w:val="24"/>
          <w:lang w:val="ro-MD"/>
        </w:rPr>
        <w:t>де</w:t>
      </w:r>
      <w:r w:rsidRPr="00370E16">
        <w:rPr>
          <w:rFonts w:asciiTheme="majorHAnsi" w:hAnsiTheme="majorHAnsi" w:cstheme="majorHAnsi"/>
          <w:sz w:val="24"/>
          <w:szCs w:val="24"/>
          <w:lang w:val="ro-MD"/>
        </w:rPr>
        <w:t xml:space="preserve">ла бенефициара: в 23 случаях (38,3%) в </w:t>
      </w:r>
      <w:r w:rsidR="00FE60EC" w:rsidRPr="00FE60EC">
        <w:rPr>
          <w:rFonts w:asciiTheme="majorHAnsi" w:hAnsiTheme="majorHAnsi" w:cstheme="majorHAnsi"/>
          <w:sz w:val="24"/>
          <w:szCs w:val="24"/>
          <w:lang w:val="ro-MD"/>
        </w:rPr>
        <w:t>де</w:t>
      </w:r>
      <w:r w:rsidRPr="00370E16">
        <w:rPr>
          <w:rFonts w:asciiTheme="majorHAnsi" w:hAnsiTheme="majorHAnsi" w:cstheme="majorHAnsi"/>
          <w:sz w:val="24"/>
          <w:szCs w:val="24"/>
          <w:lang w:val="ro-MD"/>
        </w:rPr>
        <w:t xml:space="preserve">лах не были пронумерованы все </w:t>
      </w:r>
      <w:r w:rsidR="00FE60EC" w:rsidRPr="00FE60EC">
        <w:rPr>
          <w:rFonts w:asciiTheme="majorHAnsi" w:hAnsiTheme="majorHAnsi" w:cstheme="majorHAnsi"/>
          <w:sz w:val="24"/>
          <w:szCs w:val="24"/>
          <w:lang w:val="ro-MD"/>
        </w:rPr>
        <w:t>страницы</w:t>
      </w:r>
      <w:r w:rsidRPr="00370E16">
        <w:rPr>
          <w:rFonts w:asciiTheme="majorHAnsi" w:hAnsiTheme="majorHAnsi" w:cstheme="majorHAnsi"/>
          <w:sz w:val="24"/>
          <w:szCs w:val="24"/>
          <w:lang w:val="ro-MD"/>
        </w:rPr>
        <w:t>, в частности</w:t>
      </w:r>
      <w:r w:rsidR="00FE60EC" w:rsidRPr="00FE60EC">
        <w:rPr>
          <w:rFonts w:asciiTheme="majorHAnsi" w:hAnsiTheme="majorHAnsi" w:cstheme="majorHAnsi"/>
          <w:sz w:val="24"/>
          <w:szCs w:val="24"/>
          <w:lang w:val="ro-MD"/>
        </w:rPr>
        <w:t>,</w:t>
      </w:r>
      <w:r w:rsidRPr="00370E16">
        <w:rPr>
          <w:rFonts w:asciiTheme="majorHAnsi" w:hAnsiTheme="majorHAnsi" w:cstheme="majorHAnsi"/>
          <w:sz w:val="24"/>
          <w:szCs w:val="24"/>
          <w:lang w:val="ro-MD"/>
        </w:rPr>
        <w:t xml:space="preserve"> выписка </w:t>
      </w:r>
      <w:r w:rsidR="00FE60EC" w:rsidRPr="00FE60EC">
        <w:rPr>
          <w:rFonts w:asciiTheme="majorHAnsi" w:hAnsiTheme="majorHAnsi" w:cstheme="majorHAnsi"/>
          <w:sz w:val="24"/>
          <w:szCs w:val="24"/>
          <w:lang w:val="ro-MD"/>
        </w:rPr>
        <w:t>со</w:t>
      </w:r>
      <w:r w:rsidRPr="00370E16">
        <w:rPr>
          <w:rFonts w:asciiTheme="majorHAnsi" w:hAnsiTheme="majorHAnsi" w:cstheme="majorHAnsi"/>
          <w:sz w:val="24"/>
          <w:szCs w:val="24"/>
          <w:lang w:val="ro-MD"/>
        </w:rPr>
        <w:t xml:space="preserve"> счета бенефициара, что означает, что он</w:t>
      </w:r>
      <w:r w:rsidR="00FE60EC" w:rsidRPr="00FE60EC">
        <w:rPr>
          <w:rFonts w:asciiTheme="majorHAnsi" w:hAnsiTheme="majorHAnsi" w:cstheme="majorHAnsi"/>
          <w:sz w:val="24"/>
          <w:szCs w:val="24"/>
          <w:lang w:val="ro-MD"/>
        </w:rPr>
        <w:t>а</w:t>
      </w:r>
      <w:r w:rsidRPr="00370E16">
        <w:rPr>
          <w:rFonts w:asciiTheme="majorHAnsi" w:hAnsiTheme="majorHAnsi" w:cstheme="majorHAnsi"/>
          <w:sz w:val="24"/>
          <w:szCs w:val="24"/>
          <w:lang w:val="ro-MD"/>
        </w:rPr>
        <w:t xml:space="preserve"> был</w:t>
      </w:r>
      <w:r w:rsidR="00FE60EC" w:rsidRPr="00FE60EC">
        <w:rPr>
          <w:rFonts w:asciiTheme="majorHAnsi" w:hAnsiTheme="majorHAnsi" w:cstheme="majorHAnsi"/>
          <w:sz w:val="24"/>
          <w:szCs w:val="24"/>
          <w:lang w:val="ro-MD"/>
        </w:rPr>
        <w:t>а</w:t>
      </w:r>
      <w:r w:rsidRPr="00370E16">
        <w:rPr>
          <w:rFonts w:asciiTheme="majorHAnsi" w:hAnsiTheme="majorHAnsi" w:cstheme="majorHAnsi"/>
          <w:sz w:val="24"/>
          <w:szCs w:val="24"/>
          <w:lang w:val="ro-MD"/>
        </w:rPr>
        <w:t xml:space="preserve"> </w:t>
      </w:r>
      <w:r w:rsidR="00FE60EC" w:rsidRPr="00FE60EC">
        <w:rPr>
          <w:rFonts w:asciiTheme="majorHAnsi" w:hAnsiTheme="majorHAnsi" w:cstheme="majorHAnsi"/>
          <w:sz w:val="24"/>
          <w:szCs w:val="24"/>
          <w:lang w:val="ro-MD"/>
        </w:rPr>
        <w:t>приложена позже</w:t>
      </w:r>
      <w:r w:rsidR="009B0BEC" w:rsidRPr="00736448">
        <w:rPr>
          <w:rFonts w:asciiTheme="majorHAnsi" w:hAnsiTheme="majorHAnsi" w:cstheme="majorHAnsi"/>
          <w:sz w:val="24"/>
          <w:szCs w:val="24"/>
          <w:lang w:val="ro-MD"/>
        </w:rPr>
        <w:t xml:space="preserve">. </w:t>
      </w:r>
    </w:p>
    <w:p w14:paraId="30E57729" w14:textId="23ED8D07" w:rsidR="00782913" w:rsidRPr="00736448" w:rsidRDefault="00707272" w:rsidP="00370E16">
      <w:pPr>
        <w:pStyle w:val="aa"/>
        <w:numPr>
          <w:ilvl w:val="1"/>
          <w:numId w:val="2"/>
        </w:numPr>
        <w:spacing w:line="276" w:lineRule="auto"/>
        <w:ind w:left="0" w:firstLine="0"/>
        <w:contextualSpacing w:val="0"/>
        <w:jc w:val="both"/>
        <w:outlineLvl w:val="1"/>
        <w:rPr>
          <w:rFonts w:asciiTheme="majorHAnsi" w:hAnsiTheme="majorHAnsi" w:cstheme="majorHAnsi"/>
          <w:b/>
          <w:sz w:val="24"/>
          <w:szCs w:val="24"/>
          <w:lang w:val="ro-MD"/>
        </w:rPr>
      </w:pPr>
      <w:r>
        <w:rPr>
          <w:rFonts w:asciiTheme="majorHAnsi" w:hAnsiTheme="majorHAnsi" w:cstheme="majorHAnsi"/>
          <w:b/>
          <w:sz w:val="24"/>
          <w:szCs w:val="24"/>
          <w:lang w:val="ro-MD"/>
        </w:rPr>
        <w:t>Законодательн</w:t>
      </w:r>
      <w:r w:rsidR="00370E16" w:rsidRPr="00370E16">
        <w:rPr>
          <w:rFonts w:asciiTheme="majorHAnsi" w:hAnsiTheme="majorHAnsi" w:cstheme="majorHAnsi"/>
          <w:b/>
          <w:sz w:val="24"/>
          <w:szCs w:val="24"/>
          <w:lang w:val="ro-MD"/>
        </w:rPr>
        <w:t xml:space="preserve">ая база не содержит исчерпывающих разграничений </w:t>
      </w:r>
      <w:r w:rsidR="00FE60EC" w:rsidRPr="00FE60EC">
        <w:rPr>
          <w:rFonts w:asciiTheme="majorHAnsi" w:hAnsiTheme="majorHAnsi" w:cstheme="majorHAnsi"/>
          <w:b/>
          <w:sz w:val="24"/>
          <w:szCs w:val="24"/>
          <w:lang w:val="ro-MD"/>
        </w:rPr>
        <w:t xml:space="preserve">для </w:t>
      </w:r>
      <w:r w:rsidR="00370E16" w:rsidRPr="00370E16">
        <w:rPr>
          <w:rFonts w:asciiTheme="majorHAnsi" w:hAnsiTheme="majorHAnsi" w:cstheme="majorHAnsi"/>
          <w:b/>
          <w:sz w:val="24"/>
          <w:szCs w:val="24"/>
          <w:lang w:val="ro-MD"/>
        </w:rPr>
        <w:t xml:space="preserve">учреждения, осуществляющего установление/выплату пенсий лицам, занимавшим пост Президента Республики Молдова, таким образом, они осуществляются органом, не </w:t>
      </w:r>
      <w:r w:rsidR="00FE60EC" w:rsidRPr="00FE60EC">
        <w:rPr>
          <w:rFonts w:asciiTheme="majorHAnsi" w:hAnsiTheme="majorHAnsi" w:cstheme="majorHAnsi"/>
          <w:b/>
          <w:sz w:val="24"/>
          <w:szCs w:val="24"/>
          <w:lang w:val="ro-MD"/>
        </w:rPr>
        <w:t>облада</w:t>
      </w:r>
      <w:r w:rsidR="00370E16" w:rsidRPr="00370E16">
        <w:rPr>
          <w:rFonts w:asciiTheme="majorHAnsi" w:hAnsiTheme="majorHAnsi" w:cstheme="majorHAnsi"/>
          <w:b/>
          <w:sz w:val="24"/>
          <w:szCs w:val="24"/>
          <w:lang w:val="ro-MD"/>
        </w:rPr>
        <w:t xml:space="preserve">ющим </w:t>
      </w:r>
      <w:r w:rsidR="00FE60EC" w:rsidRPr="00FE60EC">
        <w:rPr>
          <w:rFonts w:asciiTheme="majorHAnsi" w:hAnsiTheme="majorHAnsi" w:cstheme="majorHAnsi"/>
          <w:b/>
          <w:sz w:val="24"/>
          <w:szCs w:val="24"/>
          <w:lang w:val="ro-MD"/>
        </w:rPr>
        <w:t>соответствующими</w:t>
      </w:r>
      <w:r w:rsidR="00370E16" w:rsidRPr="00370E16">
        <w:rPr>
          <w:rFonts w:asciiTheme="majorHAnsi" w:hAnsiTheme="majorHAnsi" w:cstheme="majorHAnsi"/>
          <w:b/>
          <w:sz w:val="24"/>
          <w:szCs w:val="24"/>
          <w:lang w:val="ro-MD"/>
        </w:rPr>
        <w:t xml:space="preserve"> полномочи</w:t>
      </w:r>
      <w:r w:rsidR="00FE60EC" w:rsidRPr="00FE60EC">
        <w:rPr>
          <w:rFonts w:asciiTheme="majorHAnsi" w:hAnsiTheme="majorHAnsi" w:cstheme="majorHAnsi"/>
          <w:b/>
          <w:sz w:val="24"/>
          <w:szCs w:val="24"/>
          <w:lang w:val="ro-MD"/>
        </w:rPr>
        <w:t>ями</w:t>
      </w:r>
      <w:r w:rsidR="00A610B9" w:rsidRPr="00736448">
        <w:rPr>
          <w:rFonts w:asciiTheme="majorHAnsi" w:hAnsiTheme="majorHAnsi" w:cstheme="majorHAnsi"/>
          <w:b/>
          <w:sz w:val="24"/>
          <w:szCs w:val="24"/>
          <w:lang w:val="ro-MD"/>
        </w:rPr>
        <w:t>.</w:t>
      </w:r>
    </w:p>
    <w:p w14:paraId="6E191A90" w14:textId="19BF60F3" w:rsidR="00782913" w:rsidRPr="00736448" w:rsidRDefault="00370E16" w:rsidP="00782913">
      <w:pPr>
        <w:spacing w:line="276" w:lineRule="auto"/>
        <w:jc w:val="both"/>
        <w:rPr>
          <w:rFonts w:asciiTheme="majorHAnsi" w:hAnsiTheme="majorHAnsi" w:cstheme="majorHAnsi"/>
          <w:sz w:val="24"/>
          <w:szCs w:val="24"/>
          <w:lang w:val="ro-MD"/>
        </w:rPr>
      </w:pPr>
      <w:r w:rsidRPr="00370E16">
        <w:rPr>
          <w:rFonts w:asciiTheme="majorHAnsi" w:hAnsiTheme="majorHAnsi" w:cstheme="majorHAnsi"/>
          <w:sz w:val="24"/>
          <w:szCs w:val="24"/>
          <w:lang w:val="ro-MD"/>
        </w:rPr>
        <w:t xml:space="preserve">Согласно </w:t>
      </w:r>
      <w:r w:rsidR="006A347F">
        <w:rPr>
          <w:rFonts w:asciiTheme="majorHAnsi" w:hAnsiTheme="majorHAnsi" w:cstheme="majorHAnsi"/>
          <w:sz w:val="24"/>
          <w:szCs w:val="24"/>
          <w:lang w:val="ru-RU"/>
        </w:rPr>
        <w:t>с</w:t>
      </w:r>
      <w:r w:rsidRPr="00370E16">
        <w:rPr>
          <w:rFonts w:asciiTheme="majorHAnsi" w:hAnsiTheme="majorHAnsi" w:cstheme="majorHAnsi"/>
          <w:sz w:val="24"/>
          <w:szCs w:val="24"/>
          <w:lang w:val="ro-MD"/>
        </w:rPr>
        <w:t>т.</w:t>
      </w:r>
      <w:r w:rsidR="006A347F">
        <w:rPr>
          <w:rFonts w:asciiTheme="majorHAnsi" w:hAnsiTheme="majorHAnsi" w:cstheme="majorHAnsi"/>
          <w:sz w:val="24"/>
          <w:szCs w:val="24"/>
          <w:lang w:val="ro-MD"/>
        </w:rPr>
        <w:t>30 Закона №</w:t>
      </w:r>
      <w:r w:rsidRPr="00370E16">
        <w:rPr>
          <w:rFonts w:asciiTheme="majorHAnsi" w:hAnsiTheme="majorHAnsi" w:cstheme="majorHAnsi"/>
          <w:sz w:val="24"/>
          <w:szCs w:val="24"/>
          <w:lang w:val="ro-MD"/>
        </w:rPr>
        <w:t>156/1998 субъектами, ответственными за установление и выплату пенсий, являются органы социального страхования. В то же время</w:t>
      </w:r>
      <w:r w:rsidR="006A347F">
        <w:rPr>
          <w:rFonts w:asciiTheme="majorHAnsi" w:hAnsiTheme="majorHAnsi" w:cstheme="majorHAnsi"/>
          <w:sz w:val="24"/>
          <w:szCs w:val="24"/>
          <w:lang w:val="ru-RU"/>
        </w:rPr>
        <w:t>,</w:t>
      </w:r>
      <w:r w:rsidRPr="00370E16">
        <w:rPr>
          <w:rFonts w:asciiTheme="majorHAnsi" w:hAnsiTheme="majorHAnsi" w:cstheme="majorHAnsi"/>
          <w:sz w:val="24"/>
          <w:szCs w:val="24"/>
          <w:lang w:val="ro-MD"/>
        </w:rPr>
        <w:t xml:space="preserve"> </w:t>
      </w:r>
      <w:r w:rsidR="006A347F">
        <w:rPr>
          <w:rFonts w:asciiTheme="majorHAnsi" w:hAnsiTheme="majorHAnsi" w:cstheme="majorHAnsi"/>
          <w:sz w:val="24"/>
          <w:szCs w:val="24"/>
          <w:lang w:val="ru-RU"/>
        </w:rPr>
        <w:t>согласно ст</w:t>
      </w:r>
      <w:r w:rsidR="006A347F">
        <w:rPr>
          <w:rFonts w:asciiTheme="majorHAnsi" w:hAnsiTheme="majorHAnsi" w:cstheme="majorHAnsi"/>
          <w:sz w:val="24"/>
          <w:szCs w:val="24"/>
          <w:lang w:val="ro-MD"/>
        </w:rPr>
        <w:t>.13 Закона №</w:t>
      </w:r>
      <w:r w:rsidRPr="00370E16">
        <w:rPr>
          <w:rFonts w:asciiTheme="majorHAnsi" w:hAnsiTheme="majorHAnsi" w:cstheme="majorHAnsi"/>
          <w:sz w:val="24"/>
          <w:szCs w:val="24"/>
          <w:lang w:val="ro-MD"/>
        </w:rPr>
        <w:t xml:space="preserve">1111/1997 об обеспечении </w:t>
      </w:r>
      <w:r w:rsidR="006A347F">
        <w:rPr>
          <w:rFonts w:asciiTheme="majorHAnsi" w:hAnsiTheme="majorHAnsi" w:cstheme="majorHAnsi"/>
          <w:sz w:val="24"/>
          <w:szCs w:val="24"/>
          <w:lang w:val="ru-RU"/>
        </w:rPr>
        <w:t>деятельности</w:t>
      </w:r>
      <w:r w:rsidRPr="00370E16">
        <w:rPr>
          <w:rFonts w:asciiTheme="majorHAnsi" w:hAnsiTheme="majorHAnsi" w:cstheme="majorHAnsi"/>
          <w:sz w:val="24"/>
          <w:szCs w:val="24"/>
          <w:lang w:val="ro-MD"/>
        </w:rPr>
        <w:t xml:space="preserve"> Президента Республики Молдова лицо, занимавшее пост Президента Республики Молдова, получает пенсию в размере 42% от суммы всех ежемесячных платежей действующего </w:t>
      </w:r>
      <w:r w:rsidR="006A347F">
        <w:rPr>
          <w:rFonts w:asciiTheme="majorHAnsi" w:hAnsiTheme="majorHAnsi" w:cstheme="majorHAnsi"/>
          <w:sz w:val="24"/>
          <w:szCs w:val="24"/>
          <w:lang w:val="ru-RU"/>
        </w:rPr>
        <w:t>П</w:t>
      </w:r>
      <w:r w:rsidRPr="00370E16">
        <w:rPr>
          <w:rFonts w:asciiTheme="majorHAnsi" w:hAnsiTheme="majorHAnsi" w:cstheme="majorHAnsi"/>
          <w:sz w:val="24"/>
          <w:szCs w:val="24"/>
          <w:lang w:val="ro-MD"/>
        </w:rPr>
        <w:t>резиде</w:t>
      </w:r>
      <w:r w:rsidR="006A347F">
        <w:rPr>
          <w:rFonts w:asciiTheme="majorHAnsi" w:hAnsiTheme="majorHAnsi" w:cstheme="majorHAnsi"/>
          <w:sz w:val="24"/>
          <w:szCs w:val="24"/>
          <w:lang w:val="ro-MD"/>
        </w:rPr>
        <w:t>нта. Одновременно, согласно ст.</w:t>
      </w:r>
      <w:r w:rsidRPr="00370E16">
        <w:rPr>
          <w:rFonts w:asciiTheme="majorHAnsi" w:hAnsiTheme="majorHAnsi" w:cstheme="majorHAnsi"/>
          <w:sz w:val="24"/>
          <w:szCs w:val="24"/>
          <w:lang w:val="ro-MD"/>
        </w:rPr>
        <w:t xml:space="preserve">18 того же </w:t>
      </w:r>
      <w:r w:rsidR="006A347F" w:rsidRPr="006A347F">
        <w:rPr>
          <w:rFonts w:asciiTheme="majorHAnsi" w:hAnsiTheme="majorHAnsi" w:cstheme="majorHAnsi"/>
          <w:sz w:val="24"/>
          <w:szCs w:val="24"/>
          <w:lang w:val="ro-MD"/>
        </w:rPr>
        <w:t>З</w:t>
      </w:r>
      <w:r w:rsidRPr="00370E16">
        <w:rPr>
          <w:rFonts w:asciiTheme="majorHAnsi" w:hAnsiTheme="majorHAnsi" w:cstheme="majorHAnsi"/>
          <w:sz w:val="24"/>
          <w:szCs w:val="24"/>
          <w:lang w:val="ro-MD"/>
        </w:rPr>
        <w:t>акона, расходы на пенсионное страхование этой категории бенефициаров покрываются за счет финансовых средств Аппарата Президента Республики Молдова, предусмотренных в Государственном бюджете.</w:t>
      </w:r>
      <w:r w:rsidR="00782913" w:rsidRPr="00736448">
        <w:rPr>
          <w:rFonts w:asciiTheme="majorHAnsi" w:hAnsiTheme="majorHAnsi" w:cstheme="majorHAnsi"/>
          <w:sz w:val="24"/>
          <w:szCs w:val="24"/>
          <w:lang w:val="ro-MD"/>
        </w:rPr>
        <w:t xml:space="preserve"> </w:t>
      </w:r>
      <w:r w:rsidR="006A347F">
        <w:rPr>
          <w:rFonts w:asciiTheme="majorHAnsi" w:hAnsiTheme="majorHAnsi" w:cstheme="majorHAnsi"/>
          <w:sz w:val="24"/>
          <w:szCs w:val="24"/>
          <w:lang w:val="ru-RU"/>
        </w:rPr>
        <w:t>Таким образом</w:t>
      </w:r>
      <w:r w:rsidRPr="00370E16">
        <w:rPr>
          <w:rFonts w:asciiTheme="majorHAnsi" w:hAnsiTheme="majorHAnsi" w:cstheme="majorHAnsi"/>
          <w:sz w:val="24"/>
          <w:szCs w:val="24"/>
          <w:lang w:val="ro-MD"/>
        </w:rPr>
        <w:t xml:space="preserve">, аудит отмечает, что указанные положения прямо не определяют учреждение, которое осуществляет установление, расчет и выплату пенсии </w:t>
      </w:r>
      <w:r w:rsidR="006A347F">
        <w:rPr>
          <w:rFonts w:asciiTheme="majorHAnsi" w:hAnsiTheme="majorHAnsi" w:cstheme="majorHAnsi"/>
          <w:sz w:val="24"/>
          <w:szCs w:val="24"/>
          <w:lang w:val="ru-RU"/>
        </w:rPr>
        <w:t>П</w:t>
      </w:r>
      <w:r w:rsidRPr="00370E16">
        <w:rPr>
          <w:rFonts w:asciiTheme="majorHAnsi" w:hAnsiTheme="majorHAnsi" w:cstheme="majorHAnsi"/>
          <w:sz w:val="24"/>
          <w:szCs w:val="24"/>
          <w:lang w:val="ro-MD"/>
        </w:rPr>
        <w:t xml:space="preserve">резиденту, а только источник финансирования. </w:t>
      </w:r>
      <w:r w:rsidR="006A347F">
        <w:rPr>
          <w:rFonts w:asciiTheme="majorHAnsi" w:hAnsiTheme="majorHAnsi" w:cstheme="majorHAnsi"/>
          <w:sz w:val="24"/>
          <w:szCs w:val="24"/>
          <w:lang w:val="ru-RU"/>
        </w:rPr>
        <w:t>Соответственно</w:t>
      </w:r>
      <w:r w:rsidRPr="00370E16">
        <w:rPr>
          <w:rFonts w:asciiTheme="majorHAnsi" w:hAnsiTheme="majorHAnsi" w:cstheme="majorHAnsi"/>
          <w:sz w:val="24"/>
          <w:szCs w:val="24"/>
          <w:lang w:val="ro-MD"/>
        </w:rPr>
        <w:t xml:space="preserve">, Национальная касса социального страхования осуществляет установление и выплату всех пенсий, </w:t>
      </w:r>
      <w:r w:rsidR="006A347F">
        <w:rPr>
          <w:rFonts w:asciiTheme="majorHAnsi" w:hAnsiTheme="majorHAnsi" w:cstheme="majorHAnsi"/>
          <w:sz w:val="24"/>
          <w:szCs w:val="24"/>
          <w:lang w:val="ru-RU"/>
        </w:rPr>
        <w:t>за исключением</w:t>
      </w:r>
      <w:r w:rsidRPr="00370E16">
        <w:rPr>
          <w:rFonts w:asciiTheme="majorHAnsi" w:hAnsiTheme="majorHAnsi" w:cstheme="majorHAnsi"/>
          <w:sz w:val="24"/>
          <w:szCs w:val="24"/>
          <w:lang w:val="ro-MD"/>
        </w:rPr>
        <w:t xml:space="preserve"> пенсии лиц, занимавших пост Президента Республики Молдова. </w:t>
      </w:r>
      <w:r w:rsidR="006A347F">
        <w:rPr>
          <w:rFonts w:asciiTheme="majorHAnsi" w:hAnsiTheme="majorHAnsi" w:cstheme="majorHAnsi"/>
          <w:sz w:val="24"/>
          <w:szCs w:val="24"/>
          <w:lang w:val="ru-RU"/>
        </w:rPr>
        <w:t>Необходимо</w:t>
      </w:r>
      <w:r w:rsidRPr="00370E16">
        <w:rPr>
          <w:rFonts w:asciiTheme="majorHAnsi" w:hAnsiTheme="majorHAnsi" w:cstheme="majorHAnsi"/>
          <w:sz w:val="24"/>
          <w:szCs w:val="24"/>
          <w:lang w:val="ro-MD"/>
        </w:rPr>
        <w:t xml:space="preserve"> отметить, что в 2017 году была </w:t>
      </w:r>
      <w:r w:rsidR="006A347F">
        <w:rPr>
          <w:rFonts w:asciiTheme="majorHAnsi" w:hAnsiTheme="majorHAnsi" w:cstheme="majorHAnsi"/>
          <w:sz w:val="24"/>
          <w:szCs w:val="24"/>
          <w:lang w:val="ru-RU"/>
        </w:rPr>
        <w:t>попытка</w:t>
      </w:r>
      <w:r w:rsidRPr="00370E16">
        <w:rPr>
          <w:rFonts w:asciiTheme="majorHAnsi" w:hAnsiTheme="majorHAnsi" w:cstheme="majorHAnsi"/>
          <w:sz w:val="24"/>
          <w:szCs w:val="24"/>
          <w:lang w:val="ro-MD"/>
        </w:rPr>
        <w:t xml:space="preserve"> объединени</w:t>
      </w:r>
      <w:r w:rsidR="006A347F">
        <w:rPr>
          <w:rFonts w:asciiTheme="majorHAnsi" w:hAnsiTheme="majorHAnsi" w:cstheme="majorHAnsi"/>
          <w:sz w:val="24"/>
          <w:szCs w:val="24"/>
          <w:lang w:val="ru-RU"/>
        </w:rPr>
        <w:t>я</w:t>
      </w:r>
      <w:r w:rsidRPr="00370E16">
        <w:rPr>
          <w:rFonts w:asciiTheme="majorHAnsi" w:hAnsiTheme="majorHAnsi" w:cstheme="majorHAnsi"/>
          <w:sz w:val="24"/>
          <w:szCs w:val="24"/>
          <w:lang w:val="ro-MD"/>
        </w:rPr>
        <w:t xml:space="preserve"> пенсионной системы, </w:t>
      </w:r>
      <w:r w:rsidR="00223ACD">
        <w:rPr>
          <w:rFonts w:asciiTheme="majorHAnsi" w:hAnsiTheme="majorHAnsi" w:cstheme="majorHAnsi"/>
          <w:sz w:val="24"/>
          <w:szCs w:val="24"/>
          <w:lang w:val="ru-RU"/>
        </w:rPr>
        <w:t>вследствие которой</w:t>
      </w:r>
      <w:r w:rsidRPr="00370E16">
        <w:rPr>
          <w:rFonts w:asciiTheme="majorHAnsi" w:hAnsiTheme="majorHAnsi" w:cstheme="majorHAnsi"/>
          <w:sz w:val="24"/>
          <w:szCs w:val="24"/>
          <w:lang w:val="ro-MD"/>
        </w:rPr>
        <w:t xml:space="preserve"> пенсии </w:t>
      </w:r>
      <w:r w:rsidR="00223ACD" w:rsidRPr="006770F1">
        <w:rPr>
          <w:rFonts w:asciiTheme="majorHAnsi" w:hAnsiTheme="majorHAnsi" w:cstheme="majorHAnsi"/>
          <w:sz w:val="24"/>
          <w:szCs w:val="24"/>
          <w:lang w:val="ro-RO"/>
        </w:rPr>
        <w:t>военнослужащих</w:t>
      </w:r>
      <w:r w:rsidR="00223ACD">
        <w:rPr>
          <w:rFonts w:asciiTheme="majorHAnsi" w:hAnsiTheme="majorHAnsi" w:cstheme="majorHAnsi"/>
          <w:sz w:val="24"/>
          <w:szCs w:val="24"/>
          <w:lang w:val="ru-RU"/>
        </w:rPr>
        <w:t xml:space="preserve"> и</w:t>
      </w:r>
      <w:r w:rsidR="00223ACD" w:rsidRPr="006770F1">
        <w:rPr>
          <w:rFonts w:asciiTheme="majorHAnsi" w:hAnsiTheme="majorHAnsi" w:cstheme="majorHAnsi"/>
          <w:sz w:val="24"/>
          <w:szCs w:val="24"/>
          <w:lang w:val="ro-RO"/>
        </w:rPr>
        <w:t xml:space="preserve"> лиц начальствующего и рядового состава органов внутренних дел</w:t>
      </w:r>
      <w:r w:rsidR="00223ACD" w:rsidRPr="00370E16">
        <w:rPr>
          <w:rFonts w:asciiTheme="majorHAnsi" w:hAnsiTheme="majorHAnsi" w:cstheme="majorHAnsi"/>
          <w:sz w:val="24"/>
          <w:szCs w:val="24"/>
          <w:lang w:val="ro-MD"/>
        </w:rPr>
        <w:t xml:space="preserve"> </w:t>
      </w:r>
      <w:r w:rsidRPr="00370E16">
        <w:rPr>
          <w:rFonts w:asciiTheme="majorHAnsi" w:hAnsiTheme="majorHAnsi" w:cstheme="majorHAnsi"/>
          <w:sz w:val="24"/>
          <w:szCs w:val="24"/>
          <w:lang w:val="ro-MD"/>
        </w:rPr>
        <w:t xml:space="preserve">перешли на </w:t>
      </w:r>
      <w:r w:rsidR="00223ACD">
        <w:rPr>
          <w:rFonts w:asciiTheme="majorHAnsi" w:hAnsiTheme="majorHAnsi" w:cstheme="majorHAnsi"/>
          <w:sz w:val="24"/>
          <w:szCs w:val="24"/>
          <w:lang w:val="ru-RU"/>
        </w:rPr>
        <w:t>обслуживание</w:t>
      </w:r>
      <w:r w:rsidRPr="00370E16">
        <w:rPr>
          <w:rFonts w:asciiTheme="majorHAnsi" w:hAnsiTheme="majorHAnsi" w:cstheme="majorHAnsi"/>
          <w:sz w:val="24"/>
          <w:szCs w:val="24"/>
          <w:lang w:val="ro-MD"/>
        </w:rPr>
        <w:t xml:space="preserve"> в НКСС. Однако пенсии президентов стран</w:t>
      </w:r>
      <w:r w:rsidR="00223ACD" w:rsidRPr="00223ACD">
        <w:rPr>
          <w:rFonts w:asciiTheme="majorHAnsi" w:hAnsiTheme="majorHAnsi" w:cstheme="majorHAnsi"/>
          <w:sz w:val="24"/>
          <w:szCs w:val="24"/>
          <w:lang w:val="ro-MD"/>
        </w:rPr>
        <w:t>ы</w:t>
      </w:r>
      <w:r w:rsidRPr="00370E16">
        <w:rPr>
          <w:rFonts w:asciiTheme="majorHAnsi" w:hAnsiTheme="majorHAnsi" w:cstheme="majorHAnsi"/>
          <w:sz w:val="24"/>
          <w:szCs w:val="24"/>
          <w:lang w:val="ro-MD"/>
        </w:rPr>
        <w:t xml:space="preserve"> не были интегрированы в эту систему</w:t>
      </w:r>
      <w:r w:rsidR="00782913" w:rsidRPr="00736448">
        <w:rPr>
          <w:rFonts w:asciiTheme="majorHAnsi" w:hAnsiTheme="majorHAnsi" w:cstheme="majorHAnsi"/>
          <w:sz w:val="24"/>
          <w:szCs w:val="24"/>
          <w:lang w:val="ro-MD"/>
        </w:rPr>
        <w:t>.</w:t>
      </w:r>
    </w:p>
    <w:p w14:paraId="541CE8C4" w14:textId="3B1485CD" w:rsidR="00782913" w:rsidRPr="00174A1F" w:rsidRDefault="00174A1F" w:rsidP="00174A1F">
      <w:pPr>
        <w:jc w:val="both"/>
        <w:rPr>
          <w:rFonts w:asciiTheme="majorHAnsi" w:hAnsiTheme="majorHAnsi" w:cstheme="majorHAnsi"/>
          <w:sz w:val="24"/>
          <w:szCs w:val="24"/>
          <w:lang w:val="ru-RU"/>
        </w:rPr>
      </w:pPr>
      <w:r w:rsidRPr="00174A1F">
        <w:rPr>
          <w:rFonts w:asciiTheme="majorHAnsi" w:hAnsiTheme="majorHAnsi" w:cstheme="majorHAnsi"/>
          <w:sz w:val="24"/>
          <w:szCs w:val="24"/>
          <w:lang w:val="ru-RU"/>
        </w:rPr>
        <w:t>Отмечается</w:t>
      </w:r>
      <w:r w:rsidR="00370E16" w:rsidRPr="00174A1F">
        <w:rPr>
          <w:rFonts w:asciiTheme="majorHAnsi" w:hAnsiTheme="majorHAnsi" w:cstheme="majorHAnsi"/>
          <w:sz w:val="24"/>
          <w:szCs w:val="24"/>
          <w:lang w:val="ro-MD"/>
        </w:rPr>
        <w:t xml:space="preserve">, что Национальная касса социального страхования осуществляет установление и выплату пособий, финансируемых в том числе из государственного бюджета. Так, </w:t>
      </w:r>
      <w:r w:rsidRPr="00174A1F">
        <w:rPr>
          <w:rFonts w:asciiTheme="majorHAnsi" w:hAnsiTheme="majorHAnsi" w:cstheme="majorHAnsi"/>
          <w:sz w:val="24"/>
          <w:szCs w:val="24"/>
          <w:lang w:val="ru-RU"/>
        </w:rPr>
        <w:t>Министерство финансов перечисляет предусмотренные финансовые средства из государственного бюджета в бюджет государственного социального страхования на платежные счета Национальной кассы социального страхования, предназначенные для социальных выплат из государственного бюджета</w:t>
      </w:r>
      <w:r w:rsidR="00370E16" w:rsidRPr="00174A1F">
        <w:rPr>
          <w:rFonts w:asciiTheme="majorHAnsi" w:hAnsiTheme="majorHAnsi" w:cstheme="majorHAnsi"/>
          <w:sz w:val="24"/>
          <w:szCs w:val="24"/>
          <w:lang w:val="ro-MD"/>
        </w:rPr>
        <w:t xml:space="preserve">, а </w:t>
      </w:r>
      <w:r>
        <w:rPr>
          <w:rFonts w:asciiTheme="majorHAnsi" w:hAnsiTheme="majorHAnsi" w:cstheme="majorHAnsi"/>
          <w:color w:val="212529"/>
          <w:sz w:val="24"/>
          <w:szCs w:val="24"/>
          <w:shd w:val="clear" w:color="auto" w:fill="FFFFFF"/>
          <w:lang w:val="ru-RU"/>
        </w:rPr>
        <w:t>с</w:t>
      </w:r>
      <w:r w:rsidRPr="00174A1F">
        <w:rPr>
          <w:rFonts w:asciiTheme="majorHAnsi" w:hAnsiTheme="majorHAnsi" w:cstheme="majorHAnsi"/>
          <w:color w:val="212529"/>
          <w:sz w:val="24"/>
          <w:szCs w:val="24"/>
          <w:shd w:val="clear" w:color="auto" w:fill="FFFFFF"/>
          <w:lang w:val="ru-RU"/>
        </w:rPr>
        <w:t>оциальные выплаты из государственного бюджета осуществляются после перечисления соответствующих сумм</w:t>
      </w:r>
      <w:r w:rsidR="00B658A4" w:rsidRPr="00174A1F">
        <w:rPr>
          <w:rStyle w:val="a5"/>
          <w:rFonts w:asciiTheme="majorHAnsi" w:hAnsiTheme="majorHAnsi" w:cstheme="majorHAnsi"/>
          <w:sz w:val="24"/>
          <w:szCs w:val="24"/>
          <w:lang w:val="ro-MD"/>
        </w:rPr>
        <w:footnoteReference w:id="87"/>
      </w:r>
      <w:r w:rsidR="00370E16" w:rsidRPr="00174A1F">
        <w:rPr>
          <w:rFonts w:asciiTheme="majorHAnsi" w:hAnsiTheme="majorHAnsi" w:cstheme="majorHAnsi"/>
          <w:sz w:val="24"/>
          <w:szCs w:val="24"/>
          <w:lang w:val="ro-MD"/>
        </w:rPr>
        <w:t>, что означает, что это пособие не включ</w:t>
      </w:r>
      <w:r w:rsidR="00B658A4">
        <w:rPr>
          <w:rFonts w:asciiTheme="majorHAnsi" w:hAnsiTheme="majorHAnsi" w:cstheme="majorHAnsi"/>
          <w:sz w:val="24"/>
          <w:szCs w:val="24"/>
          <w:lang w:val="ru-RU"/>
        </w:rPr>
        <w:t>ено</w:t>
      </w:r>
      <w:r w:rsidR="00370E16" w:rsidRPr="00174A1F">
        <w:rPr>
          <w:rFonts w:asciiTheme="majorHAnsi" w:hAnsiTheme="majorHAnsi" w:cstheme="majorHAnsi"/>
          <w:sz w:val="24"/>
          <w:szCs w:val="24"/>
          <w:lang w:val="ro-MD"/>
        </w:rPr>
        <w:t xml:space="preserve"> для </w:t>
      </w:r>
      <w:r w:rsidR="00B658A4">
        <w:rPr>
          <w:rFonts w:asciiTheme="majorHAnsi" w:hAnsiTheme="majorHAnsi" w:cstheme="majorHAnsi"/>
          <w:sz w:val="24"/>
          <w:szCs w:val="24"/>
          <w:lang w:val="ru-RU"/>
        </w:rPr>
        <w:t>вы</w:t>
      </w:r>
      <w:r w:rsidR="00370E16" w:rsidRPr="00174A1F">
        <w:rPr>
          <w:rFonts w:asciiTheme="majorHAnsi" w:hAnsiTheme="majorHAnsi" w:cstheme="majorHAnsi"/>
          <w:sz w:val="24"/>
          <w:szCs w:val="24"/>
          <w:lang w:val="ro-MD"/>
        </w:rPr>
        <w:t xml:space="preserve">платы через НКСС. </w:t>
      </w:r>
      <w:r w:rsidR="00B658A4" w:rsidRPr="00B658A4">
        <w:rPr>
          <w:rFonts w:asciiTheme="majorHAnsi" w:hAnsiTheme="majorHAnsi" w:cstheme="majorHAnsi"/>
          <w:sz w:val="24"/>
          <w:szCs w:val="24"/>
          <w:lang w:val="ro-MD"/>
        </w:rPr>
        <w:t>Кроме того,</w:t>
      </w:r>
      <w:r w:rsidR="00370E16" w:rsidRPr="00174A1F">
        <w:rPr>
          <w:rFonts w:asciiTheme="majorHAnsi" w:hAnsiTheme="majorHAnsi" w:cstheme="majorHAnsi"/>
          <w:sz w:val="24"/>
          <w:szCs w:val="24"/>
          <w:lang w:val="ro-MD"/>
        </w:rPr>
        <w:t xml:space="preserve"> пенсии лицам, занимавшим пост Президента Республики Молдова, не под</w:t>
      </w:r>
      <w:r w:rsidR="00B658A4" w:rsidRPr="00B658A4">
        <w:rPr>
          <w:rFonts w:asciiTheme="majorHAnsi" w:hAnsiTheme="majorHAnsi" w:cstheme="majorHAnsi"/>
          <w:sz w:val="24"/>
          <w:szCs w:val="24"/>
          <w:lang w:val="ro-MD"/>
        </w:rPr>
        <w:t>вергаются</w:t>
      </w:r>
      <w:r w:rsidR="00370E16" w:rsidRPr="00174A1F">
        <w:rPr>
          <w:rFonts w:asciiTheme="majorHAnsi" w:hAnsiTheme="majorHAnsi" w:cstheme="majorHAnsi"/>
          <w:sz w:val="24"/>
          <w:szCs w:val="24"/>
          <w:lang w:val="ro-MD"/>
        </w:rPr>
        <w:t xml:space="preserve"> индексации и не учитываются при ежегодном повышении индекса потребительских цен за предыдущий год</w:t>
      </w:r>
      <w:r w:rsidR="003D6D40" w:rsidRPr="00174A1F">
        <w:rPr>
          <w:rFonts w:asciiTheme="majorHAnsi" w:hAnsiTheme="majorHAnsi" w:cstheme="majorHAnsi"/>
          <w:color w:val="000000" w:themeColor="text1"/>
          <w:sz w:val="24"/>
          <w:szCs w:val="24"/>
          <w:shd w:val="clear" w:color="auto" w:fill="FFFFFF"/>
          <w:lang w:val="ro-MD"/>
        </w:rPr>
        <w:t>.</w:t>
      </w:r>
    </w:p>
    <w:p w14:paraId="741A9B1D" w14:textId="702E7369" w:rsidR="00782913" w:rsidRPr="00736448" w:rsidRDefault="00370E16" w:rsidP="00782913">
      <w:pPr>
        <w:pStyle w:val="aa"/>
        <w:spacing w:line="276" w:lineRule="auto"/>
        <w:ind w:left="0"/>
        <w:contextualSpacing w:val="0"/>
        <w:jc w:val="both"/>
        <w:rPr>
          <w:rFonts w:asciiTheme="majorHAnsi" w:hAnsiTheme="majorHAnsi" w:cstheme="majorHAnsi"/>
          <w:sz w:val="24"/>
          <w:szCs w:val="24"/>
          <w:lang w:val="ro-MD"/>
        </w:rPr>
      </w:pPr>
      <w:r w:rsidRPr="00370E16">
        <w:rPr>
          <w:rFonts w:asciiTheme="majorHAnsi" w:hAnsiTheme="majorHAnsi" w:cstheme="majorHAnsi"/>
          <w:sz w:val="24"/>
          <w:szCs w:val="24"/>
          <w:lang w:val="ro-MD"/>
        </w:rPr>
        <w:t>В этом контексте</w:t>
      </w:r>
      <w:r w:rsidR="00B658A4">
        <w:rPr>
          <w:rFonts w:asciiTheme="majorHAnsi" w:hAnsiTheme="majorHAnsi" w:cstheme="majorHAnsi"/>
          <w:sz w:val="24"/>
          <w:szCs w:val="24"/>
          <w:lang w:val="ru-RU"/>
        </w:rPr>
        <w:t>,</w:t>
      </w:r>
      <w:r w:rsidRPr="00370E16">
        <w:rPr>
          <w:rFonts w:asciiTheme="majorHAnsi" w:hAnsiTheme="majorHAnsi" w:cstheme="majorHAnsi"/>
          <w:sz w:val="24"/>
          <w:szCs w:val="24"/>
          <w:lang w:val="ro-MD"/>
        </w:rPr>
        <w:t xml:space="preserve"> аудит </w:t>
      </w:r>
      <w:r w:rsidR="00B658A4">
        <w:rPr>
          <w:rFonts w:asciiTheme="majorHAnsi" w:hAnsiTheme="majorHAnsi" w:cstheme="majorHAnsi"/>
          <w:sz w:val="24"/>
          <w:szCs w:val="24"/>
          <w:lang w:val="ru-RU"/>
        </w:rPr>
        <w:t>констатиру</w:t>
      </w:r>
      <w:r w:rsidRPr="00370E16">
        <w:rPr>
          <w:rFonts w:asciiTheme="majorHAnsi" w:hAnsiTheme="majorHAnsi" w:cstheme="majorHAnsi"/>
          <w:sz w:val="24"/>
          <w:szCs w:val="24"/>
          <w:lang w:val="ro-MD"/>
        </w:rPr>
        <w:t xml:space="preserve">ет отсутствие исчерпывающего разграничения органов, осуществляющих установление/выплату пенсий лицам, занимавшим пост Президента Республики Молдова. Отмечается, что </w:t>
      </w:r>
      <w:r w:rsidR="00B658A4" w:rsidRPr="00B658A4">
        <w:rPr>
          <w:rFonts w:asciiTheme="majorHAnsi" w:hAnsiTheme="majorHAnsi" w:cstheme="majorHAnsi"/>
          <w:sz w:val="24"/>
          <w:szCs w:val="24"/>
          <w:lang w:val="ro-MD"/>
        </w:rPr>
        <w:t>А</w:t>
      </w:r>
      <w:r w:rsidRPr="00370E16">
        <w:rPr>
          <w:rFonts w:asciiTheme="majorHAnsi" w:hAnsiTheme="majorHAnsi" w:cstheme="majorHAnsi"/>
          <w:sz w:val="24"/>
          <w:szCs w:val="24"/>
          <w:lang w:val="ro-MD"/>
        </w:rPr>
        <w:t>ппарат Президента Республики Молдова обслуживает 3 человек,</w:t>
      </w:r>
      <w:r w:rsidR="00B658A4" w:rsidRPr="00B658A4">
        <w:rPr>
          <w:rFonts w:asciiTheme="majorHAnsi" w:hAnsiTheme="majorHAnsi" w:cstheme="majorHAnsi"/>
          <w:sz w:val="24"/>
          <w:szCs w:val="24"/>
          <w:lang w:val="ro-MD"/>
        </w:rPr>
        <w:t xml:space="preserve"> </w:t>
      </w:r>
      <w:r w:rsidRPr="00370E16">
        <w:rPr>
          <w:rFonts w:asciiTheme="majorHAnsi" w:hAnsiTheme="majorHAnsi" w:cstheme="majorHAnsi"/>
          <w:sz w:val="24"/>
          <w:szCs w:val="24"/>
          <w:lang w:val="ro-MD"/>
        </w:rPr>
        <w:t xml:space="preserve">а </w:t>
      </w:r>
      <w:r w:rsidR="00B658A4" w:rsidRPr="00B658A4">
        <w:rPr>
          <w:rFonts w:asciiTheme="majorHAnsi" w:hAnsiTheme="majorHAnsi" w:cstheme="majorHAnsi"/>
          <w:sz w:val="24"/>
          <w:szCs w:val="24"/>
          <w:lang w:val="ro-MD"/>
        </w:rPr>
        <w:t>за</w:t>
      </w:r>
      <w:r w:rsidRPr="00370E16">
        <w:rPr>
          <w:rFonts w:asciiTheme="majorHAnsi" w:hAnsiTheme="majorHAnsi" w:cstheme="majorHAnsi"/>
          <w:sz w:val="24"/>
          <w:szCs w:val="24"/>
          <w:lang w:val="ro-MD"/>
        </w:rPr>
        <w:t xml:space="preserve"> 2020-2022 г</w:t>
      </w:r>
      <w:r w:rsidR="00B658A4" w:rsidRPr="00B658A4">
        <w:rPr>
          <w:rFonts w:asciiTheme="majorHAnsi" w:hAnsiTheme="majorHAnsi" w:cstheme="majorHAnsi"/>
          <w:sz w:val="24"/>
          <w:szCs w:val="24"/>
          <w:lang w:val="ro-MD"/>
        </w:rPr>
        <w:t>оды</w:t>
      </w:r>
      <w:r w:rsidRPr="00370E16">
        <w:rPr>
          <w:rFonts w:asciiTheme="majorHAnsi" w:hAnsiTheme="majorHAnsi" w:cstheme="majorHAnsi"/>
          <w:sz w:val="24"/>
          <w:szCs w:val="24"/>
          <w:lang w:val="ro-MD"/>
        </w:rPr>
        <w:t xml:space="preserve"> были произведены расходы </w:t>
      </w:r>
      <w:r w:rsidR="00B658A4" w:rsidRPr="00B658A4">
        <w:rPr>
          <w:rFonts w:asciiTheme="majorHAnsi" w:hAnsiTheme="majorHAnsi" w:cstheme="majorHAnsi"/>
          <w:sz w:val="24"/>
          <w:szCs w:val="24"/>
          <w:lang w:val="ro-MD"/>
        </w:rPr>
        <w:t>на сумму</w:t>
      </w:r>
      <w:r w:rsidRPr="00370E16">
        <w:rPr>
          <w:rFonts w:asciiTheme="majorHAnsi" w:hAnsiTheme="majorHAnsi" w:cstheme="majorHAnsi"/>
          <w:sz w:val="24"/>
          <w:szCs w:val="24"/>
          <w:lang w:val="ro-MD"/>
        </w:rPr>
        <w:t xml:space="preserve"> 1,8 млн. </w:t>
      </w:r>
      <w:r w:rsidR="00336FEC">
        <w:rPr>
          <w:rFonts w:asciiTheme="majorHAnsi" w:hAnsiTheme="majorHAnsi" w:cstheme="majorHAnsi"/>
          <w:sz w:val="24"/>
          <w:szCs w:val="24"/>
          <w:lang w:val="ro-MD"/>
        </w:rPr>
        <w:t>леев</w:t>
      </w:r>
      <w:r w:rsidRPr="00370E16">
        <w:rPr>
          <w:rFonts w:asciiTheme="majorHAnsi" w:hAnsiTheme="majorHAnsi" w:cstheme="majorHAnsi"/>
          <w:sz w:val="24"/>
          <w:szCs w:val="24"/>
          <w:lang w:val="ro-MD"/>
        </w:rPr>
        <w:t xml:space="preserve"> (по 0,53 млн. </w:t>
      </w:r>
      <w:r w:rsidR="00B658A4" w:rsidRPr="00B658A4">
        <w:rPr>
          <w:rFonts w:asciiTheme="majorHAnsi" w:hAnsiTheme="majorHAnsi" w:cstheme="majorHAnsi"/>
          <w:sz w:val="24"/>
          <w:szCs w:val="24"/>
          <w:lang w:val="ro-MD"/>
        </w:rPr>
        <w:t>леев</w:t>
      </w:r>
      <w:r w:rsidRPr="00370E16">
        <w:rPr>
          <w:rFonts w:asciiTheme="majorHAnsi" w:hAnsiTheme="majorHAnsi" w:cstheme="majorHAnsi"/>
          <w:sz w:val="24"/>
          <w:szCs w:val="24"/>
          <w:lang w:val="ro-MD"/>
        </w:rPr>
        <w:t xml:space="preserve"> ежегодно)</w:t>
      </w:r>
      <w:r w:rsidR="00782913" w:rsidRPr="00736448">
        <w:rPr>
          <w:rFonts w:asciiTheme="majorHAnsi" w:hAnsiTheme="majorHAnsi" w:cstheme="majorHAnsi"/>
          <w:sz w:val="24"/>
          <w:szCs w:val="24"/>
          <w:lang w:val="ro-MD"/>
        </w:rPr>
        <w:t>.</w:t>
      </w:r>
    </w:p>
    <w:p w14:paraId="0205A8BB" w14:textId="6DFCB899" w:rsidR="00782913" w:rsidRPr="00736448" w:rsidRDefault="00370E16" w:rsidP="00782913">
      <w:pPr>
        <w:shd w:val="clear" w:color="auto" w:fill="FFFFFF" w:themeFill="background1"/>
        <w:spacing w:line="276" w:lineRule="auto"/>
        <w:jc w:val="both"/>
        <w:rPr>
          <w:rFonts w:asciiTheme="majorHAnsi" w:hAnsiTheme="majorHAnsi" w:cstheme="majorHAnsi"/>
          <w:sz w:val="24"/>
          <w:szCs w:val="24"/>
          <w:lang w:val="ro-MD"/>
        </w:rPr>
      </w:pPr>
      <w:r w:rsidRPr="00370E16">
        <w:rPr>
          <w:rFonts w:asciiTheme="majorHAnsi" w:hAnsiTheme="majorHAnsi" w:cstheme="majorHAnsi"/>
          <w:sz w:val="24"/>
          <w:szCs w:val="24"/>
          <w:lang w:val="ro-MD"/>
        </w:rPr>
        <w:t xml:space="preserve">Уточняем, что </w:t>
      </w:r>
      <w:r w:rsidR="00B658A4" w:rsidRPr="00B658A4">
        <w:rPr>
          <w:rFonts w:asciiTheme="majorHAnsi" w:hAnsiTheme="majorHAnsi" w:cstheme="majorHAnsi"/>
          <w:sz w:val="24"/>
          <w:szCs w:val="24"/>
          <w:lang w:val="ro-MD"/>
        </w:rPr>
        <w:t>по</w:t>
      </w:r>
      <w:r w:rsidRPr="00370E16">
        <w:rPr>
          <w:rFonts w:asciiTheme="majorHAnsi" w:hAnsiTheme="majorHAnsi" w:cstheme="majorHAnsi"/>
          <w:sz w:val="24"/>
          <w:szCs w:val="24"/>
          <w:lang w:val="ro-MD"/>
        </w:rPr>
        <w:t xml:space="preserve"> </w:t>
      </w:r>
      <w:r w:rsidR="00B658A4" w:rsidRPr="00B658A4">
        <w:rPr>
          <w:rFonts w:asciiTheme="majorHAnsi" w:hAnsiTheme="majorHAnsi" w:cstheme="majorHAnsi"/>
          <w:sz w:val="24"/>
          <w:szCs w:val="24"/>
          <w:lang w:val="ro-MD"/>
        </w:rPr>
        <w:t>данному</w:t>
      </w:r>
      <w:r w:rsidRPr="00370E16">
        <w:rPr>
          <w:rFonts w:asciiTheme="majorHAnsi" w:hAnsiTheme="majorHAnsi" w:cstheme="majorHAnsi"/>
          <w:sz w:val="24"/>
          <w:szCs w:val="24"/>
          <w:lang w:val="ro-MD"/>
        </w:rPr>
        <w:t xml:space="preserve"> аспект</w:t>
      </w:r>
      <w:r w:rsidR="00B658A4" w:rsidRPr="00B658A4">
        <w:rPr>
          <w:rFonts w:asciiTheme="majorHAnsi" w:hAnsiTheme="majorHAnsi" w:cstheme="majorHAnsi"/>
          <w:sz w:val="24"/>
          <w:szCs w:val="24"/>
          <w:lang w:val="ro-MD"/>
        </w:rPr>
        <w:t>у</w:t>
      </w:r>
      <w:r w:rsidRPr="00370E16">
        <w:rPr>
          <w:rFonts w:asciiTheme="majorHAnsi" w:hAnsiTheme="majorHAnsi" w:cstheme="majorHAnsi"/>
          <w:sz w:val="24"/>
          <w:szCs w:val="24"/>
          <w:lang w:val="ro-MD"/>
        </w:rPr>
        <w:t xml:space="preserve"> Аппарат </w:t>
      </w:r>
      <w:r w:rsidR="00B658A4" w:rsidRPr="00B658A4">
        <w:rPr>
          <w:rFonts w:asciiTheme="majorHAnsi" w:hAnsiTheme="majorHAnsi" w:cstheme="majorHAnsi"/>
          <w:sz w:val="24"/>
          <w:szCs w:val="24"/>
          <w:lang w:val="ro-MD"/>
        </w:rPr>
        <w:t>П</w:t>
      </w:r>
      <w:r w:rsidRPr="00370E16">
        <w:rPr>
          <w:rFonts w:asciiTheme="majorHAnsi" w:hAnsiTheme="majorHAnsi" w:cstheme="majorHAnsi"/>
          <w:sz w:val="24"/>
          <w:szCs w:val="24"/>
          <w:lang w:val="ro-MD"/>
        </w:rPr>
        <w:t xml:space="preserve">резидента </w:t>
      </w:r>
      <w:r w:rsidR="00B658A4" w:rsidRPr="00B658A4">
        <w:rPr>
          <w:rFonts w:asciiTheme="majorHAnsi" w:hAnsiTheme="majorHAnsi" w:cstheme="majorHAnsi"/>
          <w:sz w:val="24"/>
          <w:szCs w:val="24"/>
          <w:lang w:val="ro-MD"/>
        </w:rPr>
        <w:t>обратился</w:t>
      </w:r>
      <w:r w:rsidRPr="00370E16">
        <w:rPr>
          <w:rFonts w:asciiTheme="majorHAnsi" w:hAnsiTheme="majorHAnsi" w:cstheme="majorHAnsi"/>
          <w:sz w:val="24"/>
          <w:szCs w:val="24"/>
          <w:lang w:val="ro-MD"/>
        </w:rPr>
        <w:t xml:space="preserve"> с </w:t>
      </w:r>
      <w:r w:rsidR="00B658A4">
        <w:rPr>
          <w:rFonts w:asciiTheme="majorHAnsi" w:hAnsiTheme="majorHAnsi" w:cstheme="majorHAnsi"/>
          <w:sz w:val="24"/>
          <w:szCs w:val="24"/>
          <w:lang w:val="ru-RU"/>
        </w:rPr>
        <w:t>запросом</w:t>
      </w:r>
      <w:r w:rsidRPr="00370E16">
        <w:rPr>
          <w:rFonts w:asciiTheme="majorHAnsi" w:hAnsiTheme="majorHAnsi" w:cstheme="majorHAnsi"/>
          <w:sz w:val="24"/>
          <w:szCs w:val="24"/>
          <w:lang w:val="ro-MD"/>
        </w:rPr>
        <w:t xml:space="preserve"> к Министерству труда и социальной защиты, </w:t>
      </w:r>
      <w:r w:rsidR="00B658A4" w:rsidRPr="00B658A4">
        <w:rPr>
          <w:rFonts w:asciiTheme="majorHAnsi" w:hAnsiTheme="majorHAnsi" w:cstheme="majorHAnsi"/>
          <w:sz w:val="24"/>
          <w:szCs w:val="24"/>
          <w:lang w:val="ro-MD"/>
        </w:rPr>
        <w:t>а</w:t>
      </w:r>
      <w:r w:rsidRPr="00370E16">
        <w:rPr>
          <w:rFonts w:asciiTheme="majorHAnsi" w:hAnsiTheme="majorHAnsi" w:cstheme="majorHAnsi"/>
          <w:sz w:val="24"/>
          <w:szCs w:val="24"/>
          <w:lang w:val="ro-MD"/>
        </w:rPr>
        <w:t xml:space="preserve"> Национальная </w:t>
      </w:r>
      <w:r w:rsidR="00B658A4" w:rsidRPr="00B658A4">
        <w:rPr>
          <w:rFonts w:asciiTheme="majorHAnsi" w:hAnsiTheme="majorHAnsi" w:cstheme="majorHAnsi"/>
          <w:sz w:val="24"/>
          <w:szCs w:val="24"/>
          <w:lang w:val="ro-MD"/>
        </w:rPr>
        <w:t>касса</w:t>
      </w:r>
      <w:r w:rsidRPr="00370E16">
        <w:rPr>
          <w:rFonts w:asciiTheme="majorHAnsi" w:hAnsiTheme="majorHAnsi" w:cstheme="majorHAnsi"/>
          <w:sz w:val="24"/>
          <w:szCs w:val="24"/>
          <w:lang w:val="ro-MD"/>
        </w:rPr>
        <w:t xml:space="preserve"> выразила согласие</w:t>
      </w:r>
      <w:r w:rsidR="00B658A4" w:rsidRPr="00B658A4">
        <w:rPr>
          <w:rFonts w:asciiTheme="majorHAnsi" w:hAnsiTheme="majorHAnsi" w:cstheme="majorHAnsi"/>
          <w:sz w:val="24"/>
          <w:szCs w:val="24"/>
          <w:lang w:val="ro-MD"/>
        </w:rPr>
        <w:t>,</w:t>
      </w:r>
      <w:r w:rsidRPr="00370E16">
        <w:rPr>
          <w:rFonts w:asciiTheme="majorHAnsi" w:hAnsiTheme="majorHAnsi" w:cstheme="majorHAnsi"/>
          <w:sz w:val="24"/>
          <w:szCs w:val="24"/>
          <w:lang w:val="ro-MD"/>
        </w:rPr>
        <w:t xml:space="preserve"> принять </w:t>
      </w:r>
      <w:r w:rsidR="00B658A4" w:rsidRPr="00B658A4">
        <w:rPr>
          <w:rFonts w:asciiTheme="majorHAnsi" w:hAnsiTheme="majorHAnsi" w:cstheme="majorHAnsi"/>
          <w:sz w:val="24"/>
          <w:szCs w:val="24"/>
          <w:lang w:val="ro-MD"/>
        </w:rPr>
        <w:t xml:space="preserve">на обслуживание </w:t>
      </w:r>
      <w:r w:rsidRPr="00370E16">
        <w:rPr>
          <w:rFonts w:asciiTheme="majorHAnsi" w:hAnsiTheme="majorHAnsi" w:cstheme="majorHAnsi"/>
          <w:sz w:val="24"/>
          <w:szCs w:val="24"/>
          <w:lang w:val="ro-MD"/>
        </w:rPr>
        <w:t>эту категорию бенефициаров, однако окончательный законопроект в этом отношении не был разработан</w:t>
      </w:r>
      <w:r w:rsidR="00782913" w:rsidRPr="00736448">
        <w:rPr>
          <w:rFonts w:asciiTheme="majorHAnsi" w:hAnsiTheme="majorHAnsi" w:cstheme="majorHAnsi"/>
          <w:sz w:val="24"/>
          <w:szCs w:val="24"/>
          <w:lang w:val="ro-MD"/>
        </w:rPr>
        <w:t>.</w:t>
      </w:r>
    </w:p>
    <w:p w14:paraId="571FFFAA" w14:textId="04089AC2" w:rsidR="00F43A3C" w:rsidRPr="00186CDB" w:rsidRDefault="00370E16" w:rsidP="00370E16">
      <w:pPr>
        <w:pStyle w:val="aa"/>
        <w:numPr>
          <w:ilvl w:val="1"/>
          <w:numId w:val="2"/>
        </w:numPr>
        <w:tabs>
          <w:tab w:val="left" w:pos="851"/>
        </w:tabs>
        <w:spacing w:after="0" w:line="276" w:lineRule="auto"/>
        <w:ind w:left="0" w:firstLine="0"/>
        <w:jc w:val="both"/>
        <w:outlineLvl w:val="1"/>
        <w:rPr>
          <w:rFonts w:asciiTheme="majorHAnsi" w:eastAsia="Times New Roman" w:hAnsiTheme="majorHAnsi" w:cstheme="majorHAnsi"/>
          <w:b/>
          <w:color w:val="000000"/>
          <w:spacing w:val="8"/>
          <w:sz w:val="24"/>
          <w:szCs w:val="24"/>
          <w:lang w:val="ro-MD"/>
        </w:rPr>
      </w:pPr>
      <w:r w:rsidRPr="00370E16">
        <w:rPr>
          <w:rFonts w:asciiTheme="majorHAnsi" w:eastAsia="Times New Roman" w:hAnsiTheme="majorHAnsi" w:cstheme="majorHAnsi"/>
          <w:b/>
          <w:color w:val="000000"/>
          <w:spacing w:val="8"/>
          <w:sz w:val="24"/>
          <w:szCs w:val="24"/>
          <w:lang w:val="ro-MD"/>
        </w:rPr>
        <w:t>Значительное количество не</w:t>
      </w:r>
      <w:r w:rsidR="00A0537E">
        <w:rPr>
          <w:rFonts w:asciiTheme="majorHAnsi" w:eastAsia="Times New Roman" w:hAnsiTheme="majorHAnsi" w:cstheme="majorHAnsi"/>
          <w:b/>
          <w:color w:val="000000"/>
          <w:spacing w:val="8"/>
          <w:sz w:val="24"/>
          <w:szCs w:val="24"/>
          <w:lang w:val="ru-RU"/>
        </w:rPr>
        <w:t>действующи</w:t>
      </w:r>
      <w:r w:rsidRPr="00370E16">
        <w:rPr>
          <w:rFonts w:asciiTheme="majorHAnsi" w:eastAsia="Times New Roman" w:hAnsiTheme="majorHAnsi" w:cstheme="majorHAnsi"/>
          <w:b/>
          <w:color w:val="000000"/>
          <w:spacing w:val="8"/>
          <w:sz w:val="24"/>
          <w:szCs w:val="24"/>
          <w:lang w:val="ro-MD"/>
        </w:rPr>
        <w:t xml:space="preserve">х крестьянских хозяйств обусловило необходимость корректировки упрощенной процедуры их </w:t>
      </w:r>
      <w:r w:rsidR="00A0537E">
        <w:rPr>
          <w:rFonts w:asciiTheme="majorHAnsi" w:eastAsia="Times New Roman" w:hAnsiTheme="majorHAnsi" w:cstheme="majorHAnsi"/>
          <w:b/>
          <w:color w:val="000000"/>
          <w:spacing w:val="8"/>
          <w:sz w:val="24"/>
          <w:szCs w:val="24"/>
          <w:lang w:val="ru-RU"/>
        </w:rPr>
        <w:t>исключ</w:t>
      </w:r>
      <w:r w:rsidRPr="00370E16">
        <w:rPr>
          <w:rFonts w:asciiTheme="majorHAnsi" w:eastAsia="Times New Roman" w:hAnsiTheme="majorHAnsi" w:cstheme="majorHAnsi"/>
          <w:b/>
          <w:color w:val="000000"/>
          <w:spacing w:val="8"/>
          <w:sz w:val="24"/>
          <w:szCs w:val="24"/>
          <w:lang w:val="ro-MD"/>
        </w:rPr>
        <w:t xml:space="preserve">ения из </w:t>
      </w:r>
      <w:r w:rsidR="00B658A4">
        <w:rPr>
          <w:rFonts w:asciiTheme="majorHAnsi" w:eastAsia="Times New Roman" w:hAnsiTheme="majorHAnsi" w:cstheme="majorHAnsi"/>
          <w:b/>
          <w:color w:val="000000"/>
          <w:spacing w:val="8"/>
          <w:sz w:val="24"/>
          <w:szCs w:val="24"/>
          <w:lang w:val="ru-RU"/>
        </w:rPr>
        <w:t>Г</w:t>
      </w:r>
      <w:r w:rsidRPr="00370E16">
        <w:rPr>
          <w:rFonts w:asciiTheme="majorHAnsi" w:eastAsia="Times New Roman" w:hAnsiTheme="majorHAnsi" w:cstheme="majorHAnsi"/>
          <w:b/>
          <w:color w:val="000000"/>
          <w:spacing w:val="8"/>
          <w:sz w:val="24"/>
          <w:szCs w:val="24"/>
          <w:lang w:val="ro-MD"/>
        </w:rPr>
        <w:t>осударственного налогового ре</w:t>
      </w:r>
      <w:r w:rsidR="00B658A4">
        <w:rPr>
          <w:rFonts w:asciiTheme="majorHAnsi" w:eastAsia="Times New Roman" w:hAnsiTheme="majorHAnsi" w:cstheme="majorHAnsi"/>
          <w:b/>
          <w:color w:val="000000"/>
          <w:spacing w:val="8"/>
          <w:sz w:val="24"/>
          <w:szCs w:val="24"/>
          <w:lang w:val="ru-RU"/>
        </w:rPr>
        <w:t>ги</w:t>
      </w:r>
      <w:r w:rsidRPr="00370E16">
        <w:rPr>
          <w:rFonts w:asciiTheme="majorHAnsi" w:eastAsia="Times New Roman" w:hAnsiTheme="majorHAnsi" w:cstheme="majorHAnsi"/>
          <w:b/>
          <w:color w:val="000000"/>
          <w:spacing w:val="8"/>
          <w:sz w:val="24"/>
          <w:szCs w:val="24"/>
          <w:lang w:val="ro-MD"/>
        </w:rPr>
        <w:t>стра. Таким образом, на первом этапе было списано более 10 тысяч крестьянских хозяйств</w:t>
      </w:r>
      <w:r w:rsidR="00004F79" w:rsidRPr="00B01D62">
        <w:rPr>
          <w:rFonts w:asciiTheme="majorHAnsi" w:eastAsia="Times New Roman" w:hAnsiTheme="majorHAnsi" w:cstheme="majorHAnsi"/>
          <w:b/>
          <w:color w:val="000000"/>
          <w:spacing w:val="8"/>
          <w:sz w:val="24"/>
          <w:szCs w:val="24"/>
          <w:lang w:val="ro-MD"/>
        </w:rPr>
        <w:t>.</w:t>
      </w:r>
    </w:p>
    <w:p w14:paraId="03CCE1A2" w14:textId="77777777" w:rsidR="00521CA4" w:rsidRPr="00736448" w:rsidRDefault="00521CA4" w:rsidP="00521CA4">
      <w:pPr>
        <w:tabs>
          <w:tab w:val="left" w:pos="851"/>
        </w:tabs>
        <w:spacing w:after="0" w:line="276" w:lineRule="auto"/>
        <w:jc w:val="both"/>
        <w:rPr>
          <w:rFonts w:asciiTheme="majorHAnsi" w:hAnsiTheme="majorHAnsi" w:cstheme="majorHAnsi"/>
          <w:sz w:val="24"/>
          <w:szCs w:val="24"/>
          <w:lang w:val="ro-MD"/>
        </w:rPr>
      </w:pPr>
    </w:p>
    <w:p w14:paraId="35FDA11D" w14:textId="1D02F3B7" w:rsidR="00F03022" w:rsidRPr="00736448" w:rsidRDefault="00370E16" w:rsidP="004470B3">
      <w:pPr>
        <w:shd w:val="clear" w:color="auto" w:fill="FFFFFF"/>
        <w:spacing w:line="276" w:lineRule="auto"/>
        <w:jc w:val="both"/>
        <w:textAlignment w:val="baseline"/>
        <w:rPr>
          <w:rFonts w:asciiTheme="majorHAnsi" w:hAnsiTheme="majorHAnsi" w:cstheme="majorHAnsi"/>
          <w:sz w:val="24"/>
          <w:szCs w:val="24"/>
          <w:lang w:val="ro-MD"/>
        </w:rPr>
      </w:pPr>
      <w:r w:rsidRPr="00370E16">
        <w:rPr>
          <w:rFonts w:asciiTheme="majorHAnsi" w:hAnsiTheme="majorHAnsi" w:cstheme="majorHAnsi"/>
          <w:sz w:val="24"/>
          <w:szCs w:val="24"/>
          <w:lang w:val="ro-MD"/>
        </w:rPr>
        <w:t>В Государственном налоговом ре</w:t>
      </w:r>
      <w:r w:rsidR="00B658A4">
        <w:rPr>
          <w:rFonts w:asciiTheme="majorHAnsi" w:hAnsiTheme="majorHAnsi" w:cstheme="majorHAnsi"/>
          <w:sz w:val="24"/>
          <w:szCs w:val="24"/>
          <w:lang w:val="ru-RU"/>
        </w:rPr>
        <w:t>ги</w:t>
      </w:r>
      <w:r w:rsidRPr="00370E16">
        <w:rPr>
          <w:rFonts w:asciiTheme="majorHAnsi" w:hAnsiTheme="majorHAnsi" w:cstheme="majorHAnsi"/>
          <w:sz w:val="24"/>
          <w:szCs w:val="24"/>
          <w:lang w:val="ro-MD"/>
        </w:rPr>
        <w:t>стре крестьянских хозяйств зарегистрировано около 110 тысяч дом</w:t>
      </w:r>
      <w:r w:rsidR="00B658A4">
        <w:rPr>
          <w:rFonts w:asciiTheme="majorHAnsi" w:hAnsiTheme="majorHAnsi" w:cstheme="majorHAnsi"/>
          <w:sz w:val="24"/>
          <w:szCs w:val="24"/>
          <w:lang w:val="ru-RU"/>
        </w:rPr>
        <w:t>о</w:t>
      </w:r>
      <w:r w:rsidRPr="00370E16">
        <w:rPr>
          <w:rFonts w:asciiTheme="majorHAnsi" w:hAnsiTheme="majorHAnsi" w:cstheme="majorHAnsi"/>
          <w:sz w:val="24"/>
          <w:szCs w:val="24"/>
          <w:lang w:val="ro-MD"/>
        </w:rPr>
        <w:t>хозяйств, из которых только около 15 тысяч являются активными. Таким образом, в 2022 году была упрощена</w:t>
      </w:r>
      <w:r w:rsidR="00B658A4" w:rsidRPr="00736448">
        <w:rPr>
          <w:rStyle w:val="a5"/>
          <w:rFonts w:asciiTheme="majorHAnsi" w:hAnsiTheme="majorHAnsi" w:cstheme="majorHAnsi"/>
          <w:sz w:val="24"/>
          <w:szCs w:val="24"/>
          <w:lang w:val="ro-MD"/>
        </w:rPr>
        <w:footnoteReference w:id="88"/>
      </w:r>
      <w:r w:rsidRPr="00370E16">
        <w:rPr>
          <w:rFonts w:asciiTheme="majorHAnsi" w:hAnsiTheme="majorHAnsi" w:cstheme="majorHAnsi"/>
          <w:sz w:val="24"/>
          <w:szCs w:val="24"/>
          <w:lang w:val="ro-MD"/>
        </w:rPr>
        <w:t xml:space="preserve"> процедура удаления не</w:t>
      </w:r>
      <w:r w:rsidR="00721188">
        <w:rPr>
          <w:rFonts w:asciiTheme="majorHAnsi" w:hAnsiTheme="majorHAnsi" w:cstheme="majorHAnsi"/>
          <w:sz w:val="24"/>
          <w:szCs w:val="24"/>
          <w:lang w:val="ru-RU"/>
        </w:rPr>
        <w:t>действующи</w:t>
      </w:r>
      <w:r w:rsidRPr="00370E16">
        <w:rPr>
          <w:rFonts w:asciiTheme="majorHAnsi" w:hAnsiTheme="majorHAnsi" w:cstheme="majorHAnsi"/>
          <w:sz w:val="24"/>
          <w:szCs w:val="24"/>
          <w:lang w:val="ro-MD"/>
        </w:rPr>
        <w:t xml:space="preserve">х крестьянских хозяйств из </w:t>
      </w:r>
      <w:r w:rsidR="00153762">
        <w:rPr>
          <w:rFonts w:asciiTheme="majorHAnsi" w:hAnsiTheme="majorHAnsi" w:cstheme="majorHAnsi"/>
          <w:sz w:val="24"/>
          <w:szCs w:val="24"/>
          <w:lang w:val="ru-RU"/>
        </w:rPr>
        <w:t>Г</w:t>
      </w:r>
      <w:r w:rsidRPr="00370E16">
        <w:rPr>
          <w:rFonts w:asciiTheme="majorHAnsi" w:hAnsiTheme="majorHAnsi" w:cstheme="majorHAnsi"/>
          <w:sz w:val="24"/>
          <w:szCs w:val="24"/>
          <w:lang w:val="ro-MD"/>
        </w:rPr>
        <w:t>осударственного налогового ре</w:t>
      </w:r>
      <w:r w:rsidR="00153762">
        <w:rPr>
          <w:rFonts w:asciiTheme="majorHAnsi" w:hAnsiTheme="majorHAnsi" w:cstheme="majorHAnsi"/>
          <w:sz w:val="24"/>
          <w:szCs w:val="24"/>
          <w:lang w:val="ru-RU"/>
        </w:rPr>
        <w:t>ги</w:t>
      </w:r>
      <w:r w:rsidRPr="00370E16">
        <w:rPr>
          <w:rFonts w:asciiTheme="majorHAnsi" w:hAnsiTheme="majorHAnsi" w:cstheme="majorHAnsi"/>
          <w:sz w:val="24"/>
          <w:szCs w:val="24"/>
          <w:lang w:val="ro-MD"/>
        </w:rPr>
        <w:t xml:space="preserve">стра и </w:t>
      </w:r>
      <w:r w:rsidR="00153762">
        <w:rPr>
          <w:rFonts w:asciiTheme="majorHAnsi" w:hAnsiTheme="majorHAnsi" w:cstheme="majorHAnsi"/>
          <w:sz w:val="24"/>
          <w:szCs w:val="24"/>
          <w:lang w:val="ru-RU"/>
        </w:rPr>
        <w:t>Г</w:t>
      </w:r>
      <w:r w:rsidRPr="00370E16">
        <w:rPr>
          <w:rFonts w:asciiTheme="majorHAnsi" w:hAnsiTheme="majorHAnsi" w:cstheme="majorHAnsi"/>
          <w:sz w:val="24"/>
          <w:szCs w:val="24"/>
          <w:lang w:val="ro-MD"/>
        </w:rPr>
        <w:t>осударственного ре</w:t>
      </w:r>
      <w:r w:rsidR="00153762">
        <w:rPr>
          <w:rFonts w:asciiTheme="majorHAnsi" w:hAnsiTheme="majorHAnsi" w:cstheme="majorHAnsi"/>
          <w:sz w:val="24"/>
          <w:szCs w:val="24"/>
          <w:lang w:val="ru-RU"/>
        </w:rPr>
        <w:t>ги</w:t>
      </w:r>
      <w:r w:rsidRPr="00370E16">
        <w:rPr>
          <w:rFonts w:asciiTheme="majorHAnsi" w:hAnsiTheme="majorHAnsi" w:cstheme="majorHAnsi"/>
          <w:sz w:val="24"/>
          <w:szCs w:val="24"/>
          <w:lang w:val="ro-MD"/>
        </w:rPr>
        <w:t>стра крестьянских хозяйств. В связи с этим</w:t>
      </w:r>
      <w:r w:rsidR="00A0537E">
        <w:rPr>
          <w:rFonts w:asciiTheme="majorHAnsi" w:hAnsiTheme="majorHAnsi" w:cstheme="majorHAnsi"/>
          <w:sz w:val="24"/>
          <w:szCs w:val="24"/>
          <w:lang w:val="ru-RU"/>
        </w:rPr>
        <w:t>,</w:t>
      </w:r>
      <w:r w:rsidRPr="00370E16">
        <w:rPr>
          <w:rFonts w:asciiTheme="majorHAnsi" w:hAnsiTheme="majorHAnsi" w:cstheme="majorHAnsi"/>
          <w:sz w:val="24"/>
          <w:szCs w:val="24"/>
          <w:lang w:val="ro-MD"/>
        </w:rPr>
        <w:t xml:space="preserve"> Государственная налоговая служба </w:t>
      </w:r>
      <w:r w:rsidR="00A0537E">
        <w:rPr>
          <w:rFonts w:asciiTheme="majorHAnsi" w:hAnsiTheme="majorHAnsi" w:cstheme="majorHAnsi"/>
          <w:sz w:val="24"/>
          <w:szCs w:val="24"/>
          <w:lang w:val="ru-RU"/>
        </w:rPr>
        <w:t>выяв</w:t>
      </w:r>
      <w:r w:rsidRPr="00370E16">
        <w:rPr>
          <w:rFonts w:asciiTheme="majorHAnsi" w:hAnsiTheme="majorHAnsi" w:cstheme="majorHAnsi"/>
          <w:sz w:val="24"/>
          <w:szCs w:val="24"/>
          <w:lang w:val="ro-MD"/>
        </w:rPr>
        <w:t xml:space="preserve">ила 95,5 тыс. крестьянских (фермерских) хозяйств, которые соответствуют условиям, </w:t>
      </w:r>
      <w:r w:rsidR="00A0537E">
        <w:rPr>
          <w:rFonts w:asciiTheme="majorHAnsi" w:hAnsiTheme="majorHAnsi" w:cstheme="majorHAnsi"/>
          <w:sz w:val="24"/>
          <w:szCs w:val="24"/>
          <w:lang w:val="ru-RU"/>
        </w:rPr>
        <w:t>установл</w:t>
      </w:r>
      <w:r w:rsidRPr="00370E16">
        <w:rPr>
          <w:rFonts w:asciiTheme="majorHAnsi" w:hAnsiTheme="majorHAnsi" w:cstheme="majorHAnsi"/>
          <w:sz w:val="24"/>
          <w:szCs w:val="24"/>
          <w:lang w:val="ro-MD"/>
        </w:rPr>
        <w:t>енным ст.1</w:t>
      </w:r>
      <w:r w:rsidR="00A0537E">
        <w:rPr>
          <w:rFonts w:asciiTheme="majorHAnsi" w:hAnsiTheme="majorHAnsi" w:cstheme="majorHAnsi"/>
          <w:sz w:val="24"/>
          <w:szCs w:val="24"/>
          <w:lang w:val="ru-RU"/>
        </w:rPr>
        <w:t xml:space="preserve"> </w:t>
      </w:r>
      <w:r w:rsidRPr="00370E16">
        <w:rPr>
          <w:rFonts w:asciiTheme="majorHAnsi" w:hAnsiTheme="majorHAnsi" w:cstheme="majorHAnsi"/>
          <w:sz w:val="24"/>
          <w:szCs w:val="24"/>
          <w:lang w:val="ro-MD"/>
        </w:rPr>
        <w:t xml:space="preserve">(2) и </w:t>
      </w:r>
      <w:r w:rsidR="00A0537E">
        <w:rPr>
          <w:rFonts w:asciiTheme="majorHAnsi" w:hAnsiTheme="majorHAnsi" w:cstheme="majorHAnsi"/>
          <w:sz w:val="24"/>
          <w:szCs w:val="24"/>
          <w:lang w:val="ro-MD"/>
        </w:rPr>
        <w:t>(3) Закона №</w:t>
      </w:r>
      <w:r w:rsidRPr="00370E16">
        <w:rPr>
          <w:rFonts w:asciiTheme="majorHAnsi" w:hAnsiTheme="majorHAnsi" w:cstheme="majorHAnsi"/>
          <w:sz w:val="24"/>
          <w:szCs w:val="24"/>
          <w:lang w:val="ro-MD"/>
        </w:rPr>
        <w:t>51/2022</w:t>
      </w:r>
      <w:r w:rsidR="00A0537E">
        <w:rPr>
          <w:rFonts w:asciiTheme="majorHAnsi" w:hAnsiTheme="majorHAnsi" w:cstheme="majorHAnsi"/>
          <w:sz w:val="24"/>
          <w:szCs w:val="24"/>
          <w:lang w:val="ru-RU"/>
        </w:rPr>
        <w:t>, для</w:t>
      </w:r>
      <w:r w:rsidRPr="00370E16">
        <w:rPr>
          <w:rFonts w:asciiTheme="majorHAnsi" w:hAnsiTheme="majorHAnsi" w:cstheme="majorHAnsi"/>
          <w:sz w:val="24"/>
          <w:szCs w:val="24"/>
          <w:lang w:val="ro-MD"/>
        </w:rPr>
        <w:t xml:space="preserve"> </w:t>
      </w:r>
      <w:r w:rsidR="00721188">
        <w:rPr>
          <w:rFonts w:asciiTheme="majorHAnsi" w:hAnsiTheme="majorHAnsi" w:cstheme="majorHAnsi"/>
          <w:sz w:val="24"/>
          <w:szCs w:val="24"/>
          <w:lang w:val="ru-RU"/>
        </w:rPr>
        <w:t xml:space="preserve">их </w:t>
      </w:r>
      <w:r w:rsidRPr="00370E16">
        <w:rPr>
          <w:rFonts w:asciiTheme="majorHAnsi" w:hAnsiTheme="majorHAnsi" w:cstheme="majorHAnsi"/>
          <w:sz w:val="24"/>
          <w:szCs w:val="24"/>
          <w:lang w:val="ro-MD"/>
        </w:rPr>
        <w:t>исключени</w:t>
      </w:r>
      <w:r w:rsidR="00A0537E">
        <w:rPr>
          <w:rFonts w:asciiTheme="majorHAnsi" w:hAnsiTheme="majorHAnsi" w:cstheme="majorHAnsi"/>
          <w:sz w:val="24"/>
          <w:szCs w:val="24"/>
          <w:lang w:val="ru-RU"/>
        </w:rPr>
        <w:t>я</w:t>
      </w:r>
      <w:r w:rsidRPr="00370E16">
        <w:rPr>
          <w:rFonts w:asciiTheme="majorHAnsi" w:hAnsiTheme="majorHAnsi" w:cstheme="majorHAnsi"/>
          <w:sz w:val="24"/>
          <w:szCs w:val="24"/>
          <w:lang w:val="ro-MD"/>
        </w:rPr>
        <w:t xml:space="preserve"> из </w:t>
      </w:r>
      <w:r w:rsidR="00A0537E">
        <w:rPr>
          <w:rFonts w:asciiTheme="majorHAnsi" w:hAnsiTheme="majorHAnsi" w:cstheme="majorHAnsi"/>
          <w:sz w:val="24"/>
          <w:szCs w:val="24"/>
          <w:lang w:val="ru-RU"/>
        </w:rPr>
        <w:t>Г</w:t>
      </w:r>
      <w:r w:rsidRPr="00370E16">
        <w:rPr>
          <w:rFonts w:asciiTheme="majorHAnsi" w:hAnsiTheme="majorHAnsi" w:cstheme="majorHAnsi"/>
          <w:sz w:val="24"/>
          <w:szCs w:val="24"/>
          <w:lang w:val="ro-MD"/>
        </w:rPr>
        <w:t>осударственного ре</w:t>
      </w:r>
      <w:r w:rsidR="00A0537E">
        <w:rPr>
          <w:rFonts w:asciiTheme="majorHAnsi" w:hAnsiTheme="majorHAnsi" w:cstheme="majorHAnsi"/>
          <w:sz w:val="24"/>
          <w:szCs w:val="24"/>
          <w:lang w:val="ru-RU"/>
        </w:rPr>
        <w:t>ги</w:t>
      </w:r>
      <w:r w:rsidRPr="00370E16">
        <w:rPr>
          <w:rFonts w:asciiTheme="majorHAnsi" w:hAnsiTheme="majorHAnsi" w:cstheme="majorHAnsi"/>
          <w:sz w:val="24"/>
          <w:szCs w:val="24"/>
          <w:lang w:val="ro-MD"/>
        </w:rPr>
        <w:t>стра крестьянских хозяйств. Из указанных ре</w:t>
      </w:r>
      <w:r w:rsidR="00A0537E" w:rsidRPr="00A0537E">
        <w:rPr>
          <w:rFonts w:asciiTheme="majorHAnsi" w:hAnsiTheme="majorHAnsi" w:cstheme="majorHAnsi"/>
          <w:sz w:val="24"/>
          <w:szCs w:val="24"/>
          <w:lang w:val="ro-MD"/>
        </w:rPr>
        <w:t>ги</w:t>
      </w:r>
      <w:r w:rsidRPr="00370E16">
        <w:rPr>
          <w:rFonts w:asciiTheme="majorHAnsi" w:hAnsiTheme="majorHAnsi" w:cstheme="majorHAnsi"/>
          <w:sz w:val="24"/>
          <w:szCs w:val="24"/>
          <w:lang w:val="ro-MD"/>
        </w:rPr>
        <w:t>стров следует исключить не</w:t>
      </w:r>
      <w:r w:rsidR="00A0537E" w:rsidRPr="00A0537E">
        <w:rPr>
          <w:rFonts w:asciiTheme="majorHAnsi" w:hAnsiTheme="majorHAnsi" w:cstheme="majorHAnsi"/>
          <w:sz w:val="24"/>
          <w:szCs w:val="24"/>
          <w:lang w:val="ro-MD"/>
        </w:rPr>
        <w:t>действующие</w:t>
      </w:r>
      <w:r w:rsidRPr="00370E16">
        <w:rPr>
          <w:rFonts w:asciiTheme="majorHAnsi" w:hAnsiTheme="majorHAnsi" w:cstheme="majorHAnsi"/>
          <w:sz w:val="24"/>
          <w:szCs w:val="24"/>
          <w:lang w:val="ro-MD"/>
        </w:rPr>
        <w:t xml:space="preserve"> крестьянские хозяйства, зарегистрированные до 31 декабря 2018 года</w:t>
      </w:r>
      <w:r w:rsidR="00721188" w:rsidRPr="00721188">
        <w:rPr>
          <w:rFonts w:asciiTheme="majorHAnsi" w:hAnsiTheme="majorHAnsi" w:cstheme="majorHAnsi"/>
          <w:sz w:val="24"/>
          <w:szCs w:val="24"/>
          <w:lang w:val="ro-MD"/>
        </w:rPr>
        <w:t>,</w:t>
      </w:r>
      <w:r w:rsidRPr="00370E16">
        <w:rPr>
          <w:rFonts w:asciiTheme="majorHAnsi" w:hAnsiTheme="majorHAnsi" w:cstheme="majorHAnsi"/>
          <w:sz w:val="24"/>
          <w:szCs w:val="24"/>
          <w:lang w:val="ro-MD"/>
        </w:rPr>
        <w:t xml:space="preserve"> и которые</w:t>
      </w:r>
      <w:r w:rsidR="00721188" w:rsidRPr="00721188">
        <w:rPr>
          <w:rFonts w:asciiTheme="majorHAnsi" w:hAnsiTheme="majorHAnsi" w:cstheme="majorHAnsi"/>
          <w:sz w:val="24"/>
          <w:szCs w:val="24"/>
          <w:lang w:val="ro-MD"/>
        </w:rPr>
        <w:t>,</w:t>
      </w:r>
      <w:r w:rsidRPr="00370E16">
        <w:rPr>
          <w:rFonts w:asciiTheme="majorHAnsi" w:hAnsiTheme="majorHAnsi" w:cstheme="majorHAnsi"/>
          <w:sz w:val="24"/>
          <w:szCs w:val="24"/>
          <w:lang w:val="ro-MD"/>
        </w:rPr>
        <w:t xml:space="preserve"> </w:t>
      </w:r>
      <w:r w:rsidR="00721188" w:rsidRPr="00721188">
        <w:rPr>
          <w:rFonts w:asciiTheme="majorHAnsi" w:hAnsiTheme="majorHAnsi" w:cstheme="majorHAnsi"/>
          <w:sz w:val="24"/>
          <w:szCs w:val="24"/>
          <w:lang w:val="ro-MD"/>
        </w:rPr>
        <w:t>на протяжении</w:t>
      </w:r>
      <w:r w:rsidRPr="00370E16">
        <w:rPr>
          <w:rFonts w:asciiTheme="majorHAnsi" w:hAnsiTheme="majorHAnsi" w:cstheme="majorHAnsi"/>
          <w:sz w:val="24"/>
          <w:szCs w:val="24"/>
          <w:lang w:val="ro-MD"/>
        </w:rPr>
        <w:t xml:space="preserve"> последних трех лет не осуществляли операции </w:t>
      </w:r>
      <w:r w:rsidR="00B34D23" w:rsidRPr="00B34D23">
        <w:rPr>
          <w:rFonts w:asciiTheme="majorHAnsi" w:hAnsiTheme="majorHAnsi" w:cstheme="majorHAnsi"/>
          <w:sz w:val="24"/>
          <w:szCs w:val="24"/>
          <w:lang w:val="ro-MD"/>
        </w:rPr>
        <w:t>по</w:t>
      </w:r>
      <w:r w:rsidRPr="00370E16">
        <w:rPr>
          <w:rFonts w:asciiTheme="majorHAnsi" w:hAnsiTheme="majorHAnsi" w:cstheme="majorHAnsi"/>
          <w:sz w:val="24"/>
          <w:szCs w:val="24"/>
          <w:lang w:val="ro-MD"/>
        </w:rPr>
        <w:t xml:space="preserve"> банковски</w:t>
      </w:r>
      <w:r w:rsidR="00B34D23" w:rsidRPr="00B34D23">
        <w:rPr>
          <w:rFonts w:asciiTheme="majorHAnsi" w:hAnsiTheme="majorHAnsi" w:cstheme="majorHAnsi"/>
          <w:sz w:val="24"/>
          <w:szCs w:val="24"/>
          <w:lang w:val="ro-MD"/>
        </w:rPr>
        <w:t>м</w:t>
      </w:r>
      <w:r w:rsidRPr="00370E16">
        <w:rPr>
          <w:rFonts w:asciiTheme="majorHAnsi" w:hAnsiTheme="majorHAnsi" w:cstheme="majorHAnsi"/>
          <w:sz w:val="24"/>
          <w:szCs w:val="24"/>
          <w:lang w:val="ro-MD"/>
        </w:rPr>
        <w:t xml:space="preserve"> счета</w:t>
      </w:r>
      <w:r w:rsidR="00B34D23" w:rsidRPr="00B34D23">
        <w:rPr>
          <w:rFonts w:asciiTheme="majorHAnsi" w:hAnsiTheme="majorHAnsi" w:cstheme="majorHAnsi"/>
          <w:sz w:val="24"/>
          <w:szCs w:val="24"/>
          <w:lang w:val="ro-MD"/>
        </w:rPr>
        <w:t>м</w:t>
      </w:r>
      <w:r w:rsidRPr="00370E16">
        <w:rPr>
          <w:rFonts w:asciiTheme="majorHAnsi" w:hAnsiTheme="majorHAnsi" w:cstheme="majorHAnsi"/>
          <w:sz w:val="24"/>
          <w:szCs w:val="24"/>
          <w:lang w:val="ro-MD"/>
        </w:rPr>
        <w:t>, не являются учредителями юридического лица, не имеют задолженност</w:t>
      </w:r>
      <w:r w:rsidR="00B34D23" w:rsidRPr="00B34D23">
        <w:rPr>
          <w:rFonts w:asciiTheme="majorHAnsi" w:hAnsiTheme="majorHAnsi" w:cstheme="majorHAnsi"/>
          <w:sz w:val="24"/>
          <w:szCs w:val="24"/>
          <w:lang w:val="ro-MD"/>
        </w:rPr>
        <w:t>ей перед</w:t>
      </w:r>
      <w:r w:rsidRPr="00370E16">
        <w:rPr>
          <w:rFonts w:asciiTheme="majorHAnsi" w:hAnsiTheme="majorHAnsi" w:cstheme="majorHAnsi"/>
          <w:sz w:val="24"/>
          <w:szCs w:val="24"/>
          <w:lang w:val="ro-MD"/>
        </w:rPr>
        <w:t xml:space="preserve"> бюджет</w:t>
      </w:r>
      <w:r w:rsidR="00B34D23" w:rsidRPr="00B34D23">
        <w:rPr>
          <w:rFonts w:asciiTheme="majorHAnsi" w:hAnsiTheme="majorHAnsi" w:cstheme="majorHAnsi"/>
          <w:sz w:val="24"/>
          <w:szCs w:val="24"/>
          <w:lang w:val="ro-MD"/>
        </w:rPr>
        <w:t>ом</w:t>
      </w:r>
      <w:r w:rsidRPr="00370E16">
        <w:rPr>
          <w:rFonts w:asciiTheme="majorHAnsi" w:hAnsiTheme="majorHAnsi" w:cstheme="majorHAnsi"/>
          <w:sz w:val="24"/>
          <w:szCs w:val="24"/>
          <w:lang w:val="ro-MD"/>
        </w:rPr>
        <w:t xml:space="preserve">, не зарегистрированы </w:t>
      </w:r>
      <w:r w:rsidR="00B34D23" w:rsidRPr="00B34D23">
        <w:rPr>
          <w:rFonts w:asciiTheme="majorHAnsi" w:hAnsiTheme="majorHAnsi" w:cstheme="majorHAnsi"/>
          <w:sz w:val="24"/>
          <w:szCs w:val="24"/>
          <w:lang w:val="ro-MD"/>
        </w:rPr>
        <w:t>в качестве субъекта налого-обложения</w:t>
      </w:r>
      <w:r w:rsidRPr="00370E16">
        <w:rPr>
          <w:rFonts w:asciiTheme="majorHAnsi" w:hAnsiTheme="majorHAnsi" w:cstheme="majorHAnsi"/>
          <w:sz w:val="24"/>
          <w:szCs w:val="24"/>
          <w:lang w:val="ro-MD"/>
        </w:rPr>
        <w:t xml:space="preserve"> НДС и не пол</w:t>
      </w:r>
      <w:r w:rsidR="00B34D23" w:rsidRPr="00B34D23">
        <w:rPr>
          <w:rFonts w:asciiTheme="majorHAnsi" w:hAnsiTheme="majorHAnsi" w:cstheme="majorHAnsi"/>
          <w:sz w:val="24"/>
          <w:szCs w:val="24"/>
          <w:lang w:val="ro-MD"/>
        </w:rPr>
        <w:t>ьзовались</w:t>
      </w:r>
      <w:r w:rsidRPr="00370E16">
        <w:rPr>
          <w:rFonts w:asciiTheme="majorHAnsi" w:hAnsiTheme="majorHAnsi" w:cstheme="majorHAnsi"/>
          <w:sz w:val="24"/>
          <w:szCs w:val="24"/>
          <w:lang w:val="ro-MD"/>
        </w:rPr>
        <w:t xml:space="preserve"> финансовой поддержк</w:t>
      </w:r>
      <w:r w:rsidR="00B34D23" w:rsidRPr="00B34D23">
        <w:rPr>
          <w:rFonts w:asciiTheme="majorHAnsi" w:hAnsiTheme="majorHAnsi" w:cstheme="majorHAnsi"/>
          <w:sz w:val="24"/>
          <w:szCs w:val="24"/>
          <w:lang w:val="ro-MD"/>
        </w:rPr>
        <w:t>ой</w:t>
      </w:r>
      <w:r w:rsidRPr="00370E16">
        <w:rPr>
          <w:rFonts w:asciiTheme="majorHAnsi" w:hAnsiTheme="majorHAnsi" w:cstheme="majorHAnsi"/>
          <w:sz w:val="24"/>
          <w:szCs w:val="24"/>
          <w:lang w:val="ro-MD"/>
        </w:rPr>
        <w:t xml:space="preserve"> </w:t>
      </w:r>
      <w:r w:rsidR="00B34D23" w:rsidRPr="00B34D23">
        <w:rPr>
          <w:rFonts w:asciiTheme="majorHAnsi" w:hAnsiTheme="majorHAnsi" w:cstheme="majorHAnsi"/>
          <w:sz w:val="24"/>
          <w:szCs w:val="24"/>
          <w:lang w:val="ro-MD"/>
        </w:rPr>
        <w:t>из</w:t>
      </w:r>
      <w:r w:rsidRPr="00370E16">
        <w:rPr>
          <w:rFonts w:asciiTheme="majorHAnsi" w:hAnsiTheme="majorHAnsi" w:cstheme="majorHAnsi"/>
          <w:sz w:val="24"/>
          <w:szCs w:val="24"/>
          <w:lang w:val="ro-MD"/>
        </w:rPr>
        <w:t xml:space="preserve"> Национального Фонда развития сельского хозяйства и сельской местности </w:t>
      </w:r>
      <w:r w:rsidR="00B34D23" w:rsidRPr="00B34D23">
        <w:rPr>
          <w:rFonts w:asciiTheme="majorHAnsi" w:hAnsiTheme="majorHAnsi" w:cstheme="majorHAnsi"/>
          <w:sz w:val="24"/>
          <w:szCs w:val="24"/>
          <w:lang w:val="ru-RU"/>
        </w:rPr>
        <w:t>в период с 1 января 2019</w:t>
      </w:r>
      <w:r w:rsidR="00B34D23" w:rsidRPr="00B34D23">
        <w:rPr>
          <w:rFonts w:asciiTheme="majorHAnsi" w:hAnsiTheme="majorHAnsi" w:cstheme="majorHAnsi"/>
          <w:sz w:val="24"/>
          <w:szCs w:val="24"/>
        </w:rPr>
        <w:t> </w:t>
      </w:r>
      <w:r w:rsidR="00B34D23" w:rsidRPr="00B34D23">
        <w:rPr>
          <w:rFonts w:asciiTheme="majorHAnsi" w:hAnsiTheme="majorHAnsi" w:cstheme="majorHAnsi"/>
          <w:sz w:val="24"/>
          <w:szCs w:val="24"/>
          <w:lang w:val="ru-RU"/>
        </w:rPr>
        <w:t>года до 1 мая 2022 года</w:t>
      </w:r>
      <w:r w:rsidR="00B34D23">
        <w:rPr>
          <w:rFonts w:asciiTheme="majorHAnsi" w:hAnsiTheme="majorHAnsi" w:cstheme="majorHAnsi"/>
          <w:sz w:val="24"/>
          <w:szCs w:val="24"/>
          <w:lang w:val="ru-RU"/>
        </w:rPr>
        <w:t>.</w:t>
      </w:r>
    </w:p>
    <w:p w14:paraId="7C77D86F" w14:textId="4863A98F" w:rsidR="00405A83" w:rsidRPr="00736448" w:rsidRDefault="0035091D" w:rsidP="00736448">
      <w:pPr>
        <w:shd w:val="clear" w:color="auto" w:fill="FFFFFF"/>
        <w:spacing w:after="120" w:line="276" w:lineRule="auto"/>
        <w:jc w:val="both"/>
        <w:textAlignment w:val="baseline"/>
        <w:rPr>
          <w:rFonts w:asciiTheme="majorHAnsi" w:hAnsiTheme="majorHAnsi" w:cstheme="majorHAnsi"/>
          <w:sz w:val="24"/>
          <w:szCs w:val="24"/>
          <w:lang w:val="ro-MD"/>
        </w:rPr>
      </w:pPr>
      <w:r w:rsidRPr="0035091D">
        <w:rPr>
          <w:rFonts w:asciiTheme="majorHAnsi" w:hAnsiTheme="majorHAnsi" w:cstheme="majorHAnsi"/>
          <w:sz w:val="24"/>
          <w:szCs w:val="24"/>
          <w:lang w:val="ro-MD"/>
        </w:rPr>
        <w:t xml:space="preserve">На первом этапе </w:t>
      </w:r>
      <w:r w:rsidR="00B34D23">
        <w:rPr>
          <w:rFonts w:asciiTheme="majorHAnsi" w:hAnsiTheme="majorHAnsi" w:cstheme="majorHAnsi"/>
          <w:sz w:val="24"/>
          <w:szCs w:val="24"/>
          <w:lang w:val="ru-RU"/>
        </w:rPr>
        <w:t>ГНС</w:t>
      </w:r>
      <w:r w:rsidRPr="0035091D">
        <w:rPr>
          <w:rFonts w:asciiTheme="majorHAnsi" w:hAnsiTheme="majorHAnsi" w:cstheme="majorHAnsi"/>
          <w:sz w:val="24"/>
          <w:szCs w:val="24"/>
          <w:lang w:val="ro-MD"/>
        </w:rPr>
        <w:t xml:space="preserve"> представила </w:t>
      </w:r>
      <w:r w:rsidR="00B34D23">
        <w:rPr>
          <w:rFonts w:asciiTheme="majorHAnsi" w:hAnsiTheme="majorHAnsi" w:cstheme="majorHAnsi"/>
          <w:sz w:val="24"/>
          <w:szCs w:val="24"/>
          <w:lang w:val="ru-RU"/>
        </w:rPr>
        <w:t>НКСС</w:t>
      </w:r>
      <w:r w:rsidRPr="0035091D">
        <w:rPr>
          <w:rFonts w:asciiTheme="majorHAnsi" w:hAnsiTheme="majorHAnsi" w:cstheme="majorHAnsi"/>
          <w:sz w:val="24"/>
          <w:szCs w:val="24"/>
          <w:lang w:val="ro-MD"/>
        </w:rPr>
        <w:t xml:space="preserve"> список из 10 207 крестьянских хозяйств, которые </w:t>
      </w:r>
      <w:r w:rsidR="00B34D23">
        <w:rPr>
          <w:rFonts w:asciiTheme="majorHAnsi" w:hAnsiTheme="majorHAnsi" w:cstheme="majorHAnsi"/>
          <w:sz w:val="24"/>
          <w:szCs w:val="24"/>
          <w:lang w:val="ru-RU"/>
        </w:rPr>
        <w:t>должны быть</w:t>
      </w:r>
      <w:r w:rsidRPr="0035091D">
        <w:rPr>
          <w:rFonts w:asciiTheme="majorHAnsi" w:hAnsiTheme="majorHAnsi" w:cstheme="majorHAnsi"/>
          <w:sz w:val="24"/>
          <w:szCs w:val="24"/>
          <w:lang w:val="ro-MD"/>
        </w:rPr>
        <w:t xml:space="preserve"> исключены из </w:t>
      </w:r>
      <w:r w:rsidR="00B34D23">
        <w:rPr>
          <w:rFonts w:asciiTheme="majorHAnsi" w:hAnsiTheme="majorHAnsi" w:cstheme="majorHAnsi"/>
          <w:sz w:val="24"/>
          <w:szCs w:val="24"/>
          <w:lang w:val="ru-RU"/>
        </w:rPr>
        <w:t>ИС</w:t>
      </w:r>
      <w:r w:rsidRPr="0035091D">
        <w:rPr>
          <w:rFonts w:asciiTheme="majorHAnsi" w:hAnsiTheme="majorHAnsi" w:cstheme="majorHAnsi"/>
          <w:sz w:val="24"/>
          <w:szCs w:val="24"/>
          <w:lang w:val="ro-MD"/>
        </w:rPr>
        <w:t xml:space="preserve"> „Социальная защита”. Отме</w:t>
      </w:r>
      <w:r w:rsidR="00B34D23">
        <w:rPr>
          <w:rFonts w:asciiTheme="majorHAnsi" w:hAnsiTheme="majorHAnsi" w:cstheme="majorHAnsi"/>
          <w:sz w:val="24"/>
          <w:szCs w:val="24"/>
          <w:lang w:val="ru-RU"/>
        </w:rPr>
        <w:t>чается</w:t>
      </w:r>
      <w:r w:rsidRPr="0035091D">
        <w:rPr>
          <w:rFonts w:asciiTheme="majorHAnsi" w:hAnsiTheme="majorHAnsi" w:cstheme="majorHAnsi"/>
          <w:sz w:val="24"/>
          <w:szCs w:val="24"/>
          <w:lang w:val="ro-MD"/>
        </w:rPr>
        <w:t>, что обязательные государственные взносы социально</w:t>
      </w:r>
      <w:r w:rsidR="00B34D23">
        <w:rPr>
          <w:rFonts w:asciiTheme="majorHAnsi" w:hAnsiTheme="majorHAnsi" w:cstheme="majorHAnsi"/>
          <w:sz w:val="24"/>
          <w:szCs w:val="24"/>
          <w:lang w:val="ru-RU"/>
        </w:rPr>
        <w:t>го</w:t>
      </w:r>
      <w:r w:rsidRPr="0035091D">
        <w:rPr>
          <w:rFonts w:asciiTheme="majorHAnsi" w:hAnsiTheme="majorHAnsi" w:cstheme="majorHAnsi"/>
          <w:sz w:val="24"/>
          <w:szCs w:val="24"/>
          <w:lang w:val="ro-MD"/>
        </w:rPr>
        <w:t xml:space="preserve"> страховани</w:t>
      </w:r>
      <w:r w:rsidR="00B34D23">
        <w:rPr>
          <w:rFonts w:asciiTheme="majorHAnsi" w:hAnsiTheme="majorHAnsi" w:cstheme="majorHAnsi"/>
          <w:sz w:val="24"/>
          <w:szCs w:val="24"/>
          <w:lang w:val="ru-RU"/>
        </w:rPr>
        <w:t>я</w:t>
      </w:r>
      <w:r w:rsidRPr="0035091D">
        <w:rPr>
          <w:rFonts w:asciiTheme="majorHAnsi" w:hAnsiTheme="majorHAnsi" w:cstheme="majorHAnsi"/>
          <w:sz w:val="24"/>
          <w:szCs w:val="24"/>
          <w:lang w:val="ro-MD"/>
        </w:rPr>
        <w:t xml:space="preserve">, штрафы и </w:t>
      </w:r>
      <w:r w:rsidR="00B34D23">
        <w:rPr>
          <w:rFonts w:asciiTheme="majorHAnsi" w:hAnsiTheme="majorHAnsi" w:cstheme="majorHAnsi"/>
          <w:sz w:val="24"/>
          <w:szCs w:val="24"/>
          <w:lang w:val="ru-RU"/>
        </w:rPr>
        <w:t>пени</w:t>
      </w:r>
      <w:r w:rsidRPr="0035091D">
        <w:rPr>
          <w:rFonts w:asciiTheme="majorHAnsi" w:hAnsiTheme="majorHAnsi" w:cstheme="majorHAnsi"/>
          <w:sz w:val="24"/>
          <w:szCs w:val="24"/>
          <w:lang w:val="ro-MD"/>
        </w:rPr>
        <w:t xml:space="preserve">, </w:t>
      </w:r>
      <w:r w:rsidR="00B34D23">
        <w:rPr>
          <w:rFonts w:asciiTheme="majorHAnsi" w:hAnsiTheme="majorHAnsi" w:cstheme="majorHAnsi"/>
          <w:sz w:val="24"/>
          <w:szCs w:val="24"/>
          <w:lang w:val="ru-RU"/>
        </w:rPr>
        <w:t>начисле</w:t>
      </w:r>
      <w:r w:rsidRPr="0035091D">
        <w:rPr>
          <w:rFonts w:asciiTheme="majorHAnsi" w:hAnsiTheme="majorHAnsi" w:cstheme="majorHAnsi"/>
          <w:sz w:val="24"/>
          <w:szCs w:val="24"/>
          <w:lang w:val="ro-MD"/>
        </w:rPr>
        <w:t xml:space="preserve">нные и не </w:t>
      </w:r>
      <w:r w:rsidR="00B34D23">
        <w:rPr>
          <w:rFonts w:asciiTheme="majorHAnsi" w:hAnsiTheme="majorHAnsi" w:cstheme="majorHAnsi"/>
          <w:sz w:val="24"/>
          <w:szCs w:val="24"/>
          <w:lang w:val="ru-RU"/>
        </w:rPr>
        <w:t>у</w:t>
      </w:r>
      <w:r w:rsidRPr="0035091D">
        <w:rPr>
          <w:rFonts w:asciiTheme="majorHAnsi" w:hAnsiTheme="majorHAnsi" w:cstheme="majorHAnsi"/>
          <w:sz w:val="24"/>
          <w:szCs w:val="24"/>
          <w:lang w:val="ro-MD"/>
        </w:rPr>
        <w:t>плаченные до даты списания не</w:t>
      </w:r>
      <w:r w:rsidR="00B34D23">
        <w:rPr>
          <w:rFonts w:asciiTheme="majorHAnsi" w:hAnsiTheme="majorHAnsi" w:cstheme="majorHAnsi"/>
          <w:sz w:val="24"/>
          <w:szCs w:val="24"/>
          <w:lang w:val="ru-RU"/>
        </w:rPr>
        <w:t>действующими</w:t>
      </w:r>
      <w:r w:rsidRPr="0035091D">
        <w:rPr>
          <w:rFonts w:asciiTheme="majorHAnsi" w:hAnsiTheme="majorHAnsi" w:cstheme="majorHAnsi"/>
          <w:sz w:val="24"/>
          <w:szCs w:val="24"/>
          <w:lang w:val="ro-MD"/>
        </w:rPr>
        <w:t xml:space="preserve"> крестьянскими хозяйствами, </w:t>
      </w:r>
      <w:r w:rsidR="00B34D23">
        <w:rPr>
          <w:rFonts w:asciiTheme="majorHAnsi" w:hAnsiTheme="majorHAnsi" w:cstheme="majorHAnsi"/>
          <w:sz w:val="24"/>
          <w:szCs w:val="24"/>
          <w:lang w:val="ru-RU"/>
        </w:rPr>
        <w:t>удаля</w:t>
      </w:r>
      <w:r w:rsidRPr="0035091D">
        <w:rPr>
          <w:rFonts w:asciiTheme="majorHAnsi" w:hAnsiTheme="majorHAnsi" w:cstheme="majorHAnsi"/>
          <w:sz w:val="24"/>
          <w:szCs w:val="24"/>
          <w:lang w:val="ro-MD"/>
        </w:rPr>
        <w:t>ются из системы учета Национальной кассы социального страхования</w:t>
      </w:r>
      <w:r w:rsidR="00F03022" w:rsidRPr="00736448">
        <w:rPr>
          <w:rFonts w:asciiTheme="majorHAnsi" w:hAnsiTheme="majorHAnsi" w:cstheme="majorHAnsi"/>
          <w:sz w:val="24"/>
          <w:szCs w:val="24"/>
          <w:lang w:val="ro-MD"/>
        </w:rPr>
        <w:t>.</w:t>
      </w:r>
    </w:p>
    <w:p w14:paraId="1A192914" w14:textId="55A42F5F" w:rsidR="00F85144" w:rsidRPr="00736448" w:rsidRDefault="0035091D" w:rsidP="002C5D5D">
      <w:pPr>
        <w:tabs>
          <w:tab w:val="left" w:pos="851"/>
        </w:tabs>
        <w:spacing w:after="0" w:line="276" w:lineRule="auto"/>
        <w:jc w:val="both"/>
        <w:rPr>
          <w:rFonts w:asciiTheme="majorHAnsi" w:hAnsiTheme="majorHAnsi" w:cstheme="majorHAnsi"/>
          <w:sz w:val="24"/>
          <w:szCs w:val="24"/>
          <w:lang w:val="ro-MD"/>
        </w:rPr>
      </w:pPr>
      <w:r w:rsidRPr="0035091D">
        <w:rPr>
          <w:rFonts w:asciiTheme="majorHAnsi" w:hAnsiTheme="majorHAnsi" w:cstheme="majorHAnsi"/>
          <w:sz w:val="24"/>
          <w:szCs w:val="24"/>
          <w:lang w:val="ro-MD"/>
        </w:rPr>
        <w:t>Так,</w:t>
      </w:r>
      <w:r w:rsidR="009B661F" w:rsidRPr="009B661F">
        <w:rPr>
          <w:rFonts w:asciiTheme="majorHAnsi" w:hAnsiTheme="majorHAnsi" w:cstheme="majorHAnsi"/>
          <w:sz w:val="24"/>
          <w:szCs w:val="24"/>
          <w:lang w:val="ro-MD"/>
        </w:rPr>
        <w:t xml:space="preserve"> </w:t>
      </w:r>
      <w:r w:rsidRPr="0035091D">
        <w:rPr>
          <w:rFonts w:asciiTheme="majorHAnsi" w:hAnsiTheme="majorHAnsi" w:cstheme="majorHAnsi"/>
          <w:sz w:val="24"/>
          <w:szCs w:val="24"/>
          <w:lang w:val="ro-MD"/>
        </w:rPr>
        <w:t xml:space="preserve">из 400 крестьянских хозяйств, </w:t>
      </w:r>
      <w:r w:rsidR="009B661F" w:rsidRPr="009B661F">
        <w:rPr>
          <w:rFonts w:asciiTheme="majorHAnsi" w:hAnsiTheme="majorHAnsi" w:cstheme="majorHAnsi"/>
          <w:sz w:val="24"/>
          <w:szCs w:val="24"/>
          <w:lang w:val="ro-MD"/>
        </w:rPr>
        <w:t>приемлемых для исключения</w:t>
      </w:r>
      <w:r w:rsidRPr="0035091D">
        <w:rPr>
          <w:rFonts w:asciiTheme="majorHAnsi" w:hAnsiTheme="majorHAnsi" w:cstheme="majorHAnsi"/>
          <w:sz w:val="24"/>
          <w:szCs w:val="24"/>
          <w:lang w:val="ro-MD"/>
        </w:rPr>
        <w:t xml:space="preserve"> и проверенных аудитом, было </w:t>
      </w:r>
      <w:r w:rsidR="009B661F" w:rsidRPr="009B661F">
        <w:rPr>
          <w:rFonts w:asciiTheme="majorHAnsi" w:hAnsiTheme="majorHAnsi" w:cstheme="majorHAnsi"/>
          <w:sz w:val="24"/>
          <w:szCs w:val="24"/>
          <w:lang w:val="ro-MD"/>
        </w:rPr>
        <w:t>установл</w:t>
      </w:r>
      <w:r w:rsidR="009B661F">
        <w:rPr>
          <w:rFonts w:asciiTheme="majorHAnsi" w:hAnsiTheme="majorHAnsi" w:cstheme="majorHAnsi"/>
          <w:sz w:val="24"/>
          <w:szCs w:val="24"/>
          <w:lang w:val="ro-MD"/>
        </w:rPr>
        <w:t>ено следующее</w:t>
      </w:r>
      <w:r w:rsidR="00F85144" w:rsidRPr="00736448">
        <w:rPr>
          <w:rFonts w:asciiTheme="majorHAnsi" w:hAnsiTheme="majorHAnsi" w:cstheme="majorHAnsi"/>
          <w:sz w:val="24"/>
          <w:szCs w:val="24"/>
          <w:lang w:val="ro-MD"/>
        </w:rPr>
        <w:t xml:space="preserve">: </w:t>
      </w:r>
    </w:p>
    <w:p w14:paraId="637C3D75" w14:textId="716851C2" w:rsidR="00F85144" w:rsidRPr="00736448" w:rsidRDefault="0035091D" w:rsidP="0035091D">
      <w:pPr>
        <w:pStyle w:val="aa"/>
        <w:numPr>
          <w:ilvl w:val="0"/>
          <w:numId w:val="6"/>
        </w:numPr>
        <w:tabs>
          <w:tab w:val="left" w:pos="851"/>
        </w:tabs>
        <w:spacing w:after="0" w:line="276" w:lineRule="auto"/>
        <w:jc w:val="both"/>
        <w:rPr>
          <w:rFonts w:asciiTheme="majorHAnsi" w:hAnsiTheme="majorHAnsi" w:cstheme="majorHAnsi"/>
          <w:sz w:val="24"/>
          <w:szCs w:val="24"/>
          <w:lang w:val="ro-MD"/>
        </w:rPr>
      </w:pPr>
      <w:r w:rsidRPr="0035091D">
        <w:rPr>
          <w:rFonts w:asciiTheme="majorHAnsi" w:hAnsiTheme="majorHAnsi" w:cstheme="majorHAnsi"/>
          <w:sz w:val="24"/>
          <w:szCs w:val="24"/>
          <w:lang w:val="ro-MD"/>
        </w:rPr>
        <w:t xml:space="preserve">185 </w:t>
      </w:r>
      <w:r w:rsidR="006E7669" w:rsidRPr="006E7669">
        <w:rPr>
          <w:rFonts w:asciiTheme="majorHAnsi" w:hAnsiTheme="majorHAnsi" w:cstheme="majorHAnsi"/>
          <w:sz w:val="24"/>
          <w:szCs w:val="24"/>
          <w:lang w:val="ro-MD"/>
        </w:rPr>
        <w:t>КХ</w:t>
      </w:r>
      <w:r w:rsidRPr="0035091D">
        <w:rPr>
          <w:rFonts w:asciiTheme="majorHAnsi" w:hAnsiTheme="majorHAnsi" w:cstheme="majorHAnsi"/>
          <w:sz w:val="24"/>
          <w:szCs w:val="24"/>
          <w:lang w:val="ro-MD"/>
        </w:rPr>
        <w:t xml:space="preserve"> не были обнаружены в системе, что указывает на то, что они были полностью </w:t>
      </w:r>
      <w:r w:rsidR="006E7669" w:rsidRPr="006E7669">
        <w:rPr>
          <w:rFonts w:asciiTheme="majorHAnsi" w:hAnsiTheme="majorHAnsi" w:cstheme="majorHAnsi"/>
          <w:sz w:val="24"/>
          <w:szCs w:val="24"/>
          <w:lang w:val="ro-MD"/>
        </w:rPr>
        <w:t>удале</w:t>
      </w:r>
      <w:r w:rsidRPr="0035091D">
        <w:rPr>
          <w:rFonts w:asciiTheme="majorHAnsi" w:hAnsiTheme="majorHAnsi" w:cstheme="majorHAnsi"/>
          <w:sz w:val="24"/>
          <w:szCs w:val="24"/>
          <w:lang w:val="ro-MD"/>
        </w:rPr>
        <w:t xml:space="preserve">ны, </w:t>
      </w:r>
      <w:r w:rsidR="006E7669" w:rsidRPr="006E7669">
        <w:rPr>
          <w:rFonts w:asciiTheme="majorHAnsi" w:hAnsiTheme="majorHAnsi" w:cstheme="majorHAnsi"/>
          <w:sz w:val="24"/>
          <w:szCs w:val="24"/>
          <w:lang w:val="ro-MD"/>
        </w:rPr>
        <w:t xml:space="preserve">а значит, аудит не может высказать свое мнение </w:t>
      </w:r>
      <w:r w:rsidR="006E7669">
        <w:rPr>
          <w:rFonts w:asciiTheme="majorHAnsi" w:hAnsiTheme="majorHAnsi" w:cstheme="majorHAnsi"/>
          <w:sz w:val="24"/>
          <w:szCs w:val="24"/>
          <w:lang w:val="ru-RU"/>
        </w:rPr>
        <w:t>по ним</w:t>
      </w:r>
      <w:r w:rsidR="00F85144" w:rsidRPr="00736448">
        <w:rPr>
          <w:rFonts w:asciiTheme="majorHAnsi" w:hAnsiTheme="majorHAnsi" w:cstheme="majorHAnsi"/>
          <w:sz w:val="24"/>
          <w:szCs w:val="24"/>
          <w:lang w:val="ro-MD"/>
        </w:rPr>
        <w:t>;</w:t>
      </w:r>
    </w:p>
    <w:p w14:paraId="767A17EF" w14:textId="11D3FB2B" w:rsidR="00F85144" w:rsidRPr="00736448" w:rsidRDefault="0035091D" w:rsidP="0035091D">
      <w:pPr>
        <w:pStyle w:val="aa"/>
        <w:numPr>
          <w:ilvl w:val="0"/>
          <w:numId w:val="6"/>
        </w:numPr>
        <w:tabs>
          <w:tab w:val="left" w:pos="851"/>
        </w:tabs>
        <w:spacing w:after="0" w:line="276" w:lineRule="auto"/>
        <w:jc w:val="both"/>
        <w:rPr>
          <w:rFonts w:asciiTheme="majorHAnsi" w:hAnsiTheme="majorHAnsi" w:cstheme="majorHAnsi"/>
          <w:sz w:val="24"/>
          <w:szCs w:val="24"/>
          <w:lang w:val="ro-MD"/>
        </w:rPr>
      </w:pPr>
      <w:r w:rsidRPr="0035091D">
        <w:rPr>
          <w:rFonts w:asciiTheme="majorHAnsi" w:hAnsiTheme="majorHAnsi" w:cstheme="majorHAnsi"/>
          <w:sz w:val="24"/>
          <w:szCs w:val="24"/>
          <w:lang w:val="ro-MD"/>
        </w:rPr>
        <w:t xml:space="preserve">207 </w:t>
      </w:r>
      <w:r w:rsidR="006E7669" w:rsidRPr="005E2255">
        <w:rPr>
          <w:rFonts w:asciiTheme="majorHAnsi" w:hAnsiTheme="majorHAnsi" w:cstheme="majorHAnsi"/>
          <w:sz w:val="24"/>
          <w:szCs w:val="24"/>
          <w:lang w:val="ro-MD"/>
        </w:rPr>
        <w:t>КХ</w:t>
      </w:r>
      <w:r w:rsidRPr="0035091D">
        <w:rPr>
          <w:rFonts w:asciiTheme="majorHAnsi" w:hAnsiTheme="majorHAnsi" w:cstheme="majorHAnsi"/>
          <w:sz w:val="24"/>
          <w:szCs w:val="24"/>
          <w:lang w:val="ro-MD"/>
        </w:rPr>
        <w:t xml:space="preserve"> </w:t>
      </w:r>
      <w:r w:rsidR="006E7669" w:rsidRPr="005E2255">
        <w:rPr>
          <w:rFonts w:asciiTheme="majorHAnsi" w:hAnsiTheme="majorHAnsi" w:cstheme="majorHAnsi"/>
          <w:sz w:val="24"/>
          <w:szCs w:val="24"/>
          <w:lang w:val="ro-MD"/>
        </w:rPr>
        <w:t>являются недействующими</w:t>
      </w:r>
      <w:r w:rsidRPr="0035091D">
        <w:rPr>
          <w:rFonts w:asciiTheme="majorHAnsi" w:hAnsiTheme="majorHAnsi" w:cstheme="majorHAnsi"/>
          <w:sz w:val="24"/>
          <w:szCs w:val="24"/>
          <w:lang w:val="ro-MD"/>
        </w:rPr>
        <w:t xml:space="preserve"> с 2007 </w:t>
      </w:r>
      <w:r w:rsidR="006E7669" w:rsidRPr="005E2255">
        <w:rPr>
          <w:rFonts w:asciiTheme="majorHAnsi" w:hAnsiTheme="majorHAnsi" w:cstheme="majorHAnsi"/>
          <w:sz w:val="24"/>
          <w:szCs w:val="24"/>
          <w:lang w:val="ro-MD"/>
        </w:rPr>
        <w:t>-</w:t>
      </w:r>
      <w:r w:rsidRPr="0035091D">
        <w:rPr>
          <w:rFonts w:asciiTheme="majorHAnsi" w:hAnsiTheme="majorHAnsi" w:cstheme="majorHAnsi"/>
          <w:sz w:val="24"/>
          <w:szCs w:val="24"/>
          <w:lang w:val="ro-MD"/>
        </w:rPr>
        <w:t xml:space="preserve"> 2013 год</w:t>
      </w:r>
      <w:r w:rsidR="006E7669" w:rsidRPr="005E2255">
        <w:rPr>
          <w:rFonts w:asciiTheme="majorHAnsi" w:hAnsiTheme="majorHAnsi" w:cstheme="majorHAnsi"/>
          <w:sz w:val="24"/>
          <w:szCs w:val="24"/>
          <w:lang w:val="ro-MD"/>
        </w:rPr>
        <w:t>ов</w:t>
      </w:r>
      <w:r w:rsidRPr="0035091D">
        <w:rPr>
          <w:rFonts w:asciiTheme="majorHAnsi" w:hAnsiTheme="majorHAnsi" w:cstheme="majorHAnsi"/>
          <w:sz w:val="24"/>
          <w:szCs w:val="24"/>
          <w:lang w:val="ro-MD"/>
        </w:rPr>
        <w:t xml:space="preserve"> и не имеют долгов и дебиторской задолженности, аналитический счет налогоплательщика равен „нулю</w:t>
      </w:r>
      <w:r w:rsidR="006E7669" w:rsidRPr="00736448">
        <w:rPr>
          <w:rFonts w:asciiTheme="majorHAnsi" w:hAnsiTheme="majorHAnsi" w:cstheme="majorHAnsi"/>
          <w:sz w:val="24"/>
          <w:szCs w:val="24"/>
          <w:lang w:val="ro-MD"/>
        </w:rPr>
        <w:t>”</w:t>
      </w:r>
      <w:r w:rsidR="005E2255" w:rsidRPr="005E2255">
        <w:rPr>
          <w:rFonts w:asciiTheme="majorHAnsi" w:hAnsiTheme="majorHAnsi" w:cstheme="majorHAnsi"/>
          <w:sz w:val="24"/>
          <w:szCs w:val="24"/>
          <w:lang w:val="ro-MD"/>
        </w:rPr>
        <w:t>, они</w:t>
      </w:r>
      <w:r w:rsidRPr="0035091D">
        <w:rPr>
          <w:rFonts w:asciiTheme="majorHAnsi" w:hAnsiTheme="majorHAnsi" w:cstheme="majorHAnsi"/>
          <w:sz w:val="24"/>
          <w:szCs w:val="24"/>
          <w:lang w:val="ro-MD"/>
        </w:rPr>
        <w:t xml:space="preserve"> </w:t>
      </w:r>
      <w:r w:rsidR="005E2255">
        <w:rPr>
          <w:rFonts w:asciiTheme="majorHAnsi" w:hAnsiTheme="majorHAnsi" w:cstheme="majorHAnsi"/>
          <w:sz w:val="24"/>
          <w:szCs w:val="24"/>
          <w:lang w:val="ru-RU"/>
        </w:rPr>
        <w:t>подлежат</w:t>
      </w:r>
      <w:r w:rsidRPr="0035091D">
        <w:rPr>
          <w:rFonts w:asciiTheme="majorHAnsi" w:hAnsiTheme="majorHAnsi" w:cstheme="majorHAnsi"/>
          <w:sz w:val="24"/>
          <w:szCs w:val="24"/>
          <w:lang w:val="ro-MD"/>
        </w:rPr>
        <w:t xml:space="preserve"> исключен</w:t>
      </w:r>
      <w:r w:rsidR="005E2255">
        <w:rPr>
          <w:rFonts w:asciiTheme="majorHAnsi" w:hAnsiTheme="majorHAnsi" w:cstheme="majorHAnsi"/>
          <w:sz w:val="24"/>
          <w:szCs w:val="24"/>
          <w:lang w:val="ru-RU"/>
        </w:rPr>
        <w:t>ию</w:t>
      </w:r>
      <w:r w:rsidRPr="0035091D">
        <w:rPr>
          <w:rFonts w:asciiTheme="majorHAnsi" w:hAnsiTheme="majorHAnsi" w:cstheme="majorHAnsi"/>
          <w:sz w:val="24"/>
          <w:szCs w:val="24"/>
          <w:lang w:val="ro-MD"/>
        </w:rPr>
        <w:t xml:space="preserve"> из </w:t>
      </w:r>
      <w:r w:rsidR="005E2255" w:rsidRPr="005E2255">
        <w:rPr>
          <w:rFonts w:asciiTheme="majorHAnsi" w:hAnsiTheme="majorHAnsi" w:cstheme="majorHAnsi"/>
          <w:sz w:val="24"/>
          <w:szCs w:val="24"/>
          <w:lang w:val="ro-MD"/>
        </w:rPr>
        <w:t xml:space="preserve">ИС </w:t>
      </w:r>
      <w:r w:rsidR="005E2255" w:rsidRPr="00736448">
        <w:rPr>
          <w:rFonts w:asciiTheme="majorHAnsi" w:hAnsiTheme="majorHAnsi" w:cstheme="majorHAnsi"/>
          <w:sz w:val="24"/>
          <w:szCs w:val="24"/>
          <w:lang w:val="ro-MD"/>
        </w:rPr>
        <w:t>„</w:t>
      </w:r>
      <w:r w:rsidRPr="0035091D">
        <w:rPr>
          <w:rFonts w:asciiTheme="majorHAnsi" w:hAnsiTheme="majorHAnsi" w:cstheme="majorHAnsi"/>
          <w:sz w:val="24"/>
          <w:szCs w:val="24"/>
          <w:lang w:val="ro-MD"/>
        </w:rPr>
        <w:t>Социальная защита” в течение 2023 года</w:t>
      </w:r>
      <w:r w:rsidR="00F85144" w:rsidRPr="00736448">
        <w:rPr>
          <w:rFonts w:asciiTheme="majorHAnsi" w:hAnsiTheme="majorHAnsi" w:cstheme="majorHAnsi"/>
          <w:sz w:val="24"/>
          <w:szCs w:val="24"/>
          <w:lang w:val="ro-MD"/>
        </w:rPr>
        <w:t>;</w:t>
      </w:r>
    </w:p>
    <w:p w14:paraId="01A77B87" w14:textId="7DEED5B8" w:rsidR="00F85144" w:rsidRPr="00736448" w:rsidRDefault="0035091D" w:rsidP="0035091D">
      <w:pPr>
        <w:pStyle w:val="aa"/>
        <w:numPr>
          <w:ilvl w:val="0"/>
          <w:numId w:val="6"/>
        </w:numPr>
        <w:tabs>
          <w:tab w:val="left" w:pos="851"/>
        </w:tabs>
        <w:spacing w:after="0" w:line="276" w:lineRule="auto"/>
        <w:jc w:val="both"/>
        <w:rPr>
          <w:rFonts w:asciiTheme="majorHAnsi" w:hAnsiTheme="majorHAnsi" w:cstheme="majorHAnsi"/>
          <w:sz w:val="24"/>
          <w:szCs w:val="24"/>
          <w:lang w:val="ro-MD"/>
        </w:rPr>
      </w:pPr>
      <w:r w:rsidRPr="0035091D">
        <w:rPr>
          <w:rFonts w:asciiTheme="majorHAnsi" w:hAnsiTheme="majorHAnsi" w:cstheme="majorHAnsi"/>
          <w:sz w:val="24"/>
          <w:szCs w:val="24"/>
          <w:lang w:val="ro-MD"/>
        </w:rPr>
        <w:t>5 хозяйств</w:t>
      </w:r>
      <w:r w:rsidR="005E2255" w:rsidRPr="00736448">
        <w:rPr>
          <w:rStyle w:val="a5"/>
          <w:rFonts w:asciiTheme="majorHAnsi" w:hAnsiTheme="majorHAnsi" w:cstheme="majorHAnsi"/>
          <w:sz w:val="24"/>
          <w:szCs w:val="24"/>
          <w:lang w:val="ro-MD"/>
        </w:rPr>
        <w:footnoteReference w:id="89"/>
      </w:r>
      <w:r w:rsidRPr="0035091D">
        <w:rPr>
          <w:rFonts w:asciiTheme="majorHAnsi" w:hAnsiTheme="majorHAnsi" w:cstheme="majorHAnsi"/>
          <w:sz w:val="24"/>
          <w:szCs w:val="24"/>
          <w:lang w:val="ro-MD"/>
        </w:rPr>
        <w:t xml:space="preserve"> имеют долги на сумму 5,0 тыс. леев. Долги были сформированы в 2007-2008 годах </w:t>
      </w:r>
      <w:r w:rsidR="005E2255">
        <w:rPr>
          <w:rFonts w:asciiTheme="majorHAnsi" w:hAnsiTheme="majorHAnsi" w:cstheme="majorHAnsi"/>
          <w:sz w:val="24"/>
          <w:szCs w:val="24"/>
          <w:lang w:val="ru-RU"/>
        </w:rPr>
        <w:t>по причине того</w:t>
      </w:r>
      <w:r w:rsidRPr="0035091D">
        <w:rPr>
          <w:rFonts w:asciiTheme="majorHAnsi" w:hAnsiTheme="majorHAnsi" w:cstheme="majorHAnsi"/>
          <w:sz w:val="24"/>
          <w:szCs w:val="24"/>
          <w:lang w:val="ro-MD"/>
        </w:rPr>
        <w:t xml:space="preserve">, что </w:t>
      </w:r>
      <w:r w:rsidR="005E2255" w:rsidRPr="0035091D">
        <w:rPr>
          <w:rFonts w:asciiTheme="majorHAnsi" w:hAnsiTheme="majorHAnsi" w:cstheme="majorHAnsi"/>
          <w:sz w:val="24"/>
          <w:szCs w:val="24"/>
          <w:lang w:val="ro-MD"/>
        </w:rPr>
        <w:t xml:space="preserve">декларации </w:t>
      </w:r>
      <w:r w:rsidRPr="0035091D">
        <w:rPr>
          <w:rFonts w:asciiTheme="majorHAnsi" w:hAnsiTheme="majorHAnsi" w:cstheme="majorHAnsi"/>
          <w:sz w:val="24"/>
          <w:szCs w:val="24"/>
          <w:lang w:val="ro-MD"/>
        </w:rPr>
        <w:t>были представлены</w:t>
      </w:r>
      <w:r w:rsidR="005E2255">
        <w:rPr>
          <w:rFonts w:asciiTheme="majorHAnsi" w:hAnsiTheme="majorHAnsi" w:cstheme="majorHAnsi"/>
          <w:sz w:val="24"/>
          <w:szCs w:val="24"/>
          <w:lang w:val="ru-RU"/>
        </w:rPr>
        <w:t>, а</w:t>
      </w:r>
      <w:r w:rsidRPr="0035091D">
        <w:rPr>
          <w:rFonts w:asciiTheme="majorHAnsi" w:hAnsiTheme="majorHAnsi" w:cstheme="majorHAnsi"/>
          <w:sz w:val="24"/>
          <w:szCs w:val="24"/>
          <w:lang w:val="ro-MD"/>
        </w:rPr>
        <w:t xml:space="preserve"> финансовые средства не были пере</w:t>
      </w:r>
      <w:r w:rsidR="005E2255">
        <w:rPr>
          <w:rFonts w:asciiTheme="majorHAnsi" w:hAnsiTheme="majorHAnsi" w:cstheme="majorHAnsi"/>
          <w:sz w:val="24"/>
          <w:szCs w:val="24"/>
          <w:lang w:val="ru-RU"/>
        </w:rPr>
        <w:t>числ</w:t>
      </w:r>
      <w:r w:rsidR="005E2255">
        <w:rPr>
          <w:rFonts w:asciiTheme="majorHAnsi" w:hAnsiTheme="majorHAnsi" w:cstheme="majorHAnsi"/>
          <w:sz w:val="24"/>
          <w:szCs w:val="24"/>
          <w:lang w:val="ro-MD"/>
        </w:rPr>
        <w:t>ены</w:t>
      </w:r>
      <w:r w:rsidR="00CF0CA3" w:rsidRPr="00736448">
        <w:rPr>
          <w:rFonts w:asciiTheme="majorHAnsi" w:hAnsiTheme="majorHAnsi" w:cstheme="majorHAnsi"/>
          <w:sz w:val="24"/>
          <w:szCs w:val="24"/>
          <w:lang w:val="ro-MD"/>
        </w:rPr>
        <w:t>;</w:t>
      </w:r>
    </w:p>
    <w:p w14:paraId="704D0E1F" w14:textId="67CCA4A5" w:rsidR="00F85144" w:rsidRPr="00736448" w:rsidRDefault="0035091D" w:rsidP="0035091D">
      <w:pPr>
        <w:pStyle w:val="aa"/>
        <w:numPr>
          <w:ilvl w:val="0"/>
          <w:numId w:val="6"/>
        </w:numPr>
        <w:tabs>
          <w:tab w:val="left" w:pos="851"/>
        </w:tabs>
        <w:spacing w:after="0" w:line="276" w:lineRule="auto"/>
        <w:jc w:val="both"/>
        <w:rPr>
          <w:rFonts w:asciiTheme="majorHAnsi" w:hAnsiTheme="majorHAnsi" w:cstheme="majorHAnsi"/>
          <w:sz w:val="24"/>
          <w:szCs w:val="24"/>
          <w:lang w:val="ro-MD"/>
        </w:rPr>
      </w:pPr>
      <w:r w:rsidRPr="0035091D">
        <w:rPr>
          <w:rFonts w:asciiTheme="majorHAnsi" w:hAnsiTheme="majorHAnsi" w:cstheme="majorHAnsi"/>
          <w:sz w:val="24"/>
          <w:szCs w:val="24"/>
          <w:lang w:val="ro-MD"/>
        </w:rPr>
        <w:t>переплат</w:t>
      </w:r>
      <w:r w:rsidR="005E2255">
        <w:rPr>
          <w:rFonts w:asciiTheme="majorHAnsi" w:hAnsiTheme="majorHAnsi" w:cstheme="majorHAnsi"/>
          <w:sz w:val="24"/>
          <w:szCs w:val="24"/>
          <w:lang w:val="ru-RU"/>
        </w:rPr>
        <w:t>ы</w:t>
      </w:r>
      <w:r w:rsidRPr="0035091D">
        <w:rPr>
          <w:rFonts w:asciiTheme="majorHAnsi" w:hAnsiTheme="majorHAnsi" w:cstheme="majorHAnsi"/>
          <w:sz w:val="24"/>
          <w:szCs w:val="24"/>
          <w:lang w:val="ro-MD"/>
        </w:rPr>
        <w:t xml:space="preserve"> </w:t>
      </w:r>
      <w:r>
        <w:rPr>
          <w:rFonts w:asciiTheme="majorHAnsi" w:hAnsiTheme="majorHAnsi" w:cstheme="majorHAnsi"/>
          <w:sz w:val="24"/>
          <w:szCs w:val="24"/>
          <w:lang w:val="ru-RU"/>
        </w:rPr>
        <w:t xml:space="preserve">в случае </w:t>
      </w:r>
      <w:r w:rsidRPr="0035091D">
        <w:rPr>
          <w:rFonts w:asciiTheme="majorHAnsi" w:hAnsiTheme="majorHAnsi" w:cstheme="majorHAnsi"/>
          <w:sz w:val="24"/>
          <w:szCs w:val="24"/>
          <w:lang w:val="ro-MD"/>
        </w:rPr>
        <w:t>3 хозяйств</w:t>
      </w:r>
      <w:r w:rsidR="005E2255" w:rsidRPr="00736448">
        <w:rPr>
          <w:rStyle w:val="a5"/>
          <w:rFonts w:asciiTheme="majorHAnsi" w:hAnsiTheme="majorHAnsi" w:cstheme="majorHAnsi"/>
          <w:sz w:val="24"/>
          <w:szCs w:val="24"/>
          <w:lang w:val="ro-MD"/>
        </w:rPr>
        <w:footnoteReference w:id="90"/>
      </w:r>
      <w:r w:rsidR="005E2255">
        <w:rPr>
          <w:rFonts w:asciiTheme="majorHAnsi" w:hAnsiTheme="majorHAnsi" w:cstheme="majorHAnsi"/>
          <w:sz w:val="24"/>
          <w:szCs w:val="24"/>
          <w:lang w:val="ru-RU"/>
        </w:rPr>
        <w:t>,</w:t>
      </w:r>
      <w:r w:rsidRPr="0035091D">
        <w:rPr>
          <w:rFonts w:asciiTheme="majorHAnsi" w:hAnsiTheme="majorHAnsi" w:cstheme="majorHAnsi"/>
          <w:sz w:val="24"/>
          <w:szCs w:val="24"/>
          <w:lang w:val="ro-MD"/>
        </w:rPr>
        <w:t xml:space="preserve"> на сумму 1,0 тыс. леев. </w:t>
      </w:r>
      <w:r w:rsidR="005E2255">
        <w:rPr>
          <w:rFonts w:asciiTheme="majorHAnsi" w:hAnsiTheme="majorHAnsi" w:cstheme="majorHAnsi"/>
          <w:sz w:val="24"/>
          <w:szCs w:val="24"/>
          <w:lang w:val="ru-RU"/>
        </w:rPr>
        <w:t>Переплаты</w:t>
      </w:r>
      <w:r w:rsidRPr="0035091D">
        <w:rPr>
          <w:rFonts w:asciiTheme="majorHAnsi" w:hAnsiTheme="majorHAnsi" w:cstheme="majorHAnsi"/>
          <w:sz w:val="24"/>
          <w:szCs w:val="24"/>
          <w:lang w:val="ro-MD"/>
        </w:rPr>
        <w:t xml:space="preserve"> </w:t>
      </w:r>
      <w:r w:rsidR="005E2255">
        <w:rPr>
          <w:rFonts w:asciiTheme="majorHAnsi" w:hAnsiTheme="majorHAnsi" w:cstheme="majorHAnsi"/>
          <w:sz w:val="24"/>
          <w:szCs w:val="24"/>
          <w:lang w:val="ru-RU"/>
        </w:rPr>
        <w:t xml:space="preserve">образовались </w:t>
      </w:r>
      <w:r w:rsidRPr="0035091D">
        <w:rPr>
          <w:rFonts w:asciiTheme="majorHAnsi" w:hAnsiTheme="majorHAnsi" w:cstheme="majorHAnsi"/>
          <w:sz w:val="24"/>
          <w:szCs w:val="24"/>
          <w:lang w:val="ro-MD"/>
        </w:rPr>
        <w:t>из-за того,</w:t>
      </w:r>
      <w:r w:rsidR="005E2255">
        <w:rPr>
          <w:rFonts w:asciiTheme="majorHAnsi" w:hAnsiTheme="majorHAnsi" w:cstheme="majorHAnsi"/>
          <w:sz w:val="24"/>
          <w:szCs w:val="24"/>
          <w:lang w:val="ro-MD"/>
        </w:rPr>
        <w:t xml:space="preserve"> что финансовые средства были перечислен</w:t>
      </w:r>
      <w:r w:rsidRPr="0035091D">
        <w:rPr>
          <w:rFonts w:asciiTheme="majorHAnsi" w:hAnsiTheme="majorHAnsi" w:cstheme="majorHAnsi"/>
          <w:sz w:val="24"/>
          <w:szCs w:val="24"/>
          <w:lang w:val="ro-MD"/>
        </w:rPr>
        <w:t xml:space="preserve">ы, а </w:t>
      </w:r>
      <w:r w:rsidR="005E2255">
        <w:rPr>
          <w:rFonts w:asciiTheme="majorHAnsi" w:hAnsiTheme="majorHAnsi" w:cstheme="majorHAnsi"/>
          <w:sz w:val="24"/>
          <w:szCs w:val="24"/>
          <w:lang w:val="ru-RU"/>
        </w:rPr>
        <w:t>декларации</w:t>
      </w:r>
      <w:r w:rsidR="005E2255">
        <w:rPr>
          <w:rFonts w:asciiTheme="majorHAnsi" w:hAnsiTheme="majorHAnsi" w:cstheme="majorHAnsi"/>
          <w:sz w:val="24"/>
          <w:szCs w:val="24"/>
          <w:lang w:val="ro-MD"/>
        </w:rPr>
        <w:t xml:space="preserve"> не были представлены</w:t>
      </w:r>
      <w:r w:rsidR="001D2229" w:rsidRPr="00736448">
        <w:rPr>
          <w:rFonts w:asciiTheme="majorHAnsi" w:hAnsiTheme="majorHAnsi" w:cstheme="majorHAnsi"/>
          <w:sz w:val="24"/>
          <w:szCs w:val="24"/>
          <w:lang w:val="ro-MD"/>
        </w:rPr>
        <w:t>.</w:t>
      </w:r>
    </w:p>
    <w:p w14:paraId="07D3BD1C" w14:textId="2444CBBD" w:rsidR="00F43A3C" w:rsidRPr="00736448" w:rsidRDefault="00F43A3C" w:rsidP="002C5D5D">
      <w:pPr>
        <w:tabs>
          <w:tab w:val="left" w:pos="851"/>
        </w:tabs>
        <w:spacing w:after="0" w:line="276" w:lineRule="auto"/>
        <w:jc w:val="both"/>
        <w:rPr>
          <w:rFonts w:asciiTheme="majorHAnsi" w:hAnsiTheme="majorHAnsi" w:cstheme="majorHAnsi"/>
          <w:sz w:val="24"/>
          <w:szCs w:val="24"/>
          <w:lang w:val="ro-MD"/>
        </w:rPr>
      </w:pPr>
    </w:p>
    <w:p w14:paraId="78CB506B" w14:textId="474B320E" w:rsidR="00430849" w:rsidRPr="00736448" w:rsidRDefault="0035091D" w:rsidP="002C5D5D">
      <w:pPr>
        <w:shd w:val="clear" w:color="auto" w:fill="FFFFFF"/>
        <w:spacing w:after="0" w:line="276" w:lineRule="auto"/>
        <w:jc w:val="both"/>
        <w:rPr>
          <w:rFonts w:asciiTheme="majorHAnsi" w:hAnsiTheme="majorHAnsi" w:cstheme="majorHAnsi"/>
          <w:sz w:val="24"/>
          <w:szCs w:val="24"/>
          <w:lang w:val="ro-MD"/>
        </w:rPr>
      </w:pPr>
      <w:r w:rsidRPr="0035091D">
        <w:rPr>
          <w:rFonts w:asciiTheme="majorHAnsi" w:hAnsiTheme="majorHAnsi" w:cstheme="majorHAnsi"/>
          <w:sz w:val="24"/>
          <w:szCs w:val="24"/>
          <w:lang w:val="ro-MD"/>
        </w:rPr>
        <w:t xml:space="preserve">Уточняем, что периоды (годы), за которые не были </w:t>
      </w:r>
      <w:r w:rsidR="002A6ADD">
        <w:rPr>
          <w:rFonts w:asciiTheme="majorHAnsi" w:hAnsiTheme="majorHAnsi" w:cstheme="majorHAnsi"/>
          <w:sz w:val="24"/>
          <w:szCs w:val="24"/>
          <w:lang w:val="ru-RU"/>
        </w:rPr>
        <w:t xml:space="preserve">представлены декларации </w:t>
      </w:r>
      <w:r w:rsidRPr="0035091D">
        <w:rPr>
          <w:rFonts w:asciiTheme="majorHAnsi" w:hAnsiTheme="majorHAnsi" w:cstheme="majorHAnsi"/>
          <w:sz w:val="24"/>
          <w:szCs w:val="24"/>
          <w:lang w:val="ro-MD"/>
        </w:rPr>
        <w:t xml:space="preserve">и не </w:t>
      </w:r>
      <w:r w:rsidR="002A6ADD">
        <w:rPr>
          <w:rFonts w:asciiTheme="majorHAnsi" w:hAnsiTheme="majorHAnsi" w:cstheme="majorHAnsi"/>
          <w:sz w:val="24"/>
          <w:szCs w:val="24"/>
          <w:lang w:val="ru-RU"/>
        </w:rPr>
        <w:t>у</w:t>
      </w:r>
      <w:r w:rsidRPr="0035091D">
        <w:rPr>
          <w:rFonts w:asciiTheme="majorHAnsi" w:hAnsiTheme="majorHAnsi" w:cstheme="majorHAnsi"/>
          <w:sz w:val="24"/>
          <w:szCs w:val="24"/>
          <w:lang w:val="ro-MD"/>
        </w:rPr>
        <w:t>плач</w:t>
      </w:r>
      <w:r w:rsidR="002A6ADD">
        <w:rPr>
          <w:rFonts w:asciiTheme="majorHAnsi" w:hAnsiTheme="majorHAnsi" w:cstheme="majorHAnsi"/>
          <w:sz w:val="24"/>
          <w:szCs w:val="24"/>
          <w:lang w:val="ru-RU"/>
        </w:rPr>
        <w:t>ивались</w:t>
      </w:r>
      <w:r w:rsidRPr="0035091D">
        <w:rPr>
          <w:rFonts w:asciiTheme="majorHAnsi" w:hAnsiTheme="majorHAnsi" w:cstheme="majorHAnsi"/>
          <w:sz w:val="24"/>
          <w:szCs w:val="24"/>
          <w:lang w:val="ro-MD"/>
        </w:rPr>
        <w:t xml:space="preserve"> взносы обязательно</w:t>
      </w:r>
      <w:r w:rsidR="002A6ADD">
        <w:rPr>
          <w:rFonts w:asciiTheme="majorHAnsi" w:hAnsiTheme="majorHAnsi" w:cstheme="majorHAnsi"/>
          <w:sz w:val="24"/>
          <w:szCs w:val="24"/>
          <w:lang w:val="ru-RU"/>
        </w:rPr>
        <w:t>го</w:t>
      </w:r>
      <w:r w:rsidRPr="0035091D">
        <w:rPr>
          <w:rFonts w:asciiTheme="majorHAnsi" w:hAnsiTheme="majorHAnsi" w:cstheme="majorHAnsi"/>
          <w:sz w:val="24"/>
          <w:szCs w:val="24"/>
          <w:lang w:val="ro-MD"/>
        </w:rPr>
        <w:t xml:space="preserve"> государственно</w:t>
      </w:r>
      <w:r w:rsidR="002A6ADD">
        <w:rPr>
          <w:rFonts w:asciiTheme="majorHAnsi" w:hAnsiTheme="majorHAnsi" w:cstheme="majorHAnsi"/>
          <w:sz w:val="24"/>
          <w:szCs w:val="24"/>
          <w:lang w:val="ru-RU"/>
        </w:rPr>
        <w:t>го</w:t>
      </w:r>
      <w:r w:rsidRPr="0035091D">
        <w:rPr>
          <w:rFonts w:asciiTheme="majorHAnsi" w:hAnsiTheme="majorHAnsi" w:cstheme="majorHAnsi"/>
          <w:sz w:val="24"/>
          <w:szCs w:val="24"/>
          <w:lang w:val="ro-MD"/>
        </w:rPr>
        <w:t xml:space="preserve"> социально</w:t>
      </w:r>
      <w:r w:rsidR="002A6ADD">
        <w:rPr>
          <w:rFonts w:asciiTheme="majorHAnsi" w:hAnsiTheme="majorHAnsi" w:cstheme="majorHAnsi"/>
          <w:sz w:val="24"/>
          <w:szCs w:val="24"/>
          <w:lang w:val="ru-RU"/>
        </w:rPr>
        <w:t>го</w:t>
      </w:r>
      <w:r w:rsidRPr="0035091D">
        <w:rPr>
          <w:rFonts w:asciiTheme="majorHAnsi" w:hAnsiTheme="majorHAnsi" w:cstheme="majorHAnsi"/>
          <w:sz w:val="24"/>
          <w:szCs w:val="24"/>
          <w:lang w:val="ro-MD"/>
        </w:rPr>
        <w:t xml:space="preserve"> страховани</w:t>
      </w:r>
      <w:r w:rsidR="002A6ADD">
        <w:rPr>
          <w:rFonts w:asciiTheme="majorHAnsi" w:hAnsiTheme="majorHAnsi" w:cstheme="majorHAnsi"/>
          <w:sz w:val="24"/>
          <w:szCs w:val="24"/>
          <w:lang w:val="ru-RU"/>
        </w:rPr>
        <w:t>я</w:t>
      </w:r>
      <w:r w:rsidRPr="0035091D">
        <w:rPr>
          <w:rFonts w:asciiTheme="majorHAnsi" w:hAnsiTheme="majorHAnsi" w:cstheme="majorHAnsi"/>
          <w:sz w:val="24"/>
          <w:szCs w:val="24"/>
          <w:lang w:val="ro-MD"/>
        </w:rPr>
        <w:t xml:space="preserve">, не включаются при расчете </w:t>
      </w:r>
      <w:r w:rsidR="002A6ADD" w:rsidRPr="00183E38">
        <w:rPr>
          <w:rFonts w:asciiTheme="majorHAnsi" w:hAnsiTheme="majorHAnsi" w:cstheme="majorHAnsi"/>
          <w:sz w:val="24"/>
          <w:szCs w:val="24"/>
          <w:lang w:val="ru-RU"/>
        </w:rPr>
        <w:t xml:space="preserve">страхового </w:t>
      </w:r>
      <w:r w:rsidRPr="00183E38">
        <w:rPr>
          <w:rFonts w:asciiTheme="majorHAnsi" w:hAnsiTheme="majorHAnsi" w:cstheme="majorHAnsi"/>
          <w:sz w:val="24"/>
          <w:szCs w:val="24"/>
          <w:lang w:val="ro-MD"/>
        </w:rPr>
        <w:t>стаж</w:t>
      </w:r>
      <w:r w:rsidR="002A6ADD" w:rsidRPr="00183E38">
        <w:rPr>
          <w:rFonts w:asciiTheme="majorHAnsi" w:hAnsiTheme="majorHAnsi" w:cstheme="majorHAnsi"/>
          <w:sz w:val="24"/>
          <w:szCs w:val="24"/>
          <w:lang w:val="ru-RU"/>
        </w:rPr>
        <w:t>а</w:t>
      </w:r>
      <w:r w:rsidRPr="00183E38">
        <w:rPr>
          <w:rFonts w:asciiTheme="majorHAnsi" w:hAnsiTheme="majorHAnsi" w:cstheme="majorHAnsi"/>
          <w:sz w:val="24"/>
          <w:szCs w:val="24"/>
          <w:lang w:val="ro-MD"/>
        </w:rPr>
        <w:t xml:space="preserve"> учредителя </w:t>
      </w:r>
      <w:r w:rsidR="002A6ADD" w:rsidRPr="00183E38">
        <w:rPr>
          <w:rFonts w:asciiTheme="majorHAnsi" w:hAnsiTheme="majorHAnsi" w:cstheme="majorHAnsi"/>
          <w:sz w:val="24"/>
          <w:szCs w:val="24"/>
          <w:lang w:val="ru-RU"/>
        </w:rPr>
        <w:t>КХ</w:t>
      </w:r>
      <w:r w:rsidRPr="00183E38">
        <w:rPr>
          <w:rFonts w:asciiTheme="majorHAnsi" w:hAnsiTheme="majorHAnsi" w:cstheme="majorHAnsi"/>
          <w:sz w:val="24"/>
          <w:szCs w:val="24"/>
          <w:lang w:val="ro-MD"/>
        </w:rPr>
        <w:t>. В то же время</w:t>
      </w:r>
      <w:r w:rsidR="002A6ADD" w:rsidRPr="00183E38">
        <w:rPr>
          <w:rFonts w:asciiTheme="majorHAnsi" w:hAnsiTheme="majorHAnsi" w:cstheme="majorHAnsi"/>
          <w:sz w:val="24"/>
          <w:szCs w:val="24"/>
          <w:lang w:val="ro-MD"/>
        </w:rPr>
        <w:t>,</w:t>
      </w:r>
      <w:r w:rsidRPr="00183E38">
        <w:rPr>
          <w:rFonts w:asciiTheme="majorHAnsi" w:hAnsiTheme="majorHAnsi" w:cstheme="majorHAnsi"/>
          <w:sz w:val="24"/>
          <w:szCs w:val="24"/>
          <w:lang w:val="ro-MD"/>
        </w:rPr>
        <w:t xml:space="preserve"> обязательные взносы государственно</w:t>
      </w:r>
      <w:r w:rsidR="002A6ADD" w:rsidRPr="00183E38">
        <w:rPr>
          <w:rFonts w:asciiTheme="majorHAnsi" w:hAnsiTheme="majorHAnsi" w:cstheme="majorHAnsi"/>
          <w:sz w:val="24"/>
          <w:szCs w:val="24"/>
          <w:lang w:val="ro-MD"/>
        </w:rPr>
        <w:t>го</w:t>
      </w:r>
      <w:r w:rsidRPr="00183E38">
        <w:rPr>
          <w:rFonts w:asciiTheme="majorHAnsi" w:hAnsiTheme="majorHAnsi" w:cstheme="majorHAnsi"/>
          <w:sz w:val="24"/>
          <w:szCs w:val="24"/>
          <w:lang w:val="ro-MD"/>
        </w:rPr>
        <w:t xml:space="preserve"> социально</w:t>
      </w:r>
      <w:r w:rsidR="002A6ADD" w:rsidRPr="00183E38">
        <w:rPr>
          <w:rFonts w:asciiTheme="majorHAnsi" w:hAnsiTheme="majorHAnsi" w:cstheme="majorHAnsi"/>
          <w:sz w:val="24"/>
          <w:szCs w:val="24"/>
          <w:lang w:val="ro-MD"/>
        </w:rPr>
        <w:t>го</w:t>
      </w:r>
      <w:r w:rsidRPr="00183E38">
        <w:rPr>
          <w:rFonts w:asciiTheme="majorHAnsi" w:hAnsiTheme="majorHAnsi" w:cstheme="majorHAnsi"/>
          <w:sz w:val="24"/>
          <w:szCs w:val="24"/>
          <w:lang w:val="ro-MD"/>
        </w:rPr>
        <w:t xml:space="preserve"> страховани</w:t>
      </w:r>
      <w:r w:rsidR="002A6ADD" w:rsidRPr="00183E38">
        <w:rPr>
          <w:rFonts w:asciiTheme="majorHAnsi" w:hAnsiTheme="majorHAnsi" w:cstheme="majorHAnsi"/>
          <w:sz w:val="24"/>
          <w:szCs w:val="24"/>
          <w:lang w:val="ro-MD"/>
        </w:rPr>
        <w:t>я</w:t>
      </w:r>
      <w:r w:rsidRPr="00183E38">
        <w:rPr>
          <w:rFonts w:asciiTheme="majorHAnsi" w:hAnsiTheme="majorHAnsi" w:cstheme="majorHAnsi"/>
          <w:sz w:val="24"/>
          <w:szCs w:val="24"/>
          <w:lang w:val="ro-MD"/>
        </w:rPr>
        <w:t xml:space="preserve">, </w:t>
      </w:r>
      <w:r w:rsidR="002A6ADD" w:rsidRPr="00183E38">
        <w:rPr>
          <w:rFonts w:asciiTheme="majorHAnsi" w:hAnsiTheme="majorHAnsi" w:cstheme="majorHAnsi"/>
          <w:sz w:val="24"/>
          <w:szCs w:val="24"/>
          <w:lang w:val="ro-MD"/>
        </w:rPr>
        <w:t>задекларирова</w:t>
      </w:r>
      <w:r w:rsidRPr="00183E38">
        <w:rPr>
          <w:rFonts w:asciiTheme="majorHAnsi" w:hAnsiTheme="majorHAnsi" w:cstheme="majorHAnsi"/>
          <w:sz w:val="24"/>
          <w:szCs w:val="24"/>
          <w:lang w:val="ro-MD"/>
        </w:rPr>
        <w:t xml:space="preserve">нные и уплаченные до даты </w:t>
      </w:r>
      <w:r w:rsidR="002A6ADD" w:rsidRPr="00183E38">
        <w:rPr>
          <w:rFonts w:asciiTheme="majorHAnsi" w:hAnsiTheme="majorHAnsi" w:cstheme="majorHAnsi"/>
          <w:sz w:val="24"/>
          <w:szCs w:val="24"/>
          <w:lang w:val="ro-MD"/>
        </w:rPr>
        <w:t>исключе</w:t>
      </w:r>
      <w:r w:rsidRPr="00183E38">
        <w:rPr>
          <w:rFonts w:asciiTheme="majorHAnsi" w:hAnsiTheme="majorHAnsi" w:cstheme="majorHAnsi"/>
          <w:sz w:val="24"/>
          <w:szCs w:val="24"/>
          <w:lang w:val="ro-MD"/>
        </w:rPr>
        <w:t>ния, не компенсируются и не возвращаются</w:t>
      </w:r>
      <w:r w:rsidR="00F43A3C" w:rsidRPr="00736448">
        <w:rPr>
          <w:rFonts w:asciiTheme="majorHAnsi" w:hAnsiTheme="majorHAnsi" w:cstheme="majorHAnsi"/>
          <w:sz w:val="24"/>
          <w:szCs w:val="24"/>
          <w:lang w:val="ro-MD"/>
        </w:rPr>
        <w:t>.</w:t>
      </w:r>
    </w:p>
    <w:p w14:paraId="2D08E54A" w14:textId="77777777" w:rsidR="00A60D5D" w:rsidRPr="00B7675F" w:rsidRDefault="00A60D5D" w:rsidP="00F43A3C">
      <w:pPr>
        <w:shd w:val="clear" w:color="auto" w:fill="FFFFFF"/>
        <w:spacing w:after="0" w:line="276" w:lineRule="auto"/>
        <w:jc w:val="both"/>
        <w:rPr>
          <w:rFonts w:asciiTheme="majorHAnsi" w:eastAsia="Times New Roman" w:hAnsiTheme="majorHAnsi" w:cstheme="majorHAnsi"/>
          <w:b/>
          <w:color w:val="000000"/>
          <w:spacing w:val="8"/>
          <w:sz w:val="24"/>
          <w:szCs w:val="24"/>
          <w:lang w:val="ro-MD"/>
        </w:rPr>
      </w:pPr>
    </w:p>
    <w:p w14:paraId="6E8B7AD7" w14:textId="56EBE1C8" w:rsidR="00A60D5D" w:rsidRPr="00B7675F" w:rsidRDefault="000C0F5D" w:rsidP="00E4042E">
      <w:pPr>
        <w:pStyle w:val="aa"/>
        <w:numPr>
          <w:ilvl w:val="0"/>
          <w:numId w:val="2"/>
        </w:numPr>
        <w:shd w:val="clear" w:color="auto" w:fill="FFFFFF"/>
        <w:spacing w:after="0" w:line="276" w:lineRule="auto"/>
        <w:jc w:val="both"/>
        <w:outlineLvl w:val="0"/>
        <w:rPr>
          <w:rFonts w:asciiTheme="majorHAnsi" w:eastAsia="Times New Roman" w:hAnsiTheme="majorHAnsi" w:cstheme="majorHAnsi"/>
          <w:b/>
          <w:color w:val="000000"/>
          <w:spacing w:val="8"/>
          <w:sz w:val="24"/>
          <w:szCs w:val="24"/>
          <w:lang w:val="ro-MD"/>
        </w:rPr>
      </w:pPr>
      <w:r w:rsidRPr="000C0F5D">
        <w:rPr>
          <w:rFonts w:asciiTheme="majorHAnsi" w:eastAsia="Times New Roman" w:hAnsiTheme="majorHAnsi" w:cstheme="majorHAnsi"/>
          <w:b/>
          <w:color w:val="000000"/>
          <w:spacing w:val="8"/>
          <w:sz w:val="24"/>
          <w:szCs w:val="24"/>
          <w:lang w:val="ru-RU"/>
        </w:rPr>
        <w:t>РЕКОМЕНДАЦИИ</w:t>
      </w:r>
    </w:p>
    <w:p w14:paraId="2EC2C708" w14:textId="19585323" w:rsidR="00223EAD" w:rsidRPr="00B7675F" w:rsidRDefault="001F3B43" w:rsidP="00223EAD">
      <w:pPr>
        <w:spacing w:after="0" w:line="276" w:lineRule="auto"/>
        <w:jc w:val="both"/>
        <w:rPr>
          <w:rFonts w:asciiTheme="majorHAnsi" w:hAnsiTheme="majorHAnsi" w:cstheme="majorHAnsi"/>
          <w:b/>
          <w:sz w:val="24"/>
          <w:szCs w:val="24"/>
          <w:lang w:val="ro-MD"/>
        </w:rPr>
      </w:pPr>
      <w:r w:rsidRPr="00E51C74">
        <w:rPr>
          <w:rFonts w:asciiTheme="majorHAnsi" w:hAnsiTheme="majorHAnsi" w:cstheme="majorHAnsi"/>
          <w:b/>
          <w:bCs/>
          <w:iCs/>
          <w:sz w:val="24"/>
          <w:szCs w:val="24"/>
          <w:lang w:val="ro-RO"/>
        </w:rPr>
        <w:t>Рекомендаци</w:t>
      </w:r>
      <w:r>
        <w:rPr>
          <w:rFonts w:asciiTheme="majorHAnsi" w:hAnsiTheme="majorHAnsi" w:cstheme="majorHAnsi"/>
          <w:b/>
          <w:bCs/>
          <w:iCs/>
          <w:sz w:val="24"/>
          <w:szCs w:val="24"/>
          <w:lang w:val="ru-RU"/>
        </w:rPr>
        <w:t>я</w:t>
      </w:r>
      <w:r w:rsidRPr="00E51C74">
        <w:rPr>
          <w:rFonts w:asciiTheme="majorHAnsi" w:hAnsiTheme="majorHAnsi" w:cstheme="majorHAnsi"/>
          <w:b/>
          <w:bCs/>
          <w:iCs/>
          <w:sz w:val="24"/>
          <w:szCs w:val="24"/>
          <w:lang w:val="ro-RO"/>
        </w:rPr>
        <w:t xml:space="preserve"> М</w:t>
      </w:r>
      <w:r w:rsidRPr="00E51C74">
        <w:rPr>
          <w:rFonts w:asciiTheme="majorHAnsi" w:hAnsiTheme="majorHAnsi" w:cstheme="majorHAnsi"/>
          <w:b/>
          <w:bCs/>
          <w:iCs/>
          <w:sz w:val="24"/>
          <w:szCs w:val="24"/>
          <w:lang w:val="ru-RU"/>
        </w:rPr>
        <w:t>инистерству финансов</w:t>
      </w:r>
      <w:r w:rsidRPr="00B7675F">
        <w:rPr>
          <w:rFonts w:asciiTheme="majorHAnsi" w:hAnsiTheme="majorHAnsi" w:cstheme="majorHAnsi"/>
          <w:b/>
          <w:sz w:val="24"/>
          <w:szCs w:val="24"/>
          <w:lang w:val="ro-MD"/>
        </w:rPr>
        <w:t xml:space="preserve"> </w:t>
      </w:r>
    </w:p>
    <w:p w14:paraId="12622F4C" w14:textId="2804C156" w:rsidR="00223EAD" w:rsidRPr="0038225D" w:rsidRDefault="00452578" w:rsidP="00452578">
      <w:pPr>
        <w:pStyle w:val="aa"/>
        <w:numPr>
          <w:ilvl w:val="0"/>
          <w:numId w:val="35"/>
        </w:numPr>
        <w:spacing w:after="0" w:line="276" w:lineRule="auto"/>
        <w:jc w:val="both"/>
        <w:rPr>
          <w:rFonts w:asciiTheme="majorHAnsi" w:hAnsiTheme="majorHAnsi" w:cstheme="majorHAnsi"/>
          <w:sz w:val="24"/>
          <w:szCs w:val="24"/>
          <w:lang w:val="ro-MD"/>
        </w:rPr>
      </w:pPr>
      <w:r w:rsidRPr="00452578">
        <w:rPr>
          <w:rFonts w:asciiTheme="majorHAnsi" w:hAnsiTheme="majorHAnsi" w:cstheme="majorHAnsi"/>
          <w:sz w:val="24"/>
          <w:szCs w:val="24"/>
          <w:lang w:val="ro-MD"/>
        </w:rPr>
        <w:t>Пересмотреть нормы</w:t>
      </w:r>
      <w:r w:rsidR="000B795F" w:rsidRPr="000B795F">
        <w:rPr>
          <w:rFonts w:asciiTheme="majorHAnsi" w:hAnsiTheme="majorHAnsi" w:cstheme="majorHAnsi"/>
          <w:sz w:val="24"/>
          <w:szCs w:val="24"/>
          <w:lang w:val="ro-MD"/>
        </w:rPr>
        <w:t xml:space="preserve"> по</w:t>
      </w:r>
      <w:r w:rsidRPr="00452578">
        <w:rPr>
          <w:rFonts w:asciiTheme="majorHAnsi" w:hAnsiTheme="majorHAnsi" w:cstheme="majorHAnsi"/>
          <w:sz w:val="24"/>
          <w:szCs w:val="24"/>
          <w:lang w:val="ro-MD"/>
        </w:rPr>
        <w:t xml:space="preserve"> отчетности </w:t>
      </w:r>
      <w:r w:rsidR="000B795F">
        <w:rPr>
          <w:rFonts w:asciiTheme="majorHAnsi" w:hAnsiTheme="majorHAnsi" w:cstheme="majorHAnsi"/>
          <w:sz w:val="24"/>
          <w:szCs w:val="24"/>
          <w:lang w:val="ro-MD"/>
        </w:rPr>
        <w:t>БГСС</w:t>
      </w:r>
      <w:r w:rsidR="000B795F" w:rsidRPr="000B795F">
        <w:rPr>
          <w:rFonts w:asciiTheme="majorHAnsi" w:hAnsiTheme="majorHAnsi" w:cstheme="majorHAnsi"/>
          <w:sz w:val="24"/>
          <w:szCs w:val="24"/>
          <w:lang w:val="ro-MD"/>
        </w:rPr>
        <w:t>,</w:t>
      </w:r>
      <w:r w:rsidRPr="00452578">
        <w:rPr>
          <w:rFonts w:asciiTheme="majorHAnsi" w:hAnsiTheme="majorHAnsi" w:cstheme="majorHAnsi"/>
          <w:sz w:val="24"/>
          <w:szCs w:val="24"/>
          <w:lang w:val="ro-MD"/>
        </w:rPr>
        <w:t xml:space="preserve"> </w:t>
      </w:r>
      <w:r w:rsidR="000B795F" w:rsidRPr="000B795F">
        <w:rPr>
          <w:rFonts w:asciiTheme="majorHAnsi" w:hAnsiTheme="majorHAnsi" w:cstheme="majorHAnsi"/>
          <w:sz w:val="24"/>
          <w:szCs w:val="24"/>
          <w:lang w:val="ro-MD"/>
        </w:rPr>
        <w:t>в</w:t>
      </w:r>
      <w:r w:rsidRPr="00452578">
        <w:rPr>
          <w:rFonts w:asciiTheme="majorHAnsi" w:hAnsiTheme="majorHAnsi" w:cstheme="majorHAnsi"/>
          <w:sz w:val="24"/>
          <w:szCs w:val="24"/>
          <w:lang w:val="ro-MD"/>
        </w:rPr>
        <w:t xml:space="preserve"> соотн</w:t>
      </w:r>
      <w:r w:rsidR="000B795F" w:rsidRPr="000B795F">
        <w:rPr>
          <w:rFonts w:asciiTheme="majorHAnsi" w:hAnsiTheme="majorHAnsi" w:cstheme="majorHAnsi"/>
          <w:sz w:val="24"/>
          <w:szCs w:val="24"/>
          <w:lang w:val="ro-MD"/>
        </w:rPr>
        <w:t>ошении</w:t>
      </w:r>
      <w:r w:rsidRPr="00452578">
        <w:rPr>
          <w:rFonts w:asciiTheme="majorHAnsi" w:hAnsiTheme="majorHAnsi" w:cstheme="majorHAnsi"/>
          <w:sz w:val="24"/>
          <w:szCs w:val="24"/>
          <w:lang w:val="ro-MD"/>
        </w:rPr>
        <w:t xml:space="preserve"> с нормами </w:t>
      </w:r>
      <w:r w:rsidR="000B795F" w:rsidRPr="000B795F">
        <w:rPr>
          <w:rFonts w:asciiTheme="majorHAnsi" w:hAnsiTheme="majorHAnsi" w:cstheme="majorHAnsi"/>
          <w:sz w:val="24"/>
          <w:szCs w:val="24"/>
          <w:lang w:val="ro-MD"/>
        </w:rPr>
        <w:t xml:space="preserve">по </w:t>
      </w:r>
      <w:r w:rsidRPr="00452578">
        <w:rPr>
          <w:rFonts w:asciiTheme="majorHAnsi" w:hAnsiTheme="majorHAnsi" w:cstheme="majorHAnsi"/>
          <w:sz w:val="24"/>
          <w:szCs w:val="24"/>
          <w:lang w:val="ro-MD"/>
        </w:rPr>
        <w:t xml:space="preserve">отчетности бюджетных учреждений </w:t>
      </w:r>
      <w:r w:rsidR="0013682A" w:rsidRPr="0038225D">
        <w:rPr>
          <w:rFonts w:asciiTheme="majorHAnsi" w:hAnsiTheme="majorHAnsi" w:cstheme="majorHAnsi"/>
          <w:i/>
          <w:sz w:val="24"/>
          <w:szCs w:val="24"/>
          <w:lang w:val="ro-MD"/>
        </w:rPr>
        <w:t>(</w:t>
      </w:r>
      <w:r w:rsidR="00AC7F8B">
        <w:rPr>
          <w:rFonts w:asciiTheme="majorHAnsi" w:hAnsiTheme="majorHAnsi" w:cstheme="majorHAnsi"/>
          <w:i/>
          <w:sz w:val="24"/>
          <w:szCs w:val="24"/>
          <w:lang w:val="ro-MD"/>
        </w:rPr>
        <w:t>Замечание</w:t>
      </w:r>
      <w:r w:rsidR="00B31EEA" w:rsidRPr="0038225D">
        <w:rPr>
          <w:rFonts w:asciiTheme="majorHAnsi" w:hAnsiTheme="majorHAnsi" w:cstheme="majorHAnsi"/>
          <w:i/>
          <w:sz w:val="24"/>
          <w:szCs w:val="24"/>
          <w:lang w:val="ro-MD"/>
        </w:rPr>
        <w:t xml:space="preserve"> 3.1 – </w:t>
      </w:r>
      <w:r w:rsidR="00AC7F8B">
        <w:rPr>
          <w:rFonts w:asciiTheme="majorHAnsi" w:hAnsiTheme="majorHAnsi" w:cstheme="majorHAnsi"/>
          <w:i/>
          <w:sz w:val="24"/>
          <w:szCs w:val="24"/>
          <w:lang w:val="ro-MD"/>
        </w:rPr>
        <w:t>Раздел</w:t>
      </w:r>
      <w:r w:rsidR="00B31EEA" w:rsidRPr="0038225D">
        <w:rPr>
          <w:rFonts w:asciiTheme="majorHAnsi" w:hAnsiTheme="majorHAnsi" w:cstheme="majorHAnsi"/>
          <w:i/>
          <w:sz w:val="24"/>
          <w:szCs w:val="24"/>
          <w:lang w:val="ro-MD"/>
        </w:rPr>
        <w:t xml:space="preserve"> III</w:t>
      </w:r>
      <w:r w:rsidR="0013682A" w:rsidRPr="0038225D">
        <w:rPr>
          <w:rFonts w:asciiTheme="majorHAnsi" w:hAnsiTheme="majorHAnsi" w:cstheme="majorHAnsi"/>
          <w:i/>
          <w:sz w:val="24"/>
          <w:szCs w:val="24"/>
          <w:lang w:val="ro-MD"/>
        </w:rPr>
        <w:t>)</w:t>
      </w:r>
      <w:r w:rsidR="00223EAD" w:rsidRPr="0038225D">
        <w:rPr>
          <w:rFonts w:asciiTheme="majorHAnsi" w:hAnsiTheme="majorHAnsi" w:cstheme="majorHAnsi"/>
          <w:i/>
          <w:sz w:val="24"/>
          <w:szCs w:val="24"/>
          <w:lang w:val="ro-MD"/>
        </w:rPr>
        <w:t>;</w:t>
      </w:r>
    </w:p>
    <w:p w14:paraId="11C62980" w14:textId="136E6F24" w:rsidR="005C4AA7" w:rsidRPr="00B7675F" w:rsidRDefault="001F3B43" w:rsidP="005C4AA7">
      <w:pPr>
        <w:spacing w:after="0" w:line="276" w:lineRule="auto"/>
        <w:jc w:val="both"/>
        <w:rPr>
          <w:rFonts w:asciiTheme="majorHAnsi" w:hAnsiTheme="majorHAnsi" w:cstheme="majorHAnsi"/>
          <w:b/>
          <w:sz w:val="24"/>
          <w:szCs w:val="24"/>
          <w:lang w:val="ro-MD"/>
        </w:rPr>
      </w:pPr>
      <w:r w:rsidRPr="00E51C74">
        <w:rPr>
          <w:rFonts w:asciiTheme="majorHAnsi" w:hAnsiTheme="majorHAnsi" w:cstheme="majorHAnsi"/>
          <w:b/>
          <w:bCs/>
          <w:iCs/>
          <w:sz w:val="24"/>
          <w:szCs w:val="24"/>
          <w:lang w:val="ro-RO"/>
        </w:rPr>
        <w:t>Рекомендаци</w:t>
      </w:r>
      <w:r>
        <w:rPr>
          <w:rFonts w:asciiTheme="majorHAnsi" w:hAnsiTheme="majorHAnsi" w:cstheme="majorHAnsi"/>
          <w:b/>
          <w:bCs/>
          <w:iCs/>
          <w:sz w:val="24"/>
          <w:szCs w:val="24"/>
          <w:lang w:val="ru-RU"/>
        </w:rPr>
        <w:t>я</w:t>
      </w:r>
      <w:r w:rsidRPr="00E51C74">
        <w:rPr>
          <w:rFonts w:asciiTheme="majorHAnsi" w:hAnsiTheme="majorHAnsi" w:cstheme="majorHAnsi"/>
          <w:b/>
          <w:bCs/>
          <w:iCs/>
          <w:sz w:val="24"/>
          <w:szCs w:val="24"/>
          <w:lang w:val="ro-RO"/>
        </w:rPr>
        <w:t xml:space="preserve"> М</w:t>
      </w:r>
      <w:r w:rsidRPr="00E51C74">
        <w:rPr>
          <w:rFonts w:asciiTheme="majorHAnsi" w:hAnsiTheme="majorHAnsi" w:cstheme="majorHAnsi"/>
          <w:b/>
          <w:bCs/>
          <w:iCs/>
          <w:sz w:val="24"/>
          <w:szCs w:val="24"/>
          <w:lang w:val="ru-RU"/>
        </w:rPr>
        <w:t xml:space="preserve">инистерству </w:t>
      </w:r>
      <w:r>
        <w:rPr>
          <w:rFonts w:asciiTheme="majorHAnsi" w:hAnsiTheme="majorHAnsi" w:cstheme="majorHAnsi"/>
          <w:b/>
          <w:bCs/>
          <w:iCs/>
          <w:sz w:val="24"/>
          <w:szCs w:val="24"/>
          <w:lang w:val="ru-RU"/>
        </w:rPr>
        <w:t>юстиции</w:t>
      </w:r>
      <w:r w:rsidR="005C4AA7" w:rsidRPr="00B7675F">
        <w:rPr>
          <w:rFonts w:asciiTheme="majorHAnsi" w:hAnsiTheme="majorHAnsi" w:cstheme="majorHAnsi"/>
          <w:b/>
          <w:sz w:val="24"/>
          <w:szCs w:val="24"/>
          <w:lang w:val="ro-MD"/>
        </w:rPr>
        <w:t xml:space="preserve"> </w:t>
      </w:r>
    </w:p>
    <w:p w14:paraId="0C32D207" w14:textId="41851B65" w:rsidR="005C4AA7" w:rsidRPr="00B7675F" w:rsidRDefault="00452578" w:rsidP="00452578">
      <w:pPr>
        <w:pStyle w:val="aa"/>
        <w:numPr>
          <w:ilvl w:val="0"/>
          <w:numId w:val="35"/>
        </w:numPr>
        <w:spacing w:after="0" w:line="276" w:lineRule="auto"/>
        <w:jc w:val="both"/>
        <w:rPr>
          <w:rFonts w:asciiTheme="majorHAnsi" w:hAnsiTheme="majorHAnsi" w:cstheme="majorHAnsi"/>
          <w:sz w:val="24"/>
          <w:szCs w:val="24"/>
          <w:lang w:val="ro-MD"/>
        </w:rPr>
      </w:pPr>
      <w:r w:rsidRPr="00452578">
        <w:rPr>
          <w:rFonts w:asciiTheme="majorHAnsi" w:hAnsiTheme="majorHAnsi" w:cstheme="majorHAnsi"/>
          <w:sz w:val="24"/>
          <w:szCs w:val="24"/>
          <w:lang w:val="ro-MD"/>
        </w:rPr>
        <w:t>Оценить и создать электронн</w:t>
      </w:r>
      <w:r w:rsidR="000B795F" w:rsidRPr="000B795F">
        <w:rPr>
          <w:rFonts w:asciiTheme="majorHAnsi" w:hAnsiTheme="majorHAnsi" w:cstheme="majorHAnsi"/>
          <w:sz w:val="24"/>
          <w:szCs w:val="24"/>
          <w:lang w:val="ro-MD"/>
        </w:rPr>
        <w:t>ый</w:t>
      </w:r>
      <w:r w:rsidRPr="00452578">
        <w:rPr>
          <w:rFonts w:asciiTheme="majorHAnsi" w:hAnsiTheme="majorHAnsi" w:cstheme="majorHAnsi"/>
          <w:sz w:val="24"/>
          <w:szCs w:val="24"/>
          <w:lang w:val="ro-MD"/>
        </w:rPr>
        <w:t xml:space="preserve"> </w:t>
      </w:r>
      <w:r w:rsidR="000B795F" w:rsidRPr="004B2138">
        <w:rPr>
          <w:rFonts w:asciiTheme="majorHAnsi" w:hAnsiTheme="majorHAnsi" w:cstheme="majorHAnsi"/>
          <w:sz w:val="24"/>
          <w:szCs w:val="24"/>
          <w:lang w:val="ro-MD"/>
        </w:rPr>
        <w:t>регистр по учету свободных профессионалов</w:t>
      </w:r>
      <w:r w:rsidRPr="00452578">
        <w:rPr>
          <w:rFonts w:asciiTheme="majorHAnsi" w:hAnsiTheme="majorHAnsi" w:cstheme="majorHAnsi"/>
          <w:sz w:val="24"/>
          <w:szCs w:val="24"/>
          <w:lang w:val="ro-MD"/>
        </w:rPr>
        <w:t xml:space="preserve">, </w:t>
      </w:r>
      <w:r w:rsidR="004B2138" w:rsidRPr="004B2138">
        <w:rPr>
          <w:rFonts w:asciiTheme="majorHAnsi" w:hAnsiTheme="majorHAnsi" w:cstheme="majorHAnsi"/>
          <w:sz w:val="24"/>
          <w:szCs w:val="24"/>
          <w:lang w:val="ro-MD"/>
        </w:rPr>
        <w:t>осуществля</w:t>
      </w:r>
      <w:r w:rsidRPr="00452578">
        <w:rPr>
          <w:rFonts w:asciiTheme="majorHAnsi" w:hAnsiTheme="majorHAnsi" w:cstheme="majorHAnsi"/>
          <w:sz w:val="24"/>
          <w:szCs w:val="24"/>
          <w:lang w:val="ro-MD"/>
        </w:rPr>
        <w:t xml:space="preserve">ющих деятельность в секторе юстиции, </w:t>
      </w:r>
      <w:r w:rsidR="004B2138" w:rsidRPr="004B2138">
        <w:rPr>
          <w:rFonts w:asciiTheme="majorHAnsi" w:hAnsiTheme="majorHAnsi" w:cstheme="majorHAnsi"/>
          <w:sz w:val="24"/>
          <w:szCs w:val="24"/>
          <w:lang w:val="ro-MD"/>
        </w:rPr>
        <w:t>что</w:t>
      </w:r>
      <w:r w:rsidRPr="00452578">
        <w:rPr>
          <w:rFonts w:asciiTheme="majorHAnsi" w:hAnsiTheme="majorHAnsi" w:cstheme="majorHAnsi"/>
          <w:sz w:val="24"/>
          <w:szCs w:val="24"/>
          <w:lang w:val="ro-MD"/>
        </w:rPr>
        <w:t xml:space="preserve"> обеспечит оперативную передачу информации в НКСС</w:t>
      </w:r>
      <w:r w:rsidR="004B2138" w:rsidRPr="004B2138">
        <w:rPr>
          <w:rFonts w:asciiTheme="majorHAnsi" w:hAnsiTheme="majorHAnsi" w:cstheme="majorHAnsi"/>
          <w:sz w:val="24"/>
          <w:szCs w:val="24"/>
          <w:lang w:val="ro-MD"/>
        </w:rPr>
        <w:t>,</w:t>
      </w:r>
      <w:r w:rsidRPr="00452578">
        <w:rPr>
          <w:rFonts w:asciiTheme="majorHAnsi" w:hAnsiTheme="majorHAnsi" w:cstheme="majorHAnsi"/>
          <w:sz w:val="24"/>
          <w:szCs w:val="24"/>
          <w:lang w:val="ro-MD"/>
        </w:rPr>
        <w:t xml:space="preserve"> с целью </w:t>
      </w:r>
      <w:r w:rsidR="004B2138" w:rsidRPr="004B2138">
        <w:rPr>
          <w:rFonts w:asciiTheme="majorHAnsi" w:hAnsiTheme="majorHAnsi" w:cstheme="majorHAnsi"/>
          <w:sz w:val="24"/>
          <w:szCs w:val="24"/>
          <w:lang w:val="ro-MD"/>
        </w:rPr>
        <w:t>их своевремен</w:t>
      </w:r>
      <w:r w:rsidRPr="00452578">
        <w:rPr>
          <w:rFonts w:asciiTheme="majorHAnsi" w:hAnsiTheme="majorHAnsi" w:cstheme="majorHAnsi"/>
          <w:sz w:val="24"/>
          <w:szCs w:val="24"/>
          <w:lang w:val="ro-MD"/>
        </w:rPr>
        <w:t xml:space="preserve">ной регистрации в качестве плательщиков </w:t>
      </w:r>
      <w:r w:rsidR="004B2138" w:rsidRPr="004B2138">
        <w:rPr>
          <w:rFonts w:asciiTheme="majorHAnsi" w:hAnsiTheme="majorHAnsi" w:cstheme="majorHAnsi"/>
          <w:sz w:val="24"/>
          <w:szCs w:val="24"/>
          <w:lang w:val="ro-MD"/>
        </w:rPr>
        <w:t>в</w:t>
      </w:r>
      <w:r w:rsidRPr="00452578">
        <w:rPr>
          <w:rFonts w:asciiTheme="majorHAnsi" w:hAnsiTheme="majorHAnsi" w:cstheme="majorHAnsi"/>
          <w:sz w:val="24"/>
          <w:szCs w:val="24"/>
          <w:lang w:val="ro-MD"/>
        </w:rPr>
        <w:t xml:space="preserve"> </w:t>
      </w:r>
      <w:r w:rsidR="000B795F">
        <w:rPr>
          <w:rFonts w:asciiTheme="majorHAnsi" w:hAnsiTheme="majorHAnsi" w:cstheme="majorHAnsi"/>
          <w:sz w:val="24"/>
          <w:szCs w:val="24"/>
          <w:lang w:val="ro-MD"/>
        </w:rPr>
        <w:t>БГСС</w:t>
      </w:r>
      <w:r w:rsidRPr="00452578">
        <w:rPr>
          <w:rFonts w:asciiTheme="majorHAnsi" w:hAnsiTheme="majorHAnsi" w:cstheme="majorHAnsi"/>
          <w:sz w:val="24"/>
          <w:szCs w:val="24"/>
          <w:lang w:val="ro-MD"/>
        </w:rPr>
        <w:t xml:space="preserve">  </w:t>
      </w:r>
      <w:r w:rsidR="00B31EEA" w:rsidRPr="00B7675F">
        <w:rPr>
          <w:rFonts w:asciiTheme="majorHAnsi" w:hAnsiTheme="majorHAnsi" w:cstheme="majorHAnsi"/>
          <w:i/>
          <w:sz w:val="24"/>
          <w:szCs w:val="24"/>
          <w:lang w:val="ro-MD"/>
        </w:rPr>
        <w:t>(</w:t>
      </w:r>
      <w:r w:rsidR="00AC7F8B">
        <w:rPr>
          <w:rFonts w:asciiTheme="majorHAnsi" w:hAnsiTheme="majorHAnsi" w:cstheme="majorHAnsi"/>
          <w:i/>
          <w:sz w:val="24"/>
          <w:szCs w:val="24"/>
          <w:lang w:val="ro-MD"/>
        </w:rPr>
        <w:t>Замечание</w:t>
      </w:r>
      <w:r w:rsidR="00B31EEA" w:rsidRPr="00B7675F">
        <w:rPr>
          <w:rFonts w:asciiTheme="majorHAnsi" w:hAnsiTheme="majorHAnsi" w:cstheme="majorHAnsi"/>
          <w:i/>
          <w:sz w:val="24"/>
          <w:szCs w:val="24"/>
          <w:lang w:val="ro-MD"/>
        </w:rPr>
        <w:t xml:space="preserve"> 6.2 – </w:t>
      </w:r>
      <w:r w:rsidR="00AC7F8B">
        <w:rPr>
          <w:rFonts w:asciiTheme="majorHAnsi" w:hAnsiTheme="majorHAnsi" w:cstheme="majorHAnsi"/>
          <w:i/>
          <w:sz w:val="24"/>
          <w:szCs w:val="24"/>
          <w:lang w:val="ro-MD"/>
        </w:rPr>
        <w:t>Раздел</w:t>
      </w:r>
      <w:r w:rsidR="00B31EEA" w:rsidRPr="00B7675F">
        <w:rPr>
          <w:rFonts w:asciiTheme="majorHAnsi" w:hAnsiTheme="majorHAnsi" w:cstheme="majorHAnsi"/>
          <w:i/>
          <w:sz w:val="24"/>
          <w:szCs w:val="24"/>
          <w:lang w:val="ro-MD"/>
        </w:rPr>
        <w:t xml:space="preserve"> VI)</w:t>
      </w:r>
      <w:r w:rsidR="0061671B" w:rsidRPr="00B7675F">
        <w:rPr>
          <w:rFonts w:asciiTheme="majorHAnsi" w:hAnsiTheme="majorHAnsi" w:cstheme="majorHAnsi"/>
          <w:sz w:val="24"/>
          <w:szCs w:val="24"/>
          <w:lang w:val="ro-MD"/>
        </w:rPr>
        <w:t>;</w:t>
      </w:r>
    </w:p>
    <w:p w14:paraId="14AFFE55" w14:textId="31BED9C2" w:rsidR="005C4AA7" w:rsidRPr="00B7675F" w:rsidRDefault="00C54849" w:rsidP="0010219C">
      <w:pPr>
        <w:spacing w:after="0" w:line="276" w:lineRule="auto"/>
        <w:jc w:val="both"/>
        <w:rPr>
          <w:rFonts w:asciiTheme="majorHAnsi" w:hAnsiTheme="majorHAnsi" w:cstheme="majorHAnsi"/>
          <w:b/>
          <w:sz w:val="24"/>
          <w:szCs w:val="24"/>
          <w:lang w:val="ro-MD"/>
        </w:rPr>
      </w:pPr>
      <w:r w:rsidRPr="00E51C74">
        <w:rPr>
          <w:rFonts w:asciiTheme="majorHAnsi" w:hAnsiTheme="majorHAnsi" w:cstheme="majorHAnsi"/>
          <w:b/>
          <w:bCs/>
          <w:iCs/>
          <w:sz w:val="24"/>
          <w:szCs w:val="24"/>
          <w:lang w:val="ro-RO"/>
        </w:rPr>
        <w:t>Рекомендации Минист</w:t>
      </w:r>
      <w:r w:rsidR="00855FDB">
        <w:rPr>
          <w:rFonts w:asciiTheme="majorHAnsi" w:hAnsiTheme="majorHAnsi" w:cstheme="majorHAnsi"/>
          <w:b/>
          <w:bCs/>
          <w:iCs/>
          <w:sz w:val="24"/>
          <w:szCs w:val="24"/>
          <w:lang w:val="ru-RU"/>
        </w:rPr>
        <w:t>ерству</w:t>
      </w:r>
      <w:r w:rsidRPr="00E51C74">
        <w:rPr>
          <w:rFonts w:asciiTheme="majorHAnsi" w:hAnsiTheme="majorHAnsi" w:cstheme="majorHAnsi"/>
          <w:b/>
          <w:bCs/>
          <w:iCs/>
          <w:sz w:val="24"/>
          <w:szCs w:val="24"/>
          <w:lang w:val="ro-RO"/>
        </w:rPr>
        <w:t xml:space="preserve"> труда и социальной защиты</w:t>
      </w:r>
      <w:r w:rsidRPr="00B7675F">
        <w:rPr>
          <w:rFonts w:asciiTheme="majorHAnsi" w:hAnsiTheme="majorHAnsi" w:cstheme="majorHAnsi"/>
          <w:b/>
          <w:sz w:val="24"/>
          <w:szCs w:val="24"/>
          <w:lang w:val="ro-MD"/>
        </w:rPr>
        <w:t xml:space="preserve"> </w:t>
      </w:r>
    </w:p>
    <w:p w14:paraId="1393C264" w14:textId="5D716E06" w:rsidR="005D0865" w:rsidRPr="00B7675F" w:rsidRDefault="00452578" w:rsidP="00452578">
      <w:pPr>
        <w:pStyle w:val="aa"/>
        <w:numPr>
          <w:ilvl w:val="0"/>
          <w:numId w:val="35"/>
        </w:numPr>
        <w:spacing w:after="0" w:line="276" w:lineRule="auto"/>
        <w:jc w:val="both"/>
        <w:rPr>
          <w:rFonts w:asciiTheme="majorHAnsi" w:eastAsia="Times New Roman" w:hAnsiTheme="majorHAnsi" w:cstheme="majorHAnsi"/>
          <w:sz w:val="24"/>
          <w:szCs w:val="24"/>
          <w:lang w:val="ro-MD"/>
        </w:rPr>
      </w:pPr>
      <w:r w:rsidRPr="00452578">
        <w:rPr>
          <w:rFonts w:asciiTheme="majorHAnsi" w:eastAsia="Times New Roman" w:hAnsiTheme="majorHAnsi" w:cstheme="majorHAnsi"/>
          <w:sz w:val="24"/>
          <w:szCs w:val="24"/>
          <w:lang w:val="ro-MD"/>
        </w:rPr>
        <w:t xml:space="preserve">Пересмотреть и </w:t>
      </w:r>
      <w:r w:rsidR="004B2138" w:rsidRPr="004B2138">
        <w:rPr>
          <w:rFonts w:asciiTheme="majorHAnsi" w:eastAsia="Times New Roman" w:hAnsiTheme="majorHAnsi" w:cstheme="majorHAnsi"/>
          <w:sz w:val="24"/>
          <w:szCs w:val="24"/>
          <w:lang w:val="ro-MD"/>
        </w:rPr>
        <w:t>актуализирова</w:t>
      </w:r>
      <w:r w:rsidRPr="00452578">
        <w:rPr>
          <w:rFonts w:asciiTheme="majorHAnsi" w:eastAsia="Times New Roman" w:hAnsiTheme="majorHAnsi" w:cstheme="majorHAnsi"/>
          <w:sz w:val="24"/>
          <w:szCs w:val="24"/>
          <w:lang w:val="ro-MD"/>
        </w:rPr>
        <w:t>ть нормативную базу</w:t>
      </w:r>
      <w:r w:rsidR="004B2138" w:rsidRPr="004B2138">
        <w:rPr>
          <w:rFonts w:asciiTheme="majorHAnsi" w:eastAsia="Times New Roman" w:hAnsiTheme="majorHAnsi" w:cstheme="majorHAnsi"/>
          <w:sz w:val="24"/>
          <w:szCs w:val="24"/>
          <w:lang w:val="ro-MD"/>
        </w:rPr>
        <w:t>,</w:t>
      </w:r>
      <w:r w:rsidRPr="00452578">
        <w:rPr>
          <w:rFonts w:asciiTheme="majorHAnsi" w:eastAsia="Times New Roman" w:hAnsiTheme="majorHAnsi" w:cstheme="majorHAnsi"/>
          <w:sz w:val="24"/>
          <w:szCs w:val="24"/>
          <w:lang w:val="ro-MD"/>
        </w:rPr>
        <w:t xml:space="preserve"> для обеспечения единообразного установления пенсии по </w:t>
      </w:r>
      <w:r w:rsidR="004B2138" w:rsidRPr="004B2138">
        <w:rPr>
          <w:rFonts w:asciiTheme="majorHAnsi" w:eastAsia="Times New Roman" w:hAnsiTheme="majorHAnsi" w:cstheme="majorHAnsi"/>
          <w:sz w:val="24"/>
          <w:szCs w:val="24"/>
          <w:lang w:val="ro-MD"/>
        </w:rPr>
        <w:t>выслуге лет</w:t>
      </w:r>
      <w:r w:rsidRPr="00452578">
        <w:rPr>
          <w:rFonts w:asciiTheme="majorHAnsi" w:eastAsia="Times New Roman" w:hAnsiTheme="majorHAnsi" w:cstheme="majorHAnsi"/>
          <w:sz w:val="24"/>
          <w:szCs w:val="24"/>
          <w:lang w:val="ro-MD"/>
        </w:rPr>
        <w:t xml:space="preserve"> бывшим сотрудникам силовых учреждений  </w:t>
      </w:r>
      <w:r w:rsidR="00B31EEA" w:rsidRPr="00B7675F">
        <w:rPr>
          <w:rFonts w:asciiTheme="majorHAnsi" w:hAnsiTheme="majorHAnsi" w:cstheme="majorHAnsi"/>
          <w:i/>
          <w:sz w:val="24"/>
          <w:szCs w:val="24"/>
          <w:lang w:val="ro-MD"/>
        </w:rPr>
        <w:t>(</w:t>
      </w:r>
      <w:r w:rsidR="00AC7F8B">
        <w:rPr>
          <w:rFonts w:asciiTheme="majorHAnsi" w:hAnsiTheme="majorHAnsi" w:cstheme="majorHAnsi"/>
          <w:i/>
          <w:sz w:val="24"/>
          <w:szCs w:val="24"/>
          <w:lang w:val="ro-MD"/>
        </w:rPr>
        <w:t>Замечание</w:t>
      </w:r>
      <w:r w:rsidR="00B31EEA" w:rsidRPr="00B7675F">
        <w:rPr>
          <w:rFonts w:asciiTheme="majorHAnsi" w:hAnsiTheme="majorHAnsi" w:cstheme="majorHAnsi"/>
          <w:i/>
          <w:sz w:val="24"/>
          <w:szCs w:val="24"/>
          <w:lang w:val="ro-MD"/>
        </w:rPr>
        <w:t xml:space="preserve">7.9  – </w:t>
      </w:r>
      <w:r w:rsidR="00AC7F8B">
        <w:rPr>
          <w:rFonts w:asciiTheme="majorHAnsi" w:hAnsiTheme="majorHAnsi" w:cstheme="majorHAnsi"/>
          <w:i/>
          <w:sz w:val="24"/>
          <w:szCs w:val="24"/>
          <w:lang w:val="ro-MD"/>
        </w:rPr>
        <w:t>Раздел</w:t>
      </w:r>
      <w:r w:rsidR="00B31EEA" w:rsidRPr="00B7675F">
        <w:rPr>
          <w:rFonts w:asciiTheme="majorHAnsi" w:hAnsiTheme="majorHAnsi" w:cstheme="majorHAnsi"/>
          <w:i/>
          <w:sz w:val="24"/>
          <w:szCs w:val="24"/>
          <w:lang w:val="ro-MD"/>
        </w:rPr>
        <w:t xml:space="preserve"> VII)</w:t>
      </w:r>
      <w:r w:rsidR="005828EE" w:rsidRPr="00B7675F">
        <w:rPr>
          <w:rFonts w:asciiTheme="majorHAnsi" w:eastAsia="Times New Roman" w:hAnsiTheme="majorHAnsi" w:cstheme="majorHAnsi"/>
          <w:sz w:val="24"/>
          <w:szCs w:val="24"/>
          <w:lang w:val="ro-MD"/>
        </w:rPr>
        <w:t>;</w:t>
      </w:r>
    </w:p>
    <w:p w14:paraId="35379C3B" w14:textId="041CDB8A" w:rsidR="00704708" w:rsidRPr="0038225D" w:rsidRDefault="00452578" w:rsidP="00452578">
      <w:pPr>
        <w:pStyle w:val="aa"/>
        <w:numPr>
          <w:ilvl w:val="0"/>
          <w:numId w:val="35"/>
        </w:numPr>
        <w:spacing w:after="0" w:line="276" w:lineRule="auto"/>
        <w:jc w:val="both"/>
        <w:rPr>
          <w:rFonts w:asciiTheme="majorHAnsi" w:eastAsia="Times New Roman" w:hAnsiTheme="majorHAnsi" w:cstheme="majorHAnsi"/>
          <w:sz w:val="24"/>
          <w:szCs w:val="24"/>
          <w:lang w:val="ro-MD"/>
        </w:rPr>
      </w:pPr>
      <w:r w:rsidRPr="00452578">
        <w:rPr>
          <w:rFonts w:asciiTheme="majorHAnsi" w:eastAsia="Times New Roman" w:hAnsiTheme="majorHAnsi" w:cstheme="majorHAnsi"/>
          <w:sz w:val="24"/>
          <w:szCs w:val="24"/>
          <w:lang w:val="ro-MD"/>
        </w:rPr>
        <w:t xml:space="preserve">Скорректировать </w:t>
      </w:r>
      <w:r w:rsidR="004B2138">
        <w:rPr>
          <w:rFonts w:asciiTheme="majorHAnsi" w:eastAsia="Times New Roman" w:hAnsiTheme="majorHAnsi" w:cstheme="majorHAnsi"/>
          <w:sz w:val="24"/>
          <w:szCs w:val="24"/>
          <w:lang w:val="ro-MD"/>
        </w:rPr>
        <w:t>законодательн</w:t>
      </w:r>
      <w:r w:rsidRPr="00452578">
        <w:rPr>
          <w:rFonts w:asciiTheme="majorHAnsi" w:eastAsia="Times New Roman" w:hAnsiTheme="majorHAnsi" w:cstheme="majorHAnsi"/>
          <w:sz w:val="24"/>
          <w:szCs w:val="24"/>
          <w:lang w:val="ro-MD"/>
        </w:rPr>
        <w:t xml:space="preserve">ую </w:t>
      </w:r>
      <w:r w:rsidR="004B2138" w:rsidRPr="004B2138">
        <w:rPr>
          <w:rFonts w:asciiTheme="majorHAnsi" w:eastAsia="Times New Roman" w:hAnsiTheme="majorHAnsi" w:cstheme="majorHAnsi"/>
          <w:sz w:val="24"/>
          <w:szCs w:val="24"/>
          <w:lang w:val="ro-MD"/>
        </w:rPr>
        <w:t>баз</w:t>
      </w:r>
      <w:r w:rsidR="004B2138">
        <w:rPr>
          <w:rFonts w:asciiTheme="majorHAnsi" w:eastAsia="Times New Roman" w:hAnsiTheme="majorHAnsi" w:cstheme="majorHAnsi"/>
          <w:sz w:val="24"/>
          <w:szCs w:val="24"/>
          <w:lang w:val="ro-MD"/>
        </w:rPr>
        <w:t xml:space="preserve">у </w:t>
      </w:r>
      <w:r w:rsidRPr="00452578">
        <w:rPr>
          <w:rFonts w:asciiTheme="majorHAnsi" w:eastAsia="Times New Roman" w:hAnsiTheme="majorHAnsi" w:cstheme="majorHAnsi"/>
          <w:sz w:val="24"/>
          <w:szCs w:val="24"/>
          <w:lang w:val="ro-MD"/>
        </w:rPr>
        <w:t xml:space="preserve">исчерпывающими положениями </w:t>
      </w:r>
      <w:r w:rsidR="004B2138" w:rsidRPr="004B2138">
        <w:rPr>
          <w:rFonts w:asciiTheme="majorHAnsi" w:eastAsia="Times New Roman" w:hAnsiTheme="majorHAnsi" w:cstheme="majorHAnsi"/>
          <w:sz w:val="24"/>
          <w:szCs w:val="24"/>
          <w:lang w:val="ro-MD"/>
        </w:rPr>
        <w:t xml:space="preserve">относительно </w:t>
      </w:r>
      <w:r w:rsidRPr="00452578">
        <w:rPr>
          <w:rFonts w:asciiTheme="majorHAnsi" w:eastAsia="Times New Roman" w:hAnsiTheme="majorHAnsi" w:cstheme="majorHAnsi"/>
          <w:sz w:val="24"/>
          <w:szCs w:val="24"/>
          <w:lang w:val="ro-MD"/>
        </w:rPr>
        <w:t xml:space="preserve">учреждения, устанавливающего и выплачивающего пенсии лицам, занимавшим пост Президента Республики Молдова  </w:t>
      </w:r>
      <w:r w:rsidR="00B31EEA" w:rsidRPr="0038225D">
        <w:rPr>
          <w:rFonts w:asciiTheme="majorHAnsi" w:hAnsiTheme="majorHAnsi" w:cstheme="majorHAnsi"/>
          <w:i/>
          <w:sz w:val="24"/>
          <w:szCs w:val="24"/>
          <w:lang w:val="ro-MD"/>
        </w:rPr>
        <w:t>(</w:t>
      </w:r>
      <w:r w:rsidR="00AC7F8B">
        <w:rPr>
          <w:rFonts w:asciiTheme="majorHAnsi" w:hAnsiTheme="majorHAnsi" w:cstheme="majorHAnsi"/>
          <w:i/>
          <w:sz w:val="24"/>
          <w:szCs w:val="24"/>
          <w:lang w:val="ro-MD"/>
        </w:rPr>
        <w:t>Замечание</w:t>
      </w:r>
      <w:r w:rsidR="00B31EEA" w:rsidRPr="0038225D">
        <w:rPr>
          <w:rFonts w:asciiTheme="majorHAnsi" w:hAnsiTheme="majorHAnsi" w:cstheme="majorHAnsi"/>
          <w:i/>
          <w:sz w:val="24"/>
          <w:szCs w:val="24"/>
          <w:lang w:val="ro-MD"/>
        </w:rPr>
        <w:t xml:space="preserve"> 7.12 – </w:t>
      </w:r>
      <w:r w:rsidR="00AC7F8B">
        <w:rPr>
          <w:rFonts w:asciiTheme="majorHAnsi" w:hAnsiTheme="majorHAnsi" w:cstheme="majorHAnsi"/>
          <w:i/>
          <w:sz w:val="24"/>
          <w:szCs w:val="24"/>
          <w:lang w:val="ro-MD"/>
        </w:rPr>
        <w:t>Раздел</w:t>
      </w:r>
      <w:r w:rsidR="00B31EEA" w:rsidRPr="0038225D">
        <w:rPr>
          <w:rFonts w:asciiTheme="majorHAnsi" w:hAnsiTheme="majorHAnsi" w:cstheme="majorHAnsi"/>
          <w:i/>
          <w:sz w:val="24"/>
          <w:szCs w:val="24"/>
          <w:lang w:val="ro-MD"/>
        </w:rPr>
        <w:t xml:space="preserve"> VII);</w:t>
      </w:r>
    </w:p>
    <w:p w14:paraId="374FF091" w14:textId="0F3037C6" w:rsidR="005567FD" w:rsidRPr="00B7675F" w:rsidRDefault="00452578" w:rsidP="00452578">
      <w:pPr>
        <w:pStyle w:val="aa"/>
        <w:numPr>
          <w:ilvl w:val="0"/>
          <w:numId w:val="35"/>
        </w:numPr>
        <w:spacing w:after="0" w:line="276" w:lineRule="auto"/>
        <w:jc w:val="both"/>
        <w:rPr>
          <w:rFonts w:asciiTheme="majorHAnsi" w:eastAsia="Times New Roman" w:hAnsiTheme="majorHAnsi" w:cstheme="majorHAnsi"/>
          <w:sz w:val="24"/>
          <w:szCs w:val="24"/>
          <w:lang w:val="ro-MD"/>
        </w:rPr>
      </w:pPr>
      <w:r w:rsidRPr="00452578">
        <w:rPr>
          <w:rFonts w:asciiTheme="majorHAnsi" w:hAnsiTheme="majorHAnsi" w:cstheme="majorHAnsi"/>
          <w:sz w:val="24"/>
          <w:szCs w:val="24"/>
          <w:lang w:val="ro-MD"/>
        </w:rPr>
        <w:t xml:space="preserve">Проанализировать </w:t>
      </w:r>
      <w:r w:rsidR="004B2138" w:rsidRPr="004B2138">
        <w:rPr>
          <w:rFonts w:asciiTheme="majorHAnsi" w:hAnsiTheme="majorHAnsi" w:cstheme="majorHAnsi"/>
          <w:sz w:val="24"/>
          <w:szCs w:val="24"/>
          <w:lang w:val="ro-MD"/>
        </w:rPr>
        <w:t>проблемные аспекты, связанные с</w:t>
      </w:r>
      <w:r w:rsidRPr="00452578">
        <w:rPr>
          <w:rFonts w:asciiTheme="majorHAnsi" w:hAnsiTheme="majorHAnsi" w:cstheme="majorHAnsi"/>
          <w:sz w:val="24"/>
          <w:szCs w:val="24"/>
          <w:lang w:val="ro-MD"/>
        </w:rPr>
        <w:t xml:space="preserve"> процесс</w:t>
      </w:r>
      <w:r w:rsidR="004B2138" w:rsidRPr="004B2138">
        <w:rPr>
          <w:rFonts w:asciiTheme="majorHAnsi" w:hAnsiTheme="majorHAnsi" w:cstheme="majorHAnsi"/>
          <w:sz w:val="24"/>
          <w:szCs w:val="24"/>
          <w:lang w:val="ro-MD"/>
        </w:rPr>
        <w:t>ом</w:t>
      </w:r>
      <w:r w:rsidRPr="00452578">
        <w:rPr>
          <w:rFonts w:asciiTheme="majorHAnsi" w:hAnsiTheme="majorHAnsi" w:cstheme="majorHAnsi"/>
          <w:sz w:val="24"/>
          <w:szCs w:val="24"/>
          <w:lang w:val="ro-MD"/>
        </w:rPr>
        <w:t xml:space="preserve"> установления, расчета и </w:t>
      </w:r>
      <w:r w:rsidR="004B2138" w:rsidRPr="004B2138">
        <w:rPr>
          <w:rFonts w:asciiTheme="majorHAnsi" w:hAnsiTheme="majorHAnsi" w:cstheme="majorHAnsi"/>
          <w:sz w:val="24"/>
          <w:szCs w:val="24"/>
          <w:lang w:val="ro-MD"/>
        </w:rPr>
        <w:t>вы</w:t>
      </w:r>
      <w:r w:rsidRPr="00452578">
        <w:rPr>
          <w:rFonts w:asciiTheme="majorHAnsi" w:hAnsiTheme="majorHAnsi" w:cstheme="majorHAnsi"/>
          <w:sz w:val="24"/>
          <w:szCs w:val="24"/>
          <w:lang w:val="ro-MD"/>
        </w:rPr>
        <w:t>платы социально</w:t>
      </w:r>
      <w:r w:rsidR="004B2138" w:rsidRPr="004B2138">
        <w:rPr>
          <w:rFonts w:asciiTheme="majorHAnsi" w:hAnsiTheme="majorHAnsi" w:cstheme="majorHAnsi"/>
          <w:sz w:val="24"/>
          <w:szCs w:val="24"/>
          <w:lang w:val="ro-MD"/>
        </w:rPr>
        <w:t>го пособия и пособия на</w:t>
      </w:r>
      <w:r w:rsidRPr="00452578">
        <w:rPr>
          <w:rFonts w:asciiTheme="majorHAnsi" w:hAnsiTheme="majorHAnsi" w:cstheme="majorHAnsi"/>
          <w:sz w:val="24"/>
          <w:szCs w:val="24"/>
          <w:lang w:val="ro-MD"/>
        </w:rPr>
        <w:t xml:space="preserve"> холодн</w:t>
      </w:r>
      <w:r w:rsidR="004B2138" w:rsidRPr="004B2138">
        <w:rPr>
          <w:rFonts w:asciiTheme="majorHAnsi" w:hAnsiTheme="majorHAnsi" w:cstheme="majorHAnsi"/>
          <w:sz w:val="24"/>
          <w:szCs w:val="24"/>
          <w:lang w:val="ro-MD"/>
        </w:rPr>
        <w:t>ый</w:t>
      </w:r>
      <w:r w:rsidRPr="00452578">
        <w:rPr>
          <w:rFonts w:asciiTheme="majorHAnsi" w:hAnsiTheme="majorHAnsi" w:cstheme="majorHAnsi"/>
          <w:sz w:val="24"/>
          <w:szCs w:val="24"/>
          <w:lang w:val="ro-MD"/>
        </w:rPr>
        <w:t xml:space="preserve"> </w:t>
      </w:r>
      <w:r w:rsidR="004B2138" w:rsidRPr="004B2138">
        <w:rPr>
          <w:rFonts w:asciiTheme="majorHAnsi" w:hAnsiTheme="majorHAnsi" w:cstheme="majorHAnsi"/>
          <w:sz w:val="24"/>
          <w:szCs w:val="24"/>
          <w:lang w:val="ro-MD"/>
        </w:rPr>
        <w:t>период</w:t>
      </w:r>
      <w:r w:rsidRPr="00452578">
        <w:rPr>
          <w:rFonts w:asciiTheme="majorHAnsi" w:hAnsiTheme="majorHAnsi" w:cstheme="majorHAnsi"/>
          <w:sz w:val="24"/>
          <w:szCs w:val="24"/>
          <w:lang w:val="ro-MD"/>
        </w:rPr>
        <w:t xml:space="preserve"> года, </w:t>
      </w:r>
      <w:r w:rsidR="004B2138" w:rsidRPr="004B2138">
        <w:rPr>
          <w:rFonts w:asciiTheme="majorHAnsi" w:hAnsiTheme="majorHAnsi" w:cstheme="majorHAnsi"/>
          <w:sz w:val="24"/>
          <w:szCs w:val="24"/>
          <w:lang w:val="ro-MD"/>
        </w:rPr>
        <w:t xml:space="preserve">с </w:t>
      </w:r>
      <w:r w:rsidRPr="00452578">
        <w:rPr>
          <w:rFonts w:asciiTheme="majorHAnsi" w:hAnsiTheme="majorHAnsi" w:cstheme="majorHAnsi"/>
          <w:sz w:val="24"/>
          <w:szCs w:val="24"/>
          <w:lang w:val="ro-MD"/>
        </w:rPr>
        <w:t>пр</w:t>
      </w:r>
      <w:r w:rsidR="004B2138" w:rsidRPr="004B2138">
        <w:rPr>
          <w:rFonts w:asciiTheme="majorHAnsi" w:hAnsiTheme="majorHAnsi" w:cstheme="majorHAnsi"/>
          <w:sz w:val="24"/>
          <w:szCs w:val="24"/>
          <w:lang w:val="ro-MD"/>
        </w:rPr>
        <w:t>инятием</w:t>
      </w:r>
      <w:r w:rsidRPr="00452578">
        <w:rPr>
          <w:rFonts w:asciiTheme="majorHAnsi" w:hAnsiTheme="majorHAnsi" w:cstheme="majorHAnsi"/>
          <w:sz w:val="24"/>
          <w:szCs w:val="24"/>
          <w:lang w:val="ro-MD"/>
        </w:rPr>
        <w:t xml:space="preserve"> конкретны</w:t>
      </w:r>
      <w:r w:rsidR="004B2138" w:rsidRPr="004B2138">
        <w:rPr>
          <w:rFonts w:asciiTheme="majorHAnsi" w:hAnsiTheme="majorHAnsi" w:cstheme="majorHAnsi"/>
          <w:sz w:val="24"/>
          <w:szCs w:val="24"/>
          <w:lang w:val="ro-MD"/>
        </w:rPr>
        <w:t>х</w:t>
      </w:r>
      <w:r w:rsidRPr="00452578">
        <w:rPr>
          <w:rFonts w:asciiTheme="majorHAnsi" w:hAnsiTheme="majorHAnsi" w:cstheme="majorHAnsi"/>
          <w:sz w:val="24"/>
          <w:szCs w:val="24"/>
          <w:lang w:val="ro-MD"/>
        </w:rPr>
        <w:t xml:space="preserve"> действи</w:t>
      </w:r>
      <w:r w:rsidR="004B2138" w:rsidRPr="004B2138">
        <w:rPr>
          <w:rFonts w:asciiTheme="majorHAnsi" w:hAnsiTheme="majorHAnsi" w:cstheme="majorHAnsi"/>
          <w:sz w:val="24"/>
          <w:szCs w:val="24"/>
          <w:lang w:val="ro-MD"/>
        </w:rPr>
        <w:t>й</w:t>
      </w:r>
      <w:r w:rsidRPr="00452578">
        <w:rPr>
          <w:rFonts w:asciiTheme="majorHAnsi" w:hAnsiTheme="majorHAnsi" w:cstheme="majorHAnsi"/>
          <w:sz w:val="24"/>
          <w:szCs w:val="24"/>
          <w:lang w:val="ro-MD"/>
        </w:rPr>
        <w:t xml:space="preserve"> </w:t>
      </w:r>
      <w:r w:rsidR="004B2138" w:rsidRPr="004B2138">
        <w:rPr>
          <w:rFonts w:asciiTheme="majorHAnsi" w:hAnsiTheme="majorHAnsi" w:cstheme="majorHAnsi"/>
          <w:sz w:val="24"/>
          <w:szCs w:val="24"/>
          <w:lang w:val="ro-MD"/>
        </w:rPr>
        <w:t>для исключения</w:t>
      </w:r>
      <w:r w:rsidRPr="00452578">
        <w:rPr>
          <w:rFonts w:asciiTheme="majorHAnsi" w:hAnsiTheme="majorHAnsi" w:cstheme="majorHAnsi"/>
          <w:sz w:val="24"/>
          <w:szCs w:val="24"/>
          <w:lang w:val="ro-MD"/>
        </w:rPr>
        <w:t xml:space="preserve"> нео</w:t>
      </w:r>
      <w:r w:rsidR="004B2138" w:rsidRPr="004B2138">
        <w:rPr>
          <w:rFonts w:asciiTheme="majorHAnsi" w:hAnsiTheme="majorHAnsi" w:cstheme="majorHAnsi"/>
          <w:sz w:val="24"/>
          <w:szCs w:val="24"/>
          <w:lang w:val="ro-MD"/>
        </w:rPr>
        <w:t>боснов</w:t>
      </w:r>
      <w:r w:rsidRPr="00452578">
        <w:rPr>
          <w:rFonts w:asciiTheme="majorHAnsi" w:hAnsiTheme="majorHAnsi" w:cstheme="majorHAnsi"/>
          <w:sz w:val="24"/>
          <w:szCs w:val="24"/>
          <w:lang w:val="ro-MD"/>
        </w:rPr>
        <w:t xml:space="preserve">анных расходов </w:t>
      </w:r>
      <w:r w:rsidR="00B31EEA" w:rsidRPr="00B7675F">
        <w:rPr>
          <w:rFonts w:asciiTheme="majorHAnsi" w:hAnsiTheme="majorHAnsi" w:cstheme="majorHAnsi"/>
          <w:i/>
          <w:sz w:val="24"/>
          <w:szCs w:val="24"/>
          <w:lang w:val="ro-MD"/>
        </w:rPr>
        <w:t>(</w:t>
      </w:r>
      <w:r w:rsidR="00AC7F8B">
        <w:rPr>
          <w:rFonts w:asciiTheme="majorHAnsi" w:hAnsiTheme="majorHAnsi" w:cstheme="majorHAnsi"/>
          <w:i/>
          <w:sz w:val="24"/>
          <w:szCs w:val="24"/>
          <w:lang w:val="ro-MD"/>
        </w:rPr>
        <w:t>Замечание</w:t>
      </w:r>
      <w:r w:rsidR="00B31EEA" w:rsidRPr="00B7675F">
        <w:rPr>
          <w:rFonts w:asciiTheme="majorHAnsi" w:hAnsiTheme="majorHAnsi" w:cstheme="majorHAnsi"/>
          <w:i/>
          <w:sz w:val="24"/>
          <w:szCs w:val="24"/>
          <w:lang w:val="ro-MD"/>
        </w:rPr>
        <w:t xml:space="preserve"> 6.3 – </w:t>
      </w:r>
      <w:r w:rsidR="00AC7F8B">
        <w:rPr>
          <w:rFonts w:asciiTheme="majorHAnsi" w:hAnsiTheme="majorHAnsi" w:cstheme="majorHAnsi"/>
          <w:i/>
          <w:sz w:val="24"/>
          <w:szCs w:val="24"/>
          <w:lang w:val="ro-MD"/>
        </w:rPr>
        <w:t>Раздел</w:t>
      </w:r>
      <w:r w:rsidR="00B31EEA" w:rsidRPr="00B7675F">
        <w:rPr>
          <w:rFonts w:asciiTheme="majorHAnsi" w:hAnsiTheme="majorHAnsi" w:cstheme="majorHAnsi"/>
          <w:i/>
          <w:sz w:val="24"/>
          <w:szCs w:val="24"/>
          <w:lang w:val="ro-MD"/>
        </w:rPr>
        <w:t xml:space="preserve"> VI);</w:t>
      </w:r>
    </w:p>
    <w:p w14:paraId="3309C0FA" w14:textId="527A9DF8" w:rsidR="00EA2984" w:rsidRPr="00736448" w:rsidRDefault="008D6CDB" w:rsidP="00452578">
      <w:pPr>
        <w:pStyle w:val="aa"/>
        <w:numPr>
          <w:ilvl w:val="0"/>
          <w:numId w:val="35"/>
        </w:numPr>
        <w:spacing w:after="0" w:line="276" w:lineRule="auto"/>
        <w:jc w:val="both"/>
        <w:rPr>
          <w:rFonts w:asciiTheme="majorHAnsi" w:hAnsiTheme="majorHAnsi" w:cstheme="majorHAnsi"/>
          <w:sz w:val="24"/>
          <w:szCs w:val="24"/>
          <w:lang w:val="ro-MD"/>
        </w:rPr>
      </w:pPr>
      <w:r w:rsidRPr="008D6CDB">
        <w:rPr>
          <w:rFonts w:asciiTheme="majorHAnsi" w:hAnsiTheme="majorHAnsi" w:cstheme="majorHAnsi"/>
          <w:sz w:val="24"/>
          <w:szCs w:val="24"/>
          <w:lang w:val="ro-RO"/>
        </w:rPr>
        <w:t xml:space="preserve">Разработать и внести предложения по корректировке нормативной базы </w:t>
      </w:r>
      <w:r w:rsidRPr="008D6CDB">
        <w:rPr>
          <w:rFonts w:asciiTheme="majorHAnsi" w:hAnsiTheme="majorHAnsi" w:cstheme="majorHAnsi"/>
          <w:sz w:val="24"/>
          <w:szCs w:val="24"/>
          <w:lang w:val="ru-RU"/>
        </w:rPr>
        <w:t>для</w:t>
      </w:r>
      <w:r w:rsidRPr="008D6CDB">
        <w:rPr>
          <w:rFonts w:asciiTheme="majorHAnsi" w:hAnsiTheme="majorHAnsi" w:cstheme="majorHAnsi"/>
          <w:sz w:val="24"/>
          <w:szCs w:val="24"/>
          <w:lang w:val="ro-RO"/>
        </w:rPr>
        <w:t xml:space="preserve"> </w:t>
      </w:r>
      <w:r w:rsidRPr="008D6CDB">
        <w:rPr>
          <w:rFonts w:asciiTheme="majorHAnsi" w:hAnsiTheme="majorHAnsi" w:cstheme="majorHAnsi"/>
          <w:sz w:val="24"/>
          <w:szCs w:val="24"/>
          <w:lang w:val="ru-RU"/>
        </w:rPr>
        <w:t>исчерпывающего</w:t>
      </w:r>
      <w:r w:rsidRPr="008D6CDB">
        <w:rPr>
          <w:rFonts w:asciiTheme="majorHAnsi" w:hAnsiTheme="majorHAnsi" w:cstheme="majorHAnsi"/>
          <w:sz w:val="24"/>
          <w:szCs w:val="24"/>
          <w:lang w:val="ro-RO"/>
        </w:rPr>
        <w:t xml:space="preserve"> определени</w:t>
      </w:r>
      <w:r w:rsidRPr="008D6CDB">
        <w:rPr>
          <w:rFonts w:asciiTheme="majorHAnsi" w:hAnsiTheme="majorHAnsi" w:cstheme="majorHAnsi"/>
          <w:sz w:val="24"/>
          <w:szCs w:val="24"/>
          <w:lang w:val="ru-RU"/>
        </w:rPr>
        <w:t>я</w:t>
      </w:r>
      <w:r w:rsidRPr="008D6CDB">
        <w:rPr>
          <w:rFonts w:asciiTheme="majorHAnsi" w:hAnsiTheme="majorHAnsi" w:cstheme="majorHAnsi"/>
          <w:sz w:val="24"/>
          <w:szCs w:val="24"/>
          <w:lang w:val="ro-RO"/>
        </w:rPr>
        <w:t xml:space="preserve"> категорий </w:t>
      </w:r>
      <w:r w:rsidRPr="008D6CDB">
        <w:rPr>
          <w:rFonts w:asciiTheme="majorHAnsi" w:hAnsiTheme="majorHAnsi" w:cstheme="majorHAnsi"/>
          <w:sz w:val="24"/>
          <w:szCs w:val="24"/>
          <w:lang w:val="ru-RU"/>
        </w:rPr>
        <w:t>сотруд</w:t>
      </w:r>
      <w:r w:rsidRPr="008D6CDB">
        <w:rPr>
          <w:rFonts w:asciiTheme="majorHAnsi" w:hAnsiTheme="majorHAnsi" w:cstheme="majorHAnsi"/>
          <w:sz w:val="24"/>
          <w:szCs w:val="24"/>
          <w:lang w:val="ro-RO"/>
        </w:rPr>
        <w:t>ников гражданской авиации, имеющих право на специальную пенсию</w:t>
      </w:r>
      <w:r w:rsidRPr="008D6CDB">
        <w:rPr>
          <w:rFonts w:asciiTheme="majorHAnsi" w:hAnsiTheme="majorHAnsi" w:cstheme="majorHAnsi"/>
          <w:sz w:val="24"/>
          <w:szCs w:val="24"/>
          <w:lang w:val="ro-MD"/>
        </w:rPr>
        <w:t xml:space="preserve"> </w:t>
      </w:r>
      <w:r w:rsidR="00EA2984" w:rsidRPr="00736448">
        <w:rPr>
          <w:rFonts w:asciiTheme="majorHAnsi" w:hAnsiTheme="majorHAnsi" w:cstheme="majorHAnsi"/>
          <w:i/>
          <w:sz w:val="24"/>
          <w:szCs w:val="24"/>
          <w:lang w:val="ro-MD"/>
        </w:rPr>
        <w:t>(</w:t>
      </w:r>
      <w:r>
        <w:rPr>
          <w:rFonts w:asciiTheme="majorHAnsi" w:hAnsiTheme="majorHAnsi" w:cstheme="majorHAnsi"/>
          <w:i/>
          <w:sz w:val="24"/>
          <w:szCs w:val="24"/>
          <w:lang w:val="ru-RU"/>
        </w:rPr>
        <w:t>повтор</w:t>
      </w:r>
      <w:r w:rsidR="00EA2984" w:rsidRPr="00736448">
        <w:rPr>
          <w:rFonts w:asciiTheme="majorHAnsi" w:hAnsiTheme="majorHAnsi" w:cstheme="majorHAnsi"/>
          <w:i/>
          <w:sz w:val="24"/>
          <w:szCs w:val="24"/>
          <w:lang w:val="ro-MD"/>
        </w:rPr>
        <w:t>);</w:t>
      </w:r>
      <w:r w:rsidR="000C70BE" w:rsidRPr="000C70BE">
        <w:rPr>
          <w:rFonts w:asciiTheme="majorHAnsi" w:hAnsiTheme="majorHAnsi" w:cstheme="majorHAnsi"/>
          <w:i/>
          <w:sz w:val="24"/>
          <w:szCs w:val="24"/>
          <w:lang w:val="ro-MD"/>
        </w:rPr>
        <w:t xml:space="preserve"> </w:t>
      </w:r>
    </w:p>
    <w:p w14:paraId="09BD3984" w14:textId="65C5C545" w:rsidR="00EA2984" w:rsidRPr="00736448" w:rsidRDefault="008D6CDB" w:rsidP="00452578">
      <w:pPr>
        <w:pStyle w:val="aa"/>
        <w:numPr>
          <w:ilvl w:val="0"/>
          <w:numId w:val="35"/>
        </w:numPr>
        <w:spacing w:after="0" w:line="276" w:lineRule="auto"/>
        <w:jc w:val="both"/>
        <w:rPr>
          <w:rFonts w:asciiTheme="majorHAnsi" w:hAnsiTheme="majorHAnsi" w:cstheme="majorHAnsi"/>
          <w:sz w:val="24"/>
          <w:szCs w:val="24"/>
          <w:lang w:val="ro-MD"/>
        </w:rPr>
      </w:pPr>
      <w:r w:rsidRPr="008D6CDB">
        <w:rPr>
          <w:rFonts w:asciiTheme="majorHAnsi" w:hAnsiTheme="majorHAnsi" w:cstheme="majorHAnsi"/>
          <w:sz w:val="24"/>
          <w:szCs w:val="24"/>
          <w:lang w:val="ro-RO"/>
        </w:rPr>
        <w:t>Разработать исчерпывающие положения о прекращении/приостановлении выплаты пенсии работникам гражданской авиации в случае их повторного трудоустройства на должности, условия работы которых относятся к категории специальных условий</w:t>
      </w:r>
      <w:r w:rsidRPr="008D6CDB">
        <w:rPr>
          <w:rFonts w:asciiTheme="majorHAnsi" w:hAnsiTheme="majorHAnsi" w:cstheme="majorHAnsi"/>
          <w:sz w:val="24"/>
          <w:szCs w:val="24"/>
          <w:lang w:val="ro-MD"/>
        </w:rPr>
        <w:t xml:space="preserve"> </w:t>
      </w:r>
      <w:r w:rsidR="00EA2984" w:rsidRPr="00736448">
        <w:rPr>
          <w:rFonts w:asciiTheme="majorHAnsi" w:hAnsiTheme="majorHAnsi" w:cstheme="majorHAnsi"/>
          <w:i/>
          <w:sz w:val="24"/>
          <w:szCs w:val="24"/>
          <w:lang w:val="ro-MD"/>
        </w:rPr>
        <w:t>(</w:t>
      </w:r>
      <w:r w:rsidRPr="008D6CDB">
        <w:rPr>
          <w:rFonts w:asciiTheme="majorHAnsi" w:hAnsiTheme="majorHAnsi" w:cstheme="majorHAnsi"/>
          <w:i/>
          <w:sz w:val="24"/>
          <w:szCs w:val="24"/>
          <w:lang w:val="ro-MD"/>
        </w:rPr>
        <w:t>повтор</w:t>
      </w:r>
      <w:r w:rsidR="00EA2984" w:rsidRPr="00736448">
        <w:rPr>
          <w:rFonts w:asciiTheme="majorHAnsi" w:hAnsiTheme="majorHAnsi" w:cstheme="majorHAnsi"/>
          <w:i/>
          <w:sz w:val="24"/>
          <w:szCs w:val="24"/>
          <w:lang w:val="ro-MD"/>
        </w:rPr>
        <w:t>);</w:t>
      </w:r>
    </w:p>
    <w:p w14:paraId="5B783811" w14:textId="42393352" w:rsidR="00FD0E96" w:rsidRPr="00B7675F" w:rsidRDefault="00855FDB" w:rsidP="00FD0E96">
      <w:pPr>
        <w:spacing w:after="0" w:line="276" w:lineRule="auto"/>
        <w:jc w:val="both"/>
        <w:rPr>
          <w:rFonts w:asciiTheme="majorHAnsi" w:eastAsia="Times New Roman" w:hAnsiTheme="majorHAnsi" w:cstheme="majorHAnsi"/>
          <w:b/>
          <w:sz w:val="24"/>
          <w:szCs w:val="24"/>
          <w:lang w:val="ro-MD"/>
        </w:rPr>
      </w:pPr>
      <w:r w:rsidRPr="00E51C74">
        <w:rPr>
          <w:rFonts w:asciiTheme="majorHAnsi" w:hAnsiTheme="majorHAnsi" w:cstheme="majorHAnsi"/>
          <w:b/>
          <w:bCs/>
          <w:iCs/>
          <w:sz w:val="24"/>
          <w:szCs w:val="24"/>
          <w:lang w:val="ro-RO"/>
        </w:rPr>
        <w:t>Рекомендаци</w:t>
      </w:r>
      <w:r>
        <w:rPr>
          <w:rFonts w:asciiTheme="majorHAnsi" w:hAnsiTheme="majorHAnsi" w:cstheme="majorHAnsi"/>
          <w:b/>
          <w:bCs/>
          <w:iCs/>
          <w:sz w:val="24"/>
          <w:szCs w:val="24"/>
          <w:lang w:val="ru-RU"/>
        </w:rPr>
        <w:t>и</w:t>
      </w:r>
      <w:r w:rsidRPr="00E51C74">
        <w:rPr>
          <w:rFonts w:asciiTheme="majorHAnsi" w:hAnsiTheme="majorHAnsi" w:cstheme="majorHAnsi"/>
          <w:b/>
          <w:bCs/>
          <w:iCs/>
          <w:sz w:val="24"/>
          <w:szCs w:val="24"/>
          <w:lang w:val="ro-RO"/>
        </w:rPr>
        <w:t xml:space="preserve"> М</w:t>
      </w:r>
      <w:r w:rsidRPr="00E51C74">
        <w:rPr>
          <w:rFonts w:asciiTheme="majorHAnsi" w:hAnsiTheme="majorHAnsi" w:cstheme="majorHAnsi"/>
          <w:b/>
          <w:bCs/>
          <w:iCs/>
          <w:sz w:val="24"/>
          <w:szCs w:val="24"/>
          <w:lang w:val="ru-RU"/>
        </w:rPr>
        <w:t xml:space="preserve">инистерству </w:t>
      </w:r>
      <w:r>
        <w:rPr>
          <w:rFonts w:asciiTheme="majorHAnsi" w:hAnsiTheme="majorHAnsi" w:cstheme="majorHAnsi"/>
          <w:b/>
          <w:bCs/>
          <w:iCs/>
          <w:sz w:val="24"/>
          <w:szCs w:val="24"/>
          <w:lang w:val="ru-RU"/>
        </w:rPr>
        <w:t>здравоохранения</w:t>
      </w:r>
    </w:p>
    <w:p w14:paraId="2E0BD638" w14:textId="6E5344A3" w:rsidR="00FD0E96" w:rsidRPr="0038225D" w:rsidRDefault="00452578" w:rsidP="00452578">
      <w:pPr>
        <w:pStyle w:val="a6"/>
        <w:numPr>
          <w:ilvl w:val="0"/>
          <w:numId w:val="35"/>
        </w:numPr>
        <w:spacing w:line="276" w:lineRule="auto"/>
        <w:rPr>
          <w:rFonts w:asciiTheme="majorHAnsi" w:hAnsiTheme="majorHAnsi" w:cstheme="majorHAnsi"/>
          <w:lang w:val="ro-MD"/>
        </w:rPr>
      </w:pPr>
      <w:r w:rsidRPr="00452578">
        <w:rPr>
          <w:rFonts w:asciiTheme="majorHAnsi" w:hAnsiTheme="majorHAnsi" w:cstheme="majorHAnsi"/>
          <w:lang w:val="ro-MD"/>
        </w:rPr>
        <w:t xml:space="preserve">Принять </w:t>
      </w:r>
      <w:r w:rsidR="00AB5B18" w:rsidRPr="00AB5B18">
        <w:rPr>
          <w:rFonts w:asciiTheme="majorHAnsi" w:hAnsiTheme="majorHAnsi" w:cstheme="majorHAnsi"/>
          <w:lang w:val="ro-MD"/>
        </w:rPr>
        <w:t>меры</w:t>
      </w:r>
      <w:r w:rsidRPr="00452578">
        <w:rPr>
          <w:rFonts w:asciiTheme="majorHAnsi" w:hAnsiTheme="majorHAnsi" w:cstheme="majorHAnsi"/>
          <w:lang w:val="ro-MD"/>
        </w:rPr>
        <w:t xml:space="preserve"> по созданию/раз</w:t>
      </w:r>
      <w:r w:rsidR="00AB5B18" w:rsidRPr="00AB5B18">
        <w:rPr>
          <w:rFonts w:asciiTheme="majorHAnsi" w:hAnsiTheme="majorHAnsi" w:cstheme="majorHAnsi"/>
          <w:lang w:val="ro-MD"/>
        </w:rPr>
        <w:t>работке</w:t>
      </w:r>
      <w:r w:rsidRPr="00452578">
        <w:rPr>
          <w:rFonts w:asciiTheme="majorHAnsi" w:hAnsiTheme="majorHAnsi" w:cstheme="majorHAnsi"/>
          <w:lang w:val="ro-MD"/>
        </w:rPr>
        <w:t xml:space="preserve"> автоматизированной медицинской информационной системы, которая позволит оперативно регистрировать </w:t>
      </w:r>
      <w:r w:rsidR="00AB5B18" w:rsidRPr="00AB5B18">
        <w:rPr>
          <w:rFonts w:asciiTheme="majorHAnsi" w:hAnsiTheme="majorHAnsi" w:cstheme="majorHAnsi"/>
          <w:lang w:val="ro-MD"/>
        </w:rPr>
        <w:t xml:space="preserve">факт </w:t>
      </w:r>
      <w:r w:rsidRPr="00452578">
        <w:rPr>
          <w:rFonts w:asciiTheme="majorHAnsi" w:hAnsiTheme="majorHAnsi" w:cstheme="majorHAnsi"/>
          <w:lang w:val="ro-MD"/>
        </w:rPr>
        <w:t>смерт</w:t>
      </w:r>
      <w:r w:rsidR="00AB5B18" w:rsidRPr="00AB5B18">
        <w:rPr>
          <w:rFonts w:asciiTheme="majorHAnsi" w:hAnsiTheme="majorHAnsi" w:cstheme="majorHAnsi"/>
          <w:lang w:val="ro-MD"/>
        </w:rPr>
        <w:t>и</w:t>
      </w:r>
      <w:r w:rsidRPr="00452578">
        <w:rPr>
          <w:rFonts w:asciiTheme="majorHAnsi" w:hAnsiTheme="majorHAnsi" w:cstheme="majorHAnsi"/>
          <w:lang w:val="ro-MD"/>
        </w:rPr>
        <w:t xml:space="preserve"> </w:t>
      </w:r>
      <w:r w:rsidR="00AB5B18" w:rsidRPr="00AB5B18">
        <w:rPr>
          <w:rFonts w:asciiTheme="majorHAnsi" w:hAnsiTheme="majorHAnsi" w:cstheme="majorHAnsi"/>
          <w:lang w:val="ro-MD"/>
        </w:rPr>
        <w:t>лиц</w:t>
      </w:r>
      <w:r w:rsidRPr="00452578">
        <w:rPr>
          <w:rFonts w:asciiTheme="majorHAnsi" w:hAnsiTheme="majorHAnsi" w:cstheme="majorHAnsi"/>
          <w:lang w:val="ro-MD"/>
        </w:rPr>
        <w:t xml:space="preserve"> и обновл</w:t>
      </w:r>
      <w:r w:rsidR="00AB5B18" w:rsidRPr="00AB5B18">
        <w:rPr>
          <w:rFonts w:asciiTheme="majorHAnsi" w:hAnsiTheme="majorHAnsi" w:cstheme="majorHAnsi"/>
          <w:lang w:val="ro-MD"/>
        </w:rPr>
        <w:t>ение</w:t>
      </w:r>
      <w:r w:rsidRPr="00452578">
        <w:rPr>
          <w:rFonts w:asciiTheme="majorHAnsi" w:hAnsiTheme="majorHAnsi" w:cstheme="majorHAnsi"/>
          <w:lang w:val="ro-MD"/>
        </w:rPr>
        <w:t xml:space="preserve"> </w:t>
      </w:r>
      <w:r w:rsidR="00AB5B18" w:rsidRPr="00AB5B18">
        <w:rPr>
          <w:rFonts w:asciiTheme="majorHAnsi" w:hAnsiTheme="majorHAnsi" w:cstheme="majorHAnsi"/>
          <w:lang w:val="ro-MD"/>
        </w:rPr>
        <w:t xml:space="preserve">данных </w:t>
      </w:r>
      <w:r w:rsidRPr="00452578">
        <w:rPr>
          <w:rFonts w:asciiTheme="majorHAnsi" w:hAnsiTheme="majorHAnsi" w:cstheme="majorHAnsi"/>
          <w:lang w:val="ro-MD"/>
        </w:rPr>
        <w:t xml:space="preserve">в </w:t>
      </w:r>
      <w:r w:rsidR="00AB5B18" w:rsidRPr="00AB5B18">
        <w:rPr>
          <w:rFonts w:asciiTheme="majorHAnsi" w:hAnsiTheme="majorHAnsi" w:cstheme="majorHAnsi"/>
          <w:lang w:val="ro-MD"/>
        </w:rPr>
        <w:t>Г</w:t>
      </w:r>
      <w:r w:rsidRPr="00452578">
        <w:rPr>
          <w:rFonts w:asciiTheme="majorHAnsi" w:hAnsiTheme="majorHAnsi" w:cstheme="majorHAnsi"/>
          <w:lang w:val="ro-MD"/>
        </w:rPr>
        <w:t>осударственном ре</w:t>
      </w:r>
      <w:r w:rsidR="00AB5B18" w:rsidRPr="00AB5B18">
        <w:rPr>
          <w:rFonts w:asciiTheme="majorHAnsi" w:hAnsiTheme="majorHAnsi" w:cstheme="majorHAnsi"/>
          <w:lang w:val="ro-MD"/>
        </w:rPr>
        <w:t>ги</w:t>
      </w:r>
      <w:r w:rsidRPr="00452578">
        <w:rPr>
          <w:rFonts w:asciiTheme="majorHAnsi" w:hAnsiTheme="majorHAnsi" w:cstheme="majorHAnsi"/>
          <w:lang w:val="ro-MD"/>
        </w:rPr>
        <w:t xml:space="preserve">стре населения  </w:t>
      </w:r>
      <w:r w:rsidR="003B3AE8" w:rsidRPr="0038225D">
        <w:rPr>
          <w:rFonts w:asciiTheme="majorHAnsi" w:hAnsiTheme="majorHAnsi" w:cstheme="majorHAnsi"/>
          <w:i/>
          <w:lang w:val="ro-MD"/>
        </w:rPr>
        <w:t>(</w:t>
      </w:r>
      <w:r w:rsidR="00AC7F8B">
        <w:rPr>
          <w:rFonts w:asciiTheme="majorHAnsi" w:hAnsiTheme="majorHAnsi" w:cstheme="majorHAnsi"/>
          <w:i/>
          <w:lang w:val="ro-MD"/>
        </w:rPr>
        <w:t>Замечание</w:t>
      </w:r>
      <w:r w:rsidR="003B3AE8" w:rsidRPr="0038225D">
        <w:rPr>
          <w:rFonts w:asciiTheme="majorHAnsi" w:hAnsiTheme="majorHAnsi" w:cstheme="majorHAnsi"/>
          <w:i/>
          <w:lang w:val="ro-MD"/>
        </w:rPr>
        <w:t xml:space="preserve"> 6.4 – </w:t>
      </w:r>
      <w:r w:rsidR="00AC7F8B">
        <w:rPr>
          <w:rFonts w:asciiTheme="majorHAnsi" w:hAnsiTheme="majorHAnsi" w:cstheme="majorHAnsi"/>
          <w:i/>
          <w:lang w:val="ro-MD"/>
        </w:rPr>
        <w:t>Раздел</w:t>
      </w:r>
      <w:r w:rsidR="003B3AE8" w:rsidRPr="0038225D">
        <w:rPr>
          <w:rFonts w:asciiTheme="majorHAnsi" w:hAnsiTheme="majorHAnsi" w:cstheme="majorHAnsi"/>
          <w:i/>
          <w:lang w:val="ro-MD"/>
        </w:rPr>
        <w:t xml:space="preserve"> VI);</w:t>
      </w:r>
    </w:p>
    <w:p w14:paraId="7671CA5B" w14:textId="27CBE452" w:rsidR="00FD0E96" w:rsidRPr="00B7675F" w:rsidRDefault="00AB5B18" w:rsidP="00452578">
      <w:pPr>
        <w:pStyle w:val="a6"/>
        <w:numPr>
          <w:ilvl w:val="0"/>
          <w:numId w:val="35"/>
        </w:numPr>
        <w:spacing w:line="276" w:lineRule="auto"/>
        <w:rPr>
          <w:rFonts w:asciiTheme="majorHAnsi" w:hAnsiTheme="majorHAnsi" w:cstheme="majorHAnsi"/>
          <w:lang w:val="ro-MD"/>
        </w:rPr>
      </w:pPr>
      <w:r w:rsidRPr="00AB5B18">
        <w:rPr>
          <w:rFonts w:asciiTheme="majorHAnsi" w:hAnsiTheme="majorHAnsi" w:cstheme="majorHAnsi"/>
          <w:lang w:val="ro-RO"/>
        </w:rPr>
        <w:t>Обеспечить действия по повышени</w:t>
      </w:r>
      <w:r w:rsidRPr="00AB5B18">
        <w:rPr>
          <w:rFonts w:asciiTheme="majorHAnsi" w:hAnsiTheme="majorHAnsi" w:cstheme="majorHAnsi"/>
          <w:lang w:val="ro-MD"/>
        </w:rPr>
        <w:t>ю</w:t>
      </w:r>
      <w:r w:rsidRPr="00AB5B18">
        <w:rPr>
          <w:rFonts w:asciiTheme="majorHAnsi" w:hAnsiTheme="majorHAnsi" w:cstheme="majorHAnsi"/>
          <w:lang w:val="ro-RO"/>
        </w:rPr>
        <w:t xml:space="preserve"> эффективности постоянного контроля за правильностью и полнотой данных, введенных на Портале Больничных листов, с соблюдением установленных сроков</w:t>
      </w:r>
      <w:r w:rsidRPr="00AB5B18">
        <w:rPr>
          <w:rFonts w:asciiTheme="majorHAnsi" w:hAnsiTheme="majorHAnsi" w:cstheme="majorHAnsi"/>
          <w:lang w:val="ro-MD"/>
        </w:rPr>
        <w:t xml:space="preserve"> </w:t>
      </w:r>
      <w:r w:rsidR="003B3AE8" w:rsidRPr="00B7675F">
        <w:rPr>
          <w:rFonts w:asciiTheme="majorHAnsi" w:hAnsiTheme="majorHAnsi" w:cstheme="majorHAnsi"/>
          <w:i/>
          <w:lang w:val="ro-MD"/>
        </w:rPr>
        <w:t>(</w:t>
      </w:r>
      <w:r w:rsidR="00AC7F8B">
        <w:rPr>
          <w:rFonts w:asciiTheme="majorHAnsi" w:hAnsiTheme="majorHAnsi" w:cstheme="majorHAnsi"/>
          <w:i/>
          <w:lang w:val="ro-MD"/>
        </w:rPr>
        <w:t>Замечание</w:t>
      </w:r>
      <w:r w:rsidR="003B3AE8" w:rsidRPr="00B7675F">
        <w:rPr>
          <w:rFonts w:asciiTheme="majorHAnsi" w:hAnsiTheme="majorHAnsi" w:cstheme="majorHAnsi"/>
          <w:i/>
          <w:lang w:val="ro-MD"/>
        </w:rPr>
        <w:t xml:space="preserve"> 7.7 – </w:t>
      </w:r>
      <w:r w:rsidR="00AC7F8B">
        <w:rPr>
          <w:rFonts w:asciiTheme="majorHAnsi" w:hAnsiTheme="majorHAnsi" w:cstheme="majorHAnsi"/>
          <w:i/>
          <w:lang w:val="ro-MD"/>
        </w:rPr>
        <w:t>Раздел</w:t>
      </w:r>
      <w:r w:rsidR="003B3AE8" w:rsidRPr="00B7675F">
        <w:rPr>
          <w:rFonts w:asciiTheme="majorHAnsi" w:hAnsiTheme="majorHAnsi" w:cstheme="majorHAnsi"/>
          <w:i/>
          <w:lang w:val="ro-MD"/>
        </w:rPr>
        <w:t xml:space="preserve"> VII);</w:t>
      </w:r>
    </w:p>
    <w:p w14:paraId="49CF8A71" w14:textId="26F02470" w:rsidR="00544C52" w:rsidRPr="00FE54EB" w:rsidRDefault="00C54849" w:rsidP="005D0865">
      <w:pPr>
        <w:spacing w:after="0" w:line="276" w:lineRule="auto"/>
        <w:jc w:val="both"/>
        <w:rPr>
          <w:rFonts w:asciiTheme="majorHAnsi" w:hAnsiTheme="majorHAnsi" w:cstheme="majorHAnsi"/>
          <w:b/>
          <w:sz w:val="24"/>
          <w:szCs w:val="24"/>
          <w:lang w:val="ro-MD"/>
        </w:rPr>
      </w:pPr>
      <w:r w:rsidRPr="00E51C74">
        <w:rPr>
          <w:rFonts w:asciiTheme="majorHAnsi" w:hAnsiTheme="majorHAnsi" w:cstheme="majorHAnsi"/>
          <w:b/>
          <w:bCs/>
          <w:iCs/>
          <w:sz w:val="24"/>
          <w:szCs w:val="24"/>
          <w:lang w:val="ro-RO"/>
        </w:rPr>
        <w:t>Рекомендации Минист</w:t>
      </w:r>
      <w:r w:rsidRPr="00C54849">
        <w:rPr>
          <w:rFonts w:asciiTheme="majorHAnsi" w:hAnsiTheme="majorHAnsi" w:cstheme="majorHAnsi"/>
          <w:b/>
          <w:bCs/>
          <w:iCs/>
          <w:sz w:val="24"/>
          <w:szCs w:val="24"/>
          <w:lang w:val="ro-MD"/>
        </w:rPr>
        <w:t>е</w:t>
      </w:r>
      <w:r w:rsidRPr="00E51C74">
        <w:rPr>
          <w:rFonts w:asciiTheme="majorHAnsi" w:hAnsiTheme="majorHAnsi" w:cstheme="majorHAnsi"/>
          <w:b/>
          <w:bCs/>
          <w:iCs/>
          <w:sz w:val="24"/>
          <w:szCs w:val="24"/>
          <w:lang w:val="ro-RO"/>
        </w:rPr>
        <w:t>р</w:t>
      </w:r>
      <w:r w:rsidRPr="00C54849">
        <w:rPr>
          <w:rFonts w:asciiTheme="majorHAnsi" w:hAnsiTheme="majorHAnsi" w:cstheme="majorHAnsi"/>
          <w:b/>
          <w:bCs/>
          <w:iCs/>
          <w:sz w:val="24"/>
          <w:szCs w:val="24"/>
          <w:lang w:val="ro-MD"/>
        </w:rPr>
        <w:t>ству</w:t>
      </w:r>
      <w:r w:rsidRPr="00E51C74">
        <w:rPr>
          <w:rFonts w:asciiTheme="majorHAnsi" w:hAnsiTheme="majorHAnsi" w:cstheme="majorHAnsi"/>
          <w:b/>
          <w:bCs/>
          <w:iCs/>
          <w:sz w:val="24"/>
          <w:szCs w:val="24"/>
          <w:lang w:val="ro-RO"/>
        </w:rPr>
        <w:t xml:space="preserve"> труда и социальной защиты</w:t>
      </w:r>
      <w:r w:rsidR="00855FDB" w:rsidRPr="00855FDB">
        <w:rPr>
          <w:rFonts w:asciiTheme="majorHAnsi" w:hAnsiTheme="majorHAnsi" w:cstheme="majorHAnsi"/>
          <w:b/>
          <w:bCs/>
          <w:iCs/>
          <w:sz w:val="24"/>
          <w:szCs w:val="24"/>
          <w:lang w:val="ro-MD"/>
        </w:rPr>
        <w:t>,</w:t>
      </w:r>
      <w:r w:rsidRPr="00E51C74">
        <w:rPr>
          <w:rFonts w:asciiTheme="majorHAnsi" w:hAnsiTheme="majorHAnsi" w:cstheme="majorHAnsi"/>
          <w:b/>
          <w:bCs/>
          <w:iCs/>
          <w:sz w:val="24"/>
          <w:szCs w:val="24"/>
          <w:lang w:val="ro-RO"/>
        </w:rPr>
        <w:t xml:space="preserve"> совместно с М</w:t>
      </w:r>
      <w:r w:rsidRPr="00C54849">
        <w:rPr>
          <w:rFonts w:asciiTheme="majorHAnsi" w:hAnsiTheme="majorHAnsi" w:cstheme="majorHAnsi"/>
          <w:b/>
          <w:bCs/>
          <w:iCs/>
          <w:sz w:val="24"/>
          <w:szCs w:val="24"/>
          <w:lang w:val="ro-MD"/>
        </w:rPr>
        <w:t>инистерством финансов</w:t>
      </w:r>
      <w:r w:rsidRPr="00FE54EB">
        <w:rPr>
          <w:rFonts w:asciiTheme="majorHAnsi" w:hAnsiTheme="majorHAnsi" w:cstheme="majorHAnsi"/>
          <w:b/>
          <w:sz w:val="24"/>
          <w:szCs w:val="24"/>
          <w:lang w:val="ro-MD"/>
        </w:rPr>
        <w:t xml:space="preserve"> </w:t>
      </w:r>
    </w:p>
    <w:p w14:paraId="683508D8" w14:textId="0F622F4D" w:rsidR="005828EE" w:rsidRPr="00FE54EB" w:rsidRDefault="007859A7" w:rsidP="00452578">
      <w:pPr>
        <w:pStyle w:val="aa"/>
        <w:numPr>
          <w:ilvl w:val="0"/>
          <w:numId w:val="35"/>
        </w:numPr>
        <w:spacing w:after="0" w:line="276" w:lineRule="auto"/>
        <w:jc w:val="both"/>
        <w:rPr>
          <w:rFonts w:asciiTheme="majorHAnsi" w:eastAsia="Times New Roman" w:hAnsiTheme="majorHAnsi" w:cstheme="majorHAnsi"/>
          <w:sz w:val="24"/>
          <w:szCs w:val="24"/>
          <w:lang w:val="ro-MD"/>
        </w:rPr>
      </w:pPr>
      <w:r w:rsidRPr="007859A7">
        <w:rPr>
          <w:rFonts w:asciiTheme="majorHAnsi" w:eastAsia="Times New Roman" w:hAnsiTheme="majorHAnsi" w:cstheme="majorHAnsi"/>
          <w:sz w:val="24"/>
          <w:szCs w:val="24"/>
          <w:lang w:val="ro-MD"/>
        </w:rPr>
        <w:t>Ск</w:t>
      </w:r>
      <w:r w:rsidR="00452578" w:rsidRPr="00452578">
        <w:rPr>
          <w:rFonts w:asciiTheme="majorHAnsi" w:eastAsia="Times New Roman" w:hAnsiTheme="majorHAnsi" w:cstheme="majorHAnsi"/>
          <w:sz w:val="24"/>
          <w:szCs w:val="24"/>
          <w:lang w:val="ro-MD"/>
        </w:rPr>
        <w:t xml:space="preserve">орректировать и </w:t>
      </w:r>
      <w:r w:rsidRPr="007859A7">
        <w:rPr>
          <w:rFonts w:asciiTheme="majorHAnsi" w:eastAsia="Times New Roman" w:hAnsiTheme="majorHAnsi" w:cstheme="majorHAnsi"/>
          <w:sz w:val="24"/>
          <w:szCs w:val="24"/>
          <w:lang w:val="ro-MD"/>
        </w:rPr>
        <w:t>актуализирова</w:t>
      </w:r>
      <w:r w:rsidR="00452578" w:rsidRPr="00452578">
        <w:rPr>
          <w:rFonts w:asciiTheme="majorHAnsi" w:eastAsia="Times New Roman" w:hAnsiTheme="majorHAnsi" w:cstheme="majorHAnsi"/>
          <w:sz w:val="24"/>
          <w:szCs w:val="24"/>
          <w:lang w:val="ro-MD"/>
        </w:rPr>
        <w:t xml:space="preserve">ть </w:t>
      </w:r>
      <w:r w:rsidRPr="007859A7">
        <w:rPr>
          <w:rFonts w:asciiTheme="majorHAnsi" w:eastAsia="Times New Roman" w:hAnsiTheme="majorHAnsi" w:cstheme="majorHAnsi"/>
          <w:sz w:val="24"/>
          <w:szCs w:val="24"/>
          <w:lang w:val="ro-MD"/>
        </w:rPr>
        <w:t>З</w:t>
      </w:r>
      <w:r w:rsidR="00452578" w:rsidRPr="00452578">
        <w:rPr>
          <w:rFonts w:asciiTheme="majorHAnsi" w:eastAsia="Times New Roman" w:hAnsiTheme="majorHAnsi" w:cstheme="majorHAnsi"/>
          <w:sz w:val="24"/>
          <w:szCs w:val="24"/>
          <w:lang w:val="ro-MD"/>
        </w:rPr>
        <w:t>акон о несостоятельности</w:t>
      </w:r>
      <w:r w:rsidRPr="007859A7">
        <w:rPr>
          <w:rFonts w:asciiTheme="majorHAnsi" w:eastAsia="Times New Roman" w:hAnsiTheme="majorHAnsi" w:cstheme="majorHAnsi"/>
          <w:sz w:val="24"/>
          <w:szCs w:val="24"/>
          <w:lang w:val="ro-MD"/>
        </w:rPr>
        <w:t>,</w:t>
      </w:r>
      <w:r w:rsidR="00452578" w:rsidRPr="00452578">
        <w:rPr>
          <w:rFonts w:asciiTheme="majorHAnsi" w:eastAsia="Times New Roman" w:hAnsiTheme="majorHAnsi" w:cstheme="majorHAnsi"/>
          <w:sz w:val="24"/>
          <w:szCs w:val="24"/>
          <w:lang w:val="ro-MD"/>
        </w:rPr>
        <w:t xml:space="preserve"> в соответствии с Налоговым кодексом и Трудовым кодексом</w:t>
      </w:r>
      <w:r w:rsidRPr="007859A7">
        <w:rPr>
          <w:rFonts w:asciiTheme="majorHAnsi" w:eastAsia="Times New Roman" w:hAnsiTheme="majorHAnsi" w:cstheme="majorHAnsi"/>
          <w:sz w:val="24"/>
          <w:szCs w:val="24"/>
          <w:lang w:val="ro-MD"/>
        </w:rPr>
        <w:t>,</w:t>
      </w:r>
      <w:r w:rsidR="00452578" w:rsidRPr="00452578">
        <w:rPr>
          <w:rFonts w:asciiTheme="majorHAnsi" w:eastAsia="Times New Roman" w:hAnsiTheme="majorHAnsi" w:cstheme="majorHAnsi"/>
          <w:sz w:val="24"/>
          <w:szCs w:val="24"/>
          <w:lang w:val="ro-MD"/>
        </w:rPr>
        <w:t xml:space="preserve"> </w:t>
      </w:r>
      <w:r w:rsidRPr="007859A7">
        <w:rPr>
          <w:rFonts w:asciiTheme="majorHAnsi" w:eastAsia="Times New Roman" w:hAnsiTheme="majorHAnsi" w:cstheme="majorHAnsi"/>
          <w:sz w:val="24"/>
          <w:szCs w:val="24"/>
          <w:lang w:val="ro-MD"/>
        </w:rPr>
        <w:t>в</w:t>
      </w:r>
      <w:r w:rsidR="00452578" w:rsidRPr="00452578">
        <w:rPr>
          <w:rFonts w:asciiTheme="majorHAnsi" w:eastAsia="Times New Roman" w:hAnsiTheme="majorHAnsi" w:cstheme="majorHAnsi"/>
          <w:sz w:val="24"/>
          <w:szCs w:val="24"/>
          <w:lang w:val="ro-MD"/>
        </w:rPr>
        <w:t xml:space="preserve"> цел</w:t>
      </w:r>
      <w:r w:rsidRPr="007859A7">
        <w:rPr>
          <w:rFonts w:asciiTheme="majorHAnsi" w:eastAsia="Times New Roman" w:hAnsiTheme="majorHAnsi" w:cstheme="majorHAnsi"/>
          <w:sz w:val="24"/>
          <w:szCs w:val="24"/>
          <w:lang w:val="ro-MD"/>
        </w:rPr>
        <w:t>ях</w:t>
      </w:r>
      <w:r w:rsidR="00452578" w:rsidRPr="00452578">
        <w:rPr>
          <w:rFonts w:asciiTheme="majorHAnsi" w:eastAsia="Times New Roman" w:hAnsiTheme="majorHAnsi" w:cstheme="majorHAnsi"/>
          <w:sz w:val="24"/>
          <w:szCs w:val="24"/>
          <w:lang w:val="ro-MD"/>
        </w:rPr>
        <w:t xml:space="preserve"> обеспечения прав л</w:t>
      </w:r>
      <w:r w:rsidRPr="007859A7">
        <w:rPr>
          <w:rFonts w:asciiTheme="majorHAnsi" w:eastAsia="Times New Roman" w:hAnsiTheme="majorHAnsi" w:cstheme="majorHAnsi"/>
          <w:sz w:val="24"/>
          <w:szCs w:val="24"/>
          <w:lang w:val="ro-MD"/>
        </w:rPr>
        <w:t>иц</w:t>
      </w:r>
      <w:r w:rsidR="00452578" w:rsidRPr="00452578">
        <w:rPr>
          <w:rFonts w:asciiTheme="majorHAnsi" w:eastAsia="Times New Roman" w:hAnsiTheme="majorHAnsi" w:cstheme="majorHAnsi"/>
          <w:sz w:val="24"/>
          <w:szCs w:val="24"/>
          <w:lang w:val="ro-MD"/>
        </w:rPr>
        <w:t xml:space="preserve"> на социальные пособия, в том числе путем </w:t>
      </w:r>
      <w:r w:rsidRPr="007859A7">
        <w:rPr>
          <w:rFonts w:asciiTheme="majorHAnsi" w:eastAsia="Times New Roman" w:hAnsiTheme="majorHAnsi" w:cstheme="majorHAnsi"/>
          <w:sz w:val="24"/>
          <w:szCs w:val="24"/>
          <w:lang w:val="ro-MD"/>
        </w:rPr>
        <w:t>классификации</w:t>
      </w:r>
      <w:r w:rsidR="00452578" w:rsidRPr="00452578">
        <w:rPr>
          <w:rFonts w:asciiTheme="majorHAnsi" w:eastAsia="Times New Roman" w:hAnsiTheme="majorHAnsi" w:cstheme="majorHAnsi"/>
          <w:sz w:val="24"/>
          <w:szCs w:val="24"/>
          <w:lang w:val="ro-MD"/>
        </w:rPr>
        <w:t xml:space="preserve"> </w:t>
      </w:r>
      <w:r w:rsidRPr="007859A7">
        <w:rPr>
          <w:rFonts w:asciiTheme="majorHAnsi" w:eastAsia="Times New Roman" w:hAnsiTheme="majorHAnsi" w:cstheme="majorHAnsi"/>
          <w:sz w:val="24"/>
          <w:szCs w:val="24"/>
          <w:lang w:val="ro-MD"/>
        </w:rPr>
        <w:t>задолженностей</w:t>
      </w:r>
      <w:r w:rsidR="00452578" w:rsidRPr="00452578">
        <w:rPr>
          <w:rFonts w:asciiTheme="majorHAnsi" w:eastAsia="Times New Roman" w:hAnsiTheme="majorHAnsi" w:cstheme="majorHAnsi"/>
          <w:sz w:val="24"/>
          <w:szCs w:val="24"/>
          <w:lang w:val="ro-MD"/>
        </w:rPr>
        <w:t xml:space="preserve"> по взносам социально</w:t>
      </w:r>
      <w:r w:rsidRPr="007859A7">
        <w:rPr>
          <w:rFonts w:asciiTheme="majorHAnsi" w:eastAsia="Times New Roman" w:hAnsiTheme="majorHAnsi" w:cstheme="majorHAnsi"/>
          <w:sz w:val="24"/>
          <w:szCs w:val="24"/>
          <w:lang w:val="ro-MD"/>
        </w:rPr>
        <w:t>го</w:t>
      </w:r>
      <w:r w:rsidR="00452578" w:rsidRPr="00452578">
        <w:rPr>
          <w:rFonts w:asciiTheme="majorHAnsi" w:eastAsia="Times New Roman" w:hAnsiTheme="majorHAnsi" w:cstheme="majorHAnsi"/>
          <w:sz w:val="24"/>
          <w:szCs w:val="24"/>
          <w:lang w:val="ro-MD"/>
        </w:rPr>
        <w:t xml:space="preserve"> страховани</w:t>
      </w:r>
      <w:r w:rsidRPr="007859A7">
        <w:rPr>
          <w:rFonts w:asciiTheme="majorHAnsi" w:eastAsia="Times New Roman" w:hAnsiTheme="majorHAnsi" w:cstheme="majorHAnsi"/>
          <w:sz w:val="24"/>
          <w:szCs w:val="24"/>
          <w:lang w:val="ro-MD"/>
        </w:rPr>
        <w:t>я</w:t>
      </w:r>
      <w:r w:rsidR="00452578" w:rsidRPr="00452578">
        <w:rPr>
          <w:rFonts w:asciiTheme="majorHAnsi" w:eastAsia="Times New Roman" w:hAnsiTheme="majorHAnsi" w:cstheme="majorHAnsi"/>
          <w:sz w:val="24"/>
          <w:szCs w:val="24"/>
          <w:lang w:val="ro-MD"/>
        </w:rPr>
        <w:t xml:space="preserve"> </w:t>
      </w:r>
      <w:r w:rsidRPr="007859A7">
        <w:rPr>
          <w:rFonts w:asciiTheme="majorHAnsi" w:eastAsia="Times New Roman" w:hAnsiTheme="majorHAnsi" w:cstheme="majorHAnsi"/>
          <w:sz w:val="24"/>
          <w:szCs w:val="24"/>
          <w:lang w:val="ro-MD"/>
        </w:rPr>
        <w:t>в ту же категорию</w:t>
      </w:r>
      <w:r w:rsidR="00452578" w:rsidRPr="00452578">
        <w:rPr>
          <w:rFonts w:asciiTheme="majorHAnsi" w:eastAsia="Times New Roman" w:hAnsiTheme="majorHAnsi" w:cstheme="majorHAnsi"/>
          <w:sz w:val="24"/>
          <w:szCs w:val="24"/>
          <w:lang w:val="ro-MD"/>
        </w:rPr>
        <w:t xml:space="preserve">, что и </w:t>
      </w:r>
      <w:r w:rsidRPr="007859A7">
        <w:rPr>
          <w:rFonts w:asciiTheme="majorHAnsi" w:eastAsia="Times New Roman" w:hAnsiTheme="majorHAnsi" w:cstheme="majorHAnsi"/>
          <w:sz w:val="24"/>
          <w:szCs w:val="24"/>
          <w:lang w:val="ro-MD"/>
        </w:rPr>
        <w:t>задолженность</w:t>
      </w:r>
      <w:r w:rsidR="00452578" w:rsidRPr="00452578">
        <w:rPr>
          <w:rFonts w:asciiTheme="majorHAnsi" w:eastAsia="Times New Roman" w:hAnsiTheme="majorHAnsi" w:cstheme="majorHAnsi"/>
          <w:sz w:val="24"/>
          <w:szCs w:val="24"/>
          <w:lang w:val="ro-MD"/>
        </w:rPr>
        <w:t xml:space="preserve"> по заработной плате </w:t>
      </w:r>
      <w:r w:rsidR="003B3AE8" w:rsidRPr="00FE54EB">
        <w:rPr>
          <w:rFonts w:asciiTheme="majorHAnsi" w:hAnsiTheme="majorHAnsi" w:cstheme="majorHAnsi"/>
          <w:i/>
          <w:sz w:val="24"/>
          <w:szCs w:val="24"/>
          <w:lang w:val="ro-MD"/>
        </w:rPr>
        <w:t>(</w:t>
      </w:r>
      <w:r w:rsidR="00AC7F8B">
        <w:rPr>
          <w:rFonts w:asciiTheme="majorHAnsi" w:hAnsiTheme="majorHAnsi" w:cstheme="majorHAnsi"/>
          <w:i/>
          <w:sz w:val="24"/>
          <w:szCs w:val="24"/>
          <w:lang w:val="ro-MD"/>
        </w:rPr>
        <w:t>Замечание</w:t>
      </w:r>
      <w:r w:rsidR="003B3AE8" w:rsidRPr="00FE54EB">
        <w:rPr>
          <w:rFonts w:asciiTheme="majorHAnsi" w:hAnsiTheme="majorHAnsi" w:cstheme="majorHAnsi"/>
          <w:i/>
          <w:sz w:val="24"/>
          <w:szCs w:val="24"/>
          <w:lang w:val="ro-MD"/>
        </w:rPr>
        <w:t xml:space="preserve"> 7.6 – </w:t>
      </w:r>
      <w:r w:rsidR="00AC7F8B">
        <w:rPr>
          <w:rFonts w:asciiTheme="majorHAnsi" w:hAnsiTheme="majorHAnsi" w:cstheme="majorHAnsi"/>
          <w:i/>
          <w:sz w:val="24"/>
          <w:szCs w:val="24"/>
          <w:lang w:val="ro-MD"/>
        </w:rPr>
        <w:t>Раздел</w:t>
      </w:r>
      <w:r w:rsidR="003B3AE8" w:rsidRPr="00FE54EB">
        <w:rPr>
          <w:rFonts w:asciiTheme="majorHAnsi" w:hAnsiTheme="majorHAnsi" w:cstheme="majorHAnsi"/>
          <w:i/>
          <w:sz w:val="24"/>
          <w:szCs w:val="24"/>
          <w:lang w:val="ro-MD"/>
        </w:rPr>
        <w:t xml:space="preserve"> VII);</w:t>
      </w:r>
    </w:p>
    <w:p w14:paraId="50465AD1" w14:textId="3150EC67" w:rsidR="007754D1" w:rsidRPr="00FE54EB" w:rsidRDefault="00452578" w:rsidP="00452578">
      <w:pPr>
        <w:pStyle w:val="aa"/>
        <w:numPr>
          <w:ilvl w:val="0"/>
          <w:numId w:val="35"/>
        </w:numPr>
        <w:spacing w:after="0" w:line="276" w:lineRule="auto"/>
        <w:jc w:val="both"/>
        <w:rPr>
          <w:rFonts w:asciiTheme="majorHAnsi" w:eastAsia="Times New Roman" w:hAnsiTheme="majorHAnsi" w:cstheme="majorHAnsi"/>
          <w:sz w:val="28"/>
          <w:szCs w:val="24"/>
          <w:lang w:val="ro-MD"/>
        </w:rPr>
      </w:pPr>
      <w:r w:rsidRPr="00452578">
        <w:rPr>
          <w:rFonts w:asciiTheme="majorHAnsi" w:hAnsiTheme="majorHAnsi" w:cstheme="majorHAnsi"/>
          <w:sz w:val="24"/>
          <w:szCs w:val="24"/>
          <w:lang w:val="ro-MD"/>
        </w:rPr>
        <w:t xml:space="preserve">Изучить причины </w:t>
      </w:r>
      <w:r w:rsidR="005B4110">
        <w:rPr>
          <w:rFonts w:asciiTheme="majorHAnsi" w:hAnsiTheme="majorHAnsi" w:cstheme="majorHAnsi"/>
          <w:sz w:val="24"/>
          <w:szCs w:val="24"/>
          <w:lang w:val="ru-RU"/>
        </w:rPr>
        <w:t xml:space="preserve">возникловения </w:t>
      </w:r>
      <w:r w:rsidRPr="00452578">
        <w:rPr>
          <w:rFonts w:asciiTheme="majorHAnsi" w:hAnsiTheme="majorHAnsi" w:cstheme="majorHAnsi"/>
          <w:sz w:val="24"/>
          <w:szCs w:val="24"/>
          <w:lang w:val="ro-MD"/>
        </w:rPr>
        <w:t xml:space="preserve">проблем, связанных с устойчивостью </w:t>
      </w:r>
      <w:r w:rsidR="005B4110" w:rsidRPr="005B4110">
        <w:rPr>
          <w:rFonts w:asciiTheme="majorHAnsi" w:hAnsiTheme="majorHAnsi" w:cstheme="majorHAnsi"/>
          <w:sz w:val="24"/>
          <w:szCs w:val="24"/>
          <w:lang w:val="ro-MD"/>
        </w:rPr>
        <w:t>БГСС</w:t>
      </w:r>
      <w:r w:rsidRPr="00452578">
        <w:rPr>
          <w:rFonts w:asciiTheme="majorHAnsi" w:hAnsiTheme="majorHAnsi" w:cstheme="majorHAnsi"/>
          <w:sz w:val="24"/>
          <w:szCs w:val="24"/>
          <w:lang w:val="ro-MD"/>
        </w:rPr>
        <w:t>, и найти решения для увеличения собственн</w:t>
      </w:r>
      <w:r w:rsidR="005B4110" w:rsidRPr="005B4110">
        <w:rPr>
          <w:rFonts w:asciiTheme="majorHAnsi" w:hAnsiTheme="majorHAnsi" w:cstheme="majorHAnsi"/>
          <w:sz w:val="24"/>
          <w:szCs w:val="24"/>
          <w:lang w:val="ro-MD"/>
        </w:rPr>
        <w:t>ых</w:t>
      </w:r>
      <w:r w:rsidRPr="00452578">
        <w:rPr>
          <w:rFonts w:asciiTheme="majorHAnsi" w:hAnsiTheme="majorHAnsi" w:cstheme="majorHAnsi"/>
          <w:sz w:val="24"/>
          <w:szCs w:val="24"/>
          <w:lang w:val="ro-MD"/>
        </w:rPr>
        <w:t xml:space="preserve"> доход</w:t>
      </w:r>
      <w:r w:rsidR="005B4110" w:rsidRPr="005B4110">
        <w:rPr>
          <w:rFonts w:asciiTheme="majorHAnsi" w:hAnsiTheme="majorHAnsi" w:cstheme="majorHAnsi"/>
          <w:sz w:val="24"/>
          <w:szCs w:val="24"/>
          <w:lang w:val="ro-MD"/>
        </w:rPr>
        <w:t>ов</w:t>
      </w:r>
      <w:r w:rsidRPr="00452578">
        <w:rPr>
          <w:rFonts w:asciiTheme="majorHAnsi" w:hAnsiTheme="majorHAnsi" w:cstheme="majorHAnsi"/>
          <w:sz w:val="24"/>
          <w:szCs w:val="24"/>
          <w:lang w:val="ro-MD"/>
        </w:rPr>
        <w:t xml:space="preserve"> </w:t>
      </w:r>
      <w:r w:rsidR="005B4110" w:rsidRPr="005B4110">
        <w:rPr>
          <w:rFonts w:asciiTheme="majorHAnsi" w:hAnsiTheme="majorHAnsi" w:cstheme="majorHAnsi"/>
          <w:sz w:val="24"/>
          <w:szCs w:val="24"/>
          <w:lang w:val="ro-MD"/>
        </w:rPr>
        <w:t>БГСС</w:t>
      </w:r>
      <w:r w:rsidRPr="00452578">
        <w:rPr>
          <w:rFonts w:asciiTheme="majorHAnsi" w:hAnsiTheme="majorHAnsi" w:cstheme="majorHAnsi"/>
          <w:sz w:val="24"/>
          <w:szCs w:val="24"/>
          <w:lang w:val="ro-MD"/>
        </w:rPr>
        <w:t xml:space="preserve"> и устранения источников выплаты заработной платы в конверте  </w:t>
      </w:r>
      <w:r w:rsidR="003B3AE8" w:rsidRPr="00FE54EB">
        <w:rPr>
          <w:rFonts w:asciiTheme="majorHAnsi" w:hAnsiTheme="majorHAnsi" w:cstheme="majorHAnsi"/>
          <w:i/>
          <w:sz w:val="24"/>
          <w:szCs w:val="24"/>
          <w:lang w:val="ro-MD"/>
        </w:rPr>
        <w:t>(</w:t>
      </w:r>
      <w:r w:rsidR="00AC7F8B">
        <w:rPr>
          <w:rFonts w:asciiTheme="majorHAnsi" w:hAnsiTheme="majorHAnsi" w:cstheme="majorHAnsi"/>
          <w:i/>
          <w:sz w:val="24"/>
          <w:szCs w:val="24"/>
          <w:lang w:val="ro-MD"/>
        </w:rPr>
        <w:t>Замечание</w:t>
      </w:r>
      <w:r w:rsidR="003B3AE8" w:rsidRPr="00FE54EB">
        <w:rPr>
          <w:rFonts w:asciiTheme="majorHAnsi" w:hAnsiTheme="majorHAnsi" w:cstheme="majorHAnsi"/>
          <w:i/>
          <w:sz w:val="24"/>
          <w:szCs w:val="24"/>
          <w:lang w:val="ro-MD"/>
        </w:rPr>
        <w:t xml:space="preserve"> 5.3 – </w:t>
      </w:r>
      <w:r w:rsidR="00AC7F8B">
        <w:rPr>
          <w:rFonts w:asciiTheme="majorHAnsi" w:hAnsiTheme="majorHAnsi" w:cstheme="majorHAnsi"/>
          <w:i/>
          <w:sz w:val="24"/>
          <w:szCs w:val="24"/>
          <w:lang w:val="ro-MD"/>
        </w:rPr>
        <w:t>Раздел</w:t>
      </w:r>
      <w:r w:rsidR="003B3AE8" w:rsidRPr="00FE54EB">
        <w:rPr>
          <w:rFonts w:asciiTheme="majorHAnsi" w:hAnsiTheme="majorHAnsi" w:cstheme="majorHAnsi"/>
          <w:i/>
          <w:sz w:val="24"/>
          <w:szCs w:val="24"/>
          <w:lang w:val="ro-MD"/>
        </w:rPr>
        <w:t xml:space="preserve"> V);</w:t>
      </w:r>
    </w:p>
    <w:p w14:paraId="5BD2F4B7" w14:textId="71312022" w:rsidR="007754D1" w:rsidRPr="0038225D" w:rsidRDefault="00452578" w:rsidP="00452578">
      <w:pPr>
        <w:pStyle w:val="aa"/>
        <w:numPr>
          <w:ilvl w:val="0"/>
          <w:numId w:val="35"/>
        </w:numPr>
        <w:spacing w:after="0" w:line="276" w:lineRule="auto"/>
        <w:jc w:val="both"/>
        <w:rPr>
          <w:rFonts w:asciiTheme="majorHAnsi" w:eastAsia="Times New Roman" w:hAnsiTheme="majorHAnsi" w:cstheme="majorHAnsi"/>
          <w:sz w:val="28"/>
          <w:szCs w:val="24"/>
          <w:lang w:val="ro-MD"/>
        </w:rPr>
      </w:pPr>
      <w:r w:rsidRPr="00452578">
        <w:rPr>
          <w:rFonts w:asciiTheme="majorHAnsi" w:hAnsiTheme="majorHAnsi" w:cstheme="majorHAnsi"/>
          <w:sz w:val="24"/>
          <w:szCs w:val="24"/>
          <w:lang w:val="ro-MD"/>
        </w:rPr>
        <w:t xml:space="preserve">Обеспечить обоснование дифференцированных </w:t>
      </w:r>
      <w:r w:rsidR="005B4110" w:rsidRPr="005B4110">
        <w:rPr>
          <w:rFonts w:asciiTheme="majorHAnsi" w:hAnsiTheme="majorHAnsi" w:cstheme="majorHAnsi"/>
          <w:sz w:val="24"/>
          <w:szCs w:val="24"/>
          <w:lang w:val="ro-MD"/>
        </w:rPr>
        <w:t>ставок</w:t>
      </w:r>
      <w:r w:rsidRPr="00452578">
        <w:rPr>
          <w:rFonts w:asciiTheme="majorHAnsi" w:hAnsiTheme="majorHAnsi" w:cstheme="majorHAnsi"/>
          <w:sz w:val="24"/>
          <w:szCs w:val="24"/>
          <w:lang w:val="ro-MD"/>
        </w:rPr>
        <w:t xml:space="preserve"> социального страхования</w:t>
      </w:r>
      <w:r w:rsidR="005B4110" w:rsidRPr="005B4110">
        <w:rPr>
          <w:rFonts w:asciiTheme="majorHAnsi" w:hAnsiTheme="majorHAnsi" w:cstheme="majorHAnsi"/>
          <w:sz w:val="24"/>
          <w:szCs w:val="24"/>
          <w:lang w:val="ro-MD"/>
        </w:rPr>
        <w:t>,</w:t>
      </w:r>
      <w:r w:rsidRPr="00452578">
        <w:rPr>
          <w:rFonts w:asciiTheme="majorHAnsi" w:hAnsiTheme="majorHAnsi" w:cstheme="majorHAnsi"/>
          <w:sz w:val="24"/>
          <w:szCs w:val="24"/>
          <w:lang w:val="ro-MD"/>
        </w:rPr>
        <w:t xml:space="preserve"> с оценкой воздействия и правильност</w:t>
      </w:r>
      <w:r w:rsidR="005B4110" w:rsidRPr="005B4110">
        <w:rPr>
          <w:rFonts w:asciiTheme="majorHAnsi" w:hAnsiTheme="majorHAnsi" w:cstheme="majorHAnsi"/>
          <w:sz w:val="24"/>
          <w:szCs w:val="24"/>
          <w:lang w:val="ro-MD"/>
        </w:rPr>
        <w:t>и</w:t>
      </w:r>
      <w:r w:rsidRPr="00452578">
        <w:rPr>
          <w:rFonts w:asciiTheme="majorHAnsi" w:hAnsiTheme="majorHAnsi" w:cstheme="majorHAnsi"/>
          <w:sz w:val="24"/>
          <w:szCs w:val="24"/>
          <w:lang w:val="ro-MD"/>
        </w:rPr>
        <w:t xml:space="preserve"> их отражения в финансов</w:t>
      </w:r>
      <w:r w:rsidR="005B4110">
        <w:rPr>
          <w:rFonts w:asciiTheme="majorHAnsi" w:hAnsiTheme="majorHAnsi" w:cstheme="majorHAnsi"/>
          <w:sz w:val="24"/>
          <w:szCs w:val="24"/>
          <w:lang w:val="ru-RU"/>
        </w:rPr>
        <w:t>ой</w:t>
      </w:r>
      <w:r w:rsidRPr="00452578">
        <w:rPr>
          <w:rFonts w:asciiTheme="majorHAnsi" w:hAnsiTheme="majorHAnsi" w:cstheme="majorHAnsi"/>
          <w:sz w:val="24"/>
          <w:szCs w:val="24"/>
          <w:lang w:val="ro-MD"/>
        </w:rPr>
        <w:t xml:space="preserve"> отчет</w:t>
      </w:r>
      <w:r w:rsidR="005B4110">
        <w:rPr>
          <w:rFonts w:asciiTheme="majorHAnsi" w:hAnsiTheme="majorHAnsi" w:cstheme="majorHAnsi"/>
          <w:sz w:val="24"/>
          <w:szCs w:val="24"/>
          <w:lang w:val="ru-RU"/>
        </w:rPr>
        <w:t>ности</w:t>
      </w:r>
      <w:r w:rsidRPr="00452578">
        <w:rPr>
          <w:rFonts w:asciiTheme="majorHAnsi" w:hAnsiTheme="majorHAnsi" w:cstheme="majorHAnsi"/>
          <w:sz w:val="24"/>
          <w:szCs w:val="24"/>
          <w:lang w:val="ro-MD"/>
        </w:rPr>
        <w:t xml:space="preserve">  </w:t>
      </w:r>
      <w:r w:rsidR="00CC170C" w:rsidRPr="00B7675F">
        <w:rPr>
          <w:rFonts w:asciiTheme="majorHAnsi" w:hAnsiTheme="majorHAnsi" w:cstheme="majorHAnsi"/>
          <w:i/>
          <w:sz w:val="24"/>
          <w:szCs w:val="24"/>
          <w:lang w:val="ro-MD"/>
        </w:rPr>
        <w:t>(</w:t>
      </w:r>
      <w:r w:rsidR="00AC7F8B">
        <w:rPr>
          <w:rFonts w:asciiTheme="majorHAnsi" w:hAnsiTheme="majorHAnsi" w:cstheme="majorHAnsi"/>
          <w:i/>
          <w:sz w:val="24"/>
          <w:szCs w:val="24"/>
          <w:lang w:val="ro-MD"/>
        </w:rPr>
        <w:t>Замечание</w:t>
      </w:r>
      <w:r w:rsidR="00CC170C" w:rsidRPr="00B7675F">
        <w:rPr>
          <w:rFonts w:asciiTheme="majorHAnsi" w:hAnsiTheme="majorHAnsi" w:cstheme="majorHAnsi"/>
          <w:i/>
          <w:sz w:val="24"/>
          <w:szCs w:val="24"/>
          <w:lang w:val="ro-MD"/>
        </w:rPr>
        <w:t xml:space="preserve"> 5.5</w:t>
      </w:r>
      <w:r w:rsidR="00D46168" w:rsidRPr="00B7675F">
        <w:rPr>
          <w:rFonts w:asciiTheme="majorHAnsi" w:hAnsiTheme="majorHAnsi" w:cstheme="majorHAnsi"/>
          <w:i/>
          <w:sz w:val="24"/>
          <w:szCs w:val="24"/>
          <w:lang w:val="ro-MD"/>
        </w:rPr>
        <w:t>, 7.5</w:t>
      </w:r>
      <w:r w:rsidR="00CC170C" w:rsidRPr="00B7675F">
        <w:rPr>
          <w:rFonts w:asciiTheme="majorHAnsi" w:hAnsiTheme="majorHAnsi" w:cstheme="majorHAnsi"/>
          <w:i/>
          <w:sz w:val="24"/>
          <w:szCs w:val="24"/>
          <w:lang w:val="ro-MD"/>
        </w:rPr>
        <w:t xml:space="preserve"> – </w:t>
      </w:r>
      <w:r w:rsidR="00AC7F8B">
        <w:rPr>
          <w:rFonts w:asciiTheme="majorHAnsi" w:hAnsiTheme="majorHAnsi" w:cstheme="majorHAnsi"/>
          <w:i/>
          <w:sz w:val="24"/>
          <w:szCs w:val="24"/>
          <w:lang w:val="ro-MD"/>
        </w:rPr>
        <w:t>Раздел</w:t>
      </w:r>
      <w:r w:rsidR="00CC170C" w:rsidRPr="00B7675F">
        <w:rPr>
          <w:rFonts w:asciiTheme="majorHAnsi" w:hAnsiTheme="majorHAnsi" w:cstheme="majorHAnsi"/>
          <w:i/>
          <w:sz w:val="24"/>
          <w:szCs w:val="24"/>
          <w:lang w:val="ro-MD"/>
        </w:rPr>
        <w:t xml:space="preserve"> </w:t>
      </w:r>
      <w:r w:rsidR="00CC170C" w:rsidRPr="0038225D">
        <w:rPr>
          <w:rFonts w:asciiTheme="majorHAnsi" w:hAnsiTheme="majorHAnsi" w:cstheme="majorHAnsi"/>
          <w:i/>
          <w:sz w:val="24"/>
          <w:szCs w:val="24"/>
          <w:lang w:val="ro-MD"/>
        </w:rPr>
        <w:t>V</w:t>
      </w:r>
      <w:r w:rsidR="00D46168" w:rsidRPr="0038225D">
        <w:rPr>
          <w:rFonts w:asciiTheme="majorHAnsi" w:hAnsiTheme="majorHAnsi" w:cstheme="majorHAnsi"/>
          <w:i/>
          <w:sz w:val="24"/>
          <w:szCs w:val="24"/>
          <w:lang w:val="ro-MD"/>
        </w:rPr>
        <w:t>, VII</w:t>
      </w:r>
      <w:r w:rsidR="00CC170C" w:rsidRPr="0038225D">
        <w:rPr>
          <w:rFonts w:asciiTheme="majorHAnsi" w:hAnsiTheme="majorHAnsi" w:cstheme="majorHAnsi"/>
          <w:i/>
          <w:sz w:val="24"/>
          <w:szCs w:val="24"/>
          <w:lang w:val="ro-MD"/>
        </w:rPr>
        <w:t>);</w:t>
      </w:r>
    </w:p>
    <w:p w14:paraId="3F2B6F58" w14:textId="139C1824" w:rsidR="004F53CF" w:rsidRPr="00B7675F" w:rsidRDefault="00452578" w:rsidP="00452578">
      <w:pPr>
        <w:pStyle w:val="aa"/>
        <w:numPr>
          <w:ilvl w:val="0"/>
          <w:numId w:val="35"/>
        </w:numPr>
        <w:spacing w:after="0" w:line="276" w:lineRule="auto"/>
        <w:jc w:val="both"/>
        <w:rPr>
          <w:rFonts w:asciiTheme="majorHAnsi" w:hAnsiTheme="majorHAnsi" w:cstheme="majorHAnsi"/>
          <w:b/>
          <w:sz w:val="24"/>
          <w:szCs w:val="24"/>
          <w:lang w:val="ro-MD"/>
        </w:rPr>
      </w:pPr>
      <w:r w:rsidRPr="00452578">
        <w:rPr>
          <w:rFonts w:asciiTheme="majorHAnsi" w:eastAsia="Times New Roman" w:hAnsiTheme="majorHAnsi" w:cstheme="majorHAnsi"/>
          <w:sz w:val="24"/>
          <w:szCs w:val="24"/>
          <w:lang w:val="ro-MD"/>
        </w:rPr>
        <w:t xml:space="preserve">Обеспечить разработку и утверждение механизмов идентификации и контроля подачи заявки на получение </w:t>
      </w:r>
      <w:r w:rsidR="005B4110" w:rsidRPr="00452578">
        <w:rPr>
          <w:rFonts w:asciiTheme="majorHAnsi" w:eastAsia="Times New Roman" w:hAnsiTheme="majorHAnsi" w:cstheme="majorHAnsi"/>
          <w:sz w:val="24"/>
          <w:szCs w:val="24"/>
          <w:lang w:val="ro-MD"/>
        </w:rPr>
        <w:t xml:space="preserve">пособия </w:t>
      </w:r>
      <w:r w:rsidR="005B4110" w:rsidRPr="005B4110">
        <w:rPr>
          <w:rFonts w:asciiTheme="majorHAnsi" w:eastAsia="Times New Roman" w:hAnsiTheme="majorHAnsi" w:cstheme="majorHAnsi"/>
          <w:sz w:val="24"/>
          <w:szCs w:val="24"/>
          <w:lang w:val="ro-MD"/>
        </w:rPr>
        <w:t xml:space="preserve">по </w:t>
      </w:r>
      <w:r w:rsidRPr="00452578">
        <w:rPr>
          <w:rFonts w:asciiTheme="majorHAnsi" w:eastAsia="Times New Roman" w:hAnsiTheme="majorHAnsi" w:cstheme="majorHAnsi"/>
          <w:sz w:val="24"/>
          <w:szCs w:val="24"/>
          <w:lang w:val="ro-MD"/>
        </w:rPr>
        <w:t>техническо</w:t>
      </w:r>
      <w:r w:rsidR="005B4110" w:rsidRPr="005B4110">
        <w:rPr>
          <w:rFonts w:asciiTheme="majorHAnsi" w:eastAsia="Times New Roman" w:hAnsiTheme="majorHAnsi" w:cstheme="majorHAnsi"/>
          <w:sz w:val="24"/>
          <w:szCs w:val="24"/>
          <w:lang w:val="ro-MD"/>
        </w:rPr>
        <w:t>му</w:t>
      </w:r>
      <w:r w:rsidRPr="00452578">
        <w:rPr>
          <w:rFonts w:asciiTheme="majorHAnsi" w:eastAsia="Times New Roman" w:hAnsiTheme="majorHAnsi" w:cstheme="majorHAnsi"/>
          <w:sz w:val="24"/>
          <w:szCs w:val="24"/>
          <w:lang w:val="ro-MD"/>
        </w:rPr>
        <w:t xml:space="preserve"> </w:t>
      </w:r>
      <w:r w:rsidR="005B4110" w:rsidRPr="005B4110">
        <w:rPr>
          <w:rFonts w:asciiTheme="majorHAnsi" w:eastAsia="Times New Roman" w:hAnsiTheme="majorHAnsi" w:cstheme="majorHAnsi"/>
          <w:sz w:val="24"/>
          <w:szCs w:val="24"/>
          <w:lang w:val="ro-MD"/>
        </w:rPr>
        <w:t>простою</w:t>
      </w:r>
      <w:r w:rsidRPr="00452578">
        <w:rPr>
          <w:rFonts w:asciiTheme="majorHAnsi" w:eastAsia="Times New Roman" w:hAnsiTheme="majorHAnsi" w:cstheme="majorHAnsi"/>
          <w:sz w:val="24"/>
          <w:szCs w:val="24"/>
          <w:lang w:val="ro-MD"/>
        </w:rPr>
        <w:t xml:space="preserve">, финансируемого из государственного бюджета, </w:t>
      </w:r>
      <w:r w:rsidR="00673955" w:rsidRPr="00673955">
        <w:rPr>
          <w:rFonts w:asciiTheme="majorHAnsi" w:eastAsia="Times New Roman" w:hAnsiTheme="majorHAnsi" w:cstheme="majorHAnsi"/>
          <w:sz w:val="24"/>
          <w:szCs w:val="24"/>
          <w:lang w:val="ro-MD"/>
        </w:rPr>
        <w:t>в</w:t>
      </w:r>
      <w:r w:rsidRPr="00452578">
        <w:rPr>
          <w:rFonts w:asciiTheme="majorHAnsi" w:eastAsia="Times New Roman" w:hAnsiTheme="majorHAnsi" w:cstheme="majorHAnsi"/>
          <w:sz w:val="24"/>
          <w:szCs w:val="24"/>
          <w:lang w:val="ro-MD"/>
        </w:rPr>
        <w:t xml:space="preserve"> цел</w:t>
      </w:r>
      <w:r w:rsidR="00673955" w:rsidRPr="00673955">
        <w:rPr>
          <w:rFonts w:asciiTheme="majorHAnsi" w:eastAsia="Times New Roman" w:hAnsiTheme="majorHAnsi" w:cstheme="majorHAnsi"/>
          <w:sz w:val="24"/>
          <w:szCs w:val="24"/>
          <w:lang w:val="ro-MD"/>
        </w:rPr>
        <w:t>ях</w:t>
      </w:r>
      <w:r w:rsidRPr="00452578">
        <w:rPr>
          <w:rFonts w:asciiTheme="majorHAnsi" w:eastAsia="Times New Roman" w:hAnsiTheme="majorHAnsi" w:cstheme="majorHAnsi"/>
          <w:sz w:val="24"/>
          <w:szCs w:val="24"/>
          <w:lang w:val="ro-MD"/>
        </w:rPr>
        <w:t xml:space="preserve"> обеспечения соответствия </w:t>
      </w:r>
      <w:r w:rsidR="00673955" w:rsidRPr="00673955">
        <w:rPr>
          <w:rFonts w:asciiTheme="majorHAnsi" w:eastAsia="Times New Roman" w:hAnsiTheme="majorHAnsi" w:cstheme="majorHAnsi"/>
          <w:sz w:val="24"/>
          <w:szCs w:val="24"/>
          <w:lang w:val="ro-MD"/>
        </w:rPr>
        <w:t xml:space="preserve">его </w:t>
      </w:r>
      <w:r w:rsidRPr="00452578">
        <w:rPr>
          <w:rFonts w:asciiTheme="majorHAnsi" w:eastAsia="Times New Roman" w:hAnsiTheme="majorHAnsi" w:cstheme="majorHAnsi"/>
          <w:sz w:val="24"/>
          <w:szCs w:val="24"/>
          <w:lang w:val="ro-MD"/>
        </w:rPr>
        <w:t>предоставлени</w:t>
      </w:r>
      <w:r w:rsidR="00673955" w:rsidRPr="00673955">
        <w:rPr>
          <w:rFonts w:asciiTheme="majorHAnsi" w:eastAsia="Times New Roman" w:hAnsiTheme="majorHAnsi" w:cstheme="majorHAnsi"/>
          <w:sz w:val="24"/>
          <w:szCs w:val="24"/>
          <w:lang w:val="ro-MD"/>
        </w:rPr>
        <w:t>я</w:t>
      </w:r>
      <w:r w:rsidRPr="00452578">
        <w:rPr>
          <w:rFonts w:asciiTheme="majorHAnsi" w:eastAsia="Times New Roman" w:hAnsiTheme="majorHAnsi" w:cstheme="majorHAnsi"/>
          <w:sz w:val="24"/>
          <w:szCs w:val="24"/>
          <w:lang w:val="ro-MD"/>
        </w:rPr>
        <w:t xml:space="preserve"> и </w:t>
      </w:r>
      <w:r w:rsidR="00673955" w:rsidRPr="00673955">
        <w:rPr>
          <w:rFonts w:asciiTheme="majorHAnsi" w:eastAsia="Times New Roman" w:hAnsiTheme="majorHAnsi" w:cstheme="majorHAnsi"/>
          <w:sz w:val="24"/>
          <w:szCs w:val="24"/>
          <w:lang w:val="ro-MD"/>
        </w:rPr>
        <w:t xml:space="preserve">достоверной </w:t>
      </w:r>
      <w:r w:rsidRPr="00452578">
        <w:rPr>
          <w:rFonts w:asciiTheme="majorHAnsi" w:eastAsia="Times New Roman" w:hAnsiTheme="majorHAnsi" w:cstheme="majorHAnsi"/>
          <w:sz w:val="24"/>
          <w:szCs w:val="24"/>
          <w:lang w:val="ro-MD"/>
        </w:rPr>
        <w:t xml:space="preserve">отчетности  </w:t>
      </w:r>
      <w:r w:rsidR="00DF2034" w:rsidRPr="00B7675F">
        <w:rPr>
          <w:rFonts w:asciiTheme="majorHAnsi" w:hAnsiTheme="majorHAnsi" w:cstheme="majorHAnsi"/>
          <w:i/>
          <w:sz w:val="24"/>
          <w:szCs w:val="24"/>
          <w:lang w:val="ro-MD"/>
        </w:rPr>
        <w:t>(</w:t>
      </w:r>
      <w:r w:rsidR="00AC7F8B">
        <w:rPr>
          <w:rFonts w:asciiTheme="majorHAnsi" w:hAnsiTheme="majorHAnsi" w:cstheme="majorHAnsi"/>
          <w:i/>
          <w:sz w:val="24"/>
          <w:szCs w:val="24"/>
          <w:lang w:val="ro-MD"/>
        </w:rPr>
        <w:t>Замечание</w:t>
      </w:r>
      <w:r w:rsidR="00DF2034" w:rsidRPr="00B7675F">
        <w:rPr>
          <w:rFonts w:asciiTheme="majorHAnsi" w:hAnsiTheme="majorHAnsi" w:cstheme="majorHAnsi"/>
          <w:i/>
          <w:sz w:val="24"/>
          <w:szCs w:val="24"/>
          <w:lang w:val="ro-MD"/>
        </w:rPr>
        <w:t xml:space="preserve"> 7.4 – </w:t>
      </w:r>
      <w:r w:rsidR="00AC7F8B">
        <w:rPr>
          <w:rFonts w:asciiTheme="majorHAnsi" w:hAnsiTheme="majorHAnsi" w:cstheme="majorHAnsi"/>
          <w:i/>
          <w:sz w:val="24"/>
          <w:szCs w:val="24"/>
          <w:lang w:val="ro-MD"/>
        </w:rPr>
        <w:t>Раздел</w:t>
      </w:r>
      <w:r w:rsidR="00DF2034" w:rsidRPr="00B7675F">
        <w:rPr>
          <w:rFonts w:asciiTheme="majorHAnsi" w:hAnsiTheme="majorHAnsi" w:cstheme="majorHAnsi"/>
          <w:i/>
          <w:sz w:val="24"/>
          <w:szCs w:val="24"/>
          <w:lang w:val="ro-MD"/>
        </w:rPr>
        <w:t xml:space="preserve"> VII);</w:t>
      </w:r>
    </w:p>
    <w:p w14:paraId="6B4494DB" w14:textId="2FBF0BF3" w:rsidR="005C4AA7" w:rsidRPr="00FE54EB" w:rsidRDefault="00855FDB" w:rsidP="004F53CF">
      <w:pPr>
        <w:spacing w:after="0" w:line="276" w:lineRule="auto"/>
        <w:jc w:val="both"/>
        <w:rPr>
          <w:rFonts w:asciiTheme="majorHAnsi" w:hAnsiTheme="majorHAnsi" w:cstheme="majorHAnsi"/>
          <w:b/>
          <w:sz w:val="24"/>
          <w:szCs w:val="24"/>
          <w:lang w:val="ro-MD"/>
        </w:rPr>
      </w:pPr>
      <w:r>
        <w:rPr>
          <w:rFonts w:asciiTheme="majorHAnsi" w:hAnsiTheme="majorHAnsi" w:cstheme="majorHAnsi"/>
          <w:b/>
          <w:sz w:val="24"/>
          <w:szCs w:val="24"/>
          <w:lang w:val="ru-RU"/>
        </w:rPr>
        <w:t>Рекомендации Государственной налоговой службе</w:t>
      </w:r>
      <w:r w:rsidR="005C4AA7" w:rsidRPr="00FE54EB">
        <w:rPr>
          <w:rFonts w:asciiTheme="majorHAnsi" w:hAnsiTheme="majorHAnsi" w:cstheme="majorHAnsi"/>
          <w:b/>
          <w:sz w:val="24"/>
          <w:szCs w:val="24"/>
          <w:lang w:val="ro-MD"/>
        </w:rPr>
        <w:t xml:space="preserve"> </w:t>
      </w:r>
    </w:p>
    <w:p w14:paraId="1897FB7F" w14:textId="54470EAA" w:rsidR="0073048B" w:rsidRPr="00FE54EB" w:rsidRDefault="00F51091" w:rsidP="00452578">
      <w:pPr>
        <w:pStyle w:val="aa"/>
        <w:numPr>
          <w:ilvl w:val="0"/>
          <w:numId w:val="35"/>
        </w:numPr>
        <w:spacing w:after="0" w:line="276" w:lineRule="auto"/>
        <w:jc w:val="both"/>
        <w:rPr>
          <w:rFonts w:asciiTheme="majorHAnsi" w:eastAsia="Times New Roman" w:hAnsiTheme="majorHAnsi" w:cstheme="majorHAnsi"/>
          <w:sz w:val="24"/>
          <w:szCs w:val="24"/>
          <w:lang w:val="ro-MD"/>
        </w:rPr>
      </w:pPr>
      <w:r w:rsidRPr="00F51091">
        <w:rPr>
          <w:rFonts w:asciiTheme="majorHAnsi" w:eastAsia="Times New Roman" w:hAnsiTheme="majorHAnsi" w:cstheme="majorHAnsi"/>
          <w:sz w:val="24"/>
          <w:szCs w:val="24"/>
          <w:lang w:val="ro-MD"/>
        </w:rPr>
        <w:t>Предприн</w:t>
      </w:r>
      <w:r w:rsidR="00452578" w:rsidRPr="00452578">
        <w:rPr>
          <w:rFonts w:asciiTheme="majorHAnsi" w:eastAsia="Times New Roman" w:hAnsiTheme="majorHAnsi" w:cstheme="majorHAnsi"/>
          <w:sz w:val="24"/>
          <w:szCs w:val="24"/>
          <w:lang w:val="ro-MD"/>
        </w:rPr>
        <w:t>ять действия по мониторингу и соблюдению требований налогоплательщик</w:t>
      </w:r>
      <w:r w:rsidRPr="00F51091">
        <w:rPr>
          <w:rFonts w:asciiTheme="majorHAnsi" w:eastAsia="Times New Roman" w:hAnsiTheme="majorHAnsi" w:cstheme="majorHAnsi"/>
          <w:sz w:val="24"/>
          <w:szCs w:val="24"/>
          <w:lang w:val="ro-MD"/>
        </w:rPr>
        <w:t>ами,</w:t>
      </w:r>
      <w:r w:rsidR="00452578" w:rsidRPr="00452578">
        <w:rPr>
          <w:rFonts w:asciiTheme="majorHAnsi" w:eastAsia="Times New Roman" w:hAnsiTheme="majorHAnsi" w:cstheme="majorHAnsi"/>
          <w:sz w:val="24"/>
          <w:szCs w:val="24"/>
          <w:lang w:val="ro-MD"/>
        </w:rPr>
        <w:t xml:space="preserve"> </w:t>
      </w:r>
      <w:r w:rsidRPr="00F51091">
        <w:rPr>
          <w:rFonts w:asciiTheme="majorHAnsi" w:eastAsia="Times New Roman" w:hAnsiTheme="majorHAnsi" w:cstheme="majorHAnsi"/>
          <w:sz w:val="24"/>
          <w:szCs w:val="24"/>
          <w:lang w:val="ro-MD"/>
        </w:rPr>
        <w:t>в</w:t>
      </w:r>
      <w:r w:rsidR="00452578" w:rsidRPr="00452578">
        <w:rPr>
          <w:rFonts w:asciiTheme="majorHAnsi" w:eastAsia="Times New Roman" w:hAnsiTheme="majorHAnsi" w:cstheme="majorHAnsi"/>
          <w:sz w:val="24"/>
          <w:szCs w:val="24"/>
          <w:lang w:val="ro-MD"/>
        </w:rPr>
        <w:t xml:space="preserve"> цел</w:t>
      </w:r>
      <w:r w:rsidRPr="00F51091">
        <w:rPr>
          <w:rFonts w:asciiTheme="majorHAnsi" w:eastAsia="Times New Roman" w:hAnsiTheme="majorHAnsi" w:cstheme="majorHAnsi"/>
          <w:sz w:val="24"/>
          <w:szCs w:val="24"/>
          <w:lang w:val="ro-MD"/>
        </w:rPr>
        <w:t>ях</w:t>
      </w:r>
      <w:r w:rsidR="00452578" w:rsidRPr="00452578">
        <w:rPr>
          <w:rFonts w:asciiTheme="majorHAnsi" w:eastAsia="Times New Roman" w:hAnsiTheme="majorHAnsi" w:cstheme="majorHAnsi"/>
          <w:sz w:val="24"/>
          <w:szCs w:val="24"/>
          <w:lang w:val="ro-MD"/>
        </w:rPr>
        <w:t xml:space="preserve"> сбора доходов</w:t>
      </w:r>
      <w:r w:rsidRPr="00F51091">
        <w:rPr>
          <w:rFonts w:asciiTheme="majorHAnsi" w:eastAsia="Times New Roman" w:hAnsiTheme="majorHAnsi" w:cstheme="majorHAnsi"/>
          <w:sz w:val="24"/>
          <w:szCs w:val="24"/>
          <w:lang w:val="ro-MD"/>
        </w:rPr>
        <w:t xml:space="preserve"> от</w:t>
      </w:r>
      <w:r w:rsidR="00452578" w:rsidRPr="00452578">
        <w:rPr>
          <w:rFonts w:asciiTheme="majorHAnsi" w:eastAsia="Times New Roman" w:hAnsiTheme="majorHAnsi" w:cstheme="majorHAnsi"/>
          <w:sz w:val="24"/>
          <w:szCs w:val="24"/>
          <w:lang w:val="ro-MD"/>
        </w:rPr>
        <w:t xml:space="preserve"> подоходн</w:t>
      </w:r>
      <w:r w:rsidRPr="00F51091">
        <w:rPr>
          <w:rFonts w:asciiTheme="majorHAnsi" w:eastAsia="Times New Roman" w:hAnsiTheme="majorHAnsi" w:cstheme="majorHAnsi"/>
          <w:sz w:val="24"/>
          <w:szCs w:val="24"/>
          <w:lang w:val="ro-MD"/>
        </w:rPr>
        <w:t>ого</w:t>
      </w:r>
      <w:r w:rsidR="00452578" w:rsidRPr="00452578">
        <w:rPr>
          <w:rFonts w:asciiTheme="majorHAnsi" w:eastAsia="Times New Roman" w:hAnsiTheme="majorHAnsi" w:cstheme="majorHAnsi"/>
          <w:sz w:val="24"/>
          <w:szCs w:val="24"/>
          <w:lang w:val="ro-MD"/>
        </w:rPr>
        <w:t xml:space="preserve"> налог</w:t>
      </w:r>
      <w:r w:rsidRPr="00F51091">
        <w:rPr>
          <w:rFonts w:asciiTheme="majorHAnsi" w:eastAsia="Times New Roman" w:hAnsiTheme="majorHAnsi" w:cstheme="majorHAnsi"/>
          <w:sz w:val="24"/>
          <w:szCs w:val="24"/>
          <w:lang w:val="ro-MD"/>
        </w:rPr>
        <w:t>а с</w:t>
      </w:r>
      <w:r w:rsidR="00452578" w:rsidRPr="00452578">
        <w:rPr>
          <w:rFonts w:asciiTheme="majorHAnsi" w:eastAsia="Times New Roman" w:hAnsiTheme="majorHAnsi" w:cstheme="majorHAnsi"/>
          <w:sz w:val="24"/>
          <w:szCs w:val="24"/>
          <w:lang w:val="ro-MD"/>
        </w:rPr>
        <w:t xml:space="preserve"> </w:t>
      </w:r>
      <w:r w:rsidRPr="00452578">
        <w:rPr>
          <w:rFonts w:asciiTheme="majorHAnsi" w:eastAsia="Times New Roman" w:hAnsiTheme="majorHAnsi" w:cstheme="majorHAnsi"/>
          <w:sz w:val="24"/>
          <w:szCs w:val="24"/>
          <w:lang w:val="ro-MD"/>
        </w:rPr>
        <w:t xml:space="preserve">выплаченных </w:t>
      </w:r>
      <w:r w:rsidR="00452578" w:rsidRPr="00452578">
        <w:rPr>
          <w:rFonts w:asciiTheme="majorHAnsi" w:eastAsia="Times New Roman" w:hAnsiTheme="majorHAnsi" w:cstheme="majorHAnsi"/>
          <w:sz w:val="24"/>
          <w:szCs w:val="24"/>
          <w:lang w:val="ro-MD"/>
        </w:rPr>
        <w:t xml:space="preserve">дивидендов, </w:t>
      </w:r>
      <w:r w:rsidRPr="00F51091">
        <w:rPr>
          <w:rFonts w:asciiTheme="majorHAnsi" w:eastAsia="Times New Roman" w:hAnsiTheme="majorHAnsi" w:cstheme="majorHAnsi"/>
          <w:sz w:val="24"/>
          <w:szCs w:val="24"/>
          <w:lang w:val="ro-MD"/>
        </w:rPr>
        <w:t>взимаемого в</w:t>
      </w:r>
      <w:r w:rsidR="00452578" w:rsidRPr="00452578">
        <w:rPr>
          <w:rFonts w:asciiTheme="majorHAnsi" w:eastAsia="Times New Roman" w:hAnsiTheme="majorHAnsi" w:cstheme="majorHAnsi"/>
          <w:sz w:val="24"/>
          <w:szCs w:val="24"/>
          <w:lang w:val="ro-MD"/>
        </w:rPr>
        <w:t xml:space="preserve"> Государственн</w:t>
      </w:r>
      <w:r w:rsidRPr="00F51091">
        <w:rPr>
          <w:rFonts w:asciiTheme="majorHAnsi" w:eastAsia="Times New Roman" w:hAnsiTheme="majorHAnsi" w:cstheme="majorHAnsi"/>
          <w:sz w:val="24"/>
          <w:szCs w:val="24"/>
          <w:lang w:val="ro-MD"/>
        </w:rPr>
        <w:t>ый</w:t>
      </w:r>
      <w:r w:rsidR="00452578" w:rsidRPr="00452578">
        <w:rPr>
          <w:rFonts w:asciiTheme="majorHAnsi" w:eastAsia="Times New Roman" w:hAnsiTheme="majorHAnsi" w:cstheme="majorHAnsi"/>
          <w:sz w:val="24"/>
          <w:szCs w:val="24"/>
          <w:lang w:val="ro-MD"/>
        </w:rPr>
        <w:t xml:space="preserve"> бюджет  </w:t>
      </w:r>
      <w:r w:rsidR="00DF2034" w:rsidRPr="00FE54EB">
        <w:rPr>
          <w:rFonts w:asciiTheme="majorHAnsi" w:hAnsiTheme="majorHAnsi" w:cstheme="majorHAnsi"/>
          <w:i/>
          <w:sz w:val="24"/>
          <w:szCs w:val="24"/>
          <w:lang w:val="ro-MD"/>
        </w:rPr>
        <w:t>(</w:t>
      </w:r>
      <w:r w:rsidR="00AC7F8B">
        <w:rPr>
          <w:rFonts w:asciiTheme="majorHAnsi" w:hAnsiTheme="majorHAnsi" w:cstheme="majorHAnsi"/>
          <w:i/>
          <w:sz w:val="24"/>
          <w:szCs w:val="24"/>
          <w:lang w:val="ro-MD"/>
        </w:rPr>
        <w:t>Замечание</w:t>
      </w:r>
      <w:r w:rsidR="00DF2034" w:rsidRPr="00FE54EB">
        <w:rPr>
          <w:rFonts w:asciiTheme="majorHAnsi" w:hAnsiTheme="majorHAnsi" w:cstheme="majorHAnsi"/>
          <w:i/>
          <w:sz w:val="24"/>
          <w:szCs w:val="24"/>
          <w:lang w:val="ro-MD"/>
        </w:rPr>
        <w:t xml:space="preserve"> 5.7 – </w:t>
      </w:r>
      <w:r w:rsidR="00AC7F8B">
        <w:rPr>
          <w:rFonts w:asciiTheme="majorHAnsi" w:hAnsiTheme="majorHAnsi" w:cstheme="majorHAnsi"/>
          <w:i/>
          <w:sz w:val="24"/>
          <w:szCs w:val="24"/>
          <w:lang w:val="ro-MD"/>
        </w:rPr>
        <w:t>Раздел</w:t>
      </w:r>
      <w:r w:rsidR="00DF2034" w:rsidRPr="00FE54EB">
        <w:rPr>
          <w:rFonts w:asciiTheme="majorHAnsi" w:hAnsiTheme="majorHAnsi" w:cstheme="majorHAnsi"/>
          <w:i/>
          <w:sz w:val="24"/>
          <w:szCs w:val="24"/>
          <w:lang w:val="ro-MD"/>
        </w:rPr>
        <w:t xml:space="preserve"> V);</w:t>
      </w:r>
    </w:p>
    <w:p w14:paraId="23AA3458" w14:textId="3CCA39B8" w:rsidR="003072C4" w:rsidRPr="00DF3043" w:rsidRDefault="00452578" w:rsidP="00452578">
      <w:pPr>
        <w:pStyle w:val="aa"/>
        <w:numPr>
          <w:ilvl w:val="0"/>
          <w:numId w:val="35"/>
        </w:numPr>
        <w:spacing w:after="0" w:line="276" w:lineRule="auto"/>
        <w:jc w:val="both"/>
        <w:rPr>
          <w:rFonts w:asciiTheme="majorHAnsi" w:hAnsiTheme="majorHAnsi" w:cstheme="majorHAnsi"/>
          <w:sz w:val="24"/>
          <w:szCs w:val="24"/>
          <w:lang w:val="ro-MD"/>
        </w:rPr>
      </w:pPr>
      <w:r w:rsidRPr="00452578">
        <w:rPr>
          <w:rFonts w:asciiTheme="majorHAnsi" w:hAnsiTheme="majorHAnsi" w:cstheme="majorHAnsi"/>
          <w:sz w:val="24"/>
          <w:szCs w:val="24"/>
          <w:lang w:val="ro-MD"/>
        </w:rPr>
        <w:t xml:space="preserve">Принять меры </w:t>
      </w:r>
      <w:r w:rsidR="00F51091">
        <w:rPr>
          <w:rFonts w:asciiTheme="majorHAnsi" w:hAnsiTheme="majorHAnsi" w:cstheme="majorHAnsi"/>
          <w:sz w:val="24"/>
          <w:szCs w:val="24"/>
          <w:lang w:val="ru-RU"/>
        </w:rPr>
        <w:t>для</w:t>
      </w:r>
      <w:r w:rsidRPr="00452578">
        <w:rPr>
          <w:rFonts w:asciiTheme="majorHAnsi" w:hAnsiTheme="majorHAnsi" w:cstheme="majorHAnsi"/>
          <w:sz w:val="24"/>
          <w:szCs w:val="24"/>
          <w:lang w:val="ro-MD"/>
        </w:rPr>
        <w:t xml:space="preserve"> соблюдени</w:t>
      </w:r>
      <w:r w:rsidR="001E085E">
        <w:rPr>
          <w:rFonts w:asciiTheme="majorHAnsi" w:hAnsiTheme="majorHAnsi" w:cstheme="majorHAnsi"/>
          <w:sz w:val="24"/>
          <w:szCs w:val="24"/>
          <w:lang w:val="ru-RU"/>
        </w:rPr>
        <w:t>я</w:t>
      </w:r>
      <w:r w:rsidRPr="00452578">
        <w:rPr>
          <w:rFonts w:asciiTheme="majorHAnsi" w:hAnsiTheme="majorHAnsi" w:cstheme="majorHAnsi"/>
          <w:sz w:val="24"/>
          <w:szCs w:val="24"/>
          <w:lang w:val="ro-MD"/>
        </w:rPr>
        <w:t xml:space="preserve"> </w:t>
      </w:r>
      <w:r w:rsidR="00F51091" w:rsidRPr="00F51091">
        <w:rPr>
          <w:rFonts w:asciiTheme="majorHAnsi" w:hAnsiTheme="majorHAnsi" w:cstheme="majorHAnsi"/>
          <w:sz w:val="24"/>
          <w:szCs w:val="24"/>
          <w:lang w:val="ro-MD"/>
        </w:rPr>
        <w:t>требований свободными профессионалами</w:t>
      </w:r>
      <w:r w:rsidR="00F51091" w:rsidRPr="00452578">
        <w:rPr>
          <w:rFonts w:asciiTheme="majorHAnsi" w:hAnsiTheme="majorHAnsi" w:cstheme="majorHAnsi"/>
          <w:sz w:val="24"/>
          <w:szCs w:val="24"/>
          <w:lang w:val="ro-MD"/>
        </w:rPr>
        <w:t xml:space="preserve"> </w:t>
      </w:r>
      <w:r w:rsidRPr="00452578">
        <w:rPr>
          <w:rFonts w:asciiTheme="majorHAnsi" w:hAnsiTheme="majorHAnsi" w:cstheme="majorHAnsi"/>
          <w:sz w:val="24"/>
          <w:szCs w:val="24"/>
          <w:lang w:val="ro-MD"/>
        </w:rPr>
        <w:t xml:space="preserve">и </w:t>
      </w:r>
      <w:r w:rsidR="00F51091" w:rsidRPr="00F51091">
        <w:rPr>
          <w:rFonts w:asciiTheme="majorHAnsi" w:hAnsiTheme="majorHAnsi" w:cstheme="majorHAnsi"/>
          <w:sz w:val="24"/>
          <w:szCs w:val="24"/>
          <w:lang w:val="ro-MD"/>
        </w:rPr>
        <w:t xml:space="preserve">их </w:t>
      </w:r>
      <w:r w:rsidRPr="00452578">
        <w:rPr>
          <w:rFonts w:asciiTheme="majorHAnsi" w:hAnsiTheme="majorHAnsi" w:cstheme="majorHAnsi"/>
          <w:sz w:val="24"/>
          <w:szCs w:val="24"/>
          <w:lang w:val="ro-MD"/>
        </w:rPr>
        <w:t>дисциплин</w:t>
      </w:r>
      <w:r w:rsidR="00F51091" w:rsidRPr="00F51091">
        <w:rPr>
          <w:rFonts w:asciiTheme="majorHAnsi" w:hAnsiTheme="majorHAnsi" w:cstheme="majorHAnsi"/>
          <w:sz w:val="24"/>
          <w:szCs w:val="24"/>
          <w:lang w:val="ro-MD"/>
        </w:rPr>
        <w:t>ированию</w:t>
      </w:r>
      <w:r w:rsidRPr="00452578">
        <w:rPr>
          <w:rFonts w:asciiTheme="majorHAnsi" w:hAnsiTheme="majorHAnsi" w:cstheme="majorHAnsi"/>
          <w:sz w:val="24"/>
          <w:szCs w:val="24"/>
          <w:lang w:val="ro-MD"/>
        </w:rPr>
        <w:t xml:space="preserve"> в аспекте декларирования и срочного п</w:t>
      </w:r>
      <w:r w:rsidR="00F51091" w:rsidRPr="00F51091">
        <w:rPr>
          <w:rFonts w:asciiTheme="majorHAnsi" w:hAnsiTheme="majorHAnsi" w:cstheme="majorHAnsi"/>
          <w:sz w:val="24"/>
          <w:szCs w:val="24"/>
          <w:lang w:val="ro-MD"/>
        </w:rPr>
        <w:t>еречисления</w:t>
      </w:r>
      <w:r w:rsidRPr="00452578">
        <w:rPr>
          <w:rFonts w:asciiTheme="majorHAnsi" w:hAnsiTheme="majorHAnsi" w:cstheme="majorHAnsi"/>
          <w:sz w:val="24"/>
          <w:szCs w:val="24"/>
          <w:lang w:val="ro-MD"/>
        </w:rPr>
        <w:t xml:space="preserve"> обязательных взносов государственно</w:t>
      </w:r>
      <w:r w:rsidR="00F51091" w:rsidRPr="00F51091">
        <w:rPr>
          <w:rFonts w:asciiTheme="majorHAnsi" w:hAnsiTheme="majorHAnsi" w:cstheme="majorHAnsi"/>
          <w:sz w:val="24"/>
          <w:szCs w:val="24"/>
          <w:lang w:val="ro-MD"/>
        </w:rPr>
        <w:t>го</w:t>
      </w:r>
      <w:r w:rsidRPr="00452578">
        <w:rPr>
          <w:rFonts w:asciiTheme="majorHAnsi" w:hAnsiTheme="majorHAnsi" w:cstheme="majorHAnsi"/>
          <w:sz w:val="24"/>
          <w:szCs w:val="24"/>
          <w:lang w:val="ro-MD"/>
        </w:rPr>
        <w:t xml:space="preserve"> социально</w:t>
      </w:r>
      <w:r w:rsidR="00F51091" w:rsidRPr="00F51091">
        <w:rPr>
          <w:rFonts w:asciiTheme="majorHAnsi" w:hAnsiTheme="majorHAnsi" w:cstheme="majorHAnsi"/>
          <w:sz w:val="24"/>
          <w:szCs w:val="24"/>
          <w:lang w:val="ro-MD"/>
        </w:rPr>
        <w:t>го</w:t>
      </w:r>
      <w:r w:rsidRPr="00452578">
        <w:rPr>
          <w:rFonts w:asciiTheme="majorHAnsi" w:hAnsiTheme="majorHAnsi" w:cstheme="majorHAnsi"/>
          <w:sz w:val="24"/>
          <w:szCs w:val="24"/>
          <w:lang w:val="ro-MD"/>
        </w:rPr>
        <w:t xml:space="preserve"> страховани</w:t>
      </w:r>
      <w:r w:rsidR="00F51091" w:rsidRPr="00F51091">
        <w:rPr>
          <w:rFonts w:asciiTheme="majorHAnsi" w:hAnsiTheme="majorHAnsi" w:cstheme="majorHAnsi"/>
          <w:sz w:val="24"/>
          <w:szCs w:val="24"/>
          <w:lang w:val="ro-MD"/>
        </w:rPr>
        <w:t>я</w:t>
      </w:r>
      <w:r w:rsidRPr="00452578">
        <w:rPr>
          <w:rFonts w:asciiTheme="majorHAnsi" w:hAnsiTheme="majorHAnsi" w:cstheme="majorHAnsi"/>
          <w:sz w:val="24"/>
          <w:szCs w:val="24"/>
          <w:lang w:val="ro-MD"/>
        </w:rPr>
        <w:t xml:space="preserve">  </w:t>
      </w:r>
      <w:r w:rsidR="00DF2034" w:rsidRPr="00FE54EB">
        <w:rPr>
          <w:rFonts w:asciiTheme="majorHAnsi" w:hAnsiTheme="majorHAnsi" w:cstheme="majorHAnsi"/>
          <w:i/>
          <w:sz w:val="24"/>
          <w:szCs w:val="24"/>
          <w:lang w:val="ro-MD"/>
        </w:rPr>
        <w:t>(</w:t>
      </w:r>
      <w:r w:rsidR="00AC7F8B">
        <w:rPr>
          <w:rFonts w:asciiTheme="majorHAnsi" w:hAnsiTheme="majorHAnsi" w:cstheme="majorHAnsi"/>
          <w:i/>
          <w:sz w:val="24"/>
          <w:szCs w:val="24"/>
          <w:lang w:val="ro-MD"/>
        </w:rPr>
        <w:t>Замечание</w:t>
      </w:r>
      <w:r w:rsidR="00DF2034" w:rsidRPr="00FE54EB">
        <w:rPr>
          <w:rFonts w:asciiTheme="majorHAnsi" w:hAnsiTheme="majorHAnsi" w:cstheme="majorHAnsi"/>
          <w:i/>
          <w:sz w:val="24"/>
          <w:szCs w:val="24"/>
          <w:lang w:val="ro-MD"/>
        </w:rPr>
        <w:t xml:space="preserve"> 6.2 – </w:t>
      </w:r>
      <w:r w:rsidR="00AC7F8B">
        <w:rPr>
          <w:rFonts w:asciiTheme="majorHAnsi" w:hAnsiTheme="majorHAnsi" w:cstheme="majorHAnsi"/>
          <w:i/>
          <w:sz w:val="24"/>
          <w:szCs w:val="24"/>
          <w:lang w:val="ro-MD"/>
        </w:rPr>
        <w:t>Раздел</w:t>
      </w:r>
      <w:r w:rsidR="00DF2034" w:rsidRPr="00FE54EB">
        <w:rPr>
          <w:rFonts w:asciiTheme="majorHAnsi" w:hAnsiTheme="majorHAnsi" w:cstheme="majorHAnsi"/>
          <w:i/>
          <w:sz w:val="24"/>
          <w:szCs w:val="24"/>
          <w:lang w:val="ro-MD"/>
        </w:rPr>
        <w:t xml:space="preserve"> VI);</w:t>
      </w:r>
    </w:p>
    <w:p w14:paraId="2DF34B95" w14:textId="77777777" w:rsidR="00DF3043" w:rsidRPr="00FE54EB" w:rsidRDefault="00DF3043" w:rsidP="00DF3043">
      <w:pPr>
        <w:pStyle w:val="aa"/>
        <w:spacing w:after="0" w:line="276" w:lineRule="auto"/>
        <w:jc w:val="both"/>
        <w:rPr>
          <w:rFonts w:asciiTheme="majorHAnsi" w:hAnsiTheme="majorHAnsi" w:cstheme="majorHAnsi"/>
          <w:sz w:val="24"/>
          <w:szCs w:val="24"/>
          <w:lang w:val="ro-MD"/>
        </w:rPr>
      </w:pPr>
    </w:p>
    <w:p w14:paraId="030C9708" w14:textId="435EC2E2" w:rsidR="005C4AA7" w:rsidRPr="00FE54EB" w:rsidRDefault="00855FDB" w:rsidP="0010219C">
      <w:pPr>
        <w:pStyle w:val="a6"/>
        <w:shd w:val="clear" w:color="auto" w:fill="FFFFFF" w:themeFill="background1"/>
        <w:spacing w:line="276" w:lineRule="auto"/>
        <w:ind w:firstLine="0"/>
        <w:rPr>
          <w:rFonts w:asciiTheme="majorHAnsi" w:eastAsiaTheme="minorHAnsi" w:hAnsiTheme="majorHAnsi" w:cstheme="majorHAnsi"/>
          <w:b/>
          <w:lang w:val="ro-MD"/>
        </w:rPr>
      </w:pPr>
      <w:r>
        <w:rPr>
          <w:rFonts w:asciiTheme="majorHAnsi" w:hAnsiTheme="majorHAnsi" w:cstheme="majorHAnsi"/>
          <w:b/>
          <w:lang w:val="ru-RU"/>
        </w:rPr>
        <w:t>Рекомендации Агентству публичных услуг</w:t>
      </w:r>
    </w:p>
    <w:p w14:paraId="150AC8CE" w14:textId="10C4DD6D" w:rsidR="005C4AA7" w:rsidRPr="00B7675F" w:rsidRDefault="00E34CA6" w:rsidP="00452578">
      <w:pPr>
        <w:pStyle w:val="a6"/>
        <w:numPr>
          <w:ilvl w:val="0"/>
          <w:numId w:val="35"/>
        </w:numPr>
        <w:spacing w:line="276" w:lineRule="auto"/>
        <w:rPr>
          <w:rFonts w:asciiTheme="majorHAnsi" w:hAnsiTheme="majorHAnsi" w:cstheme="majorHAnsi"/>
          <w:lang w:val="ro-MD"/>
        </w:rPr>
      </w:pPr>
      <w:r w:rsidRPr="00E34CA6">
        <w:rPr>
          <w:rFonts w:asciiTheme="majorHAnsi" w:hAnsiTheme="majorHAnsi" w:cstheme="majorHAnsi"/>
          <w:iCs/>
          <w:lang w:val="ro-RO"/>
        </w:rPr>
        <w:t>Оценить и оптимизировать, совместно с вовлеченными сторонами, процессы, связанные с формированием и обменом данными о смерти бенефициаров социальных пособий, с целью исключения нео</w:t>
      </w:r>
      <w:r w:rsidRPr="00E34CA6">
        <w:rPr>
          <w:rFonts w:asciiTheme="majorHAnsi" w:hAnsiTheme="majorHAnsi" w:cstheme="majorHAnsi"/>
          <w:iCs/>
          <w:lang w:val="ro-MD"/>
        </w:rPr>
        <w:t>боснов</w:t>
      </w:r>
      <w:r w:rsidRPr="00E34CA6">
        <w:rPr>
          <w:rFonts w:asciiTheme="majorHAnsi" w:hAnsiTheme="majorHAnsi" w:cstheme="majorHAnsi"/>
          <w:iCs/>
          <w:lang w:val="ro-RO"/>
        </w:rPr>
        <w:t>анных расходов, понесенных</w:t>
      </w:r>
      <w:r w:rsidRPr="00E34CA6">
        <w:rPr>
          <w:rFonts w:asciiTheme="majorHAnsi" w:hAnsiTheme="majorHAnsi" w:cstheme="majorHAnsi"/>
          <w:iCs/>
          <w:lang w:val="ro-MD"/>
        </w:rPr>
        <w:t xml:space="preserve"> из БГСС </w:t>
      </w:r>
      <w:r w:rsidR="00DF2034" w:rsidRPr="00B7675F">
        <w:rPr>
          <w:rFonts w:asciiTheme="majorHAnsi" w:hAnsiTheme="majorHAnsi" w:cstheme="majorHAnsi"/>
          <w:i/>
          <w:lang w:val="ro-MD"/>
        </w:rPr>
        <w:t>(</w:t>
      </w:r>
      <w:r w:rsidR="00AC7F8B">
        <w:rPr>
          <w:rFonts w:asciiTheme="majorHAnsi" w:hAnsiTheme="majorHAnsi" w:cstheme="majorHAnsi"/>
          <w:i/>
          <w:lang w:val="ro-MD"/>
        </w:rPr>
        <w:t>Замечание</w:t>
      </w:r>
      <w:r w:rsidR="00DF2034" w:rsidRPr="00B7675F">
        <w:rPr>
          <w:rFonts w:asciiTheme="majorHAnsi" w:hAnsiTheme="majorHAnsi" w:cstheme="majorHAnsi"/>
          <w:i/>
          <w:lang w:val="ro-MD"/>
        </w:rPr>
        <w:t xml:space="preserve"> 6.4 – </w:t>
      </w:r>
      <w:r w:rsidR="00AC7F8B">
        <w:rPr>
          <w:rFonts w:asciiTheme="majorHAnsi" w:hAnsiTheme="majorHAnsi" w:cstheme="majorHAnsi"/>
          <w:i/>
          <w:lang w:val="ro-MD"/>
        </w:rPr>
        <w:t>Раздел</w:t>
      </w:r>
      <w:r w:rsidR="00DF2034" w:rsidRPr="00B7675F">
        <w:rPr>
          <w:rFonts w:asciiTheme="majorHAnsi" w:hAnsiTheme="majorHAnsi" w:cstheme="majorHAnsi"/>
          <w:i/>
          <w:lang w:val="ro-MD"/>
        </w:rPr>
        <w:t xml:space="preserve"> VI);</w:t>
      </w:r>
    </w:p>
    <w:p w14:paraId="59C63179" w14:textId="142C5E85" w:rsidR="005C4AA7" w:rsidRPr="00B7675F" w:rsidRDefault="00E34CA6" w:rsidP="007C651A">
      <w:pPr>
        <w:pStyle w:val="a6"/>
        <w:numPr>
          <w:ilvl w:val="0"/>
          <w:numId w:val="35"/>
        </w:numPr>
        <w:spacing w:line="276" w:lineRule="auto"/>
        <w:rPr>
          <w:rFonts w:asciiTheme="majorHAnsi" w:hAnsiTheme="majorHAnsi" w:cstheme="majorHAnsi"/>
          <w:lang w:val="ro-MD"/>
        </w:rPr>
      </w:pPr>
      <w:r w:rsidRPr="00E34CA6">
        <w:rPr>
          <w:rFonts w:asciiTheme="majorHAnsi" w:hAnsiTheme="majorHAnsi" w:cstheme="majorHAnsi"/>
          <w:iCs/>
          <w:lang w:val="ro-RO"/>
        </w:rPr>
        <w:t>Предпринимать действия по оперативной регистрации смерти лиц в Государственном регистре населения</w:t>
      </w:r>
      <w:r w:rsidRPr="00E34CA6">
        <w:rPr>
          <w:rFonts w:asciiTheme="majorHAnsi" w:hAnsiTheme="majorHAnsi" w:cstheme="majorHAnsi"/>
          <w:i/>
          <w:iCs/>
          <w:lang w:val="ro-RO"/>
        </w:rPr>
        <w:t xml:space="preserve"> </w:t>
      </w:r>
      <w:r w:rsidR="00DF2034" w:rsidRPr="00B7675F">
        <w:rPr>
          <w:rFonts w:asciiTheme="majorHAnsi" w:hAnsiTheme="majorHAnsi" w:cstheme="majorHAnsi"/>
          <w:i/>
          <w:lang w:val="ro-MD"/>
        </w:rPr>
        <w:t>(</w:t>
      </w:r>
      <w:r w:rsidR="00AC7F8B">
        <w:rPr>
          <w:rFonts w:asciiTheme="majorHAnsi" w:hAnsiTheme="majorHAnsi" w:cstheme="majorHAnsi"/>
          <w:i/>
          <w:lang w:val="ro-MD"/>
        </w:rPr>
        <w:t>Замечание</w:t>
      </w:r>
      <w:r w:rsidR="00DF2034" w:rsidRPr="00B7675F">
        <w:rPr>
          <w:rFonts w:asciiTheme="majorHAnsi" w:hAnsiTheme="majorHAnsi" w:cstheme="majorHAnsi"/>
          <w:i/>
          <w:lang w:val="ro-MD"/>
        </w:rPr>
        <w:t xml:space="preserve"> 6.4 – </w:t>
      </w:r>
      <w:r w:rsidR="00AC7F8B">
        <w:rPr>
          <w:rFonts w:asciiTheme="majorHAnsi" w:hAnsiTheme="majorHAnsi" w:cstheme="majorHAnsi"/>
          <w:i/>
          <w:lang w:val="ro-MD"/>
        </w:rPr>
        <w:t>Раздел</w:t>
      </w:r>
      <w:r w:rsidR="00DF2034" w:rsidRPr="00B7675F">
        <w:rPr>
          <w:rFonts w:asciiTheme="majorHAnsi" w:hAnsiTheme="majorHAnsi" w:cstheme="majorHAnsi"/>
          <w:i/>
          <w:lang w:val="ro-MD"/>
        </w:rPr>
        <w:t xml:space="preserve"> VI);</w:t>
      </w:r>
    </w:p>
    <w:p w14:paraId="5E2FC94D" w14:textId="52F41D2A" w:rsidR="005567FD" w:rsidRPr="00B7675F" w:rsidRDefault="007C651A" w:rsidP="005567FD">
      <w:pPr>
        <w:pStyle w:val="a6"/>
        <w:spacing w:line="276" w:lineRule="auto"/>
        <w:ind w:firstLine="0"/>
        <w:rPr>
          <w:rFonts w:asciiTheme="majorHAnsi" w:eastAsiaTheme="minorHAnsi" w:hAnsiTheme="majorHAnsi" w:cstheme="majorHAnsi"/>
          <w:b/>
          <w:lang w:val="ro-MD"/>
        </w:rPr>
      </w:pPr>
      <w:r w:rsidRPr="007C651A">
        <w:rPr>
          <w:rFonts w:asciiTheme="majorHAnsi" w:eastAsiaTheme="minorHAnsi" w:hAnsiTheme="majorHAnsi" w:cstheme="majorHAnsi"/>
          <w:b/>
          <w:lang w:val="ro-MD"/>
        </w:rPr>
        <w:t>Рекомендации Национальной кассе социального страхования</w:t>
      </w:r>
    </w:p>
    <w:p w14:paraId="44CEB7C9" w14:textId="728BE170" w:rsidR="005567FD" w:rsidRPr="00B7675F" w:rsidRDefault="007C651A" w:rsidP="007C651A">
      <w:pPr>
        <w:pStyle w:val="aa"/>
        <w:numPr>
          <w:ilvl w:val="0"/>
          <w:numId w:val="35"/>
        </w:numPr>
        <w:spacing w:after="0" w:line="276" w:lineRule="auto"/>
        <w:jc w:val="both"/>
        <w:rPr>
          <w:rFonts w:asciiTheme="majorHAnsi" w:eastAsia="Times New Roman" w:hAnsiTheme="majorHAnsi" w:cstheme="majorHAnsi"/>
          <w:sz w:val="24"/>
          <w:szCs w:val="24"/>
          <w:lang w:val="ro-MD"/>
        </w:rPr>
      </w:pPr>
      <w:r w:rsidRPr="007C651A">
        <w:rPr>
          <w:rFonts w:asciiTheme="majorHAnsi" w:eastAsia="Times New Roman" w:hAnsiTheme="majorHAnsi" w:cstheme="majorHAnsi"/>
          <w:sz w:val="24"/>
          <w:szCs w:val="24"/>
          <w:lang w:val="ro-MD"/>
        </w:rPr>
        <w:t>Контролировать процесс выплаты пособия в срок в сл</w:t>
      </w:r>
      <w:r w:rsidR="00E34CA6">
        <w:rPr>
          <w:rFonts w:asciiTheme="majorHAnsi" w:eastAsia="Times New Roman" w:hAnsiTheme="majorHAnsi" w:cstheme="majorHAnsi"/>
          <w:sz w:val="24"/>
          <w:szCs w:val="24"/>
          <w:lang w:val="ro-MD"/>
        </w:rPr>
        <w:t xml:space="preserve">учае смерти одного из супругов </w:t>
      </w:r>
      <w:r w:rsidR="00DF2034" w:rsidRPr="00B7675F">
        <w:rPr>
          <w:rFonts w:asciiTheme="majorHAnsi" w:hAnsiTheme="majorHAnsi" w:cstheme="majorHAnsi"/>
          <w:i/>
          <w:sz w:val="24"/>
          <w:szCs w:val="24"/>
          <w:lang w:val="ro-MD"/>
        </w:rPr>
        <w:t>(</w:t>
      </w:r>
      <w:r w:rsidR="00AC7F8B">
        <w:rPr>
          <w:rFonts w:asciiTheme="majorHAnsi" w:hAnsiTheme="majorHAnsi" w:cstheme="majorHAnsi"/>
          <w:i/>
          <w:sz w:val="24"/>
          <w:szCs w:val="24"/>
          <w:lang w:val="ro-MD"/>
        </w:rPr>
        <w:t>Замечание</w:t>
      </w:r>
      <w:r w:rsidR="00DF2034" w:rsidRPr="00B7675F">
        <w:rPr>
          <w:rFonts w:asciiTheme="majorHAnsi" w:hAnsiTheme="majorHAnsi" w:cstheme="majorHAnsi"/>
          <w:i/>
          <w:sz w:val="24"/>
          <w:szCs w:val="24"/>
          <w:lang w:val="ro-MD"/>
        </w:rPr>
        <w:t xml:space="preserve"> 7.10 – </w:t>
      </w:r>
      <w:r w:rsidR="00AC7F8B">
        <w:rPr>
          <w:rFonts w:asciiTheme="majorHAnsi" w:hAnsiTheme="majorHAnsi" w:cstheme="majorHAnsi"/>
          <w:i/>
          <w:sz w:val="24"/>
          <w:szCs w:val="24"/>
          <w:lang w:val="ro-MD"/>
        </w:rPr>
        <w:t>Раздел</w:t>
      </w:r>
      <w:r w:rsidR="00DF2034" w:rsidRPr="00B7675F">
        <w:rPr>
          <w:rFonts w:asciiTheme="majorHAnsi" w:hAnsiTheme="majorHAnsi" w:cstheme="majorHAnsi"/>
          <w:i/>
          <w:sz w:val="24"/>
          <w:szCs w:val="24"/>
          <w:lang w:val="ro-MD"/>
        </w:rPr>
        <w:t xml:space="preserve"> VII);</w:t>
      </w:r>
    </w:p>
    <w:p w14:paraId="7DCEE3AB" w14:textId="4A82A787" w:rsidR="005C4AA7" w:rsidRPr="00B7675F" w:rsidRDefault="007C651A" w:rsidP="0010219C">
      <w:pPr>
        <w:pStyle w:val="a6"/>
        <w:shd w:val="clear" w:color="auto" w:fill="FFFFFF" w:themeFill="background1"/>
        <w:spacing w:line="276" w:lineRule="auto"/>
        <w:ind w:firstLine="0"/>
        <w:rPr>
          <w:rFonts w:asciiTheme="majorHAnsi" w:hAnsiTheme="majorHAnsi" w:cstheme="majorHAnsi"/>
          <w:i/>
          <w:noProof/>
          <w:u w:val="single"/>
          <w:lang w:val="ro-MD"/>
        </w:rPr>
      </w:pPr>
      <w:r w:rsidRPr="007C651A">
        <w:rPr>
          <w:rFonts w:asciiTheme="majorHAnsi" w:eastAsiaTheme="minorHAnsi" w:hAnsiTheme="majorHAnsi" w:cstheme="majorHAnsi"/>
          <w:b/>
          <w:lang w:val="ro-MD"/>
        </w:rPr>
        <w:t>Рекомендаци</w:t>
      </w:r>
      <w:r>
        <w:rPr>
          <w:rFonts w:asciiTheme="majorHAnsi" w:eastAsiaTheme="minorHAnsi" w:hAnsiTheme="majorHAnsi" w:cstheme="majorHAnsi"/>
          <w:b/>
          <w:lang w:val="ru-RU"/>
        </w:rPr>
        <w:t>и</w:t>
      </w:r>
      <w:r w:rsidRPr="007C651A">
        <w:rPr>
          <w:rFonts w:asciiTheme="majorHAnsi" w:eastAsiaTheme="minorHAnsi" w:hAnsiTheme="majorHAnsi" w:cstheme="majorHAnsi"/>
          <w:b/>
          <w:lang w:val="ro-MD"/>
        </w:rPr>
        <w:t xml:space="preserve"> Государственной инспекции труда</w:t>
      </w:r>
    </w:p>
    <w:p w14:paraId="050102CC" w14:textId="6424EB3A" w:rsidR="005C4AA7" w:rsidRPr="0038225D" w:rsidRDefault="007C651A" w:rsidP="007C651A">
      <w:pPr>
        <w:pStyle w:val="a6"/>
        <w:numPr>
          <w:ilvl w:val="0"/>
          <w:numId w:val="35"/>
        </w:numPr>
        <w:spacing w:line="276" w:lineRule="auto"/>
        <w:rPr>
          <w:rFonts w:asciiTheme="majorHAnsi" w:hAnsiTheme="majorHAnsi" w:cstheme="majorHAnsi"/>
          <w:lang w:val="ro-MD"/>
        </w:rPr>
      </w:pPr>
      <w:r w:rsidRPr="007C651A">
        <w:rPr>
          <w:rFonts w:asciiTheme="majorHAnsi" w:hAnsiTheme="majorHAnsi" w:cstheme="majorHAnsi"/>
          <w:lang w:val="ro-MD"/>
        </w:rPr>
        <w:t xml:space="preserve">Предпринять действия по контролю и мониторингу процесса установления </w:t>
      </w:r>
      <w:r w:rsidR="00E10174" w:rsidRPr="007C651A">
        <w:rPr>
          <w:rFonts w:asciiTheme="majorHAnsi" w:hAnsiTheme="majorHAnsi" w:cstheme="majorHAnsi"/>
          <w:lang w:val="ro-MD"/>
        </w:rPr>
        <w:t xml:space="preserve">пособия </w:t>
      </w:r>
      <w:r w:rsidRPr="007C651A">
        <w:rPr>
          <w:rFonts w:asciiTheme="majorHAnsi" w:hAnsiTheme="majorHAnsi" w:cstheme="majorHAnsi"/>
          <w:lang w:val="ro-MD"/>
        </w:rPr>
        <w:t xml:space="preserve">по </w:t>
      </w:r>
      <w:r w:rsidR="00E10174" w:rsidRPr="007C651A">
        <w:rPr>
          <w:rFonts w:asciiTheme="majorHAnsi" w:hAnsiTheme="majorHAnsi" w:cstheme="majorHAnsi"/>
          <w:lang w:val="ro-MD"/>
        </w:rPr>
        <w:t>техническо</w:t>
      </w:r>
      <w:r w:rsidR="00E10174" w:rsidRPr="00E10174">
        <w:rPr>
          <w:rFonts w:asciiTheme="majorHAnsi" w:hAnsiTheme="majorHAnsi" w:cstheme="majorHAnsi"/>
          <w:lang w:val="ro-MD"/>
        </w:rPr>
        <w:t>му</w:t>
      </w:r>
      <w:r w:rsidR="00E10174" w:rsidRPr="007C651A">
        <w:rPr>
          <w:rFonts w:asciiTheme="majorHAnsi" w:hAnsiTheme="majorHAnsi" w:cstheme="majorHAnsi"/>
          <w:lang w:val="ro-MD"/>
        </w:rPr>
        <w:t xml:space="preserve"> </w:t>
      </w:r>
      <w:r w:rsidR="00E10174" w:rsidRPr="00E10174">
        <w:rPr>
          <w:rFonts w:asciiTheme="majorHAnsi" w:hAnsiTheme="majorHAnsi" w:cstheme="majorHAnsi"/>
          <w:lang w:val="ro-MD"/>
        </w:rPr>
        <w:t>простою,</w:t>
      </w:r>
      <w:r w:rsidRPr="007C651A">
        <w:rPr>
          <w:rFonts w:asciiTheme="majorHAnsi" w:hAnsiTheme="majorHAnsi" w:cstheme="majorHAnsi"/>
          <w:lang w:val="ro-MD"/>
        </w:rPr>
        <w:t xml:space="preserve"> </w:t>
      </w:r>
      <w:r w:rsidR="00E10174">
        <w:rPr>
          <w:rFonts w:asciiTheme="majorHAnsi" w:hAnsiTheme="majorHAnsi" w:cstheme="majorHAnsi"/>
          <w:lang w:val="ru-RU"/>
        </w:rPr>
        <w:t>для</w:t>
      </w:r>
      <w:r w:rsidRPr="007C651A">
        <w:rPr>
          <w:rFonts w:asciiTheme="majorHAnsi" w:hAnsiTheme="majorHAnsi" w:cstheme="majorHAnsi"/>
          <w:lang w:val="ro-MD"/>
        </w:rPr>
        <w:t xml:space="preserve"> получения </w:t>
      </w:r>
      <w:r w:rsidR="00E10174" w:rsidRPr="00E10174">
        <w:rPr>
          <w:rFonts w:asciiTheme="majorHAnsi" w:hAnsiTheme="majorHAnsi" w:cstheme="majorHAnsi"/>
          <w:lang w:val="ro-MD"/>
        </w:rPr>
        <w:t>уверенности в</w:t>
      </w:r>
      <w:r w:rsidRPr="007C651A">
        <w:rPr>
          <w:rFonts w:asciiTheme="majorHAnsi" w:hAnsiTheme="majorHAnsi" w:cstheme="majorHAnsi"/>
          <w:lang w:val="ro-MD"/>
        </w:rPr>
        <w:t xml:space="preserve"> соответстви</w:t>
      </w:r>
      <w:r w:rsidR="00E10174" w:rsidRPr="00E10174">
        <w:rPr>
          <w:rFonts w:asciiTheme="majorHAnsi" w:hAnsiTheme="majorHAnsi" w:cstheme="majorHAnsi"/>
          <w:lang w:val="ro-MD"/>
        </w:rPr>
        <w:t>и</w:t>
      </w:r>
      <w:r w:rsidRPr="007C651A">
        <w:rPr>
          <w:rFonts w:asciiTheme="majorHAnsi" w:hAnsiTheme="majorHAnsi" w:cstheme="majorHAnsi"/>
          <w:lang w:val="ro-MD"/>
        </w:rPr>
        <w:t xml:space="preserve"> их предоставлени</w:t>
      </w:r>
      <w:r w:rsidR="00E10174" w:rsidRPr="00E10174">
        <w:rPr>
          <w:rFonts w:asciiTheme="majorHAnsi" w:hAnsiTheme="majorHAnsi" w:cstheme="majorHAnsi"/>
          <w:lang w:val="ro-MD"/>
        </w:rPr>
        <w:t>я</w:t>
      </w:r>
      <w:r w:rsidRPr="007C651A">
        <w:rPr>
          <w:rFonts w:asciiTheme="majorHAnsi" w:hAnsiTheme="majorHAnsi" w:cstheme="majorHAnsi"/>
          <w:lang w:val="ro-MD"/>
        </w:rPr>
        <w:t xml:space="preserve"> </w:t>
      </w:r>
      <w:r w:rsidRPr="00E10174">
        <w:rPr>
          <w:rFonts w:asciiTheme="majorHAnsi" w:hAnsiTheme="majorHAnsi" w:cstheme="majorHAnsi"/>
          <w:lang w:val="ro-MD"/>
        </w:rPr>
        <w:t xml:space="preserve"> </w:t>
      </w:r>
      <w:r w:rsidR="00DF2034" w:rsidRPr="0038225D">
        <w:rPr>
          <w:rFonts w:asciiTheme="majorHAnsi" w:hAnsiTheme="majorHAnsi" w:cstheme="majorHAnsi"/>
          <w:i/>
          <w:lang w:val="ro-MD"/>
        </w:rPr>
        <w:t>(</w:t>
      </w:r>
      <w:r w:rsidR="00AC7F8B">
        <w:rPr>
          <w:rFonts w:asciiTheme="majorHAnsi" w:hAnsiTheme="majorHAnsi" w:cstheme="majorHAnsi"/>
          <w:i/>
          <w:lang w:val="ro-MD"/>
        </w:rPr>
        <w:t>Замечание</w:t>
      </w:r>
      <w:r w:rsidR="00DF2034" w:rsidRPr="0038225D">
        <w:rPr>
          <w:rFonts w:asciiTheme="majorHAnsi" w:hAnsiTheme="majorHAnsi" w:cstheme="majorHAnsi"/>
          <w:i/>
          <w:lang w:val="ro-MD"/>
        </w:rPr>
        <w:t xml:space="preserve"> 7.4 – </w:t>
      </w:r>
      <w:r w:rsidR="00AC7F8B">
        <w:rPr>
          <w:rFonts w:asciiTheme="majorHAnsi" w:hAnsiTheme="majorHAnsi" w:cstheme="majorHAnsi"/>
          <w:i/>
          <w:lang w:val="ro-MD"/>
        </w:rPr>
        <w:t>Раздел</w:t>
      </w:r>
      <w:r w:rsidR="00DF2034" w:rsidRPr="0038225D">
        <w:rPr>
          <w:rFonts w:asciiTheme="majorHAnsi" w:hAnsiTheme="majorHAnsi" w:cstheme="majorHAnsi"/>
          <w:i/>
          <w:lang w:val="ro-MD"/>
        </w:rPr>
        <w:t xml:space="preserve"> VII);</w:t>
      </w:r>
    </w:p>
    <w:p w14:paraId="4FA753CA" w14:textId="0EF41A56" w:rsidR="00FE6D61" w:rsidRPr="00FE54EB" w:rsidRDefault="00E10174" w:rsidP="007C651A">
      <w:pPr>
        <w:pStyle w:val="a6"/>
        <w:numPr>
          <w:ilvl w:val="0"/>
          <w:numId w:val="35"/>
        </w:numPr>
        <w:spacing w:line="276" w:lineRule="auto"/>
        <w:rPr>
          <w:rFonts w:asciiTheme="majorHAnsi" w:hAnsiTheme="majorHAnsi" w:cstheme="majorHAnsi"/>
          <w:lang w:val="ro-MD"/>
        </w:rPr>
      </w:pPr>
      <w:r w:rsidRPr="00E10174">
        <w:rPr>
          <w:rFonts w:asciiTheme="majorHAnsi" w:hAnsiTheme="majorHAnsi" w:cstheme="majorHAnsi"/>
          <w:lang w:val="ro-MD"/>
        </w:rPr>
        <w:t>Проводи</w:t>
      </w:r>
      <w:r w:rsidR="007C651A" w:rsidRPr="007C651A">
        <w:rPr>
          <w:rFonts w:asciiTheme="majorHAnsi" w:hAnsiTheme="majorHAnsi" w:cstheme="majorHAnsi"/>
          <w:lang w:val="ro-MD"/>
        </w:rPr>
        <w:t xml:space="preserve">ть контрольные </w:t>
      </w:r>
      <w:r w:rsidRPr="00E10174">
        <w:rPr>
          <w:rFonts w:asciiTheme="majorHAnsi" w:hAnsiTheme="majorHAnsi" w:cstheme="majorHAnsi"/>
          <w:lang w:val="ro-MD"/>
        </w:rPr>
        <w:t>мероприят</w:t>
      </w:r>
      <w:r w:rsidR="007C651A" w:rsidRPr="007C651A">
        <w:rPr>
          <w:rFonts w:asciiTheme="majorHAnsi" w:hAnsiTheme="majorHAnsi" w:cstheme="majorHAnsi"/>
          <w:lang w:val="ro-MD"/>
        </w:rPr>
        <w:t xml:space="preserve">ия, </w:t>
      </w:r>
      <w:r w:rsidRPr="00E10174">
        <w:rPr>
          <w:rFonts w:asciiTheme="majorHAnsi" w:hAnsiTheme="majorHAnsi" w:cstheme="majorHAnsi"/>
          <w:lang w:val="ro-MD"/>
        </w:rPr>
        <w:t>направле</w:t>
      </w:r>
      <w:r w:rsidR="007C651A" w:rsidRPr="007C651A">
        <w:rPr>
          <w:rFonts w:asciiTheme="majorHAnsi" w:hAnsiTheme="majorHAnsi" w:cstheme="majorHAnsi"/>
          <w:lang w:val="ro-MD"/>
        </w:rPr>
        <w:t xml:space="preserve">нные </w:t>
      </w:r>
      <w:r w:rsidRPr="00E10174">
        <w:rPr>
          <w:rFonts w:asciiTheme="majorHAnsi" w:hAnsiTheme="majorHAnsi" w:cstheme="majorHAnsi"/>
          <w:lang w:val="ro-MD"/>
        </w:rPr>
        <w:t>на</w:t>
      </w:r>
      <w:r w:rsidR="007C651A" w:rsidRPr="007C651A">
        <w:rPr>
          <w:rFonts w:asciiTheme="majorHAnsi" w:hAnsiTheme="majorHAnsi" w:cstheme="majorHAnsi"/>
          <w:lang w:val="ro-MD"/>
        </w:rPr>
        <w:t xml:space="preserve"> борьб</w:t>
      </w:r>
      <w:r w:rsidRPr="00E10174">
        <w:rPr>
          <w:rFonts w:asciiTheme="majorHAnsi" w:hAnsiTheme="majorHAnsi" w:cstheme="majorHAnsi"/>
          <w:lang w:val="ro-MD"/>
        </w:rPr>
        <w:t>у</w:t>
      </w:r>
      <w:r w:rsidR="007C651A" w:rsidRPr="007C651A">
        <w:rPr>
          <w:rFonts w:asciiTheme="majorHAnsi" w:hAnsiTheme="majorHAnsi" w:cstheme="majorHAnsi"/>
          <w:lang w:val="ro-MD"/>
        </w:rPr>
        <w:t xml:space="preserve"> с </w:t>
      </w:r>
      <w:r w:rsidRPr="00E10174">
        <w:rPr>
          <w:rFonts w:asciiTheme="majorHAnsi" w:hAnsiTheme="majorHAnsi" w:cstheme="majorHAnsi"/>
          <w:lang w:val="ro-MD"/>
        </w:rPr>
        <w:t>явлением</w:t>
      </w:r>
      <w:r w:rsidR="007C651A" w:rsidRPr="007C651A">
        <w:rPr>
          <w:rFonts w:asciiTheme="majorHAnsi" w:hAnsiTheme="majorHAnsi" w:cstheme="majorHAnsi"/>
          <w:lang w:val="ro-MD"/>
        </w:rPr>
        <w:t xml:space="preserve"> заработной платы в конверте, а также осуществлять мониторинг процесса установления </w:t>
      </w:r>
      <w:r w:rsidRPr="007C651A">
        <w:rPr>
          <w:rFonts w:asciiTheme="majorHAnsi" w:hAnsiTheme="majorHAnsi" w:cstheme="majorHAnsi"/>
          <w:lang w:val="ro-MD"/>
        </w:rPr>
        <w:t>пособия по техническо</w:t>
      </w:r>
      <w:r w:rsidRPr="00E10174">
        <w:rPr>
          <w:rFonts w:asciiTheme="majorHAnsi" w:hAnsiTheme="majorHAnsi" w:cstheme="majorHAnsi"/>
          <w:lang w:val="ro-MD"/>
        </w:rPr>
        <w:t>му</w:t>
      </w:r>
      <w:r w:rsidRPr="007C651A">
        <w:rPr>
          <w:rFonts w:asciiTheme="majorHAnsi" w:hAnsiTheme="majorHAnsi" w:cstheme="majorHAnsi"/>
          <w:lang w:val="ro-MD"/>
        </w:rPr>
        <w:t xml:space="preserve"> </w:t>
      </w:r>
      <w:r w:rsidRPr="00E10174">
        <w:rPr>
          <w:rFonts w:asciiTheme="majorHAnsi" w:hAnsiTheme="majorHAnsi" w:cstheme="majorHAnsi"/>
          <w:lang w:val="ro-MD"/>
        </w:rPr>
        <w:t>простою,</w:t>
      </w:r>
      <w:r w:rsidR="007C651A" w:rsidRPr="007C651A">
        <w:rPr>
          <w:rFonts w:asciiTheme="majorHAnsi" w:hAnsiTheme="majorHAnsi" w:cstheme="majorHAnsi"/>
          <w:lang w:val="ro-MD"/>
        </w:rPr>
        <w:t xml:space="preserve"> </w:t>
      </w:r>
      <w:r>
        <w:rPr>
          <w:rFonts w:asciiTheme="majorHAnsi" w:hAnsiTheme="majorHAnsi" w:cstheme="majorHAnsi"/>
          <w:lang w:val="ru-RU"/>
        </w:rPr>
        <w:t>для</w:t>
      </w:r>
      <w:r w:rsidRPr="007C651A">
        <w:rPr>
          <w:rFonts w:asciiTheme="majorHAnsi" w:hAnsiTheme="majorHAnsi" w:cstheme="majorHAnsi"/>
          <w:lang w:val="ro-MD"/>
        </w:rPr>
        <w:t xml:space="preserve"> получения </w:t>
      </w:r>
      <w:r w:rsidRPr="00E10174">
        <w:rPr>
          <w:rFonts w:asciiTheme="majorHAnsi" w:hAnsiTheme="majorHAnsi" w:cstheme="majorHAnsi"/>
          <w:lang w:val="ro-MD"/>
        </w:rPr>
        <w:t>уверенности в</w:t>
      </w:r>
      <w:r w:rsidRPr="007C651A">
        <w:rPr>
          <w:rFonts w:asciiTheme="majorHAnsi" w:hAnsiTheme="majorHAnsi" w:cstheme="majorHAnsi"/>
          <w:lang w:val="ro-MD"/>
        </w:rPr>
        <w:t xml:space="preserve"> соответстви</w:t>
      </w:r>
      <w:r w:rsidRPr="00E10174">
        <w:rPr>
          <w:rFonts w:asciiTheme="majorHAnsi" w:hAnsiTheme="majorHAnsi" w:cstheme="majorHAnsi"/>
          <w:lang w:val="ro-MD"/>
        </w:rPr>
        <w:t>и</w:t>
      </w:r>
      <w:r w:rsidRPr="007C651A">
        <w:rPr>
          <w:rFonts w:asciiTheme="majorHAnsi" w:hAnsiTheme="majorHAnsi" w:cstheme="majorHAnsi"/>
          <w:lang w:val="ro-MD"/>
        </w:rPr>
        <w:t xml:space="preserve"> их предоставлени</w:t>
      </w:r>
      <w:r w:rsidRPr="00E10174">
        <w:rPr>
          <w:rFonts w:asciiTheme="majorHAnsi" w:hAnsiTheme="majorHAnsi" w:cstheme="majorHAnsi"/>
          <w:lang w:val="ro-MD"/>
        </w:rPr>
        <w:t>я</w:t>
      </w:r>
      <w:r w:rsidRPr="00FE54EB">
        <w:rPr>
          <w:rFonts w:asciiTheme="majorHAnsi" w:hAnsiTheme="majorHAnsi" w:cstheme="majorHAnsi"/>
          <w:i/>
          <w:lang w:val="ro-MD"/>
        </w:rPr>
        <w:t xml:space="preserve"> </w:t>
      </w:r>
      <w:r w:rsidR="00DF2034" w:rsidRPr="00FE54EB">
        <w:rPr>
          <w:rFonts w:asciiTheme="majorHAnsi" w:hAnsiTheme="majorHAnsi" w:cstheme="majorHAnsi"/>
          <w:i/>
          <w:lang w:val="ro-MD"/>
        </w:rPr>
        <w:t>(</w:t>
      </w:r>
      <w:r w:rsidR="00AC7F8B">
        <w:rPr>
          <w:rFonts w:asciiTheme="majorHAnsi" w:hAnsiTheme="majorHAnsi" w:cstheme="majorHAnsi"/>
          <w:i/>
          <w:lang w:val="ro-MD"/>
        </w:rPr>
        <w:t>Замечание</w:t>
      </w:r>
      <w:r w:rsidR="00DF2034" w:rsidRPr="00FE54EB">
        <w:rPr>
          <w:rFonts w:asciiTheme="majorHAnsi" w:hAnsiTheme="majorHAnsi" w:cstheme="majorHAnsi"/>
          <w:i/>
          <w:lang w:val="ro-MD"/>
        </w:rPr>
        <w:t xml:space="preserve"> 5.7, 7.4 – </w:t>
      </w:r>
      <w:r w:rsidR="00AC7F8B">
        <w:rPr>
          <w:rFonts w:asciiTheme="majorHAnsi" w:hAnsiTheme="majorHAnsi" w:cstheme="majorHAnsi"/>
          <w:i/>
          <w:lang w:val="ro-MD"/>
        </w:rPr>
        <w:t>Раздел</w:t>
      </w:r>
      <w:r w:rsidR="00DF2034" w:rsidRPr="00FE54EB">
        <w:rPr>
          <w:rFonts w:asciiTheme="majorHAnsi" w:hAnsiTheme="majorHAnsi" w:cstheme="majorHAnsi"/>
          <w:i/>
          <w:lang w:val="ro-MD"/>
        </w:rPr>
        <w:t xml:space="preserve"> V, VII)</w:t>
      </w:r>
      <w:r w:rsidR="00A55063" w:rsidRPr="00FE54EB">
        <w:rPr>
          <w:rFonts w:asciiTheme="majorHAnsi" w:hAnsiTheme="majorHAnsi" w:cstheme="majorHAnsi"/>
          <w:i/>
          <w:lang w:val="ro-MD"/>
        </w:rPr>
        <w:t>;</w:t>
      </w:r>
    </w:p>
    <w:p w14:paraId="2554AF9B" w14:textId="7166F629" w:rsidR="00CB6D62" w:rsidRPr="00FE54EB" w:rsidRDefault="007C651A" w:rsidP="00CB6D62">
      <w:pPr>
        <w:pStyle w:val="a6"/>
        <w:shd w:val="clear" w:color="auto" w:fill="FFFFFF" w:themeFill="background1"/>
        <w:spacing w:line="276" w:lineRule="auto"/>
        <w:ind w:left="360" w:firstLine="0"/>
        <w:rPr>
          <w:rFonts w:asciiTheme="majorHAnsi" w:eastAsiaTheme="minorHAnsi" w:hAnsiTheme="majorHAnsi" w:cstheme="majorHAnsi"/>
          <w:b/>
          <w:lang w:val="ro-MD"/>
        </w:rPr>
      </w:pPr>
      <w:r w:rsidRPr="007C651A">
        <w:rPr>
          <w:rFonts w:asciiTheme="majorHAnsi" w:eastAsiaTheme="minorHAnsi" w:hAnsiTheme="majorHAnsi" w:cstheme="majorHAnsi"/>
          <w:b/>
          <w:lang w:val="ro-MD"/>
        </w:rPr>
        <w:t>Рекомендация Национальному бюро статистики</w:t>
      </w:r>
    </w:p>
    <w:p w14:paraId="4E149996" w14:textId="1766F117" w:rsidR="00CB6D62" w:rsidRPr="00FE54EB" w:rsidRDefault="007C651A" w:rsidP="007C651A">
      <w:pPr>
        <w:pStyle w:val="a6"/>
        <w:numPr>
          <w:ilvl w:val="0"/>
          <w:numId w:val="35"/>
        </w:numPr>
        <w:spacing w:line="276" w:lineRule="auto"/>
        <w:rPr>
          <w:rFonts w:asciiTheme="majorHAnsi" w:hAnsiTheme="majorHAnsi" w:cstheme="majorHAnsi"/>
          <w:lang w:val="ro-MD"/>
        </w:rPr>
      </w:pPr>
      <w:r w:rsidRPr="007C651A">
        <w:rPr>
          <w:rFonts w:asciiTheme="majorHAnsi" w:hAnsiTheme="majorHAnsi" w:cstheme="majorHAnsi"/>
          <w:lang w:val="ro-MD"/>
        </w:rPr>
        <w:t>Оценить</w:t>
      </w:r>
      <w:r w:rsidR="00AF1A5F" w:rsidRPr="00AF1A5F">
        <w:rPr>
          <w:rFonts w:asciiTheme="majorHAnsi" w:hAnsiTheme="majorHAnsi" w:cstheme="majorHAnsi"/>
          <w:lang w:val="ro-MD"/>
        </w:rPr>
        <w:t>,</w:t>
      </w:r>
      <w:r w:rsidRPr="007C651A">
        <w:rPr>
          <w:rFonts w:asciiTheme="majorHAnsi" w:hAnsiTheme="majorHAnsi" w:cstheme="majorHAnsi"/>
          <w:lang w:val="ro-MD"/>
        </w:rPr>
        <w:t xml:space="preserve"> в </w:t>
      </w:r>
      <w:r w:rsidR="00AF1A5F" w:rsidRPr="00AF1A5F">
        <w:rPr>
          <w:rFonts w:asciiTheme="majorHAnsi" w:hAnsiTheme="majorHAnsi" w:cstheme="majorHAnsi"/>
          <w:lang w:val="ro-MD"/>
        </w:rPr>
        <w:t>рамках</w:t>
      </w:r>
      <w:r w:rsidRPr="007C651A">
        <w:rPr>
          <w:rFonts w:asciiTheme="majorHAnsi" w:hAnsiTheme="majorHAnsi" w:cstheme="majorHAnsi"/>
          <w:lang w:val="ro-MD"/>
        </w:rPr>
        <w:t xml:space="preserve"> статистических исследований</w:t>
      </w:r>
      <w:r w:rsidR="00AF1A5F" w:rsidRPr="00AF1A5F">
        <w:rPr>
          <w:rFonts w:asciiTheme="majorHAnsi" w:hAnsiTheme="majorHAnsi" w:cstheme="majorHAnsi"/>
          <w:lang w:val="ro-MD"/>
        </w:rPr>
        <w:t>,</w:t>
      </w:r>
      <w:r w:rsidRPr="007C651A">
        <w:rPr>
          <w:rFonts w:asciiTheme="majorHAnsi" w:hAnsiTheme="majorHAnsi" w:cstheme="majorHAnsi"/>
          <w:lang w:val="ro-MD"/>
        </w:rPr>
        <w:t xml:space="preserve"> реальное количество лиц, не работающих на законных основаниях, и выявить причины этой ситуации</w:t>
      </w:r>
      <w:r w:rsidR="00AF1A5F" w:rsidRPr="00AF1A5F">
        <w:rPr>
          <w:rFonts w:asciiTheme="majorHAnsi" w:hAnsiTheme="majorHAnsi" w:cstheme="majorHAnsi"/>
          <w:lang w:val="ro-MD"/>
        </w:rPr>
        <w:t>,</w:t>
      </w:r>
      <w:r w:rsidRPr="007C651A">
        <w:rPr>
          <w:rFonts w:asciiTheme="majorHAnsi" w:hAnsiTheme="majorHAnsi" w:cstheme="majorHAnsi"/>
          <w:lang w:val="ro-MD"/>
        </w:rPr>
        <w:t xml:space="preserve"> </w:t>
      </w:r>
      <w:r w:rsidR="00AF1A5F" w:rsidRPr="00AF1A5F">
        <w:rPr>
          <w:rFonts w:asciiTheme="majorHAnsi" w:hAnsiTheme="majorHAnsi" w:cstheme="majorHAnsi"/>
          <w:lang w:val="ro-MD"/>
        </w:rPr>
        <w:t>в</w:t>
      </w:r>
      <w:r w:rsidRPr="007C651A">
        <w:rPr>
          <w:rFonts w:asciiTheme="majorHAnsi" w:hAnsiTheme="majorHAnsi" w:cstheme="majorHAnsi"/>
          <w:lang w:val="ro-MD"/>
        </w:rPr>
        <w:t xml:space="preserve"> цел</w:t>
      </w:r>
      <w:r w:rsidR="00AF1A5F" w:rsidRPr="00AF1A5F">
        <w:rPr>
          <w:rFonts w:asciiTheme="majorHAnsi" w:hAnsiTheme="majorHAnsi" w:cstheme="majorHAnsi"/>
          <w:lang w:val="ro-MD"/>
        </w:rPr>
        <w:t>ях</w:t>
      </w:r>
      <w:r w:rsidRPr="007C651A">
        <w:rPr>
          <w:rFonts w:asciiTheme="majorHAnsi" w:hAnsiTheme="majorHAnsi" w:cstheme="majorHAnsi"/>
          <w:lang w:val="ro-MD"/>
        </w:rPr>
        <w:t xml:space="preserve"> предоставления </w:t>
      </w:r>
      <w:r w:rsidR="00AF1A5F" w:rsidRPr="00AF1A5F">
        <w:rPr>
          <w:rFonts w:asciiTheme="majorHAnsi" w:hAnsiTheme="majorHAnsi" w:cstheme="majorHAnsi"/>
          <w:lang w:val="ro-MD"/>
        </w:rPr>
        <w:t>достоверн</w:t>
      </w:r>
      <w:r w:rsidRPr="007C651A">
        <w:rPr>
          <w:rFonts w:asciiTheme="majorHAnsi" w:hAnsiTheme="majorHAnsi" w:cstheme="majorHAnsi"/>
          <w:lang w:val="ro-MD"/>
        </w:rPr>
        <w:t xml:space="preserve">ых показателей для разработки политики и </w:t>
      </w:r>
      <w:r w:rsidR="00AF1A5F" w:rsidRPr="00AF1A5F">
        <w:rPr>
          <w:rFonts w:asciiTheme="majorHAnsi" w:hAnsiTheme="majorHAnsi" w:cstheme="majorHAnsi"/>
          <w:lang w:val="ro-MD"/>
        </w:rPr>
        <w:t>мер</w:t>
      </w:r>
      <w:r w:rsidRPr="007C651A">
        <w:rPr>
          <w:rFonts w:asciiTheme="majorHAnsi" w:hAnsiTheme="majorHAnsi" w:cstheme="majorHAnsi"/>
          <w:lang w:val="ro-MD"/>
        </w:rPr>
        <w:t xml:space="preserve"> по борьбе с </w:t>
      </w:r>
      <w:r w:rsidR="00AF1A5F" w:rsidRPr="00AF1A5F">
        <w:rPr>
          <w:rFonts w:asciiTheme="majorHAnsi" w:hAnsiTheme="majorHAnsi" w:cstheme="majorHAnsi"/>
          <w:lang w:val="ro-MD"/>
        </w:rPr>
        <w:t>явлением</w:t>
      </w:r>
      <w:r w:rsidRPr="007C651A">
        <w:rPr>
          <w:rFonts w:asciiTheme="majorHAnsi" w:hAnsiTheme="majorHAnsi" w:cstheme="majorHAnsi"/>
          <w:lang w:val="ro-MD"/>
        </w:rPr>
        <w:t xml:space="preserve"> заработной платы в конверте и не</w:t>
      </w:r>
      <w:r w:rsidR="00AF1A5F" w:rsidRPr="00AF1A5F">
        <w:rPr>
          <w:rFonts w:asciiTheme="majorHAnsi" w:hAnsiTheme="majorHAnsi" w:cstheme="majorHAnsi"/>
          <w:lang w:val="ro-MD"/>
        </w:rPr>
        <w:t>декла</w:t>
      </w:r>
      <w:r w:rsidRPr="007C651A">
        <w:rPr>
          <w:rFonts w:asciiTheme="majorHAnsi" w:hAnsiTheme="majorHAnsi" w:cstheme="majorHAnsi"/>
          <w:lang w:val="ro-MD"/>
        </w:rPr>
        <w:t>рированно</w:t>
      </w:r>
      <w:r w:rsidR="00AF1A5F" w:rsidRPr="00AF1A5F">
        <w:rPr>
          <w:rFonts w:asciiTheme="majorHAnsi" w:hAnsiTheme="majorHAnsi" w:cstheme="majorHAnsi"/>
          <w:lang w:val="ro-MD"/>
        </w:rPr>
        <w:t>го труда</w:t>
      </w:r>
      <w:r w:rsidR="00A55063" w:rsidRPr="00FE54EB">
        <w:rPr>
          <w:rFonts w:asciiTheme="majorHAnsi" w:hAnsiTheme="majorHAnsi" w:cstheme="majorHAnsi"/>
          <w:lang w:val="ro-MD"/>
        </w:rPr>
        <w:t>.</w:t>
      </w:r>
    </w:p>
    <w:p w14:paraId="27FAF99A" w14:textId="77777777" w:rsidR="00902A0E" w:rsidRPr="00B7675F" w:rsidRDefault="00902A0E" w:rsidP="00902A0E">
      <w:pPr>
        <w:pStyle w:val="a6"/>
        <w:spacing w:line="276" w:lineRule="auto"/>
        <w:ind w:left="720" w:firstLine="0"/>
        <w:rPr>
          <w:rFonts w:asciiTheme="majorHAnsi" w:hAnsiTheme="majorHAnsi" w:cstheme="majorHAnsi"/>
          <w:lang w:val="ro-MD"/>
        </w:rPr>
      </w:pPr>
    </w:p>
    <w:p w14:paraId="254AB05A" w14:textId="41A8296A" w:rsidR="003664F4" w:rsidRPr="00736448" w:rsidRDefault="009974C0" w:rsidP="00902A0E">
      <w:pPr>
        <w:pStyle w:val="aa"/>
        <w:keepNext/>
        <w:keepLines/>
        <w:numPr>
          <w:ilvl w:val="0"/>
          <w:numId w:val="2"/>
        </w:numPr>
        <w:spacing w:after="0" w:line="276" w:lineRule="auto"/>
        <w:ind w:left="0" w:firstLine="0"/>
        <w:outlineLvl w:val="0"/>
        <w:rPr>
          <w:rFonts w:asciiTheme="majorHAnsi" w:eastAsiaTheme="majorEastAsia" w:hAnsiTheme="majorHAnsi" w:cstheme="majorHAnsi"/>
          <w:b/>
          <w:sz w:val="28"/>
          <w:szCs w:val="28"/>
          <w:lang w:val="ro-MD"/>
        </w:rPr>
      </w:pPr>
      <w:r w:rsidRPr="00A1726F">
        <w:rPr>
          <w:rFonts w:asciiTheme="majorHAnsi" w:eastAsiaTheme="majorEastAsia" w:hAnsiTheme="majorHAnsi" w:cstheme="majorHAnsi"/>
          <w:b/>
          <w:sz w:val="28"/>
          <w:szCs w:val="28"/>
          <w:lang w:val="ro-RO"/>
        </w:rPr>
        <w:t xml:space="preserve">ОБЯЗАННОСТИ ОРГАНОВ И ЛИЦ, НАДЕЛЕННЫХ ПОЛНОМОЧИЯМИ ПО УПРАВЛЕНИЮ ОТЧЕТАМИ ПРАВИТЕЛЬСТВА </w:t>
      </w:r>
    </w:p>
    <w:p w14:paraId="3D5C2D6F" w14:textId="23BC93F4" w:rsidR="003664F4" w:rsidRPr="00736448" w:rsidRDefault="009974C0" w:rsidP="003664F4">
      <w:pPr>
        <w:spacing w:after="0" w:line="276" w:lineRule="auto"/>
        <w:jc w:val="both"/>
        <w:rPr>
          <w:rFonts w:asciiTheme="majorHAnsi" w:eastAsia="Times New Roman" w:hAnsiTheme="majorHAnsi" w:cstheme="majorHAnsi"/>
          <w:b/>
          <w:sz w:val="24"/>
          <w:szCs w:val="24"/>
          <w:lang w:val="ro-MD"/>
        </w:rPr>
      </w:pPr>
      <w:r w:rsidRPr="00A1726F">
        <w:rPr>
          <w:rFonts w:asciiTheme="majorHAnsi" w:eastAsia="Times New Roman" w:hAnsiTheme="majorHAnsi" w:cstheme="majorHAnsi"/>
          <w:b/>
          <w:sz w:val="24"/>
          <w:szCs w:val="24"/>
          <w:lang w:val="ro-RO"/>
        </w:rPr>
        <w:t>Ответственность Правительства</w:t>
      </w:r>
      <w:r w:rsidRPr="00A1726F">
        <w:rPr>
          <w:rFonts w:asciiTheme="majorHAnsi" w:eastAsia="Times New Roman" w:hAnsiTheme="majorHAnsi" w:cstheme="majorHAnsi"/>
          <w:sz w:val="24"/>
          <w:szCs w:val="24"/>
          <w:lang w:val="ro-RO"/>
        </w:rPr>
        <w:t xml:space="preserve"> в области публичных финансов заключается в осуществлении общего руководства исполнительной деятельностью в области управления публичными финансами в соответствии с установленными принципами и правилами</w:t>
      </w:r>
      <w:r w:rsidRPr="003B110E">
        <w:rPr>
          <w:rStyle w:val="a5"/>
          <w:rFonts w:asciiTheme="majorHAnsi" w:eastAsia="Times New Roman" w:hAnsiTheme="majorHAnsi" w:cstheme="majorHAnsi"/>
          <w:sz w:val="24"/>
          <w:szCs w:val="24"/>
          <w:lang w:val="ru-MD"/>
        </w:rPr>
        <w:footnoteReference w:id="91"/>
      </w:r>
      <w:r w:rsidR="003664F4" w:rsidRPr="00736448">
        <w:rPr>
          <w:rFonts w:asciiTheme="majorHAnsi" w:eastAsia="Times New Roman" w:hAnsiTheme="majorHAnsi" w:cstheme="majorHAnsi"/>
          <w:sz w:val="24"/>
          <w:szCs w:val="24"/>
          <w:lang w:val="ro-MD"/>
        </w:rPr>
        <w:t>.</w:t>
      </w:r>
    </w:p>
    <w:p w14:paraId="1447D2C5" w14:textId="0077B3DF" w:rsidR="003664F4" w:rsidRPr="00736448" w:rsidRDefault="00EE5B2A" w:rsidP="003664F4">
      <w:pPr>
        <w:spacing w:after="0" w:line="276" w:lineRule="auto"/>
        <w:jc w:val="both"/>
        <w:rPr>
          <w:rFonts w:asciiTheme="majorHAnsi" w:eastAsia="Times New Roman" w:hAnsiTheme="majorHAnsi" w:cstheme="majorHAnsi"/>
          <w:sz w:val="24"/>
          <w:szCs w:val="24"/>
          <w:lang w:val="ro-MD"/>
        </w:rPr>
      </w:pPr>
      <w:r w:rsidRPr="009F762D">
        <w:rPr>
          <w:rFonts w:asciiTheme="majorHAnsi" w:eastAsia="Times New Roman" w:hAnsiTheme="majorHAnsi" w:cstheme="majorHAnsi"/>
          <w:b/>
          <w:bCs/>
          <w:iCs/>
          <w:sz w:val="24"/>
          <w:szCs w:val="24"/>
          <w:lang w:val="ro-RO"/>
        </w:rPr>
        <w:t xml:space="preserve">Ответственность Министерства труда и социальной защиты </w:t>
      </w:r>
      <w:r w:rsidRPr="009F762D">
        <w:rPr>
          <w:rFonts w:asciiTheme="majorHAnsi" w:eastAsia="Times New Roman" w:hAnsiTheme="majorHAnsi" w:cstheme="majorHAnsi"/>
          <w:bCs/>
          <w:iCs/>
          <w:sz w:val="24"/>
          <w:szCs w:val="24"/>
          <w:lang w:val="ro-RO"/>
        </w:rPr>
        <w:t>заключается в осуществлении мониторинга и анализа исполнения бюджета государственного социального страхования</w:t>
      </w:r>
      <w:r w:rsidRPr="00E82CC1">
        <w:rPr>
          <w:rStyle w:val="a5"/>
          <w:rFonts w:asciiTheme="majorHAnsi" w:eastAsia="Times New Roman" w:hAnsiTheme="majorHAnsi" w:cstheme="majorHAnsi"/>
          <w:sz w:val="24"/>
          <w:szCs w:val="24"/>
          <w:lang w:val="ro-RO"/>
        </w:rPr>
        <w:footnoteReference w:id="92"/>
      </w:r>
      <w:r w:rsidR="003664F4" w:rsidRPr="00736448">
        <w:rPr>
          <w:rFonts w:asciiTheme="majorHAnsi" w:eastAsia="Times New Roman" w:hAnsiTheme="majorHAnsi" w:cstheme="majorHAnsi"/>
          <w:sz w:val="24"/>
          <w:szCs w:val="24"/>
          <w:lang w:val="ro-MD"/>
        </w:rPr>
        <w:t>.</w:t>
      </w:r>
    </w:p>
    <w:p w14:paraId="226D8212" w14:textId="11595A50" w:rsidR="003664F4" w:rsidRPr="00736448" w:rsidRDefault="00EE5B2A" w:rsidP="003664F4">
      <w:pPr>
        <w:spacing w:after="0" w:line="276" w:lineRule="auto"/>
        <w:jc w:val="both"/>
        <w:rPr>
          <w:rFonts w:asciiTheme="majorHAnsi" w:eastAsia="Times New Roman" w:hAnsiTheme="majorHAnsi" w:cstheme="majorHAnsi"/>
          <w:sz w:val="24"/>
          <w:szCs w:val="24"/>
          <w:lang w:val="ro-MD"/>
        </w:rPr>
      </w:pPr>
      <w:r w:rsidRPr="00EE5B2A">
        <w:rPr>
          <w:rFonts w:asciiTheme="majorHAnsi" w:eastAsia="Times New Roman" w:hAnsiTheme="majorHAnsi" w:cstheme="majorHAnsi"/>
          <w:b/>
          <w:bCs/>
          <w:iCs/>
          <w:sz w:val="24"/>
          <w:szCs w:val="24"/>
          <w:lang w:val="ru-MD"/>
        </w:rPr>
        <w:t>Ответственность Министерства финансов</w:t>
      </w:r>
      <w:r w:rsidRPr="00EE5B2A">
        <w:rPr>
          <w:rFonts w:asciiTheme="majorHAnsi" w:eastAsia="Times New Roman" w:hAnsiTheme="majorHAnsi" w:cstheme="majorHAnsi"/>
          <w:b/>
          <w:bCs/>
          <w:iCs/>
          <w:sz w:val="24"/>
          <w:szCs w:val="24"/>
          <w:vertAlign w:val="superscript"/>
          <w:lang w:val="ru-MD"/>
        </w:rPr>
        <w:t xml:space="preserve"> </w:t>
      </w:r>
      <w:r w:rsidRPr="00EE5B2A">
        <w:rPr>
          <w:rFonts w:asciiTheme="majorHAnsi" w:eastAsia="Times New Roman" w:hAnsiTheme="majorHAnsi" w:cstheme="majorHAnsi"/>
          <w:bCs/>
          <w:iCs/>
          <w:sz w:val="24"/>
          <w:szCs w:val="24"/>
          <w:lang w:val="ru-MD"/>
        </w:rPr>
        <w:t>заключается в</w:t>
      </w:r>
      <w:r w:rsidRPr="00EE5B2A">
        <w:rPr>
          <w:rFonts w:asciiTheme="majorHAnsi" w:eastAsia="Times New Roman" w:hAnsiTheme="majorHAnsi" w:cstheme="majorHAnsi"/>
          <w:bCs/>
          <w:iCs/>
          <w:sz w:val="24"/>
          <w:szCs w:val="24"/>
          <w:vertAlign w:val="superscript"/>
          <w:lang w:val="ru-MD"/>
        </w:rPr>
        <w:footnoteReference w:id="93"/>
      </w:r>
      <w:r w:rsidR="003664F4" w:rsidRPr="00736448">
        <w:rPr>
          <w:rFonts w:asciiTheme="majorHAnsi" w:eastAsia="Times New Roman" w:hAnsiTheme="majorHAnsi" w:cstheme="majorHAnsi"/>
          <w:bCs/>
          <w:iCs/>
          <w:sz w:val="24"/>
          <w:szCs w:val="24"/>
          <w:lang w:val="ro-MD"/>
        </w:rPr>
        <w:t>:</w:t>
      </w:r>
    </w:p>
    <w:p w14:paraId="5E23B059" w14:textId="3E25B8A9" w:rsidR="003664F4" w:rsidRPr="00736448" w:rsidRDefault="003664F4" w:rsidP="003664F4">
      <w:pPr>
        <w:spacing w:after="0" w:line="276" w:lineRule="auto"/>
        <w:jc w:val="both"/>
        <w:rPr>
          <w:rFonts w:asciiTheme="majorHAnsi" w:eastAsia="Times New Roman" w:hAnsiTheme="majorHAnsi" w:cstheme="majorHAnsi"/>
          <w:sz w:val="24"/>
          <w:szCs w:val="24"/>
          <w:lang w:val="ro-MD"/>
        </w:rPr>
      </w:pPr>
      <w:r w:rsidRPr="00736448">
        <w:rPr>
          <w:rFonts w:asciiTheme="majorHAnsi" w:eastAsia="Times New Roman" w:hAnsiTheme="majorHAnsi" w:cstheme="majorHAnsi"/>
          <w:sz w:val="24"/>
          <w:szCs w:val="24"/>
          <w:lang w:val="ro-MD"/>
        </w:rPr>
        <w:t xml:space="preserve">- </w:t>
      </w:r>
      <w:r w:rsidR="00053ECA" w:rsidRPr="009F762D">
        <w:rPr>
          <w:rFonts w:asciiTheme="majorHAnsi" w:eastAsia="Times New Roman" w:hAnsiTheme="majorHAnsi" w:cs="Times New Roman"/>
          <w:sz w:val="24"/>
          <w:szCs w:val="24"/>
          <w:lang w:val="ro-RO" w:eastAsia="ru-RU"/>
        </w:rPr>
        <w:t>разработке и утверждении, на основании Закона о бухгалтерском учете и в соответствии с Планом бухгалтерских счетов, методологии по бухгалтерскому учету в бюджетной системе, в том числе по бухгалтерскому учету исполнения БГСС</w:t>
      </w:r>
      <w:r w:rsidRPr="00736448">
        <w:rPr>
          <w:rFonts w:asciiTheme="majorHAnsi" w:eastAsia="Times New Roman" w:hAnsiTheme="majorHAnsi" w:cstheme="majorHAnsi"/>
          <w:sz w:val="24"/>
          <w:szCs w:val="24"/>
          <w:lang w:val="ro-MD"/>
        </w:rPr>
        <w:t>;</w:t>
      </w:r>
    </w:p>
    <w:p w14:paraId="1A312EEF" w14:textId="1BA97DF7" w:rsidR="003664F4" w:rsidRPr="00736448" w:rsidRDefault="003664F4" w:rsidP="003664F4">
      <w:pPr>
        <w:spacing w:after="0" w:line="276" w:lineRule="auto"/>
        <w:jc w:val="both"/>
        <w:rPr>
          <w:rFonts w:asciiTheme="majorHAnsi" w:hAnsiTheme="majorHAnsi" w:cstheme="majorHAnsi"/>
          <w:sz w:val="24"/>
          <w:szCs w:val="24"/>
          <w:lang w:val="ro-MD"/>
        </w:rPr>
      </w:pPr>
      <w:r w:rsidRPr="00736448">
        <w:rPr>
          <w:rFonts w:asciiTheme="majorHAnsi" w:eastAsia="Times New Roman" w:hAnsiTheme="majorHAnsi" w:cstheme="majorHAnsi"/>
          <w:sz w:val="24"/>
          <w:szCs w:val="24"/>
          <w:lang w:val="ro-MD"/>
        </w:rPr>
        <w:t xml:space="preserve">- </w:t>
      </w:r>
      <w:r w:rsidR="00053ECA" w:rsidRPr="009F762D">
        <w:rPr>
          <w:rFonts w:asciiTheme="majorHAnsi" w:eastAsia="Times New Roman" w:hAnsiTheme="majorHAnsi" w:cs="Times New Roman"/>
          <w:sz w:val="24"/>
          <w:szCs w:val="24"/>
          <w:lang w:val="ro-RO" w:eastAsia="ru-RU"/>
        </w:rPr>
        <w:t xml:space="preserve">разработке и утверждении методологии по </w:t>
      </w:r>
      <w:r w:rsidR="00053ECA" w:rsidRPr="009F762D">
        <w:rPr>
          <w:rFonts w:asciiTheme="majorHAnsi" w:eastAsia="Times New Roman" w:hAnsiTheme="majorHAnsi" w:cstheme="majorHAnsi"/>
          <w:bCs/>
          <w:iCs/>
          <w:sz w:val="24"/>
          <w:szCs w:val="24"/>
          <w:lang w:val="ro-RO" w:eastAsia="ru-RU"/>
        </w:rPr>
        <w:t>внедрени</w:t>
      </w:r>
      <w:r w:rsidR="00053ECA" w:rsidRPr="009F762D">
        <w:rPr>
          <w:rFonts w:asciiTheme="majorHAnsi" w:eastAsia="Times New Roman" w:hAnsiTheme="majorHAnsi" w:cs="Times New Roman"/>
          <w:sz w:val="24"/>
          <w:szCs w:val="24"/>
          <w:lang w:val="ro-RO" w:eastAsia="ru-RU"/>
        </w:rPr>
        <w:t xml:space="preserve">ю </w:t>
      </w:r>
      <w:r w:rsidR="00053ECA" w:rsidRPr="009F762D">
        <w:rPr>
          <w:rFonts w:asciiTheme="majorHAnsi" w:eastAsia="Calibri" w:hAnsiTheme="majorHAnsi" w:cs="Times New Roman"/>
          <w:sz w:val="24"/>
          <w:szCs w:val="24"/>
          <w:lang w:val="ro-RO" w:eastAsia="ru-RU"/>
        </w:rPr>
        <w:t xml:space="preserve">законодательно-нормативной базы в области публичных </w:t>
      </w:r>
      <w:r w:rsidR="00053ECA" w:rsidRPr="009F762D">
        <w:rPr>
          <w:rFonts w:asciiTheme="majorHAnsi" w:eastAsia="Times New Roman" w:hAnsiTheme="majorHAnsi" w:cs="Times New Roman"/>
          <w:sz w:val="24"/>
          <w:szCs w:val="24"/>
          <w:lang w:val="ro-RO" w:eastAsia="ru-RU"/>
        </w:rPr>
        <w:t>финансов</w:t>
      </w:r>
      <w:r w:rsidR="00053ECA" w:rsidRPr="009F762D">
        <w:rPr>
          <w:rFonts w:asciiTheme="majorHAnsi" w:eastAsia="Calibri" w:hAnsiTheme="majorHAnsi" w:cs="Times New Roman"/>
          <w:sz w:val="24"/>
          <w:szCs w:val="24"/>
          <w:lang w:val="ro-RO" w:eastAsia="ru-RU"/>
        </w:rPr>
        <w:t xml:space="preserve">, </w:t>
      </w:r>
      <w:r w:rsidR="00053ECA" w:rsidRPr="009F762D">
        <w:rPr>
          <w:rFonts w:asciiTheme="majorHAnsi" w:eastAsia="Times New Roman" w:hAnsiTheme="majorHAnsi" w:cs="Times New Roman"/>
          <w:sz w:val="24"/>
          <w:szCs w:val="24"/>
          <w:lang w:val="ro-RO" w:eastAsia="ru-RU"/>
        </w:rPr>
        <w:t>в том числе</w:t>
      </w:r>
      <w:r w:rsidR="00053ECA" w:rsidRPr="009F762D">
        <w:rPr>
          <w:rFonts w:asciiTheme="majorHAnsi" w:eastAsia="Calibri" w:hAnsiTheme="majorHAnsi" w:cs="Times New Roman"/>
          <w:sz w:val="24"/>
          <w:szCs w:val="24"/>
          <w:lang w:val="ro-RO" w:eastAsia="ru-RU"/>
        </w:rPr>
        <w:t xml:space="preserve"> по </w:t>
      </w:r>
      <w:r w:rsidR="00053ECA" w:rsidRPr="009F762D">
        <w:rPr>
          <w:rFonts w:asciiTheme="majorHAnsi" w:eastAsia="Times New Roman" w:hAnsiTheme="majorHAnsi" w:cs="Times New Roman"/>
          <w:sz w:val="24"/>
          <w:szCs w:val="24"/>
          <w:lang w:val="ro-RO" w:eastAsia="ru-RU"/>
        </w:rPr>
        <w:t>бухгалтерскому учету</w:t>
      </w:r>
      <w:r w:rsidR="00053ECA" w:rsidRPr="009F762D">
        <w:rPr>
          <w:rFonts w:asciiTheme="majorHAnsi" w:eastAsia="Calibri" w:hAnsiTheme="majorHAnsi" w:cs="Times New Roman"/>
          <w:sz w:val="24"/>
          <w:szCs w:val="24"/>
          <w:lang w:val="ro-RO" w:eastAsia="ru-RU"/>
        </w:rPr>
        <w:t xml:space="preserve"> и </w:t>
      </w:r>
      <w:r w:rsidR="00053ECA" w:rsidRPr="009F762D">
        <w:rPr>
          <w:rFonts w:asciiTheme="majorHAnsi" w:eastAsia="Calibri" w:hAnsiTheme="majorHAnsi" w:cstheme="majorHAnsi"/>
          <w:bCs/>
          <w:sz w:val="24"/>
          <w:szCs w:val="24"/>
          <w:lang w:val="ro-RO" w:eastAsia="ru-RU"/>
        </w:rPr>
        <w:t>отчетност</w:t>
      </w:r>
      <w:r w:rsidR="00053ECA" w:rsidRPr="009F762D">
        <w:rPr>
          <w:rFonts w:asciiTheme="majorHAnsi" w:eastAsia="Calibri" w:hAnsiTheme="majorHAnsi" w:cstheme="majorHAnsi"/>
          <w:sz w:val="24"/>
          <w:szCs w:val="24"/>
          <w:lang w:val="ro-RO" w:eastAsia="ru-RU"/>
        </w:rPr>
        <w:t>и</w:t>
      </w:r>
      <w:r w:rsidR="00053ECA" w:rsidRPr="009F762D">
        <w:rPr>
          <w:rFonts w:asciiTheme="majorHAnsi" w:eastAsia="Calibri" w:hAnsiTheme="majorHAnsi" w:cs="Times New Roman"/>
          <w:sz w:val="24"/>
          <w:szCs w:val="24"/>
          <w:lang w:val="ro-RO" w:eastAsia="ru-RU"/>
        </w:rPr>
        <w:t xml:space="preserve"> </w:t>
      </w:r>
      <w:r w:rsidR="00053ECA" w:rsidRPr="009F762D">
        <w:rPr>
          <w:rFonts w:asciiTheme="majorHAnsi" w:eastAsia="Times New Roman" w:hAnsiTheme="majorHAnsi" w:cs="Times New Roman"/>
          <w:sz w:val="24"/>
          <w:szCs w:val="24"/>
          <w:lang w:val="ro-RO" w:eastAsia="ru-RU"/>
        </w:rPr>
        <w:t>бюджет</w:t>
      </w:r>
      <w:r w:rsidR="00053ECA" w:rsidRPr="009F762D">
        <w:rPr>
          <w:rFonts w:asciiTheme="majorHAnsi" w:eastAsia="Calibri" w:hAnsiTheme="majorHAnsi" w:cs="Times New Roman"/>
          <w:sz w:val="24"/>
          <w:szCs w:val="24"/>
          <w:lang w:val="ro-RO" w:eastAsia="ru-RU"/>
        </w:rPr>
        <w:t xml:space="preserve">ов-компонентов </w:t>
      </w:r>
      <w:r w:rsidR="00053ECA" w:rsidRPr="009F762D">
        <w:rPr>
          <w:rFonts w:asciiTheme="majorHAnsi" w:eastAsia="Times New Roman" w:hAnsiTheme="majorHAnsi" w:cstheme="majorHAnsi"/>
          <w:noProof/>
          <w:sz w:val="24"/>
          <w:szCs w:val="24"/>
          <w:lang w:val="ro-RO" w:eastAsia="ru-RU"/>
        </w:rPr>
        <w:t>национального публичного бюджета, а также предоставлении методологической помощи в бюджетном процессе</w:t>
      </w:r>
      <w:r w:rsidRPr="00736448">
        <w:rPr>
          <w:rFonts w:asciiTheme="majorHAnsi" w:eastAsia="Times New Roman" w:hAnsiTheme="majorHAnsi" w:cstheme="majorHAnsi"/>
          <w:sz w:val="24"/>
          <w:szCs w:val="24"/>
          <w:lang w:val="ro-MD"/>
        </w:rPr>
        <w:t>.</w:t>
      </w:r>
      <w:r w:rsidRPr="00736448">
        <w:rPr>
          <w:rFonts w:asciiTheme="majorHAnsi" w:hAnsiTheme="majorHAnsi" w:cstheme="majorHAnsi"/>
          <w:sz w:val="24"/>
          <w:szCs w:val="24"/>
          <w:lang w:val="ro-MD"/>
        </w:rPr>
        <w:t xml:space="preserve"> </w:t>
      </w:r>
    </w:p>
    <w:p w14:paraId="4BAA97DD" w14:textId="25A04EDD" w:rsidR="00043F06" w:rsidRPr="00736448" w:rsidRDefault="003D131F" w:rsidP="003664F4">
      <w:pPr>
        <w:spacing w:after="0" w:line="276" w:lineRule="auto"/>
        <w:jc w:val="both"/>
        <w:rPr>
          <w:rFonts w:asciiTheme="majorHAnsi" w:hAnsiTheme="majorHAnsi" w:cstheme="majorHAnsi"/>
          <w:sz w:val="24"/>
          <w:szCs w:val="24"/>
          <w:lang w:val="ro-MD"/>
        </w:rPr>
      </w:pPr>
      <w:r w:rsidRPr="003D131F">
        <w:rPr>
          <w:rFonts w:asciiTheme="majorHAnsi" w:hAnsiTheme="majorHAnsi" w:cstheme="majorHAnsi"/>
          <w:b/>
          <w:sz w:val="24"/>
          <w:szCs w:val="24"/>
          <w:lang w:val="ro-MD"/>
        </w:rPr>
        <w:t xml:space="preserve">Ответственность Государственной налоговой службы </w:t>
      </w:r>
      <w:r w:rsidRPr="003D131F">
        <w:rPr>
          <w:rFonts w:asciiTheme="majorHAnsi" w:hAnsiTheme="majorHAnsi" w:cstheme="majorHAnsi"/>
          <w:sz w:val="24"/>
          <w:szCs w:val="24"/>
          <w:lang w:val="ro-MD"/>
        </w:rPr>
        <w:t>заключается в обеспечении налогового администрирования путем создания условий для соблюдения налогоплательщиками законодательства и мониторинга процесса соблюдения, единообразного применения политики и нормативных актов в налоговой сфере; осуществлении контроля за правильным расчетом и своевременным перечислением взносов в бюджет государственного социального страхования, а также в применении санкций за нарушение законодательных положений, касающихся их расчета</w:t>
      </w:r>
      <w:r w:rsidR="009C2D7D" w:rsidRPr="00736448">
        <w:rPr>
          <w:rFonts w:asciiTheme="majorHAnsi" w:hAnsiTheme="majorHAnsi" w:cstheme="majorHAnsi"/>
          <w:sz w:val="24"/>
          <w:szCs w:val="24"/>
          <w:lang w:val="ro-MD"/>
        </w:rPr>
        <w:t>.</w:t>
      </w:r>
    </w:p>
    <w:p w14:paraId="6BE2502D" w14:textId="160191C0" w:rsidR="003664F4" w:rsidRPr="00736448" w:rsidRDefault="003D131F" w:rsidP="003664F4">
      <w:pPr>
        <w:spacing w:after="0" w:line="276" w:lineRule="auto"/>
        <w:jc w:val="both"/>
        <w:rPr>
          <w:rFonts w:asciiTheme="majorHAnsi" w:hAnsiTheme="majorHAnsi" w:cstheme="majorHAnsi"/>
          <w:sz w:val="24"/>
          <w:szCs w:val="24"/>
          <w:lang w:val="ro-MD"/>
        </w:rPr>
      </w:pPr>
      <w:r w:rsidRPr="003B110E">
        <w:rPr>
          <w:rFonts w:asciiTheme="majorHAnsi" w:eastAsia="Times New Roman" w:hAnsiTheme="majorHAnsi" w:cstheme="majorHAnsi"/>
          <w:b/>
          <w:sz w:val="24"/>
          <w:szCs w:val="24"/>
          <w:lang w:val="ru-MD" w:eastAsia="ru-RU"/>
        </w:rPr>
        <w:t>Ответственн</w:t>
      </w:r>
      <w:r w:rsidRPr="003B110E">
        <w:rPr>
          <w:rFonts w:asciiTheme="majorHAnsi" w:eastAsia="Times New Roman" w:hAnsiTheme="majorHAnsi" w:cstheme="majorHAnsi"/>
          <w:b/>
          <w:sz w:val="24"/>
          <w:szCs w:val="24"/>
          <w:lang w:val="ru-MD"/>
        </w:rPr>
        <w:t xml:space="preserve">ость Национальной кассы </w:t>
      </w:r>
      <w:r w:rsidRPr="003B110E">
        <w:rPr>
          <w:rFonts w:asciiTheme="majorHAnsi" w:eastAsia="Times New Roman" w:hAnsiTheme="majorHAnsi" w:cs="Times New Roman"/>
          <w:b/>
          <w:sz w:val="24"/>
          <w:szCs w:val="28"/>
          <w:lang w:val="ru-MD" w:eastAsia="ru-RU"/>
        </w:rPr>
        <w:t>социального страхования</w:t>
      </w:r>
      <w:r w:rsidRPr="003B110E">
        <w:rPr>
          <w:rFonts w:asciiTheme="majorHAnsi" w:eastAsia="Times New Roman" w:hAnsiTheme="majorHAnsi" w:cstheme="majorHAnsi"/>
          <w:b/>
          <w:sz w:val="24"/>
          <w:szCs w:val="24"/>
          <w:lang w:val="ru-MD"/>
        </w:rPr>
        <w:t xml:space="preserve"> </w:t>
      </w:r>
      <w:r w:rsidRPr="003B110E">
        <w:rPr>
          <w:rFonts w:asciiTheme="majorHAnsi" w:eastAsia="Times New Roman" w:hAnsiTheme="majorHAnsi" w:cstheme="majorHAnsi"/>
          <w:sz w:val="24"/>
          <w:szCs w:val="24"/>
          <w:lang w:val="ru-MD"/>
        </w:rPr>
        <w:t xml:space="preserve">заключалась в </w:t>
      </w:r>
      <w:r>
        <w:rPr>
          <w:rFonts w:asciiTheme="majorHAnsi" w:eastAsia="Times New Roman" w:hAnsiTheme="majorHAnsi" w:cstheme="majorHAnsi"/>
          <w:sz w:val="24"/>
          <w:szCs w:val="24"/>
          <w:lang w:val="ru-MD"/>
        </w:rPr>
        <w:t>подготовке</w:t>
      </w:r>
      <w:r w:rsidRPr="003B110E">
        <w:rPr>
          <w:rFonts w:asciiTheme="majorHAnsi" w:eastAsia="Times New Roman" w:hAnsiTheme="majorHAnsi" w:cstheme="majorHAnsi"/>
          <w:sz w:val="24"/>
          <w:szCs w:val="24"/>
          <w:lang w:val="ru-MD"/>
        </w:rPr>
        <w:t xml:space="preserve"> и достоверном представлении </w:t>
      </w:r>
      <w:r w:rsidRPr="003B110E">
        <w:rPr>
          <w:rFonts w:asciiTheme="majorHAnsi" w:eastAsia="Times New Roman" w:hAnsiTheme="majorHAnsi" w:cstheme="majorHAnsi"/>
          <w:bCs/>
          <w:iCs/>
          <w:sz w:val="24"/>
          <w:szCs w:val="24"/>
          <w:lang w:val="ru-MD"/>
        </w:rPr>
        <w:t>Правительств</w:t>
      </w:r>
      <w:r w:rsidRPr="003B110E">
        <w:rPr>
          <w:rFonts w:asciiTheme="majorHAnsi" w:eastAsia="Times New Roman" w:hAnsiTheme="majorHAnsi" w:cstheme="majorHAnsi"/>
          <w:sz w:val="24"/>
          <w:szCs w:val="24"/>
          <w:lang w:val="ru-MD"/>
        </w:rPr>
        <w:t xml:space="preserve">у, Министерству </w:t>
      </w:r>
      <w:r w:rsidRPr="003B110E">
        <w:rPr>
          <w:rFonts w:asciiTheme="majorHAnsi" w:eastAsia="Times New Roman" w:hAnsiTheme="majorHAnsi" w:cstheme="majorHAnsi"/>
          <w:bCs/>
          <w:sz w:val="24"/>
          <w:szCs w:val="24"/>
          <w:lang w:val="ru-MD"/>
        </w:rPr>
        <w:t>здравоохранения</w:t>
      </w:r>
      <w:r w:rsidRPr="003B110E">
        <w:rPr>
          <w:rFonts w:asciiTheme="majorHAnsi" w:eastAsia="Times New Roman" w:hAnsiTheme="majorHAnsi" w:cstheme="majorHAnsi"/>
          <w:sz w:val="24"/>
          <w:szCs w:val="24"/>
          <w:lang w:val="ru-MD"/>
        </w:rPr>
        <w:t xml:space="preserve">, </w:t>
      </w:r>
      <w:r>
        <w:rPr>
          <w:rFonts w:asciiTheme="majorHAnsi" w:eastAsia="Times New Roman" w:hAnsiTheme="majorHAnsi" w:cstheme="majorHAnsi"/>
          <w:sz w:val="24"/>
          <w:szCs w:val="24"/>
          <w:lang w:val="ru-MD"/>
        </w:rPr>
        <w:t xml:space="preserve">Министерству </w:t>
      </w:r>
      <w:r w:rsidRPr="003B110E">
        <w:rPr>
          <w:rFonts w:asciiTheme="majorHAnsi" w:eastAsia="Times New Roman" w:hAnsiTheme="majorHAnsi" w:cstheme="majorHAnsi"/>
          <w:sz w:val="24"/>
          <w:szCs w:val="24"/>
          <w:lang w:val="ru-MD"/>
        </w:rPr>
        <w:t xml:space="preserve">труда и социальной защиты и </w:t>
      </w:r>
      <w:r w:rsidRPr="003B110E">
        <w:rPr>
          <w:rFonts w:asciiTheme="majorHAnsi" w:eastAsia="Times New Roman" w:hAnsiTheme="majorHAnsi" w:cs="Times New Roman"/>
          <w:sz w:val="24"/>
          <w:szCs w:val="24"/>
          <w:lang w:val="ru-MD"/>
        </w:rPr>
        <w:t>Министерству финансов отчетов об исполнении бюджет</w:t>
      </w:r>
      <w:r>
        <w:rPr>
          <w:rFonts w:asciiTheme="majorHAnsi" w:eastAsia="Times New Roman" w:hAnsiTheme="majorHAnsi" w:cs="Times New Roman"/>
          <w:sz w:val="24"/>
          <w:szCs w:val="24"/>
          <w:lang w:val="ru-MD"/>
        </w:rPr>
        <w:t>а</w:t>
      </w:r>
      <w:r w:rsidRPr="003B110E">
        <w:rPr>
          <w:rFonts w:asciiTheme="majorHAnsi" w:eastAsia="Times New Roman" w:hAnsiTheme="majorHAnsi" w:cs="Times New Roman"/>
          <w:sz w:val="24"/>
          <w:szCs w:val="24"/>
          <w:lang w:val="ru-MD"/>
        </w:rPr>
        <w:t xml:space="preserve"> государственного </w:t>
      </w:r>
      <w:r w:rsidRPr="003B110E">
        <w:rPr>
          <w:rFonts w:asciiTheme="majorHAnsi" w:eastAsia="Times New Roman" w:hAnsiTheme="majorHAnsi" w:cs="Times New Roman"/>
          <w:sz w:val="24"/>
          <w:szCs w:val="28"/>
          <w:lang w:val="ru-MD" w:eastAsia="ru-RU"/>
        </w:rPr>
        <w:t>социального страхования, в соответствии с применяемой базой по финансовой отчетности,</w:t>
      </w:r>
      <w:r w:rsidRPr="003B110E">
        <w:rPr>
          <w:rFonts w:asciiTheme="majorHAnsi" w:eastAsia="Times New Roman" w:hAnsiTheme="majorHAnsi" w:cs="Times New Roman"/>
          <w:sz w:val="24"/>
          <w:szCs w:val="24"/>
          <w:lang w:val="ru-MD"/>
        </w:rPr>
        <w:t xml:space="preserve"> и обеспечении их публикации</w:t>
      </w:r>
      <w:r w:rsidRPr="003B110E">
        <w:rPr>
          <w:rStyle w:val="a5"/>
          <w:rFonts w:asciiTheme="majorHAnsi" w:eastAsia="Times New Roman" w:hAnsiTheme="majorHAnsi" w:cstheme="majorHAnsi"/>
          <w:sz w:val="24"/>
          <w:szCs w:val="24"/>
          <w:lang w:val="ru-MD" w:eastAsia="ro-RO"/>
        </w:rPr>
        <w:footnoteReference w:id="94"/>
      </w:r>
      <w:r w:rsidRPr="003B110E">
        <w:rPr>
          <w:rFonts w:asciiTheme="majorHAnsi" w:eastAsia="Times New Roman" w:hAnsiTheme="majorHAnsi" w:cstheme="majorHAnsi"/>
          <w:sz w:val="24"/>
          <w:szCs w:val="24"/>
          <w:lang w:val="ru-MD"/>
        </w:rPr>
        <w:t>.</w:t>
      </w:r>
      <w:r>
        <w:rPr>
          <w:rFonts w:asciiTheme="majorHAnsi" w:eastAsia="Times New Roman" w:hAnsiTheme="majorHAnsi" w:cstheme="majorHAnsi"/>
          <w:sz w:val="24"/>
          <w:szCs w:val="24"/>
          <w:lang w:val="ru-RU"/>
        </w:rPr>
        <w:t xml:space="preserve"> </w:t>
      </w:r>
      <w:r w:rsidRPr="00B527A3">
        <w:rPr>
          <w:rFonts w:asciiTheme="majorHAnsi" w:eastAsia="Times New Roman" w:hAnsiTheme="majorHAnsi" w:cs="Times New Roman"/>
          <w:sz w:val="24"/>
          <w:szCs w:val="24"/>
          <w:lang w:val="ru-MD" w:eastAsia="ru-RU"/>
        </w:rPr>
        <w:t>Кроме того</w:t>
      </w:r>
      <w:r w:rsidRPr="00B527A3">
        <w:rPr>
          <w:rFonts w:asciiTheme="majorHAnsi" w:eastAsia="Times New Roman" w:hAnsiTheme="majorHAnsi" w:cstheme="majorHAnsi"/>
          <w:sz w:val="24"/>
          <w:szCs w:val="24"/>
          <w:lang w:val="ru-MD"/>
        </w:rPr>
        <w:t xml:space="preserve">, </w:t>
      </w:r>
      <w:r>
        <w:rPr>
          <w:rFonts w:asciiTheme="majorHAnsi" w:eastAsia="Times New Roman" w:hAnsiTheme="majorHAnsi" w:cstheme="majorHAnsi"/>
          <w:sz w:val="24"/>
          <w:szCs w:val="24"/>
          <w:lang w:val="ru-MD"/>
        </w:rPr>
        <w:t xml:space="preserve">руководитель </w:t>
      </w:r>
      <w:r w:rsidRPr="00B527A3">
        <w:rPr>
          <w:rFonts w:asciiTheme="majorHAnsi" w:eastAsia="Times New Roman" w:hAnsiTheme="majorHAnsi" w:cstheme="majorHAnsi"/>
          <w:sz w:val="24"/>
          <w:szCs w:val="24"/>
          <w:lang w:val="ru-MD"/>
        </w:rPr>
        <w:t xml:space="preserve">Национальной кассы несет </w:t>
      </w:r>
      <w:r w:rsidRPr="00B527A3">
        <w:rPr>
          <w:rFonts w:asciiTheme="majorHAnsi" w:eastAsia="Times New Roman" w:hAnsiTheme="majorHAnsi" w:cstheme="majorHAnsi"/>
          <w:sz w:val="24"/>
          <w:szCs w:val="24"/>
          <w:lang w:val="ru-MD" w:eastAsia="ru-RU"/>
        </w:rPr>
        <w:t>ответственн</w:t>
      </w:r>
      <w:r w:rsidRPr="00B527A3">
        <w:rPr>
          <w:rFonts w:asciiTheme="majorHAnsi" w:eastAsia="Times New Roman" w:hAnsiTheme="majorHAnsi" w:cstheme="majorHAnsi"/>
          <w:sz w:val="24"/>
          <w:szCs w:val="24"/>
          <w:lang w:val="ru-MD"/>
        </w:rPr>
        <w:t>ость за</w:t>
      </w:r>
      <w:r>
        <w:rPr>
          <w:rFonts w:asciiTheme="majorHAnsi" w:eastAsia="Times New Roman" w:hAnsiTheme="majorHAnsi" w:cstheme="majorHAnsi"/>
          <w:sz w:val="24"/>
          <w:szCs w:val="24"/>
          <w:lang w:val="ru-MD"/>
        </w:rPr>
        <w:t xml:space="preserve"> вн</w:t>
      </w:r>
      <w:r w:rsidRPr="003B110E">
        <w:rPr>
          <w:rFonts w:asciiTheme="majorHAnsi" w:eastAsia="Times New Roman" w:hAnsiTheme="majorHAnsi" w:cstheme="majorHAnsi"/>
          <w:sz w:val="24"/>
          <w:szCs w:val="24"/>
          <w:lang w:val="ru-MD"/>
        </w:rPr>
        <w:t>едрение системы внутреннего управленческого контроля, обеспечивающ</w:t>
      </w:r>
      <w:r>
        <w:rPr>
          <w:rFonts w:asciiTheme="majorHAnsi" w:eastAsia="Times New Roman" w:hAnsiTheme="majorHAnsi" w:cstheme="majorHAnsi"/>
          <w:sz w:val="24"/>
          <w:szCs w:val="24"/>
          <w:lang w:val="ru-MD"/>
        </w:rPr>
        <w:t>е</w:t>
      </w:r>
      <w:r w:rsidRPr="003B110E">
        <w:rPr>
          <w:rFonts w:asciiTheme="majorHAnsi" w:eastAsia="Times New Roman" w:hAnsiTheme="majorHAnsi" w:cstheme="majorHAnsi"/>
          <w:sz w:val="24"/>
          <w:szCs w:val="24"/>
          <w:lang w:val="ru-MD"/>
        </w:rPr>
        <w:t>й составление отчетов, не содержащих существенных искажений, обусловленных мошенничеством или ошибкой</w:t>
      </w:r>
      <w:r w:rsidR="003664F4" w:rsidRPr="00736448">
        <w:rPr>
          <w:rFonts w:asciiTheme="majorHAnsi" w:hAnsiTheme="majorHAnsi" w:cstheme="majorHAnsi"/>
          <w:sz w:val="24"/>
          <w:szCs w:val="24"/>
          <w:lang w:val="ro-MD"/>
        </w:rPr>
        <w:t>.</w:t>
      </w:r>
    </w:p>
    <w:p w14:paraId="642AC7E1" w14:textId="3F203D0D" w:rsidR="003664F4" w:rsidRPr="00736448" w:rsidRDefault="003D131F" w:rsidP="003664F4">
      <w:pPr>
        <w:spacing w:after="0" w:line="276" w:lineRule="auto"/>
        <w:jc w:val="both"/>
        <w:rPr>
          <w:rFonts w:asciiTheme="majorHAnsi" w:hAnsiTheme="majorHAnsi" w:cstheme="majorHAnsi"/>
          <w:sz w:val="24"/>
          <w:szCs w:val="24"/>
          <w:lang w:val="ro-MD"/>
        </w:rPr>
      </w:pPr>
      <w:r w:rsidRPr="003D131F">
        <w:rPr>
          <w:rFonts w:asciiTheme="majorHAnsi" w:hAnsiTheme="majorHAnsi" w:cstheme="majorHAnsi"/>
          <w:b/>
          <w:sz w:val="24"/>
          <w:szCs w:val="24"/>
          <w:lang w:val="ro-MD"/>
        </w:rPr>
        <w:t xml:space="preserve">Генеральный директор Национальной кассы </w:t>
      </w:r>
      <w:r w:rsidRPr="003D131F">
        <w:rPr>
          <w:rFonts w:asciiTheme="majorHAnsi" w:eastAsia="Times New Roman" w:hAnsiTheme="majorHAnsi" w:cs="Times New Roman"/>
          <w:b/>
          <w:sz w:val="24"/>
          <w:szCs w:val="28"/>
          <w:lang w:val="ro-MD" w:eastAsia="ru-RU"/>
        </w:rPr>
        <w:t>социального страхования</w:t>
      </w:r>
      <w:r w:rsidRPr="003D131F">
        <w:rPr>
          <w:rFonts w:asciiTheme="majorHAnsi" w:hAnsiTheme="majorHAnsi" w:cstheme="majorHAnsi"/>
          <w:sz w:val="24"/>
          <w:szCs w:val="24"/>
          <w:lang w:val="ro-MD"/>
        </w:rPr>
        <w:t xml:space="preserve"> несет ответственность за подготовку и достоверное представление Отчета Правительства об исполнении БГСС за 2022 год в соответствии с применяемой базой отчетности</w:t>
      </w:r>
      <w:r w:rsidRPr="003B110E">
        <w:rPr>
          <w:rStyle w:val="a5"/>
          <w:rFonts w:asciiTheme="majorHAnsi" w:hAnsiTheme="majorHAnsi" w:cstheme="majorHAnsi"/>
          <w:sz w:val="24"/>
          <w:szCs w:val="24"/>
          <w:lang w:val="ru-MD"/>
        </w:rPr>
        <w:footnoteReference w:id="95"/>
      </w:r>
      <w:r w:rsidR="003664F4" w:rsidRPr="00736448">
        <w:rPr>
          <w:rFonts w:asciiTheme="majorHAnsi" w:hAnsiTheme="majorHAnsi" w:cstheme="majorHAnsi"/>
          <w:sz w:val="24"/>
          <w:szCs w:val="24"/>
          <w:lang w:val="ro-MD"/>
        </w:rPr>
        <w:t xml:space="preserve">. </w:t>
      </w:r>
      <w:r w:rsidRPr="00EF6CE2">
        <w:rPr>
          <w:rFonts w:asciiTheme="majorHAnsi" w:hAnsiTheme="majorHAnsi" w:cstheme="majorHAnsi"/>
          <w:sz w:val="24"/>
          <w:szCs w:val="24"/>
          <w:lang w:val="ru-MD"/>
        </w:rPr>
        <w:t>Ответственность руководства также заключается в организации и внедрении системы внутреннего контроля</w:t>
      </w:r>
      <w:r w:rsidRPr="00EF6CE2">
        <w:rPr>
          <w:rStyle w:val="a5"/>
          <w:rFonts w:asciiTheme="majorHAnsi" w:hAnsiTheme="majorHAnsi" w:cstheme="majorHAnsi"/>
          <w:sz w:val="24"/>
          <w:szCs w:val="24"/>
          <w:lang w:val="ru-MD"/>
        </w:rPr>
        <w:footnoteReference w:id="96"/>
      </w:r>
      <w:r w:rsidRPr="00EF6CE2">
        <w:rPr>
          <w:rFonts w:asciiTheme="majorHAnsi" w:hAnsiTheme="majorHAnsi" w:cstheme="majorHAnsi"/>
          <w:sz w:val="24"/>
          <w:szCs w:val="24"/>
          <w:lang w:val="ru-MD"/>
        </w:rPr>
        <w:t xml:space="preserve"> с целью обеспечения эффективного ведения и организации деятельности субъекта, включая строгое соблюдение целостности активов, предотвращение и выявление причин мошенничества и ошибок, точность и полноту отражаемых данных, а также своевременную подготовку надежной финансовой информации. </w:t>
      </w:r>
      <w:r>
        <w:rPr>
          <w:rFonts w:asciiTheme="majorHAnsi" w:hAnsiTheme="majorHAnsi" w:cstheme="majorHAnsi"/>
          <w:sz w:val="24"/>
          <w:szCs w:val="24"/>
          <w:lang w:val="ru-MD"/>
        </w:rPr>
        <w:t>Одновременно</w:t>
      </w:r>
      <w:r w:rsidRPr="00EF6CE2">
        <w:rPr>
          <w:rFonts w:asciiTheme="majorHAnsi" w:hAnsiTheme="majorHAnsi" w:cstheme="majorHAnsi"/>
          <w:sz w:val="24"/>
          <w:szCs w:val="24"/>
          <w:lang w:val="ru-MD"/>
        </w:rPr>
        <w:t>, при составлении финансовой отчетности руководство несет ответственность за оценку способности органа продолжать свою деятельность на основе принципа непрерывности деятельности</w:t>
      </w:r>
      <w:r w:rsidR="003664F4" w:rsidRPr="00736448">
        <w:rPr>
          <w:rFonts w:asciiTheme="majorHAnsi" w:hAnsiTheme="majorHAnsi" w:cstheme="majorHAnsi"/>
          <w:sz w:val="24"/>
          <w:szCs w:val="24"/>
          <w:lang w:val="ro-MD"/>
        </w:rPr>
        <w:t xml:space="preserve">. </w:t>
      </w:r>
    </w:p>
    <w:p w14:paraId="5842F48E" w14:textId="77777777" w:rsidR="003664F4" w:rsidRPr="00736448" w:rsidRDefault="003664F4" w:rsidP="003664F4">
      <w:pPr>
        <w:spacing w:after="0" w:line="276" w:lineRule="auto"/>
        <w:jc w:val="both"/>
        <w:rPr>
          <w:rFonts w:asciiTheme="majorHAnsi" w:hAnsiTheme="majorHAnsi" w:cstheme="majorHAnsi"/>
          <w:sz w:val="24"/>
          <w:szCs w:val="24"/>
          <w:lang w:val="ro-MD"/>
        </w:rPr>
      </w:pPr>
    </w:p>
    <w:p w14:paraId="1BACC20E" w14:textId="3A4FC279" w:rsidR="003664F4" w:rsidRPr="00736448" w:rsidRDefault="00D20FA4" w:rsidP="003664F4">
      <w:pPr>
        <w:keepNext/>
        <w:keepLines/>
        <w:numPr>
          <w:ilvl w:val="0"/>
          <w:numId w:val="2"/>
        </w:numPr>
        <w:spacing w:after="0" w:line="276" w:lineRule="auto"/>
        <w:jc w:val="both"/>
        <w:outlineLvl w:val="0"/>
        <w:rPr>
          <w:rFonts w:asciiTheme="majorHAnsi" w:eastAsiaTheme="majorEastAsia" w:hAnsiTheme="majorHAnsi" w:cstheme="majorHAnsi"/>
          <w:b/>
          <w:sz w:val="28"/>
          <w:szCs w:val="28"/>
          <w:lang w:val="ro-MD"/>
        </w:rPr>
      </w:pPr>
      <w:bookmarkStart w:id="6" w:name="_Toc35000690"/>
      <w:r w:rsidRPr="00D20FA4">
        <w:rPr>
          <w:rFonts w:asciiTheme="majorHAnsi" w:eastAsiaTheme="majorEastAsia" w:hAnsiTheme="majorHAnsi" w:cstheme="majorHAnsi"/>
          <w:b/>
          <w:sz w:val="28"/>
          <w:szCs w:val="28"/>
          <w:lang w:val="ro-RO"/>
        </w:rPr>
        <w:t>ОБЯЗАННОСТИ АУДИТОРА В РАМКАХ АУДИТА ОТЧЕТ</w:t>
      </w:r>
      <w:r>
        <w:rPr>
          <w:rFonts w:asciiTheme="majorHAnsi" w:eastAsiaTheme="majorEastAsia" w:hAnsiTheme="majorHAnsi" w:cstheme="majorHAnsi"/>
          <w:b/>
          <w:sz w:val="28"/>
          <w:szCs w:val="28"/>
          <w:lang w:val="ru-RU"/>
        </w:rPr>
        <w:t>ОВ ПРАВИТЕЛЬСТВА</w:t>
      </w:r>
      <w:bookmarkEnd w:id="6"/>
    </w:p>
    <w:p w14:paraId="4D9D5E17" w14:textId="2C57E1E5" w:rsidR="003664F4" w:rsidRPr="00736448" w:rsidRDefault="00C6728E" w:rsidP="003664F4">
      <w:pPr>
        <w:autoSpaceDE w:val="0"/>
        <w:autoSpaceDN w:val="0"/>
        <w:adjustRightInd w:val="0"/>
        <w:spacing w:after="0" w:line="276" w:lineRule="auto"/>
        <w:ind w:right="-23"/>
        <w:jc w:val="both"/>
        <w:rPr>
          <w:rFonts w:asciiTheme="majorHAnsi" w:hAnsiTheme="majorHAnsi" w:cstheme="majorHAnsi"/>
          <w:sz w:val="24"/>
          <w:szCs w:val="24"/>
          <w:lang w:val="ro-MD"/>
        </w:rPr>
      </w:pPr>
      <w:r>
        <w:rPr>
          <w:rFonts w:asciiTheme="majorHAnsi" w:hAnsiTheme="majorHAnsi" w:cstheme="majorHAnsi"/>
          <w:sz w:val="24"/>
          <w:szCs w:val="24"/>
          <w:lang w:val="ru-MD"/>
        </w:rPr>
        <w:t xml:space="preserve">Наша </w:t>
      </w:r>
      <w:r w:rsidRPr="003B110E">
        <w:rPr>
          <w:rFonts w:asciiTheme="majorHAnsi" w:hAnsiTheme="majorHAnsi" w:cstheme="majorHAnsi"/>
          <w:sz w:val="24"/>
          <w:szCs w:val="24"/>
          <w:lang w:val="ru-MD"/>
        </w:rPr>
        <w:t>ответственность заключалась в планировании и проведении аудиторской миссии с получением достаточных и уместных доказательств</w:t>
      </w:r>
      <w:r>
        <w:rPr>
          <w:rFonts w:asciiTheme="majorHAnsi" w:hAnsiTheme="majorHAnsi" w:cstheme="majorHAnsi"/>
          <w:sz w:val="24"/>
          <w:szCs w:val="24"/>
          <w:lang w:val="ru-MD"/>
        </w:rPr>
        <w:t xml:space="preserve"> для</w:t>
      </w:r>
      <w:r w:rsidRPr="003B110E">
        <w:rPr>
          <w:rFonts w:asciiTheme="majorHAnsi" w:hAnsiTheme="majorHAnsi" w:cstheme="majorHAnsi"/>
          <w:sz w:val="24"/>
          <w:szCs w:val="24"/>
          <w:lang w:val="ru-MD"/>
        </w:rPr>
        <w:t xml:space="preserve"> подтверждения основания для аудиторского мнения. Наши задачи: получение разумной уверенности в том, что финансовая отчетность не содержит существенных искажений, обусловленных мошенничеством или ошибками, а также вынесение соответствующего мнения</w:t>
      </w:r>
      <w:r w:rsidR="003664F4" w:rsidRPr="00736448">
        <w:rPr>
          <w:rFonts w:asciiTheme="majorHAnsi" w:hAnsiTheme="majorHAnsi" w:cstheme="majorHAnsi"/>
          <w:sz w:val="24"/>
          <w:szCs w:val="24"/>
          <w:lang w:val="ro-MD"/>
        </w:rPr>
        <w:t>.</w:t>
      </w:r>
    </w:p>
    <w:p w14:paraId="292F6B61" w14:textId="7EB9652F" w:rsidR="003664F4" w:rsidRPr="00736448" w:rsidRDefault="000C0F9F" w:rsidP="003664F4">
      <w:pPr>
        <w:autoSpaceDE w:val="0"/>
        <w:autoSpaceDN w:val="0"/>
        <w:adjustRightInd w:val="0"/>
        <w:spacing w:after="0" w:line="276" w:lineRule="auto"/>
        <w:ind w:right="-23"/>
        <w:jc w:val="both"/>
        <w:rPr>
          <w:rFonts w:asciiTheme="majorHAnsi" w:hAnsiTheme="majorHAnsi" w:cstheme="majorHAnsi"/>
          <w:sz w:val="24"/>
          <w:szCs w:val="24"/>
          <w:lang w:val="ro-MD"/>
        </w:rPr>
      </w:pPr>
      <w:r w:rsidRPr="003B110E">
        <w:rPr>
          <w:rFonts w:asciiTheme="majorHAnsi" w:hAnsiTheme="majorHAnsi" w:cstheme="majorHAnsi"/>
          <w:sz w:val="24"/>
          <w:szCs w:val="24"/>
          <w:lang w:val="ru-MD"/>
        </w:rPr>
        <w:t>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всегда выявляет существенные искажения при их наличии. Искажения могут быть результатом мошенничества или ошибок. Вместе с тем, искажения считаются существенными, если, в отдельности или в совокупности, могут повлиять на экономические решения пользователей этой финансовой отчетности</w:t>
      </w:r>
      <w:r w:rsidR="003664F4" w:rsidRPr="00736448">
        <w:rPr>
          <w:rFonts w:asciiTheme="majorHAnsi" w:hAnsiTheme="majorHAnsi" w:cstheme="majorHAnsi"/>
          <w:sz w:val="24"/>
          <w:szCs w:val="24"/>
          <w:lang w:val="ro-MD"/>
        </w:rPr>
        <w:t xml:space="preserve">. </w:t>
      </w:r>
    </w:p>
    <w:p w14:paraId="1B37259B" w14:textId="21437AF5" w:rsidR="003664F4" w:rsidRPr="00736448" w:rsidRDefault="000C0F9F" w:rsidP="000C0F9F">
      <w:pPr>
        <w:autoSpaceDE w:val="0"/>
        <w:autoSpaceDN w:val="0"/>
        <w:adjustRightInd w:val="0"/>
        <w:spacing w:after="0" w:line="276" w:lineRule="auto"/>
        <w:ind w:right="-23"/>
        <w:jc w:val="both"/>
        <w:rPr>
          <w:lang w:val="ro-MD"/>
        </w:rPr>
      </w:pPr>
      <w:r w:rsidRPr="003B110E">
        <w:rPr>
          <w:rFonts w:asciiTheme="majorHAnsi" w:hAnsiTheme="majorHAnsi" w:cstheme="majorHAnsi"/>
          <w:sz w:val="24"/>
          <w:szCs w:val="24"/>
          <w:lang w:val="ru-MD"/>
        </w:rPr>
        <w:t>Более детальное описание обязанностей аудитора в рамках аудита финансовой отчетности опубликовано на сайте Счетной палаты</w:t>
      </w:r>
      <w:r w:rsidRPr="00E82CC1">
        <w:rPr>
          <w:rFonts w:asciiTheme="majorHAnsi" w:hAnsiTheme="majorHAnsi" w:cstheme="majorHAnsi"/>
          <w:sz w:val="24"/>
          <w:szCs w:val="24"/>
          <w:lang w:val="ro-RO"/>
        </w:rPr>
        <w:t xml:space="preserve">: </w:t>
      </w:r>
      <w:hyperlink r:id="rId35" w:tgtFrame="_blank" w:history="1">
        <w:r w:rsidR="00995BD6" w:rsidRPr="00736448">
          <w:rPr>
            <w:rStyle w:val="af2"/>
            <w:rFonts w:asciiTheme="majorHAnsi" w:hAnsiTheme="majorHAnsi" w:cstheme="majorHAnsi"/>
            <w:color w:val="0563C1"/>
            <w:sz w:val="24"/>
            <w:szCs w:val="24"/>
            <w:lang w:val="ro-MD"/>
          </w:rPr>
          <w:t>https://www.ccrm.md/ro/responsabilitati-in-auditul-financiar-3596.html</w:t>
        </w:r>
      </w:hyperlink>
      <w:r>
        <w:rPr>
          <w:rStyle w:val="af2"/>
          <w:rFonts w:asciiTheme="majorHAnsi" w:hAnsiTheme="majorHAnsi" w:cstheme="majorHAnsi"/>
          <w:color w:val="0563C1"/>
          <w:sz w:val="24"/>
          <w:szCs w:val="24"/>
          <w:lang w:val="ru-RU"/>
        </w:rPr>
        <w:t>.</w:t>
      </w:r>
      <w:r w:rsidR="00995BD6" w:rsidRPr="00736448">
        <w:rPr>
          <w:lang w:val="ro-MD"/>
        </w:rPr>
        <w:t xml:space="preserve"> </w:t>
      </w:r>
    </w:p>
    <w:p w14:paraId="2DAA7C15" w14:textId="2588F17F" w:rsidR="003664F4" w:rsidRPr="00736448" w:rsidRDefault="000C0F9F" w:rsidP="003664F4">
      <w:pPr>
        <w:autoSpaceDE w:val="0"/>
        <w:autoSpaceDN w:val="0"/>
        <w:adjustRightInd w:val="0"/>
        <w:spacing w:after="0" w:line="276" w:lineRule="auto"/>
        <w:ind w:right="-23"/>
        <w:jc w:val="both"/>
        <w:rPr>
          <w:rFonts w:asciiTheme="majorHAnsi" w:hAnsiTheme="majorHAnsi" w:cstheme="majorHAnsi"/>
          <w:sz w:val="24"/>
          <w:szCs w:val="24"/>
          <w:lang w:val="ro-MD"/>
        </w:rPr>
      </w:pPr>
      <w:r w:rsidRPr="003B110E">
        <w:rPr>
          <w:rFonts w:asciiTheme="majorHAnsi" w:hAnsiTheme="majorHAnsi" w:cstheme="majorHAnsi"/>
          <w:sz w:val="24"/>
          <w:szCs w:val="24"/>
          <w:lang w:val="ru-MD"/>
        </w:rPr>
        <w:t>Это описание является частью настоящего Отчета аудита</w:t>
      </w:r>
      <w:r w:rsidR="003664F4" w:rsidRPr="00736448">
        <w:rPr>
          <w:rFonts w:asciiTheme="majorHAnsi" w:hAnsiTheme="majorHAnsi" w:cstheme="majorHAnsi"/>
          <w:sz w:val="24"/>
          <w:szCs w:val="24"/>
          <w:lang w:val="ro-MD"/>
        </w:rPr>
        <w:t>.</w:t>
      </w:r>
    </w:p>
    <w:p w14:paraId="67931617" w14:textId="76434BEC" w:rsidR="0038225D" w:rsidRDefault="0038225D" w:rsidP="003664F4">
      <w:pPr>
        <w:spacing w:after="0" w:line="276" w:lineRule="auto"/>
        <w:rPr>
          <w:rFonts w:asciiTheme="majorHAnsi" w:hAnsiTheme="majorHAnsi" w:cstheme="majorHAnsi"/>
          <w:b/>
          <w:color w:val="000000" w:themeColor="text1"/>
          <w:sz w:val="24"/>
          <w:szCs w:val="24"/>
          <w:lang w:val="ro-MD"/>
        </w:rPr>
      </w:pPr>
    </w:p>
    <w:p w14:paraId="2CA72CF0" w14:textId="77777777" w:rsidR="00BC0112" w:rsidRPr="003B110E" w:rsidRDefault="00BC0112" w:rsidP="00BC0112">
      <w:pPr>
        <w:spacing w:after="0" w:line="276" w:lineRule="auto"/>
        <w:rPr>
          <w:rFonts w:asciiTheme="majorHAnsi" w:hAnsiTheme="majorHAnsi" w:cstheme="majorHAnsi"/>
          <w:b/>
          <w:color w:val="000000" w:themeColor="text1"/>
          <w:sz w:val="24"/>
          <w:szCs w:val="24"/>
          <w:lang w:val="ru-MD"/>
        </w:rPr>
      </w:pPr>
      <w:r w:rsidRPr="003B110E">
        <w:rPr>
          <w:rFonts w:asciiTheme="majorHAnsi" w:hAnsiTheme="majorHAnsi" w:cstheme="majorHAnsi"/>
          <w:b/>
          <w:color w:val="000000" w:themeColor="text1"/>
          <w:sz w:val="24"/>
          <w:szCs w:val="24"/>
          <w:lang w:val="ru-MD"/>
        </w:rPr>
        <w:t>Подписи аудитора:</w:t>
      </w:r>
    </w:p>
    <w:p w14:paraId="39AB5257" w14:textId="77777777" w:rsidR="00BC0112" w:rsidRDefault="00BC0112" w:rsidP="00BC0112">
      <w:pPr>
        <w:spacing w:after="0" w:line="276" w:lineRule="auto"/>
        <w:jc w:val="both"/>
        <w:rPr>
          <w:rFonts w:asciiTheme="majorHAnsi" w:eastAsia="Calibri" w:hAnsiTheme="majorHAnsi" w:cs="Times New Roman"/>
          <w:b/>
          <w:bCs/>
          <w:iCs/>
          <w:sz w:val="24"/>
          <w:szCs w:val="24"/>
          <w:lang w:val="ru-MD"/>
        </w:rPr>
      </w:pPr>
    </w:p>
    <w:p w14:paraId="2473BC05" w14:textId="67FB95B6" w:rsidR="00BC0112" w:rsidRPr="003B110E" w:rsidRDefault="00BC0112" w:rsidP="00BC0112">
      <w:pPr>
        <w:spacing w:after="0" w:line="276" w:lineRule="auto"/>
        <w:jc w:val="both"/>
        <w:rPr>
          <w:rFonts w:asciiTheme="majorHAnsi" w:hAnsiTheme="majorHAnsi" w:cstheme="majorHAnsi"/>
          <w:b/>
          <w:bCs/>
          <w:iCs/>
          <w:sz w:val="24"/>
          <w:szCs w:val="24"/>
          <w:lang w:val="ru-MD"/>
        </w:rPr>
      </w:pPr>
      <w:r w:rsidRPr="003B110E">
        <w:rPr>
          <w:rFonts w:asciiTheme="majorHAnsi" w:eastAsia="Calibri" w:hAnsiTheme="majorHAnsi" w:cs="Times New Roman"/>
          <w:b/>
          <w:bCs/>
          <w:iCs/>
          <w:sz w:val="24"/>
          <w:szCs w:val="24"/>
          <w:lang w:val="ru-MD"/>
        </w:rPr>
        <w:t>Аудиторская группа</w:t>
      </w:r>
      <w:r w:rsidRPr="003B110E">
        <w:rPr>
          <w:rFonts w:asciiTheme="majorHAnsi" w:hAnsiTheme="majorHAnsi" w:cstheme="majorHAnsi"/>
          <w:b/>
          <w:bCs/>
          <w:iCs/>
          <w:sz w:val="24"/>
          <w:szCs w:val="24"/>
          <w:lang w:val="ru-MD"/>
        </w:rPr>
        <w:t>:</w:t>
      </w:r>
    </w:p>
    <w:p w14:paraId="0700E014" w14:textId="77777777" w:rsidR="00BC0112" w:rsidRPr="003B110E" w:rsidRDefault="00BC0112" w:rsidP="00BC0112">
      <w:pPr>
        <w:tabs>
          <w:tab w:val="left" w:pos="1080"/>
        </w:tabs>
        <w:spacing w:after="0" w:line="276" w:lineRule="auto"/>
        <w:contextualSpacing/>
        <w:jc w:val="both"/>
        <w:rPr>
          <w:rFonts w:asciiTheme="majorHAnsi" w:hAnsiTheme="majorHAnsi" w:cstheme="majorHAnsi"/>
          <w:bCs/>
          <w:iCs/>
          <w:sz w:val="24"/>
          <w:szCs w:val="24"/>
          <w:lang w:val="ru-MD"/>
        </w:rPr>
      </w:pPr>
      <w:r>
        <w:rPr>
          <w:rFonts w:asciiTheme="majorHAnsi" w:hAnsiTheme="majorHAnsi" w:cstheme="majorHAnsi"/>
          <w:bCs/>
          <w:iCs/>
          <w:sz w:val="24"/>
          <w:szCs w:val="24"/>
          <w:lang w:val="ru-MD"/>
        </w:rPr>
        <w:t>р</w:t>
      </w:r>
      <w:r w:rsidRPr="003B110E">
        <w:rPr>
          <w:rFonts w:asciiTheme="majorHAnsi" w:hAnsiTheme="majorHAnsi" w:cstheme="majorHAnsi"/>
          <w:bCs/>
          <w:iCs/>
          <w:sz w:val="24"/>
          <w:szCs w:val="24"/>
          <w:lang w:val="ru-MD"/>
        </w:rPr>
        <w:t xml:space="preserve">уководитель </w:t>
      </w:r>
      <w:r w:rsidRPr="003B110E">
        <w:rPr>
          <w:rFonts w:asciiTheme="majorHAnsi" w:eastAsia="Calibri" w:hAnsiTheme="majorHAnsi" w:cs="Times New Roman"/>
          <w:bCs/>
          <w:iCs/>
          <w:sz w:val="24"/>
          <w:szCs w:val="24"/>
          <w:lang w:val="ru-MD"/>
        </w:rPr>
        <w:t>аудиторской группы,</w:t>
      </w:r>
    </w:p>
    <w:p w14:paraId="47A10956" w14:textId="77777777" w:rsidR="00BC0112" w:rsidRPr="003B110E" w:rsidRDefault="00BC0112" w:rsidP="00BC0112">
      <w:pPr>
        <w:tabs>
          <w:tab w:val="left" w:pos="1080"/>
        </w:tabs>
        <w:spacing w:after="0" w:line="276" w:lineRule="auto"/>
        <w:contextualSpacing/>
        <w:jc w:val="both"/>
        <w:rPr>
          <w:rFonts w:asciiTheme="majorHAnsi" w:hAnsiTheme="majorHAnsi" w:cstheme="majorHAnsi"/>
          <w:bCs/>
          <w:iCs/>
          <w:sz w:val="24"/>
          <w:szCs w:val="24"/>
          <w:lang w:val="ru-MD"/>
        </w:rPr>
      </w:pPr>
      <w:r w:rsidRPr="003B110E">
        <w:rPr>
          <w:rFonts w:asciiTheme="majorHAnsi" w:hAnsiTheme="majorHAnsi" w:cstheme="majorHAnsi"/>
          <w:bCs/>
          <w:iCs/>
          <w:sz w:val="24"/>
          <w:szCs w:val="24"/>
          <w:lang w:val="ru-MD"/>
        </w:rPr>
        <w:t xml:space="preserve">начальник </w:t>
      </w:r>
      <w:r w:rsidRPr="003B110E">
        <w:rPr>
          <w:rFonts w:asciiTheme="majorHAnsi" w:hAnsiTheme="majorHAnsi" w:cstheme="majorHAnsi"/>
          <w:sz w:val="24"/>
          <w:szCs w:val="24"/>
          <w:lang w:val="ru-MD"/>
        </w:rPr>
        <w:t>I</w:t>
      </w:r>
      <w:r w:rsidRPr="003B110E">
        <w:rPr>
          <w:rFonts w:asciiTheme="majorHAnsi" w:hAnsiTheme="majorHAnsi" w:cstheme="majorHAnsi"/>
          <w:bCs/>
          <w:iCs/>
          <w:sz w:val="24"/>
          <w:szCs w:val="24"/>
          <w:lang w:val="ru-MD"/>
        </w:rPr>
        <w:t xml:space="preserve"> Управления аудита</w:t>
      </w:r>
    </w:p>
    <w:p w14:paraId="7B027627" w14:textId="77777777" w:rsidR="00BC0112" w:rsidRDefault="00BC0112" w:rsidP="00BC0112">
      <w:pPr>
        <w:spacing w:after="0" w:line="276" w:lineRule="auto"/>
        <w:rPr>
          <w:rFonts w:asciiTheme="majorHAnsi" w:hAnsiTheme="majorHAnsi" w:cstheme="majorHAnsi"/>
          <w:b/>
          <w:color w:val="000000" w:themeColor="text1"/>
          <w:sz w:val="24"/>
          <w:szCs w:val="24"/>
          <w:lang w:val="ro-MD"/>
        </w:rPr>
      </w:pPr>
      <w:r w:rsidRPr="003B110E">
        <w:rPr>
          <w:rFonts w:asciiTheme="majorHAnsi" w:hAnsiTheme="majorHAnsi" w:cstheme="majorHAnsi"/>
          <w:bCs/>
          <w:iCs/>
          <w:sz w:val="24"/>
          <w:szCs w:val="24"/>
          <w:lang w:val="ru-MD"/>
        </w:rPr>
        <w:t xml:space="preserve"> в рамках Главного управления аудита </w:t>
      </w:r>
      <w:r>
        <w:rPr>
          <w:rFonts w:asciiTheme="majorHAnsi" w:hAnsiTheme="majorHAnsi" w:cstheme="majorHAnsi"/>
          <w:sz w:val="24"/>
          <w:szCs w:val="24"/>
          <w:lang w:val="ru-MD"/>
        </w:rPr>
        <w:t>II</w:t>
      </w:r>
      <w:r w:rsidRPr="00E82CC1">
        <w:rPr>
          <w:rFonts w:asciiTheme="majorHAnsi" w:hAnsiTheme="majorHAnsi" w:cstheme="majorHAnsi"/>
          <w:sz w:val="24"/>
          <w:szCs w:val="24"/>
          <w:lang w:val="ro-RO"/>
        </w:rPr>
        <w:t>,</w:t>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BC0112">
        <w:rPr>
          <w:rFonts w:asciiTheme="majorHAnsi" w:hAnsiTheme="majorHAnsi" w:cstheme="majorHAnsi"/>
          <w:b/>
          <w:sz w:val="24"/>
          <w:szCs w:val="24"/>
          <w:lang w:val="ru-RU"/>
        </w:rPr>
        <w:t>Ирина Рогачёв</w:t>
      </w:r>
      <w:r w:rsidRPr="00736448">
        <w:rPr>
          <w:rFonts w:asciiTheme="majorHAnsi" w:hAnsiTheme="majorHAnsi" w:cstheme="majorHAnsi"/>
          <w:b/>
          <w:color w:val="000000" w:themeColor="text1"/>
          <w:sz w:val="24"/>
          <w:szCs w:val="24"/>
          <w:lang w:val="ro-MD"/>
        </w:rPr>
        <w:t xml:space="preserve"> </w:t>
      </w:r>
    </w:p>
    <w:p w14:paraId="1C9DA017" w14:textId="73003B18" w:rsidR="003664F4" w:rsidRPr="00736448" w:rsidRDefault="003664F4" w:rsidP="003664F4">
      <w:pPr>
        <w:tabs>
          <w:tab w:val="left" w:pos="1080"/>
        </w:tabs>
        <w:spacing w:after="0" w:line="276" w:lineRule="auto"/>
        <w:contextualSpacing/>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ab/>
      </w:r>
    </w:p>
    <w:p w14:paraId="66134D06" w14:textId="77777777" w:rsidR="003664F4" w:rsidRPr="00736448" w:rsidRDefault="003664F4" w:rsidP="003664F4">
      <w:pPr>
        <w:tabs>
          <w:tab w:val="left" w:pos="1080"/>
        </w:tabs>
        <w:spacing w:after="0" w:line="276" w:lineRule="auto"/>
        <w:contextualSpacing/>
        <w:jc w:val="both"/>
        <w:rPr>
          <w:rFonts w:asciiTheme="majorHAnsi" w:hAnsiTheme="majorHAnsi" w:cstheme="majorHAnsi"/>
          <w:sz w:val="24"/>
          <w:szCs w:val="24"/>
          <w:lang w:val="ro-MD"/>
        </w:rPr>
      </w:pPr>
    </w:p>
    <w:p w14:paraId="0D7EC1A4" w14:textId="52155368" w:rsidR="003664F4" w:rsidRPr="00736448" w:rsidRDefault="00815548" w:rsidP="003664F4">
      <w:pPr>
        <w:tabs>
          <w:tab w:val="left" w:pos="1080"/>
        </w:tabs>
        <w:spacing w:after="0" w:line="276" w:lineRule="auto"/>
        <w:contextualSpacing/>
        <w:jc w:val="both"/>
        <w:rPr>
          <w:rFonts w:asciiTheme="majorHAnsi" w:hAnsiTheme="majorHAnsi" w:cstheme="majorHAnsi"/>
          <w:sz w:val="24"/>
          <w:szCs w:val="24"/>
          <w:lang w:val="ro-MD"/>
        </w:rPr>
      </w:pPr>
      <w:r w:rsidRPr="003B110E">
        <w:rPr>
          <w:rFonts w:asciiTheme="majorHAnsi" w:hAnsiTheme="majorHAnsi" w:cstheme="majorHAnsi"/>
          <w:sz w:val="24"/>
          <w:szCs w:val="24"/>
          <w:lang w:val="ru-MD"/>
        </w:rPr>
        <w:t>главный публичный аудитор</w:t>
      </w:r>
      <w:r w:rsidRPr="00E82CC1">
        <w:rPr>
          <w:rFonts w:asciiTheme="majorHAnsi" w:hAnsiTheme="majorHAnsi" w:cstheme="majorHAnsi"/>
          <w:sz w:val="24"/>
          <w:szCs w:val="24"/>
          <w:lang w:val="ro-RO"/>
        </w:rPr>
        <w:t>,</w:t>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Pr>
          <w:rFonts w:asciiTheme="majorHAnsi" w:hAnsiTheme="majorHAnsi" w:cstheme="majorHAnsi"/>
          <w:sz w:val="24"/>
          <w:szCs w:val="24"/>
          <w:lang w:val="ru-RU"/>
        </w:rPr>
        <w:t>Виорика Рацой</w:t>
      </w:r>
      <w:r w:rsidR="003664F4" w:rsidRPr="00736448">
        <w:rPr>
          <w:rFonts w:asciiTheme="majorHAnsi" w:hAnsiTheme="majorHAnsi" w:cstheme="majorHAnsi"/>
          <w:sz w:val="24"/>
          <w:szCs w:val="24"/>
          <w:lang w:val="ro-MD"/>
        </w:rPr>
        <w:tab/>
        <w:t xml:space="preserve"> </w:t>
      </w:r>
    </w:p>
    <w:p w14:paraId="5B27A45E" w14:textId="77777777" w:rsidR="00815548" w:rsidRPr="00E82CC1" w:rsidRDefault="00815548" w:rsidP="00815548">
      <w:pPr>
        <w:tabs>
          <w:tab w:val="left" w:pos="1080"/>
        </w:tabs>
        <w:spacing w:after="0" w:line="276" w:lineRule="auto"/>
        <w:contextualSpacing/>
        <w:jc w:val="both"/>
        <w:rPr>
          <w:rFonts w:asciiTheme="majorHAnsi" w:hAnsiTheme="majorHAnsi" w:cstheme="majorHAnsi"/>
          <w:sz w:val="24"/>
          <w:szCs w:val="24"/>
          <w:lang w:val="ro-RO"/>
        </w:rPr>
      </w:pPr>
      <w:r w:rsidRPr="00815548">
        <w:rPr>
          <w:rFonts w:asciiTheme="majorHAnsi" w:hAnsiTheme="majorHAnsi" w:cstheme="majorHAnsi"/>
          <w:sz w:val="24"/>
          <w:szCs w:val="24"/>
          <w:lang w:val="ro-MD"/>
        </w:rPr>
        <w:t>старший публичный аудитор</w:t>
      </w:r>
      <w:r w:rsidRPr="00E82CC1">
        <w:rPr>
          <w:rFonts w:asciiTheme="majorHAnsi" w:hAnsiTheme="majorHAnsi" w:cstheme="majorHAnsi"/>
          <w:sz w:val="24"/>
          <w:szCs w:val="24"/>
          <w:lang w:val="ro-RO"/>
        </w:rPr>
        <w:t>,</w:t>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815548">
        <w:rPr>
          <w:rFonts w:asciiTheme="majorHAnsi" w:hAnsiTheme="majorHAnsi" w:cstheme="majorHAnsi"/>
          <w:sz w:val="24"/>
          <w:szCs w:val="24"/>
          <w:lang w:val="ro-MD"/>
        </w:rPr>
        <w:t>Ана Мирон</w:t>
      </w:r>
    </w:p>
    <w:p w14:paraId="2A49143A" w14:textId="433ACA0F" w:rsidR="003664F4" w:rsidRPr="00736448" w:rsidRDefault="00815548" w:rsidP="003664F4">
      <w:pPr>
        <w:tabs>
          <w:tab w:val="left" w:pos="1080"/>
        </w:tabs>
        <w:spacing w:after="0" w:line="276" w:lineRule="auto"/>
        <w:contextualSpacing/>
        <w:jc w:val="both"/>
        <w:rPr>
          <w:rFonts w:asciiTheme="majorHAnsi" w:hAnsiTheme="majorHAnsi" w:cstheme="majorHAnsi"/>
          <w:sz w:val="24"/>
          <w:szCs w:val="24"/>
          <w:lang w:val="ro-MD"/>
        </w:rPr>
      </w:pPr>
      <w:r w:rsidRPr="003B110E">
        <w:rPr>
          <w:rFonts w:asciiTheme="majorHAnsi" w:hAnsiTheme="majorHAnsi" w:cstheme="majorHAnsi"/>
          <w:sz w:val="24"/>
          <w:szCs w:val="24"/>
          <w:lang w:val="ru-MD"/>
        </w:rPr>
        <w:t>старший публичный аудитор</w:t>
      </w:r>
      <w:r w:rsidR="003664F4" w:rsidRPr="00736448">
        <w:rPr>
          <w:rFonts w:asciiTheme="majorHAnsi" w:hAnsiTheme="majorHAnsi" w:cstheme="majorHAnsi"/>
          <w:sz w:val="24"/>
          <w:szCs w:val="24"/>
          <w:lang w:val="ro-MD"/>
        </w:rPr>
        <w:t>,</w:t>
      </w:r>
      <w:r w:rsidR="003664F4" w:rsidRPr="00736448">
        <w:rPr>
          <w:rFonts w:asciiTheme="majorHAnsi" w:hAnsiTheme="majorHAnsi" w:cstheme="majorHAnsi"/>
          <w:sz w:val="24"/>
          <w:szCs w:val="24"/>
          <w:lang w:val="ro-MD"/>
        </w:rPr>
        <w:tab/>
      </w:r>
      <w:r w:rsidR="003664F4" w:rsidRPr="00736448">
        <w:rPr>
          <w:rFonts w:asciiTheme="majorHAnsi" w:hAnsiTheme="majorHAnsi" w:cstheme="majorHAnsi"/>
          <w:sz w:val="24"/>
          <w:szCs w:val="24"/>
          <w:lang w:val="ro-MD"/>
        </w:rPr>
        <w:tab/>
      </w:r>
      <w:r w:rsidR="003664F4" w:rsidRPr="00736448">
        <w:rPr>
          <w:rFonts w:asciiTheme="majorHAnsi" w:hAnsiTheme="majorHAnsi" w:cstheme="majorHAnsi"/>
          <w:sz w:val="24"/>
          <w:szCs w:val="24"/>
          <w:lang w:val="ro-MD"/>
        </w:rPr>
        <w:tab/>
      </w:r>
      <w:r w:rsidR="003664F4" w:rsidRPr="00736448">
        <w:rPr>
          <w:rFonts w:asciiTheme="majorHAnsi" w:hAnsiTheme="majorHAnsi" w:cstheme="majorHAnsi"/>
          <w:sz w:val="24"/>
          <w:szCs w:val="24"/>
          <w:lang w:val="ro-MD"/>
        </w:rPr>
        <w:tab/>
      </w:r>
      <w:r w:rsidR="003664F4" w:rsidRPr="00736448">
        <w:rPr>
          <w:rFonts w:asciiTheme="majorHAnsi" w:hAnsiTheme="majorHAnsi" w:cstheme="majorHAnsi"/>
          <w:sz w:val="24"/>
          <w:szCs w:val="24"/>
          <w:lang w:val="ro-MD"/>
        </w:rPr>
        <w:tab/>
      </w:r>
      <w:r w:rsidR="003664F4" w:rsidRPr="00736448">
        <w:rPr>
          <w:rFonts w:asciiTheme="majorHAnsi" w:hAnsiTheme="majorHAnsi" w:cstheme="majorHAnsi"/>
          <w:sz w:val="24"/>
          <w:szCs w:val="24"/>
          <w:lang w:val="ro-MD"/>
        </w:rPr>
        <w:tab/>
      </w:r>
      <w:r w:rsidR="003664F4" w:rsidRPr="00736448">
        <w:rPr>
          <w:rFonts w:asciiTheme="majorHAnsi" w:hAnsiTheme="majorHAnsi" w:cstheme="majorHAnsi"/>
          <w:sz w:val="24"/>
          <w:szCs w:val="24"/>
          <w:lang w:val="ro-MD"/>
        </w:rPr>
        <w:tab/>
      </w:r>
      <w:r w:rsidRPr="00815548">
        <w:rPr>
          <w:rFonts w:asciiTheme="majorHAnsi" w:hAnsiTheme="majorHAnsi" w:cstheme="majorHAnsi"/>
          <w:b/>
          <w:sz w:val="24"/>
          <w:szCs w:val="24"/>
          <w:lang w:val="ru-RU"/>
        </w:rPr>
        <w:t>Алёна Маноле</w:t>
      </w:r>
    </w:p>
    <w:p w14:paraId="5099C804" w14:textId="77777777" w:rsidR="003664F4" w:rsidRPr="00736448" w:rsidRDefault="003664F4" w:rsidP="003664F4">
      <w:pPr>
        <w:spacing w:after="0" w:line="276" w:lineRule="auto"/>
        <w:rPr>
          <w:rFonts w:asciiTheme="majorHAnsi" w:hAnsiTheme="majorHAnsi" w:cstheme="majorHAnsi"/>
          <w:b/>
          <w:bCs/>
          <w:iCs/>
          <w:sz w:val="24"/>
          <w:szCs w:val="24"/>
          <w:lang w:val="ro-MD"/>
        </w:rPr>
      </w:pPr>
    </w:p>
    <w:p w14:paraId="0A7A4D64" w14:textId="77777777" w:rsidR="00815548" w:rsidRPr="003B110E" w:rsidRDefault="00815548" w:rsidP="00815548">
      <w:pPr>
        <w:spacing w:after="0" w:line="240" w:lineRule="auto"/>
        <w:rPr>
          <w:rFonts w:asciiTheme="majorHAnsi" w:eastAsia="Times New Roman" w:hAnsiTheme="majorHAnsi" w:cstheme="majorHAnsi"/>
          <w:b/>
          <w:bCs/>
          <w:iCs/>
          <w:sz w:val="24"/>
          <w:szCs w:val="24"/>
          <w:lang w:val="ru-MD"/>
        </w:rPr>
      </w:pPr>
      <w:r w:rsidRPr="003B110E">
        <w:rPr>
          <w:rFonts w:asciiTheme="majorHAnsi" w:eastAsia="Times New Roman" w:hAnsiTheme="majorHAnsi" w:cstheme="majorHAnsi"/>
          <w:b/>
          <w:bCs/>
          <w:iCs/>
          <w:sz w:val="24"/>
          <w:szCs w:val="24"/>
          <w:lang w:val="ru-MD" w:eastAsia="ru-RU"/>
        </w:rPr>
        <w:t>Ответственн</w:t>
      </w:r>
      <w:r w:rsidRPr="003B110E">
        <w:rPr>
          <w:rFonts w:asciiTheme="majorHAnsi" w:eastAsia="Times New Roman" w:hAnsiTheme="majorHAnsi" w:cstheme="majorHAnsi"/>
          <w:b/>
          <w:bCs/>
          <w:iCs/>
          <w:sz w:val="24"/>
          <w:szCs w:val="24"/>
          <w:lang w:val="ru-MD"/>
        </w:rPr>
        <w:t>ый за мониторинг и</w:t>
      </w:r>
      <w:r>
        <w:rPr>
          <w:rFonts w:asciiTheme="majorHAnsi" w:eastAsia="Times New Roman" w:hAnsiTheme="majorHAnsi" w:cstheme="majorHAnsi"/>
          <w:b/>
          <w:bCs/>
          <w:iCs/>
          <w:sz w:val="24"/>
          <w:szCs w:val="24"/>
          <w:lang w:val="ru-MD"/>
        </w:rPr>
        <w:t xml:space="preserve"> </w:t>
      </w:r>
      <w:r w:rsidRPr="003B110E">
        <w:rPr>
          <w:rFonts w:asciiTheme="majorHAnsi" w:eastAsia="Times New Roman" w:hAnsiTheme="majorHAnsi" w:cstheme="majorHAnsi"/>
          <w:b/>
          <w:bCs/>
          <w:iCs/>
          <w:sz w:val="24"/>
          <w:szCs w:val="24"/>
          <w:lang w:val="ru-MD"/>
        </w:rPr>
        <w:t>обеспечение качества аудита:</w:t>
      </w:r>
    </w:p>
    <w:p w14:paraId="1E72E42C" w14:textId="25AB13B8" w:rsidR="00036557" w:rsidRPr="00736448" w:rsidRDefault="00815548" w:rsidP="00815548">
      <w:pPr>
        <w:pStyle w:val="1"/>
        <w:numPr>
          <w:ilvl w:val="0"/>
          <w:numId w:val="0"/>
        </w:numPr>
        <w:spacing w:before="0" w:line="240" w:lineRule="auto"/>
        <w:jc w:val="left"/>
        <w:rPr>
          <w:rFonts w:asciiTheme="majorHAnsi" w:hAnsiTheme="majorHAnsi"/>
          <w:b w:val="0"/>
          <w:sz w:val="24"/>
        </w:rPr>
        <w:sectPr w:rsidR="00036557" w:rsidRPr="00736448" w:rsidSect="00DE27FA">
          <w:footerReference w:type="default" r:id="rId36"/>
          <w:type w:val="continuous"/>
          <w:pgSz w:w="12240" w:h="15840"/>
          <w:pgMar w:top="1140" w:right="851" w:bottom="1140" w:left="1355" w:header="720" w:footer="720" w:gutter="0"/>
          <w:cols w:space="720"/>
          <w:titlePg/>
          <w:docGrid w:linePitch="360"/>
        </w:sectPr>
      </w:pPr>
      <w:r w:rsidRPr="00815548">
        <w:rPr>
          <w:rFonts w:asciiTheme="majorHAnsi" w:eastAsia="Calibri" w:hAnsiTheme="majorHAnsi" w:cs="Times New Roman"/>
          <w:b w:val="0"/>
          <w:bCs/>
          <w:iCs/>
          <w:sz w:val="24"/>
          <w:szCs w:val="24"/>
          <w:lang w:val="ru-MD"/>
        </w:rPr>
        <w:t>начальник</w:t>
      </w:r>
      <w:r w:rsidRPr="00815548">
        <w:rPr>
          <w:rFonts w:asciiTheme="majorHAnsi" w:eastAsia="Times New Roman" w:hAnsiTheme="majorHAnsi" w:cstheme="majorHAnsi"/>
          <w:b w:val="0"/>
          <w:sz w:val="24"/>
          <w:szCs w:val="24"/>
          <w:lang w:val="ru-MD"/>
        </w:rPr>
        <w:t xml:space="preserve"> Главного управления аудита </w:t>
      </w:r>
      <w:r w:rsidRPr="00815548">
        <w:rPr>
          <w:rFonts w:asciiTheme="majorHAnsi" w:hAnsiTheme="majorHAnsi" w:cstheme="majorHAnsi"/>
          <w:b w:val="0"/>
          <w:sz w:val="24"/>
          <w:szCs w:val="24"/>
          <w:lang w:val="ru-MD"/>
        </w:rPr>
        <w:t>II</w:t>
      </w:r>
      <w:r w:rsidRPr="00815548">
        <w:rPr>
          <w:rFonts w:asciiTheme="majorHAnsi" w:eastAsia="Times New Roman" w:hAnsiTheme="majorHAnsi" w:cstheme="majorHAnsi"/>
          <w:b w:val="0"/>
          <w:sz w:val="24"/>
          <w:szCs w:val="24"/>
          <w:lang w:val="ru-MD"/>
        </w:rPr>
        <w:t xml:space="preserve">  </w:t>
      </w:r>
      <w:r w:rsidRPr="003B110E">
        <w:rPr>
          <w:rFonts w:asciiTheme="majorHAnsi" w:eastAsia="Times New Roman" w:hAnsiTheme="majorHAnsi" w:cstheme="majorHAnsi"/>
          <w:sz w:val="24"/>
          <w:szCs w:val="24"/>
          <w:lang w:val="ru-MD"/>
        </w:rPr>
        <w:t xml:space="preserve">                                                     </w:t>
      </w:r>
      <w:r>
        <w:rPr>
          <w:rFonts w:asciiTheme="majorHAnsi" w:eastAsia="Times New Roman" w:hAnsiTheme="majorHAnsi" w:cstheme="majorHAnsi"/>
          <w:sz w:val="24"/>
          <w:szCs w:val="24"/>
          <w:lang w:val="ru-MD"/>
        </w:rPr>
        <w:t xml:space="preserve">              </w:t>
      </w:r>
      <w:r w:rsidRPr="003B110E">
        <w:rPr>
          <w:rFonts w:asciiTheme="majorHAnsi" w:eastAsia="Times New Roman" w:hAnsiTheme="majorHAnsi" w:cstheme="majorHAnsi"/>
          <w:sz w:val="24"/>
          <w:szCs w:val="24"/>
          <w:lang w:val="ru-MD"/>
        </w:rPr>
        <w:t>София Чувалски</w:t>
      </w:r>
    </w:p>
    <w:p w14:paraId="52D9AF80" w14:textId="02C7FC06" w:rsidR="00DC25E0" w:rsidRPr="00FC62B3" w:rsidRDefault="00FC62B3" w:rsidP="00DC25E0">
      <w:pPr>
        <w:pStyle w:val="1"/>
        <w:numPr>
          <w:ilvl w:val="0"/>
          <w:numId w:val="0"/>
        </w:numPr>
        <w:jc w:val="right"/>
        <w:rPr>
          <w:rFonts w:asciiTheme="majorHAnsi" w:hAnsiTheme="majorHAnsi"/>
          <w:b w:val="0"/>
          <w:sz w:val="24"/>
          <w:lang w:val="ru-RU"/>
        </w:rPr>
      </w:pPr>
      <w:r w:rsidRPr="008A68D9">
        <w:rPr>
          <w:rFonts w:asciiTheme="majorHAnsi" w:hAnsiTheme="majorHAnsi"/>
          <w:b w:val="0"/>
          <w:sz w:val="24"/>
          <w:lang w:val="ru-RU"/>
        </w:rPr>
        <w:t>ПРИЛОЖЕНИЯ</w:t>
      </w:r>
    </w:p>
    <w:p w14:paraId="22603D1F" w14:textId="39F74EAB" w:rsidR="00036557" w:rsidRPr="00181EA0" w:rsidRDefault="00FC62B3" w:rsidP="004C228A">
      <w:pPr>
        <w:pStyle w:val="2"/>
        <w:jc w:val="right"/>
        <w:rPr>
          <w:rFonts w:eastAsia="Times New Roman" w:cstheme="majorHAnsi"/>
          <w:b/>
          <w:iCs/>
          <w:color w:val="000000" w:themeColor="text1"/>
          <w:sz w:val="24"/>
          <w:szCs w:val="24"/>
          <w:lang w:val="ro-MD"/>
        </w:rPr>
      </w:pPr>
      <w:r>
        <w:rPr>
          <w:rFonts w:eastAsia="Times New Roman" w:cstheme="majorHAnsi"/>
          <w:b/>
          <w:color w:val="000000" w:themeColor="text1"/>
          <w:sz w:val="24"/>
          <w:szCs w:val="24"/>
          <w:lang w:val="ro-MD"/>
        </w:rPr>
        <w:t>Приложение №</w:t>
      </w:r>
      <w:r w:rsidR="004C228A" w:rsidRPr="00181EA0">
        <w:rPr>
          <w:rFonts w:eastAsia="Times New Roman" w:cstheme="majorHAnsi"/>
          <w:b/>
          <w:color w:val="000000" w:themeColor="text1"/>
          <w:sz w:val="24"/>
          <w:szCs w:val="24"/>
          <w:lang w:val="ro-MD"/>
        </w:rPr>
        <w:t>1</w:t>
      </w:r>
    </w:p>
    <w:p w14:paraId="3A84926D" w14:textId="0776267E" w:rsidR="003B3DFD" w:rsidRPr="003B3DFD" w:rsidRDefault="003B3DFD" w:rsidP="003B3DFD">
      <w:pPr>
        <w:spacing w:after="0" w:line="240" w:lineRule="auto"/>
        <w:jc w:val="center"/>
        <w:rPr>
          <w:rFonts w:asciiTheme="majorHAnsi" w:hAnsiTheme="majorHAnsi" w:cstheme="majorHAnsi"/>
          <w:b/>
          <w:sz w:val="24"/>
          <w:szCs w:val="24"/>
          <w:lang w:val="ro-RO"/>
        </w:rPr>
      </w:pPr>
      <w:r w:rsidRPr="003B3DFD">
        <w:rPr>
          <w:rFonts w:asciiTheme="majorHAnsi" w:hAnsiTheme="majorHAnsi" w:cstheme="majorHAnsi"/>
          <w:b/>
          <w:sz w:val="24"/>
          <w:szCs w:val="24"/>
          <w:lang w:val="ro-RO"/>
        </w:rPr>
        <w:t>Динамика доходов бюджета государственного социального страхования</w:t>
      </w:r>
    </w:p>
    <w:p w14:paraId="611593F1" w14:textId="382084E4" w:rsidR="00036557" w:rsidRPr="00736448" w:rsidRDefault="003B3DFD" w:rsidP="003B3DFD">
      <w:pPr>
        <w:spacing w:after="0" w:line="240" w:lineRule="auto"/>
        <w:jc w:val="center"/>
        <w:rPr>
          <w:rFonts w:asciiTheme="majorHAnsi" w:eastAsia="Times New Roman" w:hAnsiTheme="majorHAnsi" w:cstheme="majorHAnsi"/>
          <w:b/>
          <w:sz w:val="24"/>
          <w:szCs w:val="24"/>
          <w:lang w:val="ro-MD"/>
        </w:rPr>
      </w:pPr>
      <w:r w:rsidRPr="003B3DFD">
        <w:rPr>
          <w:rFonts w:asciiTheme="majorHAnsi" w:hAnsiTheme="majorHAnsi" w:cstheme="majorHAnsi"/>
          <w:b/>
          <w:sz w:val="24"/>
          <w:szCs w:val="24"/>
          <w:lang w:val="ro-RO"/>
        </w:rPr>
        <w:t xml:space="preserve"> </w:t>
      </w:r>
      <w:r w:rsidRPr="003B3DFD">
        <w:rPr>
          <w:rFonts w:asciiTheme="majorHAnsi" w:hAnsiTheme="majorHAnsi" w:cstheme="majorHAnsi"/>
          <w:b/>
          <w:sz w:val="24"/>
          <w:szCs w:val="24"/>
          <w:lang w:val="ru-RU"/>
        </w:rPr>
        <w:t>з</w:t>
      </w:r>
      <w:r w:rsidRPr="003B3DFD">
        <w:rPr>
          <w:rFonts w:asciiTheme="majorHAnsi" w:hAnsiTheme="majorHAnsi" w:cstheme="majorHAnsi"/>
          <w:b/>
          <w:sz w:val="24"/>
          <w:szCs w:val="24"/>
          <w:lang w:val="ro-RO"/>
        </w:rPr>
        <w:t>а 2018-202</w:t>
      </w:r>
      <w:r w:rsidRPr="003B3DFD">
        <w:rPr>
          <w:rFonts w:asciiTheme="majorHAnsi" w:hAnsiTheme="majorHAnsi" w:cstheme="majorHAnsi"/>
          <w:b/>
          <w:sz w:val="24"/>
          <w:szCs w:val="24"/>
          <w:lang w:val="fr-FR"/>
        </w:rPr>
        <w:t>2</w:t>
      </w:r>
      <w:r w:rsidRPr="003B3DFD">
        <w:rPr>
          <w:rFonts w:asciiTheme="majorHAnsi" w:hAnsiTheme="majorHAnsi" w:cstheme="majorHAnsi"/>
          <w:b/>
          <w:sz w:val="24"/>
          <w:szCs w:val="24"/>
          <w:lang w:val="ro-RO"/>
        </w:rPr>
        <w:t xml:space="preserve"> годы</w:t>
      </w:r>
      <w:r w:rsidRPr="003B3DFD">
        <w:rPr>
          <w:rFonts w:asciiTheme="majorHAnsi" w:hAnsiTheme="majorHAnsi" w:cstheme="majorHAnsi"/>
          <w:b/>
          <w:sz w:val="24"/>
          <w:szCs w:val="24"/>
          <w:lang w:val="ro-MD"/>
        </w:rPr>
        <w:t xml:space="preserve"> </w:t>
      </w:r>
      <w:r w:rsidR="00036557" w:rsidRPr="00736448">
        <w:rPr>
          <w:rFonts w:asciiTheme="majorHAnsi" w:eastAsia="Times New Roman" w:hAnsiTheme="majorHAnsi" w:cstheme="majorHAnsi"/>
          <w:b/>
          <w:sz w:val="24"/>
          <w:szCs w:val="24"/>
          <w:lang w:val="ro-MD"/>
        </w:rPr>
        <w:t>(</w:t>
      </w:r>
      <w:r>
        <w:rPr>
          <w:rFonts w:asciiTheme="majorHAnsi" w:eastAsia="Times New Roman" w:hAnsiTheme="majorHAnsi" w:cstheme="majorHAnsi"/>
          <w:b/>
          <w:sz w:val="24"/>
          <w:szCs w:val="24"/>
          <w:lang w:val="ro-MD"/>
        </w:rPr>
        <w:t>млн. леев</w:t>
      </w:r>
      <w:r w:rsidR="00036557" w:rsidRPr="00736448">
        <w:rPr>
          <w:rFonts w:asciiTheme="majorHAnsi" w:eastAsia="Times New Roman" w:hAnsiTheme="majorHAnsi" w:cstheme="majorHAnsi"/>
          <w:b/>
          <w:sz w:val="24"/>
          <w:szCs w:val="24"/>
          <w:lang w:val="ro-MD"/>
        </w:rPr>
        <w:t>)</w:t>
      </w:r>
    </w:p>
    <w:tbl>
      <w:tblPr>
        <w:tblW w:w="14440" w:type="dxa"/>
        <w:tblLook w:val="04A0" w:firstRow="1" w:lastRow="0" w:firstColumn="1" w:lastColumn="0" w:noHBand="0" w:noVBand="1"/>
      </w:tblPr>
      <w:tblGrid>
        <w:gridCol w:w="1640"/>
        <w:gridCol w:w="926"/>
        <w:gridCol w:w="926"/>
        <w:gridCol w:w="927"/>
        <w:gridCol w:w="927"/>
        <w:gridCol w:w="928"/>
        <w:gridCol w:w="878"/>
        <w:gridCol w:w="1059"/>
        <w:gridCol w:w="878"/>
        <w:gridCol w:w="1165"/>
        <w:gridCol w:w="928"/>
        <w:gridCol w:w="1165"/>
        <w:gridCol w:w="928"/>
        <w:gridCol w:w="1165"/>
      </w:tblGrid>
      <w:tr w:rsidR="00036557" w:rsidRPr="00B7675F" w14:paraId="33AB1D28" w14:textId="77777777" w:rsidTr="004C3380">
        <w:trPr>
          <w:trHeight w:val="288"/>
        </w:trPr>
        <w:tc>
          <w:tcPr>
            <w:tcW w:w="11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D981E9" w14:textId="2176C167" w:rsidR="00036557" w:rsidRPr="00736448" w:rsidRDefault="00FC62B3" w:rsidP="001871A3">
            <w:pPr>
              <w:spacing w:after="0" w:line="240" w:lineRule="auto"/>
              <w:jc w:val="center"/>
              <w:rPr>
                <w:rFonts w:ascii="Calibri Light" w:eastAsia="Times New Roman" w:hAnsi="Calibri Light" w:cs="Calibri Light"/>
                <w:b/>
                <w:bCs/>
                <w:color w:val="000000"/>
                <w:sz w:val="18"/>
                <w:szCs w:val="18"/>
                <w:lang w:val="ro-MD"/>
              </w:rPr>
            </w:pPr>
            <w:r>
              <w:rPr>
                <w:rFonts w:ascii="Calibri Light" w:eastAsia="Times New Roman" w:hAnsi="Calibri Light" w:cs="Calibri Light"/>
                <w:b/>
                <w:bCs/>
                <w:color w:val="000000"/>
                <w:sz w:val="18"/>
                <w:szCs w:val="18"/>
                <w:lang w:val="ro-MD"/>
              </w:rPr>
              <w:t>Показатели</w:t>
            </w:r>
          </w:p>
        </w:tc>
        <w:tc>
          <w:tcPr>
            <w:tcW w:w="4756"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A5976B4" w14:textId="2DB47C9E" w:rsidR="00036557" w:rsidRPr="00736448" w:rsidRDefault="00FC62B3" w:rsidP="001871A3">
            <w:pPr>
              <w:spacing w:after="0" w:line="240" w:lineRule="auto"/>
              <w:jc w:val="center"/>
              <w:rPr>
                <w:rFonts w:ascii="Calibri Light" w:eastAsia="Times New Roman" w:hAnsi="Calibri Light" w:cs="Calibri Light"/>
                <w:b/>
                <w:bCs/>
                <w:color w:val="000000"/>
                <w:sz w:val="18"/>
                <w:szCs w:val="18"/>
                <w:lang w:val="ro-MD"/>
              </w:rPr>
            </w:pPr>
            <w:r>
              <w:rPr>
                <w:rFonts w:ascii="Calibri Light" w:eastAsia="Times New Roman" w:hAnsi="Calibri Light" w:cs="Calibri Light"/>
                <w:b/>
                <w:bCs/>
                <w:color w:val="000000"/>
                <w:sz w:val="18"/>
                <w:szCs w:val="18"/>
                <w:lang w:val="ro-MD"/>
              </w:rPr>
              <w:t>Годы</w:t>
            </w:r>
          </w:p>
        </w:tc>
        <w:tc>
          <w:tcPr>
            <w:tcW w:w="2043" w:type="dxa"/>
            <w:gridSpan w:val="2"/>
            <w:tcBorders>
              <w:top w:val="single" w:sz="8" w:space="0" w:color="auto"/>
              <w:left w:val="nil"/>
              <w:bottom w:val="nil"/>
              <w:right w:val="single" w:sz="8" w:space="0" w:color="000000"/>
            </w:tcBorders>
            <w:shd w:val="clear" w:color="auto" w:fill="auto"/>
            <w:vAlign w:val="center"/>
            <w:hideMark/>
          </w:tcPr>
          <w:p w14:paraId="752B8D90" w14:textId="74C64C21" w:rsidR="00036557" w:rsidRPr="00134188" w:rsidRDefault="003B3DFD" w:rsidP="001871A3">
            <w:pPr>
              <w:spacing w:after="0" w:line="240" w:lineRule="auto"/>
              <w:jc w:val="center"/>
              <w:rPr>
                <w:rFonts w:ascii="Calibri Light" w:eastAsia="Times New Roman" w:hAnsi="Calibri Light" w:cs="Calibri Light"/>
                <w:b/>
                <w:bCs/>
                <w:color w:val="000000"/>
                <w:sz w:val="18"/>
                <w:szCs w:val="18"/>
              </w:rPr>
            </w:pPr>
            <w:r>
              <w:rPr>
                <w:rFonts w:ascii="Calibri Light" w:eastAsia="Times New Roman" w:hAnsi="Calibri Light" w:cs="Calibri Light"/>
                <w:b/>
                <w:bCs/>
                <w:color w:val="000000"/>
                <w:sz w:val="18"/>
                <w:szCs w:val="18"/>
                <w:lang w:val="ro-MD"/>
              </w:rPr>
              <w:t>Отклонения</w:t>
            </w:r>
            <w:r>
              <w:rPr>
                <w:rFonts w:ascii="Calibri Light" w:eastAsia="Times New Roman" w:hAnsi="Calibri Light" w:cs="Calibri Light"/>
                <w:b/>
                <w:bCs/>
                <w:color w:val="000000"/>
                <w:sz w:val="18"/>
                <w:szCs w:val="18"/>
                <w:lang w:val="ru-RU"/>
              </w:rPr>
              <w:t>,</w:t>
            </w:r>
          </w:p>
        </w:tc>
        <w:tc>
          <w:tcPr>
            <w:tcW w:w="2160" w:type="dxa"/>
            <w:gridSpan w:val="2"/>
            <w:tcBorders>
              <w:top w:val="single" w:sz="8" w:space="0" w:color="auto"/>
              <w:left w:val="nil"/>
              <w:bottom w:val="nil"/>
              <w:right w:val="single" w:sz="8" w:space="0" w:color="000000"/>
            </w:tcBorders>
            <w:shd w:val="clear" w:color="auto" w:fill="auto"/>
            <w:vAlign w:val="center"/>
            <w:hideMark/>
          </w:tcPr>
          <w:p w14:paraId="22E2B3AB" w14:textId="40DF1BF9" w:rsidR="00036557" w:rsidRPr="00736448" w:rsidRDefault="003B3DFD" w:rsidP="001871A3">
            <w:pPr>
              <w:spacing w:after="0" w:line="240" w:lineRule="auto"/>
              <w:jc w:val="center"/>
              <w:rPr>
                <w:rFonts w:ascii="Calibri Light" w:eastAsia="Times New Roman" w:hAnsi="Calibri Light" w:cs="Calibri Light"/>
                <w:b/>
                <w:bCs/>
                <w:color w:val="000000"/>
                <w:sz w:val="18"/>
                <w:szCs w:val="18"/>
                <w:lang w:val="ro-MD"/>
              </w:rPr>
            </w:pPr>
            <w:r>
              <w:rPr>
                <w:rFonts w:ascii="Calibri Light" w:eastAsia="Times New Roman" w:hAnsi="Calibri Light" w:cs="Calibri Light"/>
                <w:b/>
                <w:bCs/>
                <w:color w:val="000000"/>
                <w:sz w:val="18"/>
                <w:szCs w:val="18"/>
                <w:lang w:val="ro-MD"/>
              </w:rPr>
              <w:t>Отклонения</w:t>
            </w:r>
            <w:r w:rsidR="00036557" w:rsidRPr="00736448">
              <w:rPr>
                <w:rFonts w:ascii="Calibri Light" w:eastAsia="Times New Roman" w:hAnsi="Calibri Light" w:cs="Calibri Light"/>
                <w:b/>
                <w:bCs/>
                <w:color w:val="000000"/>
                <w:sz w:val="18"/>
                <w:szCs w:val="18"/>
                <w:lang w:val="ro-MD"/>
              </w:rPr>
              <w:t xml:space="preserve">, </w:t>
            </w:r>
          </w:p>
        </w:tc>
        <w:tc>
          <w:tcPr>
            <w:tcW w:w="2173" w:type="dxa"/>
            <w:gridSpan w:val="2"/>
            <w:tcBorders>
              <w:top w:val="single" w:sz="8" w:space="0" w:color="auto"/>
              <w:left w:val="nil"/>
              <w:bottom w:val="nil"/>
              <w:right w:val="single" w:sz="8" w:space="0" w:color="000000"/>
            </w:tcBorders>
            <w:shd w:val="clear" w:color="auto" w:fill="auto"/>
            <w:vAlign w:val="center"/>
            <w:hideMark/>
          </w:tcPr>
          <w:p w14:paraId="6E135F64" w14:textId="19980328" w:rsidR="00036557" w:rsidRPr="00736448" w:rsidRDefault="003B3DFD" w:rsidP="001871A3">
            <w:pPr>
              <w:spacing w:after="0" w:line="240" w:lineRule="auto"/>
              <w:jc w:val="center"/>
              <w:rPr>
                <w:rFonts w:ascii="Calibri Light" w:eastAsia="Times New Roman" w:hAnsi="Calibri Light" w:cs="Calibri Light"/>
                <w:b/>
                <w:bCs/>
                <w:color w:val="000000"/>
                <w:sz w:val="18"/>
                <w:szCs w:val="18"/>
                <w:lang w:val="ro-MD"/>
              </w:rPr>
            </w:pPr>
            <w:r>
              <w:rPr>
                <w:rFonts w:ascii="Calibri Light" w:eastAsia="Times New Roman" w:hAnsi="Calibri Light" w:cs="Calibri Light"/>
                <w:b/>
                <w:bCs/>
                <w:color w:val="000000"/>
                <w:sz w:val="18"/>
                <w:szCs w:val="18"/>
                <w:lang w:val="ro-MD"/>
              </w:rPr>
              <w:t>Отклонения</w:t>
            </w:r>
            <w:r w:rsidR="00036557" w:rsidRPr="00736448">
              <w:rPr>
                <w:rFonts w:ascii="Calibri Light" w:eastAsia="Times New Roman" w:hAnsi="Calibri Light" w:cs="Calibri Light"/>
                <w:b/>
                <w:bCs/>
                <w:color w:val="000000"/>
                <w:sz w:val="18"/>
                <w:szCs w:val="18"/>
                <w:lang w:val="ro-MD"/>
              </w:rPr>
              <w:t xml:space="preserve">, </w:t>
            </w:r>
          </w:p>
        </w:tc>
        <w:tc>
          <w:tcPr>
            <w:tcW w:w="2173" w:type="dxa"/>
            <w:gridSpan w:val="2"/>
            <w:tcBorders>
              <w:top w:val="single" w:sz="8" w:space="0" w:color="auto"/>
              <w:left w:val="nil"/>
              <w:bottom w:val="nil"/>
              <w:right w:val="single" w:sz="8" w:space="0" w:color="000000"/>
            </w:tcBorders>
            <w:shd w:val="clear" w:color="auto" w:fill="auto"/>
            <w:vAlign w:val="center"/>
            <w:hideMark/>
          </w:tcPr>
          <w:p w14:paraId="783F68F9" w14:textId="0089637A" w:rsidR="00036557" w:rsidRPr="00736448" w:rsidRDefault="003B3DFD" w:rsidP="001871A3">
            <w:pPr>
              <w:spacing w:after="0" w:line="240" w:lineRule="auto"/>
              <w:jc w:val="center"/>
              <w:rPr>
                <w:rFonts w:ascii="Calibri Light" w:eastAsia="Times New Roman" w:hAnsi="Calibri Light" w:cs="Calibri Light"/>
                <w:b/>
                <w:bCs/>
                <w:color w:val="000000"/>
                <w:sz w:val="18"/>
                <w:szCs w:val="18"/>
                <w:lang w:val="ro-MD"/>
              </w:rPr>
            </w:pPr>
            <w:r>
              <w:rPr>
                <w:rFonts w:ascii="Calibri Light" w:eastAsia="Times New Roman" w:hAnsi="Calibri Light" w:cs="Calibri Light"/>
                <w:b/>
                <w:bCs/>
                <w:color w:val="000000"/>
                <w:sz w:val="18"/>
                <w:szCs w:val="18"/>
                <w:lang w:val="ro-MD"/>
              </w:rPr>
              <w:t>Отклонения</w:t>
            </w:r>
            <w:r w:rsidR="00036557" w:rsidRPr="00736448">
              <w:rPr>
                <w:rFonts w:ascii="Calibri Light" w:eastAsia="Times New Roman" w:hAnsi="Calibri Light" w:cs="Calibri Light"/>
                <w:b/>
                <w:bCs/>
                <w:color w:val="000000"/>
                <w:sz w:val="18"/>
                <w:szCs w:val="18"/>
                <w:lang w:val="ro-MD"/>
              </w:rPr>
              <w:t xml:space="preserve">, </w:t>
            </w:r>
          </w:p>
        </w:tc>
      </w:tr>
      <w:tr w:rsidR="00036557" w:rsidRPr="00B7675F" w14:paraId="5BD981AE" w14:textId="77777777" w:rsidTr="004C3380">
        <w:trPr>
          <w:trHeight w:val="300"/>
        </w:trPr>
        <w:tc>
          <w:tcPr>
            <w:tcW w:w="1135" w:type="dxa"/>
            <w:vMerge/>
            <w:tcBorders>
              <w:top w:val="single" w:sz="8" w:space="0" w:color="auto"/>
              <w:left w:val="single" w:sz="8" w:space="0" w:color="auto"/>
              <w:bottom w:val="single" w:sz="8" w:space="0" w:color="000000"/>
              <w:right w:val="single" w:sz="8" w:space="0" w:color="auto"/>
            </w:tcBorders>
            <w:vAlign w:val="center"/>
            <w:hideMark/>
          </w:tcPr>
          <w:p w14:paraId="468A5562" w14:textId="77777777" w:rsidR="00036557" w:rsidRPr="00736448" w:rsidRDefault="00036557" w:rsidP="001871A3">
            <w:pPr>
              <w:spacing w:after="0" w:line="240" w:lineRule="auto"/>
              <w:rPr>
                <w:rFonts w:ascii="Calibri Light" w:eastAsia="Times New Roman" w:hAnsi="Calibri Light" w:cs="Calibri Light"/>
                <w:b/>
                <w:bCs/>
                <w:color w:val="000000"/>
                <w:sz w:val="18"/>
                <w:szCs w:val="18"/>
                <w:lang w:val="ro-MD"/>
              </w:rPr>
            </w:pPr>
          </w:p>
        </w:tc>
        <w:tc>
          <w:tcPr>
            <w:tcW w:w="4756" w:type="dxa"/>
            <w:gridSpan w:val="5"/>
            <w:vMerge/>
            <w:tcBorders>
              <w:top w:val="single" w:sz="8" w:space="0" w:color="auto"/>
              <w:left w:val="single" w:sz="8" w:space="0" w:color="auto"/>
              <w:bottom w:val="single" w:sz="8" w:space="0" w:color="000000"/>
              <w:right w:val="single" w:sz="8" w:space="0" w:color="000000"/>
            </w:tcBorders>
            <w:vAlign w:val="center"/>
            <w:hideMark/>
          </w:tcPr>
          <w:p w14:paraId="43FA5FE0" w14:textId="77777777" w:rsidR="00036557" w:rsidRPr="00736448" w:rsidRDefault="00036557" w:rsidP="001871A3">
            <w:pPr>
              <w:spacing w:after="0" w:line="240" w:lineRule="auto"/>
              <w:rPr>
                <w:rFonts w:ascii="Calibri Light" w:eastAsia="Times New Roman" w:hAnsi="Calibri Light" w:cs="Calibri Light"/>
                <w:b/>
                <w:bCs/>
                <w:color w:val="000000"/>
                <w:sz w:val="18"/>
                <w:szCs w:val="18"/>
                <w:lang w:val="ro-MD"/>
              </w:rPr>
            </w:pPr>
          </w:p>
        </w:tc>
        <w:tc>
          <w:tcPr>
            <w:tcW w:w="2043" w:type="dxa"/>
            <w:gridSpan w:val="2"/>
            <w:tcBorders>
              <w:top w:val="nil"/>
              <w:left w:val="nil"/>
              <w:bottom w:val="single" w:sz="8" w:space="0" w:color="auto"/>
              <w:right w:val="single" w:sz="8" w:space="0" w:color="000000"/>
            </w:tcBorders>
            <w:shd w:val="clear" w:color="auto" w:fill="auto"/>
            <w:vAlign w:val="center"/>
            <w:hideMark/>
          </w:tcPr>
          <w:p w14:paraId="773CF4F4"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2022-2021</w:t>
            </w:r>
          </w:p>
        </w:tc>
        <w:tc>
          <w:tcPr>
            <w:tcW w:w="2160" w:type="dxa"/>
            <w:gridSpan w:val="2"/>
            <w:tcBorders>
              <w:top w:val="nil"/>
              <w:left w:val="nil"/>
              <w:bottom w:val="single" w:sz="8" w:space="0" w:color="auto"/>
              <w:right w:val="single" w:sz="8" w:space="0" w:color="000000"/>
            </w:tcBorders>
            <w:shd w:val="clear" w:color="auto" w:fill="auto"/>
            <w:vAlign w:val="center"/>
            <w:hideMark/>
          </w:tcPr>
          <w:p w14:paraId="788E3A03"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2022-2020</w:t>
            </w:r>
          </w:p>
        </w:tc>
        <w:tc>
          <w:tcPr>
            <w:tcW w:w="2173" w:type="dxa"/>
            <w:gridSpan w:val="2"/>
            <w:tcBorders>
              <w:top w:val="nil"/>
              <w:left w:val="nil"/>
              <w:bottom w:val="single" w:sz="8" w:space="0" w:color="auto"/>
              <w:right w:val="single" w:sz="8" w:space="0" w:color="000000"/>
            </w:tcBorders>
            <w:shd w:val="clear" w:color="auto" w:fill="auto"/>
            <w:vAlign w:val="center"/>
            <w:hideMark/>
          </w:tcPr>
          <w:p w14:paraId="03546B39"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2022-2019</w:t>
            </w:r>
          </w:p>
        </w:tc>
        <w:tc>
          <w:tcPr>
            <w:tcW w:w="2173" w:type="dxa"/>
            <w:gridSpan w:val="2"/>
            <w:tcBorders>
              <w:top w:val="nil"/>
              <w:left w:val="nil"/>
              <w:bottom w:val="single" w:sz="8" w:space="0" w:color="auto"/>
              <w:right w:val="single" w:sz="8" w:space="0" w:color="000000"/>
            </w:tcBorders>
            <w:shd w:val="clear" w:color="auto" w:fill="auto"/>
            <w:vAlign w:val="center"/>
            <w:hideMark/>
          </w:tcPr>
          <w:p w14:paraId="58A20CFF"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2022-2018</w:t>
            </w:r>
          </w:p>
        </w:tc>
      </w:tr>
      <w:tr w:rsidR="00036557" w:rsidRPr="00B7675F" w14:paraId="355CF364" w14:textId="77777777" w:rsidTr="004C3380">
        <w:trPr>
          <w:trHeight w:val="300"/>
        </w:trPr>
        <w:tc>
          <w:tcPr>
            <w:tcW w:w="1135" w:type="dxa"/>
            <w:vMerge/>
            <w:tcBorders>
              <w:top w:val="single" w:sz="8" w:space="0" w:color="auto"/>
              <w:left w:val="single" w:sz="8" w:space="0" w:color="auto"/>
              <w:bottom w:val="single" w:sz="8" w:space="0" w:color="000000"/>
              <w:right w:val="single" w:sz="8" w:space="0" w:color="auto"/>
            </w:tcBorders>
            <w:vAlign w:val="center"/>
            <w:hideMark/>
          </w:tcPr>
          <w:p w14:paraId="4250E865" w14:textId="77777777" w:rsidR="00036557" w:rsidRPr="00736448" w:rsidRDefault="00036557" w:rsidP="001871A3">
            <w:pPr>
              <w:spacing w:after="0" w:line="240" w:lineRule="auto"/>
              <w:rPr>
                <w:rFonts w:ascii="Calibri Light" w:eastAsia="Times New Roman" w:hAnsi="Calibri Light" w:cs="Calibri Light"/>
                <w:b/>
                <w:bCs/>
                <w:color w:val="000000"/>
                <w:sz w:val="18"/>
                <w:szCs w:val="18"/>
                <w:lang w:val="ro-MD"/>
              </w:rPr>
            </w:pPr>
          </w:p>
        </w:tc>
        <w:tc>
          <w:tcPr>
            <w:tcW w:w="951" w:type="dxa"/>
            <w:tcBorders>
              <w:top w:val="nil"/>
              <w:left w:val="nil"/>
              <w:bottom w:val="single" w:sz="8" w:space="0" w:color="auto"/>
              <w:right w:val="single" w:sz="8" w:space="0" w:color="auto"/>
            </w:tcBorders>
            <w:shd w:val="clear" w:color="auto" w:fill="auto"/>
            <w:vAlign w:val="center"/>
            <w:hideMark/>
          </w:tcPr>
          <w:p w14:paraId="34F05205"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2018</w:t>
            </w:r>
          </w:p>
        </w:tc>
        <w:tc>
          <w:tcPr>
            <w:tcW w:w="951" w:type="dxa"/>
            <w:tcBorders>
              <w:top w:val="nil"/>
              <w:left w:val="nil"/>
              <w:bottom w:val="single" w:sz="8" w:space="0" w:color="auto"/>
              <w:right w:val="single" w:sz="8" w:space="0" w:color="auto"/>
            </w:tcBorders>
            <w:shd w:val="clear" w:color="auto" w:fill="auto"/>
            <w:vAlign w:val="center"/>
            <w:hideMark/>
          </w:tcPr>
          <w:p w14:paraId="02874FCE"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2019</w:t>
            </w:r>
          </w:p>
        </w:tc>
        <w:tc>
          <w:tcPr>
            <w:tcW w:w="951" w:type="dxa"/>
            <w:tcBorders>
              <w:top w:val="nil"/>
              <w:left w:val="nil"/>
              <w:bottom w:val="single" w:sz="8" w:space="0" w:color="auto"/>
              <w:right w:val="single" w:sz="8" w:space="0" w:color="auto"/>
            </w:tcBorders>
            <w:shd w:val="clear" w:color="auto" w:fill="auto"/>
            <w:vAlign w:val="center"/>
            <w:hideMark/>
          </w:tcPr>
          <w:p w14:paraId="1C0D37FA"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2020</w:t>
            </w:r>
          </w:p>
        </w:tc>
        <w:tc>
          <w:tcPr>
            <w:tcW w:w="951" w:type="dxa"/>
            <w:tcBorders>
              <w:top w:val="nil"/>
              <w:left w:val="nil"/>
              <w:bottom w:val="single" w:sz="8" w:space="0" w:color="auto"/>
              <w:right w:val="single" w:sz="8" w:space="0" w:color="auto"/>
            </w:tcBorders>
            <w:shd w:val="clear" w:color="auto" w:fill="auto"/>
            <w:vAlign w:val="center"/>
            <w:hideMark/>
          </w:tcPr>
          <w:p w14:paraId="422936C2"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2021</w:t>
            </w:r>
          </w:p>
        </w:tc>
        <w:tc>
          <w:tcPr>
            <w:tcW w:w="952" w:type="dxa"/>
            <w:tcBorders>
              <w:top w:val="nil"/>
              <w:left w:val="nil"/>
              <w:bottom w:val="single" w:sz="8" w:space="0" w:color="auto"/>
              <w:right w:val="single" w:sz="8" w:space="0" w:color="auto"/>
            </w:tcBorders>
            <w:shd w:val="clear" w:color="auto" w:fill="auto"/>
            <w:vAlign w:val="center"/>
            <w:hideMark/>
          </w:tcPr>
          <w:p w14:paraId="42267F27"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2022</w:t>
            </w:r>
          </w:p>
        </w:tc>
        <w:tc>
          <w:tcPr>
            <w:tcW w:w="939" w:type="dxa"/>
            <w:tcBorders>
              <w:top w:val="nil"/>
              <w:left w:val="nil"/>
              <w:bottom w:val="single" w:sz="8" w:space="0" w:color="auto"/>
              <w:right w:val="single" w:sz="8" w:space="0" w:color="auto"/>
            </w:tcBorders>
            <w:shd w:val="clear" w:color="auto" w:fill="auto"/>
            <w:vAlign w:val="center"/>
            <w:hideMark/>
          </w:tcPr>
          <w:p w14:paraId="59E8CA5E"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c>
          <w:tcPr>
            <w:tcW w:w="1104" w:type="dxa"/>
            <w:tcBorders>
              <w:top w:val="nil"/>
              <w:left w:val="nil"/>
              <w:bottom w:val="single" w:sz="8" w:space="0" w:color="auto"/>
              <w:right w:val="single" w:sz="8" w:space="0" w:color="auto"/>
            </w:tcBorders>
            <w:shd w:val="clear" w:color="auto" w:fill="auto"/>
            <w:vAlign w:val="center"/>
            <w:hideMark/>
          </w:tcPr>
          <w:p w14:paraId="52A851C3"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c>
          <w:tcPr>
            <w:tcW w:w="939" w:type="dxa"/>
            <w:tcBorders>
              <w:top w:val="nil"/>
              <w:left w:val="nil"/>
              <w:bottom w:val="single" w:sz="8" w:space="0" w:color="auto"/>
              <w:right w:val="single" w:sz="8" w:space="0" w:color="auto"/>
            </w:tcBorders>
            <w:shd w:val="clear" w:color="auto" w:fill="auto"/>
            <w:vAlign w:val="center"/>
            <w:hideMark/>
          </w:tcPr>
          <w:p w14:paraId="1E5588F9"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c>
          <w:tcPr>
            <w:tcW w:w="1221" w:type="dxa"/>
            <w:tcBorders>
              <w:top w:val="nil"/>
              <w:left w:val="nil"/>
              <w:bottom w:val="single" w:sz="8" w:space="0" w:color="auto"/>
              <w:right w:val="single" w:sz="8" w:space="0" w:color="auto"/>
            </w:tcBorders>
            <w:shd w:val="clear" w:color="auto" w:fill="auto"/>
            <w:vAlign w:val="center"/>
            <w:hideMark/>
          </w:tcPr>
          <w:p w14:paraId="527477D8"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c>
          <w:tcPr>
            <w:tcW w:w="952" w:type="dxa"/>
            <w:tcBorders>
              <w:top w:val="nil"/>
              <w:left w:val="nil"/>
              <w:bottom w:val="single" w:sz="8" w:space="0" w:color="auto"/>
              <w:right w:val="single" w:sz="8" w:space="0" w:color="auto"/>
            </w:tcBorders>
            <w:shd w:val="clear" w:color="auto" w:fill="auto"/>
            <w:vAlign w:val="center"/>
            <w:hideMark/>
          </w:tcPr>
          <w:p w14:paraId="59268CEF"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c>
          <w:tcPr>
            <w:tcW w:w="1221" w:type="dxa"/>
            <w:tcBorders>
              <w:top w:val="nil"/>
              <w:left w:val="nil"/>
              <w:bottom w:val="single" w:sz="8" w:space="0" w:color="auto"/>
              <w:right w:val="single" w:sz="8" w:space="0" w:color="auto"/>
            </w:tcBorders>
            <w:shd w:val="clear" w:color="auto" w:fill="auto"/>
            <w:vAlign w:val="center"/>
            <w:hideMark/>
          </w:tcPr>
          <w:p w14:paraId="36F98324"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c>
          <w:tcPr>
            <w:tcW w:w="952" w:type="dxa"/>
            <w:tcBorders>
              <w:top w:val="nil"/>
              <w:left w:val="nil"/>
              <w:bottom w:val="single" w:sz="8" w:space="0" w:color="auto"/>
              <w:right w:val="single" w:sz="8" w:space="0" w:color="auto"/>
            </w:tcBorders>
            <w:shd w:val="clear" w:color="auto" w:fill="auto"/>
            <w:vAlign w:val="center"/>
            <w:hideMark/>
          </w:tcPr>
          <w:p w14:paraId="1D28DF83"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c>
          <w:tcPr>
            <w:tcW w:w="1221" w:type="dxa"/>
            <w:tcBorders>
              <w:top w:val="nil"/>
              <w:left w:val="nil"/>
              <w:bottom w:val="single" w:sz="8" w:space="0" w:color="auto"/>
              <w:right w:val="single" w:sz="8" w:space="0" w:color="auto"/>
            </w:tcBorders>
            <w:shd w:val="clear" w:color="auto" w:fill="auto"/>
            <w:vAlign w:val="center"/>
            <w:hideMark/>
          </w:tcPr>
          <w:p w14:paraId="4413597D"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r>
      <w:tr w:rsidR="00036557" w:rsidRPr="00B7675F" w14:paraId="31729DD5" w14:textId="77777777" w:rsidTr="004C3380">
        <w:trPr>
          <w:trHeight w:val="492"/>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49F21B25"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w:t>
            </w:r>
          </w:p>
        </w:tc>
        <w:tc>
          <w:tcPr>
            <w:tcW w:w="951" w:type="dxa"/>
            <w:tcBorders>
              <w:top w:val="nil"/>
              <w:left w:val="nil"/>
              <w:bottom w:val="single" w:sz="8" w:space="0" w:color="auto"/>
              <w:right w:val="single" w:sz="8" w:space="0" w:color="auto"/>
            </w:tcBorders>
            <w:shd w:val="clear" w:color="auto" w:fill="auto"/>
            <w:vAlign w:val="center"/>
            <w:hideMark/>
          </w:tcPr>
          <w:p w14:paraId="68082FC8"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w:t>
            </w:r>
          </w:p>
        </w:tc>
        <w:tc>
          <w:tcPr>
            <w:tcW w:w="951" w:type="dxa"/>
            <w:tcBorders>
              <w:top w:val="nil"/>
              <w:left w:val="nil"/>
              <w:bottom w:val="single" w:sz="8" w:space="0" w:color="auto"/>
              <w:right w:val="single" w:sz="8" w:space="0" w:color="auto"/>
            </w:tcBorders>
            <w:shd w:val="clear" w:color="auto" w:fill="auto"/>
            <w:vAlign w:val="center"/>
            <w:hideMark/>
          </w:tcPr>
          <w:p w14:paraId="1D1E0797"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3</w:t>
            </w:r>
          </w:p>
        </w:tc>
        <w:tc>
          <w:tcPr>
            <w:tcW w:w="951" w:type="dxa"/>
            <w:tcBorders>
              <w:top w:val="nil"/>
              <w:left w:val="nil"/>
              <w:bottom w:val="single" w:sz="8" w:space="0" w:color="auto"/>
              <w:right w:val="single" w:sz="8" w:space="0" w:color="auto"/>
            </w:tcBorders>
            <w:shd w:val="clear" w:color="auto" w:fill="auto"/>
            <w:vAlign w:val="center"/>
            <w:hideMark/>
          </w:tcPr>
          <w:p w14:paraId="2415EFF8"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4</w:t>
            </w:r>
          </w:p>
        </w:tc>
        <w:tc>
          <w:tcPr>
            <w:tcW w:w="951" w:type="dxa"/>
            <w:tcBorders>
              <w:top w:val="nil"/>
              <w:left w:val="nil"/>
              <w:bottom w:val="single" w:sz="8" w:space="0" w:color="auto"/>
              <w:right w:val="single" w:sz="8" w:space="0" w:color="auto"/>
            </w:tcBorders>
            <w:shd w:val="clear" w:color="auto" w:fill="auto"/>
            <w:vAlign w:val="center"/>
            <w:hideMark/>
          </w:tcPr>
          <w:p w14:paraId="78A3B4D6"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5</w:t>
            </w:r>
          </w:p>
        </w:tc>
        <w:tc>
          <w:tcPr>
            <w:tcW w:w="952" w:type="dxa"/>
            <w:tcBorders>
              <w:top w:val="nil"/>
              <w:left w:val="nil"/>
              <w:bottom w:val="single" w:sz="8" w:space="0" w:color="auto"/>
              <w:right w:val="single" w:sz="8" w:space="0" w:color="auto"/>
            </w:tcBorders>
            <w:shd w:val="clear" w:color="auto" w:fill="auto"/>
            <w:vAlign w:val="center"/>
            <w:hideMark/>
          </w:tcPr>
          <w:p w14:paraId="3B5D7B57"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6</w:t>
            </w:r>
          </w:p>
        </w:tc>
        <w:tc>
          <w:tcPr>
            <w:tcW w:w="939" w:type="dxa"/>
            <w:tcBorders>
              <w:top w:val="nil"/>
              <w:left w:val="nil"/>
              <w:bottom w:val="single" w:sz="8" w:space="0" w:color="auto"/>
              <w:right w:val="single" w:sz="8" w:space="0" w:color="auto"/>
            </w:tcBorders>
            <w:shd w:val="clear" w:color="auto" w:fill="auto"/>
            <w:vAlign w:val="center"/>
            <w:hideMark/>
          </w:tcPr>
          <w:p w14:paraId="0C518D5A"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7=6-5</w:t>
            </w:r>
          </w:p>
        </w:tc>
        <w:tc>
          <w:tcPr>
            <w:tcW w:w="1104" w:type="dxa"/>
            <w:tcBorders>
              <w:top w:val="nil"/>
              <w:left w:val="nil"/>
              <w:bottom w:val="single" w:sz="8" w:space="0" w:color="auto"/>
              <w:right w:val="single" w:sz="8" w:space="0" w:color="auto"/>
            </w:tcBorders>
            <w:shd w:val="clear" w:color="auto" w:fill="auto"/>
            <w:vAlign w:val="center"/>
            <w:hideMark/>
          </w:tcPr>
          <w:p w14:paraId="2FA879E2"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8=6*100/5</w:t>
            </w:r>
          </w:p>
        </w:tc>
        <w:tc>
          <w:tcPr>
            <w:tcW w:w="939" w:type="dxa"/>
            <w:tcBorders>
              <w:top w:val="nil"/>
              <w:left w:val="nil"/>
              <w:bottom w:val="single" w:sz="8" w:space="0" w:color="auto"/>
              <w:right w:val="single" w:sz="8" w:space="0" w:color="auto"/>
            </w:tcBorders>
            <w:shd w:val="clear" w:color="auto" w:fill="auto"/>
            <w:vAlign w:val="center"/>
            <w:hideMark/>
          </w:tcPr>
          <w:p w14:paraId="6D5891D0"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9=6-4</w:t>
            </w:r>
          </w:p>
        </w:tc>
        <w:tc>
          <w:tcPr>
            <w:tcW w:w="1221" w:type="dxa"/>
            <w:tcBorders>
              <w:top w:val="nil"/>
              <w:left w:val="nil"/>
              <w:bottom w:val="single" w:sz="8" w:space="0" w:color="auto"/>
              <w:right w:val="single" w:sz="8" w:space="0" w:color="auto"/>
            </w:tcBorders>
            <w:shd w:val="clear" w:color="auto" w:fill="auto"/>
            <w:vAlign w:val="center"/>
            <w:hideMark/>
          </w:tcPr>
          <w:p w14:paraId="79DEDA09"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10=6*100/4</w:t>
            </w:r>
          </w:p>
        </w:tc>
        <w:tc>
          <w:tcPr>
            <w:tcW w:w="952" w:type="dxa"/>
            <w:tcBorders>
              <w:top w:val="nil"/>
              <w:left w:val="nil"/>
              <w:bottom w:val="single" w:sz="8" w:space="0" w:color="auto"/>
              <w:right w:val="single" w:sz="8" w:space="0" w:color="auto"/>
            </w:tcBorders>
            <w:shd w:val="clear" w:color="auto" w:fill="auto"/>
            <w:vAlign w:val="center"/>
            <w:hideMark/>
          </w:tcPr>
          <w:p w14:paraId="755F86AC"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11=6-3</w:t>
            </w:r>
          </w:p>
        </w:tc>
        <w:tc>
          <w:tcPr>
            <w:tcW w:w="1221" w:type="dxa"/>
            <w:tcBorders>
              <w:top w:val="nil"/>
              <w:left w:val="nil"/>
              <w:bottom w:val="single" w:sz="8" w:space="0" w:color="auto"/>
              <w:right w:val="single" w:sz="8" w:space="0" w:color="auto"/>
            </w:tcBorders>
            <w:shd w:val="clear" w:color="auto" w:fill="auto"/>
            <w:vAlign w:val="center"/>
            <w:hideMark/>
          </w:tcPr>
          <w:p w14:paraId="6CBE7AFA"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12=6*100/3</w:t>
            </w:r>
          </w:p>
        </w:tc>
        <w:tc>
          <w:tcPr>
            <w:tcW w:w="952" w:type="dxa"/>
            <w:tcBorders>
              <w:top w:val="nil"/>
              <w:left w:val="nil"/>
              <w:bottom w:val="single" w:sz="8" w:space="0" w:color="auto"/>
              <w:right w:val="single" w:sz="8" w:space="0" w:color="auto"/>
            </w:tcBorders>
            <w:shd w:val="clear" w:color="auto" w:fill="auto"/>
            <w:vAlign w:val="center"/>
            <w:hideMark/>
          </w:tcPr>
          <w:p w14:paraId="6280CAD2"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13=6-2</w:t>
            </w:r>
          </w:p>
        </w:tc>
        <w:tc>
          <w:tcPr>
            <w:tcW w:w="1221" w:type="dxa"/>
            <w:tcBorders>
              <w:top w:val="nil"/>
              <w:left w:val="nil"/>
              <w:bottom w:val="single" w:sz="8" w:space="0" w:color="auto"/>
              <w:right w:val="single" w:sz="8" w:space="0" w:color="auto"/>
            </w:tcBorders>
            <w:shd w:val="clear" w:color="auto" w:fill="auto"/>
            <w:vAlign w:val="center"/>
            <w:hideMark/>
          </w:tcPr>
          <w:p w14:paraId="01F1B9D4"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14=6*100/2</w:t>
            </w:r>
          </w:p>
        </w:tc>
      </w:tr>
      <w:tr w:rsidR="00036557" w:rsidRPr="00B7675F" w14:paraId="3025315F" w14:textId="77777777" w:rsidTr="004C3380">
        <w:trPr>
          <w:trHeight w:val="492"/>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151DC77B" w14:textId="7AEC3E5C" w:rsidR="00036557" w:rsidRPr="00736448" w:rsidRDefault="004C3380" w:rsidP="004D6764">
            <w:pPr>
              <w:spacing w:after="0" w:line="240" w:lineRule="auto"/>
              <w:rPr>
                <w:rFonts w:ascii="Calibri Light" w:eastAsia="Times New Roman" w:hAnsi="Calibri Light" w:cs="Calibri Light"/>
                <w:b/>
                <w:bCs/>
                <w:color w:val="000000"/>
                <w:sz w:val="18"/>
                <w:szCs w:val="18"/>
                <w:lang w:val="ro-MD"/>
              </w:rPr>
            </w:pPr>
            <w:r w:rsidRPr="004C3380">
              <w:rPr>
                <w:rFonts w:ascii="Calibri Light" w:eastAsia="Times New Roman" w:hAnsi="Calibri Light" w:cs="Calibri Light"/>
                <w:b/>
                <w:bCs/>
                <w:color w:val="000000"/>
                <w:sz w:val="18"/>
                <w:szCs w:val="18"/>
                <w:lang w:val="ru-MD"/>
              </w:rPr>
              <w:t>Уточненные доходы</w:t>
            </w:r>
          </w:p>
        </w:tc>
        <w:tc>
          <w:tcPr>
            <w:tcW w:w="951" w:type="dxa"/>
            <w:tcBorders>
              <w:top w:val="nil"/>
              <w:left w:val="nil"/>
              <w:bottom w:val="single" w:sz="8" w:space="0" w:color="auto"/>
              <w:right w:val="single" w:sz="8" w:space="0" w:color="auto"/>
            </w:tcBorders>
            <w:shd w:val="clear" w:color="auto" w:fill="auto"/>
            <w:vAlign w:val="center"/>
            <w:hideMark/>
          </w:tcPr>
          <w:p w14:paraId="327A6EA9"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19628.90</w:t>
            </w:r>
          </w:p>
        </w:tc>
        <w:tc>
          <w:tcPr>
            <w:tcW w:w="951" w:type="dxa"/>
            <w:tcBorders>
              <w:top w:val="nil"/>
              <w:left w:val="nil"/>
              <w:bottom w:val="single" w:sz="8" w:space="0" w:color="auto"/>
              <w:right w:val="single" w:sz="8" w:space="0" w:color="auto"/>
            </w:tcBorders>
            <w:shd w:val="clear" w:color="auto" w:fill="auto"/>
            <w:vAlign w:val="center"/>
            <w:hideMark/>
          </w:tcPr>
          <w:p w14:paraId="1DF40CFB"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21869.90</w:t>
            </w:r>
          </w:p>
        </w:tc>
        <w:tc>
          <w:tcPr>
            <w:tcW w:w="951" w:type="dxa"/>
            <w:tcBorders>
              <w:top w:val="nil"/>
              <w:left w:val="nil"/>
              <w:bottom w:val="single" w:sz="8" w:space="0" w:color="auto"/>
              <w:right w:val="single" w:sz="8" w:space="0" w:color="auto"/>
            </w:tcBorders>
            <w:shd w:val="clear" w:color="auto" w:fill="auto"/>
            <w:vAlign w:val="center"/>
            <w:hideMark/>
          </w:tcPr>
          <w:p w14:paraId="36A2CCE1"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24572.10</w:t>
            </w:r>
          </w:p>
        </w:tc>
        <w:tc>
          <w:tcPr>
            <w:tcW w:w="951" w:type="dxa"/>
            <w:tcBorders>
              <w:top w:val="nil"/>
              <w:left w:val="nil"/>
              <w:bottom w:val="single" w:sz="8" w:space="0" w:color="auto"/>
              <w:right w:val="single" w:sz="8" w:space="0" w:color="auto"/>
            </w:tcBorders>
            <w:shd w:val="clear" w:color="auto" w:fill="auto"/>
            <w:vAlign w:val="center"/>
            <w:hideMark/>
          </w:tcPr>
          <w:p w14:paraId="1E9AA975"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27629.04</w:t>
            </w:r>
          </w:p>
        </w:tc>
        <w:tc>
          <w:tcPr>
            <w:tcW w:w="952" w:type="dxa"/>
            <w:tcBorders>
              <w:top w:val="nil"/>
              <w:left w:val="nil"/>
              <w:bottom w:val="single" w:sz="8" w:space="0" w:color="auto"/>
              <w:right w:val="single" w:sz="8" w:space="0" w:color="auto"/>
            </w:tcBorders>
            <w:shd w:val="clear" w:color="auto" w:fill="auto"/>
            <w:vAlign w:val="center"/>
            <w:hideMark/>
          </w:tcPr>
          <w:p w14:paraId="2E63BF8D"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34200.58</w:t>
            </w:r>
          </w:p>
        </w:tc>
        <w:tc>
          <w:tcPr>
            <w:tcW w:w="939" w:type="dxa"/>
            <w:tcBorders>
              <w:top w:val="nil"/>
              <w:left w:val="nil"/>
              <w:bottom w:val="single" w:sz="8" w:space="0" w:color="auto"/>
              <w:right w:val="single" w:sz="8" w:space="0" w:color="auto"/>
            </w:tcBorders>
            <w:shd w:val="clear" w:color="auto" w:fill="auto"/>
            <w:vAlign w:val="center"/>
            <w:hideMark/>
          </w:tcPr>
          <w:p w14:paraId="43B85A17"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6571.54</w:t>
            </w:r>
          </w:p>
        </w:tc>
        <w:tc>
          <w:tcPr>
            <w:tcW w:w="1104" w:type="dxa"/>
            <w:tcBorders>
              <w:top w:val="nil"/>
              <w:left w:val="nil"/>
              <w:bottom w:val="single" w:sz="8" w:space="0" w:color="auto"/>
              <w:right w:val="single" w:sz="8" w:space="0" w:color="auto"/>
            </w:tcBorders>
            <w:shd w:val="clear" w:color="auto" w:fill="auto"/>
            <w:vAlign w:val="center"/>
            <w:hideMark/>
          </w:tcPr>
          <w:p w14:paraId="12650457"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123.78</w:t>
            </w:r>
          </w:p>
        </w:tc>
        <w:tc>
          <w:tcPr>
            <w:tcW w:w="939" w:type="dxa"/>
            <w:tcBorders>
              <w:top w:val="nil"/>
              <w:left w:val="nil"/>
              <w:bottom w:val="single" w:sz="8" w:space="0" w:color="auto"/>
              <w:right w:val="single" w:sz="8" w:space="0" w:color="auto"/>
            </w:tcBorders>
            <w:shd w:val="clear" w:color="auto" w:fill="auto"/>
            <w:vAlign w:val="center"/>
            <w:hideMark/>
          </w:tcPr>
          <w:p w14:paraId="48644B3B"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9628.48</w:t>
            </w:r>
          </w:p>
        </w:tc>
        <w:tc>
          <w:tcPr>
            <w:tcW w:w="1221" w:type="dxa"/>
            <w:tcBorders>
              <w:top w:val="nil"/>
              <w:left w:val="nil"/>
              <w:bottom w:val="single" w:sz="8" w:space="0" w:color="auto"/>
              <w:right w:val="single" w:sz="8" w:space="0" w:color="auto"/>
            </w:tcBorders>
            <w:shd w:val="clear" w:color="auto" w:fill="auto"/>
            <w:vAlign w:val="center"/>
            <w:hideMark/>
          </w:tcPr>
          <w:p w14:paraId="4AA6F72A"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139.18</w:t>
            </w:r>
          </w:p>
        </w:tc>
        <w:tc>
          <w:tcPr>
            <w:tcW w:w="952" w:type="dxa"/>
            <w:tcBorders>
              <w:top w:val="nil"/>
              <w:left w:val="nil"/>
              <w:bottom w:val="single" w:sz="8" w:space="0" w:color="auto"/>
              <w:right w:val="single" w:sz="8" w:space="0" w:color="auto"/>
            </w:tcBorders>
            <w:shd w:val="clear" w:color="auto" w:fill="auto"/>
            <w:vAlign w:val="center"/>
            <w:hideMark/>
          </w:tcPr>
          <w:p w14:paraId="0264F335"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12330.68</w:t>
            </w:r>
          </w:p>
        </w:tc>
        <w:tc>
          <w:tcPr>
            <w:tcW w:w="1221" w:type="dxa"/>
            <w:tcBorders>
              <w:top w:val="nil"/>
              <w:left w:val="nil"/>
              <w:bottom w:val="single" w:sz="8" w:space="0" w:color="auto"/>
              <w:right w:val="single" w:sz="8" w:space="0" w:color="auto"/>
            </w:tcBorders>
            <w:shd w:val="clear" w:color="auto" w:fill="auto"/>
            <w:vAlign w:val="center"/>
            <w:hideMark/>
          </w:tcPr>
          <w:p w14:paraId="75D2EFC6"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156.38</w:t>
            </w:r>
          </w:p>
        </w:tc>
        <w:tc>
          <w:tcPr>
            <w:tcW w:w="952" w:type="dxa"/>
            <w:tcBorders>
              <w:top w:val="nil"/>
              <w:left w:val="nil"/>
              <w:bottom w:val="single" w:sz="8" w:space="0" w:color="auto"/>
              <w:right w:val="single" w:sz="8" w:space="0" w:color="auto"/>
            </w:tcBorders>
            <w:shd w:val="clear" w:color="auto" w:fill="auto"/>
            <w:vAlign w:val="center"/>
            <w:hideMark/>
          </w:tcPr>
          <w:p w14:paraId="38456FA0"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14571.68</w:t>
            </w:r>
          </w:p>
        </w:tc>
        <w:tc>
          <w:tcPr>
            <w:tcW w:w="1221" w:type="dxa"/>
            <w:tcBorders>
              <w:top w:val="nil"/>
              <w:left w:val="nil"/>
              <w:bottom w:val="single" w:sz="8" w:space="0" w:color="auto"/>
              <w:right w:val="single" w:sz="8" w:space="0" w:color="auto"/>
            </w:tcBorders>
            <w:shd w:val="clear" w:color="auto" w:fill="auto"/>
            <w:vAlign w:val="center"/>
            <w:hideMark/>
          </w:tcPr>
          <w:p w14:paraId="5AD81EDF"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174.24</w:t>
            </w:r>
          </w:p>
        </w:tc>
      </w:tr>
      <w:tr w:rsidR="004C3380" w:rsidRPr="00B7675F" w14:paraId="18FDF384" w14:textId="77777777" w:rsidTr="004C3380">
        <w:trPr>
          <w:trHeight w:val="732"/>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1DE3D39E" w14:textId="7D10D0E1" w:rsidR="004C3380" w:rsidRPr="004C3380" w:rsidRDefault="004C3380" w:rsidP="004D6764">
            <w:pPr>
              <w:spacing w:after="0" w:line="240" w:lineRule="auto"/>
              <w:rPr>
                <w:rFonts w:ascii="Calibri Light" w:eastAsia="Times New Roman" w:hAnsi="Calibri Light" w:cs="Calibri Light"/>
                <w:b/>
                <w:bCs/>
                <w:color w:val="000000"/>
                <w:sz w:val="18"/>
                <w:szCs w:val="18"/>
                <w:lang w:val="ro-MD"/>
              </w:rPr>
            </w:pPr>
            <w:r w:rsidRPr="004C3380">
              <w:rPr>
                <w:rFonts w:asciiTheme="majorHAnsi" w:hAnsiTheme="majorHAnsi" w:cstheme="majorHAnsi"/>
                <w:b/>
                <w:bCs/>
                <w:color w:val="000000"/>
                <w:sz w:val="18"/>
                <w:szCs w:val="18"/>
                <w:lang w:val="ru-MD"/>
              </w:rPr>
              <w:t>Исполненные доходы, в том числе:</w:t>
            </w:r>
          </w:p>
        </w:tc>
        <w:tc>
          <w:tcPr>
            <w:tcW w:w="951" w:type="dxa"/>
            <w:tcBorders>
              <w:top w:val="nil"/>
              <w:left w:val="nil"/>
              <w:bottom w:val="single" w:sz="8" w:space="0" w:color="auto"/>
              <w:right w:val="single" w:sz="8" w:space="0" w:color="auto"/>
            </w:tcBorders>
            <w:shd w:val="clear" w:color="auto" w:fill="auto"/>
            <w:vAlign w:val="center"/>
            <w:hideMark/>
          </w:tcPr>
          <w:p w14:paraId="483A2087"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19790.30</w:t>
            </w:r>
          </w:p>
        </w:tc>
        <w:tc>
          <w:tcPr>
            <w:tcW w:w="951" w:type="dxa"/>
            <w:tcBorders>
              <w:top w:val="nil"/>
              <w:left w:val="nil"/>
              <w:bottom w:val="single" w:sz="8" w:space="0" w:color="auto"/>
              <w:right w:val="single" w:sz="8" w:space="0" w:color="auto"/>
            </w:tcBorders>
            <w:shd w:val="clear" w:color="auto" w:fill="auto"/>
            <w:vAlign w:val="center"/>
            <w:hideMark/>
          </w:tcPr>
          <w:p w14:paraId="78FEA37F"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21748.40</w:t>
            </w:r>
          </w:p>
        </w:tc>
        <w:tc>
          <w:tcPr>
            <w:tcW w:w="951" w:type="dxa"/>
            <w:tcBorders>
              <w:top w:val="nil"/>
              <w:left w:val="nil"/>
              <w:bottom w:val="single" w:sz="8" w:space="0" w:color="auto"/>
              <w:right w:val="single" w:sz="8" w:space="0" w:color="auto"/>
            </w:tcBorders>
            <w:shd w:val="clear" w:color="auto" w:fill="auto"/>
            <w:vAlign w:val="center"/>
            <w:hideMark/>
          </w:tcPr>
          <w:p w14:paraId="5BD331C7"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24285.50</w:t>
            </w:r>
          </w:p>
        </w:tc>
        <w:tc>
          <w:tcPr>
            <w:tcW w:w="951" w:type="dxa"/>
            <w:tcBorders>
              <w:top w:val="nil"/>
              <w:left w:val="nil"/>
              <w:bottom w:val="single" w:sz="8" w:space="0" w:color="auto"/>
              <w:right w:val="single" w:sz="8" w:space="0" w:color="auto"/>
            </w:tcBorders>
            <w:shd w:val="clear" w:color="auto" w:fill="auto"/>
            <w:vAlign w:val="center"/>
            <w:hideMark/>
          </w:tcPr>
          <w:p w14:paraId="502975D6"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27246.80</w:t>
            </w:r>
          </w:p>
        </w:tc>
        <w:tc>
          <w:tcPr>
            <w:tcW w:w="952" w:type="dxa"/>
            <w:tcBorders>
              <w:top w:val="nil"/>
              <w:left w:val="nil"/>
              <w:bottom w:val="single" w:sz="8" w:space="0" w:color="auto"/>
              <w:right w:val="single" w:sz="8" w:space="0" w:color="auto"/>
            </w:tcBorders>
            <w:shd w:val="clear" w:color="auto" w:fill="auto"/>
            <w:vAlign w:val="center"/>
            <w:hideMark/>
          </w:tcPr>
          <w:p w14:paraId="619A64B6"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33796.07</w:t>
            </w:r>
          </w:p>
        </w:tc>
        <w:tc>
          <w:tcPr>
            <w:tcW w:w="939" w:type="dxa"/>
            <w:tcBorders>
              <w:top w:val="nil"/>
              <w:left w:val="nil"/>
              <w:bottom w:val="single" w:sz="8" w:space="0" w:color="auto"/>
              <w:right w:val="single" w:sz="8" w:space="0" w:color="auto"/>
            </w:tcBorders>
            <w:shd w:val="clear" w:color="auto" w:fill="auto"/>
            <w:vAlign w:val="center"/>
            <w:hideMark/>
          </w:tcPr>
          <w:p w14:paraId="7B168F60"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6549.22</w:t>
            </w:r>
          </w:p>
        </w:tc>
        <w:tc>
          <w:tcPr>
            <w:tcW w:w="1104" w:type="dxa"/>
            <w:tcBorders>
              <w:top w:val="nil"/>
              <w:left w:val="nil"/>
              <w:bottom w:val="single" w:sz="8" w:space="0" w:color="auto"/>
              <w:right w:val="single" w:sz="8" w:space="0" w:color="auto"/>
            </w:tcBorders>
            <w:shd w:val="clear" w:color="auto" w:fill="auto"/>
            <w:vAlign w:val="center"/>
            <w:hideMark/>
          </w:tcPr>
          <w:p w14:paraId="2B876058"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124.04</w:t>
            </w:r>
          </w:p>
        </w:tc>
        <w:tc>
          <w:tcPr>
            <w:tcW w:w="939" w:type="dxa"/>
            <w:tcBorders>
              <w:top w:val="nil"/>
              <w:left w:val="nil"/>
              <w:bottom w:val="single" w:sz="8" w:space="0" w:color="auto"/>
              <w:right w:val="single" w:sz="8" w:space="0" w:color="auto"/>
            </w:tcBorders>
            <w:shd w:val="clear" w:color="auto" w:fill="auto"/>
            <w:vAlign w:val="center"/>
            <w:hideMark/>
          </w:tcPr>
          <w:p w14:paraId="0387DD39"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9510.57</w:t>
            </w:r>
          </w:p>
        </w:tc>
        <w:tc>
          <w:tcPr>
            <w:tcW w:w="1221" w:type="dxa"/>
            <w:tcBorders>
              <w:top w:val="nil"/>
              <w:left w:val="nil"/>
              <w:bottom w:val="single" w:sz="8" w:space="0" w:color="auto"/>
              <w:right w:val="single" w:sz="8" w:space="0" w:color="auto"/>
            </w:tcBorders>
            <w:shd w:val="clear" w:color="auto" w:fill="auto"/>
            <w:vAlign w:val="center"/>
            <w:hideMark/>
          </w:tcPr>
          <w:p w14:paraId="0E3E919A"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139.16</w:t>
            </w:r>
          </w:p>
        </w:tc>
        <w:tc>
          <w:tcPr>
            <w:tcW w:w="952" w:type="dxa"/>
            <w:tcBorders>
              <w:top w:val="nil"/>
              <w:left w:val="nil"/>
              <w:bottom w:val="single" w:sz="8" w:space="0" w:color="auto"/>
              <w:right w:val="single" w:sz="8" w:space="0" w:color="auto"/>
            </w:tcBorders>
            <w:shd w:val="clear" w:color="auto" w:fill="auto"/>
            <w:vAlign w:val="center"/>
            <w:hideMark/>
          </w:tcPr>
          <w:p w14:paraId="116475C6"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12047.67</w:t>
            </w:r>
          </w:p>
        </w:tc>
        <w:tc>
          <w:tcPr>
            <w:tcW w:w="1221" w:type="dxa"/>
            <w:tcBorders>
              <w:top w:val="nil"/>
              <w:left w:val="nil"/>
              <w:bottom w:val="single" w:sz="8" w:space="0" w:color="auto"/>
              <w:right w:val="single" w:sz="8" w:space="0" w:color="auto"/>
            </w:tcBorders>
            <w:shd w:val="clear" w:color="auto" w:fill="auto"/>
            <w:vAlign w:val="center"/>
            <w:hideMark/>
          </w:tcPr>
          <w:p w14:paraId="5606E294"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155.40</w:t>
            </w:r>
          </w:p>
        </w:tc>
        <w:tc>
          <w:tcPr>
            <w:tcW w:w="952" w:type="dxa"/>
            <w:tcBorders>
              <w:top w:val="nil"/>
              <w:left w:val="nil"/>
              <w:bottom w:val="single" w:sz="8" w:space="0" w:color="auto"/>
              <w:right w:val="single" w:sz="8" w:space="0" w:color="auto"/>
            </w:tcBorders>
            <w:shd w:val="clear" w:color="auto" w:fill="auto"/>
            <w:vAlign w:val="center"/>
            <w:hideMark/>
          </w:tcPr>
          <w:p w14:paraId="612F23B3"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14005.77</w:t>
            </w:r>
          </w:p>
        </w:tc>
        <w:tc>
          <w:tcPr>
            <w:tcW w:w="1221" w:type="dxa"/>
            <w:tcBorders>
              <w:top w:val="nil"/>
              <w:left w:val="nil"/>
              <w:bottom w:val="single" w:sz="8" w:space="0" w:color="auto"/>
              <w:right w:val="single" w:sz="8" w:space="0" w:color="auto"/>
            </w:tcBorders>
            <w:shd w:val="clear" w:color="auto" w:fill="auto"/>
            <w:vAlign w:val="center"/>
            <w:hideMark/>
          </w:tcPr>
          <w:p w14:paraId="6879855B"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170.77</w:t>
            </w:r>
          </w:p>
        </w:tc>
      </w:tr>
      <w:tr w:rsidR="004C3380" w:rsidRPr="00B7675F" w14:paraId="0519E4B8" w14:textId="77777777" w:rsidTr="004C3380">
        <w:trPr>
          <w:trHeight w:val="1395"/>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6173C14E" w14:textId="361C7A0A" w:rsidR="004C3380" w:rsidRPr="004C3380" w:rsidRDefault="004C3380" w:rsidP="004D6764">
            <w:pPr>
              <w:spacing w:after="0" w:line="240" w:lineRule="auto"/>
              <w:rPr>
                <w:rFonts w:ascii="Calibri Light" w:eastAsia="Times New Roman" w:hAnsi="Calibri Light" w:cs="Calibri Light"/>
                <w:b/>
                <w:bCs/>
                <w:i/>
                <w:iCs/>
                <w:color w:val="000000"/>
                <w:sz w:val="18"/>
                <w:szCs w:val="18"/>
                <w:lang w:val="ro-MD"/>
              </w:rPr>
            </w:pPr>
            <w:r w:rsidRPr="004C3380">
              <w:rPr>
                <w:rFonts w:asciiTheme="majorHAnsi" w:hAnsiTheme="majorHAnsi" w:cstheme="majorHAnsi"/>
                <w:b/>
                <w:i/>
                <w:iCs/>
                <w:color w:val="000000"/>
                <w:sz w:val="18"/>
                <w:szCs w:val="18"/>
                <w:lang w:val="ru-MD"/>
              </w:rPr>
              <w:t>Обязательные взносы государственного социального страхования</w:t>
            </w:r>
          </w:p>
        </w:tc>
        <w:tc>
          <w:tcPr>
            <w:tcW w:w="951" w:type="dxa"/>
            <w:tcBorders>
              <w:top w:val="nil"/>
              <w:left w:val="nil"/>
              <w:bottom w:val="single" w:sz="8" w:space="0" w:color="auto"/>
              <w:right w:val="single" w:sz="8" w:space="0" w:color="auto"/>
            </w:tcBorders>
            <w:shd w:val="clear" w:color="auto" w:fill="auto"/>
            <w:vAlign w:val="center"/>
            <w:hideMark/>
          </w:tcPr>
          <w:p w14:paraId="30CBA993" w14:textId="77777777" w:rsidR="004C3380" w:rsidRPr="00736448" w:rsidRDefault="004C3380" w:rsidP="004C3380">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13037.90</w:t>
            </w:r>
          </w:p>
        </w:tc>
        <w:tc>
          <w:tcPr>
            <w:tcW w:w="951" w:type="dxa"/>
            <w:tcBorders>
              <w:top w:val="nil"/>
              <w:left w:val="nil"/>
              <w:bottom w:val="single" w:sz="8" w:space="0" w:color="auto"/>
              <w:right w:val="single" w:sz="8" w:space="0" w:color="auto"/>
            </w:tcBorders>
            <w:shd w:val="clear" w:color="auto" w:fill="auto"/>
            <w:vAlign w:val="center"/>
            <w:hideMark/>
          </w:tcPr>
          <w:p w14:paraId="103536E2" w14:textId="77777777" w:rsidR="004C3380" w:rsidRPr="00736448" w:rsidRDefault="004C3380" w:rsidP="004C3380">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13635.60</w:t>
            </w:r>
          </w:p>
        </w:tc>
        <w:tc>
          <w:tcPr>
            <w:tcW w:w="951" w:type="dxa"/>
            <w:tcBorders>
              <w:top w:val="nil"/>
              <w:left w:val="nil"/>
              <w:bottom w:val="single" w:sz="8" w:space="0" w:color="auto"/>
              <w:right w:val="single" w:sz="8" w:space="0" w:color="auto"/>
            </w:tcBorders>
            <w:shd w:val="clear" w:color="auto" w:fill="auto"/>
            <w:vAlign w:val="center"/>
            <w:hideMark/>
          </w:tcPr>
          <w:p w14:paraId="648744B5" w14:textId="77777777" w:rsidR="004C3380" w:rsidRPr="00736448" w:rsidRDefault="004C3380" w:rsidP="004C3380">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14295.40</w:t>
            </w:r>
          </w:p>
        </w:tc>
        <w:tc>
          <w:tcPr>
            <w:tcW w:w="951" w:type="dxa"/>
            <w:tcBorders>
              <w:top w:val="nil"/>
              <w:left w:val="nil"/>
              <w:bottom w:val="single" w:sz="8" w:space="0" w:color="auto"/>
              <w:right w:val="single" w:sz="8" w:space="0" w:color="auto"/>
            </w:tcBorders>
            <w:shd w:val="clear" w:color="auto" w:fill="auto"/>
            <w:vAlign w:val="center"/>
            <w:hideMark/>
          </w:tcPr>
          <w:p w14:paraId="3463ADF8" w14:textId="77777777" w:rsidR="004C3380" w:rsidRPr="00736448" w:rsidRDefault="004C3380" w:rsidP="004C3380">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16223.90</w:t>
            </w:r>
          </w:p>
        </w:tc>
        <w:tc>
          <w:tcPr>
            <w:tcW w:w="952" w:type="dxa"/>
            <w:tcBorders>
              <w:top w:val="nil"/>
              <w:left w:val="nil"/>
              <w:bottom w:val="single" w:sz="8" w:space="0" w:color="auto"/>
              <w:right w:val="single" w:sz="8" w:space="0" w:color="auto"/>
            </w:tcBorders>
            <w:shd w:val="clear" w:color="auto" w:fill="auto"/>
            <w:vAlign w:val="center"/>
            <w:hideMark/>
          </w:tcPr>
          <w:p w14:paraId="6F15D13E" w14:textId="77777777" w:rsidR="004C3380" w:rsidRPr="00736448" w:rsidRDefault="004C3380" w:rsidP="004C3380">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18573.34</w:t>
            </w:r>
          </w:p>
        </w:tc>
        <w:tc>
          <w:tcPr>
            <w:tcW w:w="939" w:type="dxa"/>
            <w:tcBorders>
              <w:top w:val="nil"/>
              <w:left w:val="nil"/>
              <w:bottom w:val="single" w:sz="8" w:space="0" w:color="auto"/>
              <w:right w:val="single" w:sz="8" w:space="0" w:color="auto"/>
            </w:tcBorders>
            <w:shd w:val="clear" w:color="auto" w:fill="auto"/>
            <w:vAlign w:val="center"/>
            <w:hideMark/>
          </w:tcPr>
          <w:p w14:paraId="330922AC"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2349.44</w:t>
            </w:r>
          </w:p>
        </w:tc>
        <w:tc>
          <w:tcPr>
            <w:tcW w:w="1104" w:type="dxa"/>
            <w:tcBorders>
              <w:top w:val="nil"/>
              <w:left w:val="nil"/>
              <w:bottom w:val="single" w:sz="8" w:space="0" w:color="auto"/>
              <w:right w:val="single" w:sz="8" w:space="0" w:color="auto"/>
            </w:tcBorders>
            <w:shd w:val="clear" w:color="auto" w:fill="auto"/>
            <w:vAlign w:val="center"/>
            <w:hideMark/>
          </w:tcPr>
          <w:p w14:paraId="0083F0BD"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114.48</w:t>
            </w:r>
          </w:p>
        </w:tc>
        <w:tc>
          <w:tcPr>
            <w:tcW w:w="939" w:type="dxa"/>
            <w:tcBorders>
              <w:top w:val="nil"/>
              <w:left w:val="nil"/>
              <w:bottom w:val="single" w:sz="8" w:space="0" w:color="auto"/>
              <w:right w:val="single" w:sz="8" w:space="0" w:color="auto"/>
            </w:tcBorders>
            <w:shd w:val="clear" w:color="auto" w:fill="auto"/>
            <w:vAlign w:val="center"/>
            <w:hideMark/>
          </w:tcPr>
          <w:p w14:paraId="60B72460"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4277.94</w:t>
            </w:r>
          </w:p>
        </w:tc>
        <w:tc>
          <w:tcPr>
            <w:tcW w:w="1221" w:type="dxa"/>
            <w:tcBorders>
              <w:top w:val="nil"/>
              <w:left w:val="nil"/>
              <w:bottom w:val="single" w:sz="8" w:space="0" w:color="auto"/>
              <w:right w:val="single" w:sz="8" w:space="0" w:color="auto"/>
            </w:tcBorders>
            <w:shd w:val="clear" w:color="auto" w:fill="auto"/>
            <w:vAlign w:val="center"/>
            <w:hideMark/>
          </w:tcPr>
          <w:p w14:paraId="6CFB6D09"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129.93</w:t>
            </w:r>
          </w:p>
        </w:tc>
        <w:tc>
          <w:tcPr>
            <w:tcW w:w="952" w:type="dxa"/>
            <w:tcBorders>
              <w:top w:val="nil"/>
              <w:left w:val="nil"/>
              <w:bottom w:val="single" w:sz="8" w:space="0" w:color="auto"/>
              <w:right w:val="single" w:sz="8" w:space="0" w:color="auto"/>
            </w:tcBorders>
            <w:shd w:val="clear" w:color="auto" w:fill="auto"/>
            <w:vAlign w:val="center"/>
            <w:hideMark/>
          </w:tcPr>
          <w:p w14:paraId="0492E8BC"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4937.74</w:t>
            </w:r>
          </w:p>
        </w:tc>
        <w:tc>
          <w:tcPr>
            <w:tcW w:w="1221" w:type="dxa"/>
            <w:tcBorders>
              <w:top w:val="nil"/>
              <w:left w:val="nil"/>
              <w:bottom w:val="single" w:sz="8" w:space="0" w:color="auto"/>
              <w:right w:val="single" w:sz="8" w:space="0" w:color="auto"/>
            </w:tcBorders>
            <w:shd w:val="clear" w:color="auto" w:fill="auto"/>
            <w:vAlign w:val="center"/>
            <w:hideMark/>
          </w:tcPr>
          <w:p w14:paraId="12F72E85"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136.21</w:t>
            </w:r>
          </w:p>
        </w:tc>
        <w:tc>
          <w:tcPr>
            <w:tcW w:w="952" w:type="dxa"/>
            <w:tcBorders>
              <w:top w:val="nil"/>
              <w:left w:val="nil"/>
              <w:bottom w:val="single" w:sz="8" w:space="0" w:color="auto"/>
              <w:right w:val="single" w:sz="8" w:space="0" w:color="auto"/>
            </w:tcBorders>
            <w:shd w:val="clear" w:color="auto" w:fill="auto"/>
            <w:vAlign w:val="center"/>
            <w:hideMark/>
          </w:tcPr>
          <w:p w14:paraId="2FC05CF7"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5535.44</w:t>
            </w:r>
          </w:p>
        </w:tc>
        <w:tc>
          <w:tcPr>
            <w:tcW w:w="1221" w:type="dxa"/>
            <w:tcBorders>
              <w:top w:val="nil"/>
              <w:left w:val="nil"/>
              <w:bottom w:val="single" w:sz="8" w:space="0" w:color="auto"/>
              <w:right w:val="single" w:sz="8" w:space="0" w:color="auto"/>
            </w:tcBorders>
            <w:shd w:val="clear" w:color="auto" w:fill="auto"/>
            <w:vAlign w:val="center"/>
            <w:hideMark/>
          </w:tcPr>
          <w:p w14:paraId="01BB2F80"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142.46</w:t>
            </w:r>
          </w:p>
        </w:tc>
      </w:tr>
      <w:tr w:rsidR="004C3380" w:rsidRPr="00B7675F" w14:paraId="1E7C6556" w14:textId="77777777" w:rsidTr="004C3380">
        <w:trPr>
          <w:trHeight w:val="492"/>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4D68288F" w14:textId="18B6F59B" w:rsidR="004C3380" w:rsidRPr="004C3380" w:rsidRDefault="004C3380" w:rsidP="004C3380">
            <w:pPr>
              <w:spacing w:after="0" w:line="240" w:lineRule="auto"/>
              <w:jc w:val="both"/>
              <w:rPr>
                <w:rFonts w:ascii="Calibri Light" w:eastAsia="Times New Roman" w:hAnsi="Calibri Light" w:cs="Calibri Light"/>
                <w:b/>
                <w:bCs/>
                <w:i/>
                <w:iCs/>
                <w:color w:val="000000"/>
                <w:sz w:val="18"/>
                <w:szCs w:val="18"/>
                <w:lang w:val="ro-MD"/>
              </w:rPr>
            </w:pPr>
            <w:r w:rsidRPr="004C3380">
              <w:rPr>
                <w:rFonts w:asciiTheme="majorHAnsi" w:hAnsiTheme="majorHAnsi" w:cstheme="majorHAnsi"/>
                <w:b/>
                <w:i/>
                <w:iCs/>
                <w:color w:val="000000"/>
                <w:sz w:val="18"/>
                <w:szCs w:val="18"/>
                <w:lang w:val="ru-MD"/>
              </w:rPr>
              <w:t>Другие доходы</w:t>
            </w:r>
          </w:p>
        </w:tc>
        <w:tc>
          <w:tcPr>
            <w:tcW w:w="951" w:type="dxa"/>
            <w:tcBorders>
              <w:top w:val="nil"/>
              <w:left w:val="nil"/>
              <w:bottom w:val="single" w:sz="8" w:space="0" w:color="auto"/>
              <w:right w:val="single" w:sz="8" w:space="0" w:color="auto"/>
            </w:tcBorders>
            <w:shd w:val="clear" w:color="auto" w:fill="auto"/>
            <w:vAlign w:val="center"/>
            <w:hideMark/>
          </w:tcPr>
          <w:p w14:paraId="2FE8CBE2" w14:textId="77777777" w:rsidR="004C3380" w:rsidRPr="00736448" w:rsidRDefault="004C3380" w:rsidP="004C3380">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82.10</w:t>
            </w:r>
          </w:p>
        </w:tc>
        <w:tc>
          <w:tcPr>
            <w:tcW w:w="951" w:type="dxa"/>
            <w:tcBorders>
              <w:top w:val="nil"/>
              <w:left w:val="nil"/>
              <w:bottom w:val="single" w:sz="8" w:space="0" w:color="auto"/>
              <w:right w:val="single" w:sz="8" w:space="0" w:color="auto"/>
            </w:tcBorders>
            <w:shd w:val="clear" w:color="auto" w:fill="auto"/>
            <w:vAlign w:val="center"/>
            <w:hideMark/>
          </w:tcPr>
          <w:p w14:paraId="10E274C5" w14:textId="77777777" w:rsidR="004C3380" w:rsidRPr="00736448" w:rsidRDefault="004C3380" w:rsidP="004C3380">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155.60</w:t>
            </w:r>
          </w:p>
        </w:tc>
        <w:tc>
          <w:tcPr>
            <w:tcW w:w="951" w:type="dxa"/>
            <w:tcBorders>
              <w:top w:val="nil"/>
              <w:left w:val="nil"/>
              <w:bottom w:val="single" w:sz="8" w:space="0" w:color="auto"/>
              <w:right w:val="single" w:sz="8" w:space="0" w:color="auto"/>
            </w:tcBorders>
            <w:shd w:val="clear" w:color="auto" w:fill="auto"/>
            <w:vAlign w:val="center"/>
            <w:hideMark/>
          </w:tcPr>
          <w:p w14:paraId="5AA670F9" w14:textId="77777777" w:rsidR="004C3380" w:rsidRPr="00736448" w:rsidRDefault="004C3380" w:rsidP="004C3380">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220.80</w:t>
            </w:r>
          </w:p>
        </w:tc>
        <w:tc>
          <w:tcPr>
            <w:tcW w:w="951" w:type="dxa"/>
            <w:tcBorders>
              <w:top w:val="nil"/>
              <w:left w:val="nil"/>
              <w:bottom w:val="single" w:sz="8" w:space="0" w:color="auto"/>
              <w:right w:val="single" w:sz="8" w:space="0" w:color="auto"/>
            </w:tcBorders>
            <w:shd w:val="clear" w:color="auto" w:fill="auto"/>
            <w:vAlign w:val="center"/>
            <w:hideMark/>
          </w:tcPr>
          <w:p w14:paraId="3E48DE45" w14:textId="77777777" w:rsidR="004C3380" w:rsidRPr="00736448" w:rsidRDefault="004C3380" w:rsidP="004C3380">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298.30</w:t>
            </w:r>
          </w:p>
        </w:tc>
        <w:tc>
          <w:tcPr>
            <w:tcW w:w="952" w:type="dxa"/>
            <w:tcBorders>
              <w:top w:val="nil"/>
              <w:left w:val="nil"/>
              <w:bottom w:val="single" w:sz="8" w:space="0" w:color="auto"/>
              <w:right w:val="single" w:sz="8" w:space="0" w:color="auto"/>
            </w:tcBorders>
            <w:shd w:val="clear" w:color="auto" w:fill="auto"/>
            <w:vAlign w:val="center"/>
            <w:hideMark/>
          </w:tcPr>
          <w:p w14:paraId="0C83C06E" w14:textId="77777777" w:rsidR="004C3380" w:rsidRPr="00736448" w:rsidRDefault="004C3380" w:rsidP="004C3380">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428.70</w:t>
            </w:r>
          </w:p>
        </w:tc>
        <w:tc>
          <w:tcPr>
            <w:tcW w:w="939" w:type="dxa"/>
            <w:tcBorders>
              <w:top w:val="nil"/>
              <w:left w:val="nil"/>
              <w:bottom w:val="single" w:sz="8" w:space="0" w:color="auto"/>
              <w:right w:val="single" w:sz="8" w:space="0" w:color="auto"/>
            </w:tcBorders>
            <w:shd w:val="clear" w:color="auto" w:fill="auto"/>
            <w:vAlign w:val="center"/>
            <w:hideMark/>
          </w:tcPr>
          <w:p w14:paraId="3579FAC0"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130.4</w:t>
            </w:r>
          </w:p>
        </w:tc>
        <w:tc>
          <w:tcPr>
            <w:tcW w:w="1104" w:type="dxa"/>
            <w:tcBorders>
              <w:top w:val="nil"/>
              <w:left w:val="nil"/>
              <w:bottom w:val="single" w:sz="8" w:space="0" w:color="auto"/>
              <w:right w:val="single" w:sz="8" w:space="0" w:color="auto"/>
            </w:tcBorders>
            <w:shd w:val="clear" w:color="auto" w:fill="auto"/>
            <w:vAlign w:val="center"/>
            <w:hideMark/>
          </w:tcPr>
          <w:p w14:paraId="239579D5"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143.71</w:t>
            </w:r>
          </w:p>
        </w:tc>
        <w:tc>
          <w:tcPr>
            <w:tcW w:w="939" w:type="dxa"/>
            <w:tcBorders>
              <w:top w:val="nil"/>
              <w:left w:val="nil"/>
              <w:bottom w:val="single" w:sz="8" w:space="0" w:color="auto"/>
              <w:right w:val="single" w:sz="8" w:space="0" w:color="auto"/>
            </w:tcBorders>
            <w:shd w:val="clear" w:color="auto" w:fill="auto"/>
            <w:vAlign w:val="center"/>
            <w:hideMark/>
          </w:tcPr>
          <w:p w14:paraId="386FB14D"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207.90</w:t>
            </w:r>
          </w:p>
        </w:tc>
        <w:tc>
          <w:tcPr>
            <w:tcW w:w="1221" w:type="dxa"/>
            <w:tcBorders>
              <w:top w:val="nil"/>
              <w:left w:val="nil"/>
              <w:bottom w:val="single" w:sz="8" w:space="0" w:color="auto"/>
              <w:right w:val="single" w:sz="8" w:space="0" w:color="auto"/>
            </w:tcBorders>
            <w:shd w:val="clear" w:color="auto" w:fill="auto"/>
            <w:vAlign w:val="center"/>
            <w:hideMark/>
          </w:tcPr>
          <w:p w14:paraId="2FF1B768"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194.16</w:t>
            </w:r>
          </w:p>
        </w:tc>
        <w:tc>
          <w:tcPr>
            <w:tcW w:w="952" w:type="dxa"/>
            <w:tcBorders>
              <w:top w:val="nil"/>
              <w:left w:val="nil"/>
              <w:bottom w:val="single" w:sz="8" w:space="0" w:color="auto"/>
              <w:right w:val="single" w:sz="8" w:space="0" w:color="auto"/>
            </w:tcBorders>
            <w:shd w:val="clear" w:color="auto" w:fill="auto"/>
            <w:vAlign w:val="center"/>
            <w:hideMark/>
          </w:tcPr>
          <w:p w14:paraId="6715E1DA"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273.10</w:t>
            </w:r>
          </w:p>
        </w:tc>
        <w:tc>
          <w:tcPr>
            <w:tcW w:w="1221" w:type="dxa"/>
            <w:tcBorders>
              <w:top w:val="nil"/>
              <w:left w:val="nil"/>
              <w:bottom w:val="single" w:sz="8" w:space="0" w:color="auto"/>
              <w:right w:val="single" w:sz="8" w:space="0" w:color="auto"/>
            </w:tcBorders>
            <w:shd w:val="clear" w:color="auto" w:fill="auto"/>
            <w:vAlign w:val="center"/>
            <w:hideMark/>
          </w:tcPr>
          <w:p w14:paraId="4D865690"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275.51</w:t>
            </w:r>
          </w:p>
        </w:tc>
        <w:tc>
          <w:tcPr>
            <w:tcW w:w="952" w:type="dxa"/>
            <w:tcBorders>
              <w:top w:val="nil"/>
              <w:left w:val="nil"/>
              <w:bottom w:val="single" w:sz="8" w:space="0" w:color="auto"/>
              <w:right w:val="single" w:sz="8" w:space="0" w:color="auto"/>
            </w:tcBorders>
            <w:shd w:val="clear" w:color="auto" w:fill="auto"/>
            <w:vAlign w:val="center"/>
            <w:hideMark/>
          </w:tcPr>
          <w:p w14:paraId="35B3C182"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346.60</w:t>
            </w:r>
          </w:p>
        </w:tc>
        <w:tc>
          <w:tcPr>
            <w:tcW w:w="1221" w:type="dxa"/>
            <w:tcBorders>
              <w:top w:val="nil"/>
              <w:left w:val="nil"/>
              <w:bottom w:val="single" w:sz="8" w:space="0" w:color="auto"/>
              <w:right w:val="single" w:sz="8" w:space="0" w:color="auto"/>
            </w:tcBorders>
            <w:shd w:val="clear" w:color="auto" w:fill="auto"/>
            <w:vAlign w:val="center"/>
            <w:hideMark/>
          </w:tcPr>
          <w:p w14:paraId="4C1360FB"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522.17</w:t>
            </w:r>
          </w:p>
        </w:tc>
      </w:tr>
      <w:tr w:rsidR="004C3380" w:rsidRPr="00B7675F" w14:paraId="20D9DB79" w14:textId="77777777" w:rsidTr="004C3380">
        <w:trPr>
          <w:trHeight w:val="1998"/>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25485A27" w14:textId="1493C82C" w:rsidR="004C3380" w:rsidRPr="004C3380" w:rsidRDefault="004C3380" w:rsidP="004C3380">
            <w:pPr>
              <w:spacing w:after="0" w:line="240" w:lineRule="auto"/>
              <w:jc w:val="both"/>
              <w:rPr>
                <w:rFonts w:ascii="Calibri Light" w:eastAsia="Times New Roman" w:hAnsi="Calibri Light" w:cs="Calibri Light"/>
                <w:b/>
                <w:bCs/>
                <w:i/>
                <w:iCs/>
                <w:color w:val="000000"/>
                <w:sz w:val="18"/>
                <w:szCs w:val="18"/>
                <w:lang w:val="ro-MD"/>
              </w:rPr>
            </w:pPr>
            <w:r w:rsidRPr="004C3380">
              <w:rPr>
                <w:rFonts w:asciiTheme="majorHAnsi" w:hAnsiTheme="majorHAnsi" w:cstheme="majorHAnsi"/>
                <w:b/>
                <w:i/>
                <w:iCs/>
                <w:color w:val="000000"/>
                <w:sz w:val="18"/>
                <w:szCs w:val="18"/>
                <w:lang w:val="ru-MD"/>
              </w:rPr>
              <w:t xml:space="preserve">Полученные текущие трансферты специального назначения между государственным бюджетом и бюджетом государственного социального страхования </w:t>
            </w:r>
          </w:p>
        </w:tc>
        <w:tc>
          <w:tcPr>
            <w:tcW w:w="951" w:type="dxa"/>
            <w:tcBorders>
              <w:top w:val="nil"/>
              <w:left w:val="nil"/>
              <w:bottom w:val="single" w:sz="8" w:space="0" w:color="auto"/>
              <w:right w:val="single" w:sz="8" w:space="0" w:color="auto"/>
            </w:tcBorders>
            <w:shd w:val="clear" w:color="auto" w:fill="auto"/>
            <w:vAlign w:val="center"/>
            <w:hideMark/>
          </w:tcPr>
          <w:p w14:paraId="63B74FB3" w14:textId="77777777" w:rsidR="004C3380" w:rsidRPr="00736448" w:rsidRDefault="004C3380" w:rsidP="004C3380">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5556.40</w:t>
            </w:r>
          </w:p>
        </w:tc>
        <w:tc>
          <w:tcPr>
            <w:tcW w:w="951" w:type="dxa"/>
            <w:tcBorders>
              <w:top w:val="nil"/>
              <w:left w:val="nil"/>
              <w:bottom w:val="single" w:sz="8" w:space="0" w:color="auto"/>
              <w:right w:val="single" w:sz="8" w:space="0" w:color="auto"/>
            </w:tcBorders>
            <w:shd w:val="clear" w:color="auto" w:fill="auto"/>
            <w:vAlign w:val="center"/>
            <w:hideMark/>
          </w:tcPr>
          <w:p w14:paraId="0A797573" w14:textId="77777777" w:rsidR="004C3380" w:rsidRPr="00736448" w:rsidRDefault="004C3380" w:rsidP="004C3380">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5969.30</w:t>
            </w:r>
          </w:p>
        </w:tc>
        <w:tc>
          <w:tcPr>
            <w:tcW w:w="951" w:type="dxa"/>
            <w:tcBorders>
              <w:top w:val="nil"/>
              <w:left w:val="nil"/>
              <w:bottom w:val="single" w:sz="8" w:space="0" w:color="auto"/>
              <w:right w:val="single" w:sz="8" w:space="0" w:color="auto"/>
            </w:tcBorders>
            <w:shd w:val="clear" w:color="auto" w:fill="auto"/>
            <w:vAlign w:val="center"/>
            <w:hideMark/>
          </w:tcPr>
          <w:p w14:paraId="709B7412" w14:textId="77777777" w:rsidR="004C3380" w:rsidRPr="00736448" w:rsidRDefault="004C3380" w:rsidP="004C3380">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7214.80</w:t>
            </w:r>
          </w:p>
        </w:tc>
        <w:tc>
          <w:tcPr>
            <w:tcW w:w="951" w:type="dxa"/>
            <w:tcBorders>
              <w:top w:val="nil"/>
              <w:left w:val="nil"/>
              <w:bottom w:val="single" w:sz="8" w:space="0" w:color="auto"/>
              <w:right w:val="single" w:sz="8" w:space="0" w:color="auto"/>
            </w:tcBorders>
            <w:shd w:val="clear" w:color="auto" w:fill="auto"/>
            <w:vAlign w:val="center"/>
            <w:hideMark/>
          </w:tcPr>
          <w:p w14:paraId="16C0D8B1" w14:textId="77777777" w:rsidR="004C3380" w:rsidRPr="00736448" w:rsidRDefault="004C3380" w:rsidP="004C3380">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7884.60</w:t>
            </w:r>
          </w:p>
        </w:tc>
        <w:tc>
          <w:tcPr>
            <w:tcW w:w="952" w:type="dxa"/>
            <w:tcBorders>
              <w:top w:val="nil"/>
              <w:left w:val="nil"/>
              <w:bottom w:val="single" w:sz="8" w:space="0" w:color="auto"/>
              <w:right w:val="single" w:sz="8" w:space="0" w:color="auto"/>
            </w:tcBorders>
            <w:shd w:val="clear" w:color="auto" w:fill="auto"/>
            <w:vAlign w:val="center"/>
            <w:hideMark/>
          </w:tcPr>
          <w:p w14:paraId="7F45C567" w14:textId="77777777" w:rsidR="004C3380" w:rsidRPr="00736448" w:rsidRDefault="004C3380" w:rsidP="004C3380">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10359.90</w:t>
            </w:r>
          </w:p>
        </w:tc>
        <w:tc>
          <w:tcPr>
            <w:tcW w:w="939" w:type="dxa"/>
            <w:tcBorders>
              <w:top w:val="nil"/>
              <w:left w:val="nil"/>
              <w:bottom w:val="single" w:sz="8" w:space="0" w:color="auto"/>
              <w:right w:val="single" w:sz="8" w:space="0" w:color="auto"/>
            </w:tcBorders>
            <w:shd w:val="clear" w:color="auto" w:fill="auto"/>
            <w:vAlign w:val="center"/>
            <w:hideMark/>
          </w:tcPr>
          <w:p w14:paraId="32B30F15"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2475.3</w:t>
            </w:r>
          </w:p>
        </w:tc>
        <w:tc>
          <w:tcPr>
            <w:tcW w:w="1104" w:type="dxa"/>
            <w:tcBorders>
              <w:top w:val="nil"/>
              <w:left w:val="nil"/>
              <w:bottom w:val="single" w:sz="8" w:space="0" w:color="auto"/>
              <w:right w:val="single" w:sz="8" w:space="0" w:color="auto"/>
            </w:tcBorders>
            <w:shd w:val="clear" w:color="auto" w:fill="auto"/>
            <w:vAlign w:val="center"/>
            <w:hideMark/>
          </w:tcPr>
          <w:p w14:paraId="1A566C7A"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131.39</w:t>
            </w:r>
          </w:p>
        </w:tc>
        <w:tc>
          <w:tcPr>
            <w:tcW w:w="939" w:type="dxa"/>
            <w:tcBorders>
              <w:top w:val="nil"/>
              <w:left w:val="nil"/>
              <w:bottom w:val="single" w:sz="8" w:space="0" w:color="auto"/>
              <w:right w:val="single" w:sz="8" w:space="0" w:color="auto"/>
            </w:tcBorders>
            <w:shd w:val="clear" w:color="auto" w:fill="auto"/>
            <w:vAlign w:val="center"/>
            <w:hideMark/>
          </w:tcPr>
          <w:p w14:paraId="008C419E"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3145.10</w:t>
            </w:r>
          </w:p>
        </w:tc>
        <w:tc>
          <w:tcPr>
            <w:tcW w:w="1221" w:type="dxa"/>
            <w:tcBorders>
              <w:top w:val="nil"/>
              <w:left w:val="nil"/>
              <w:bottom w:val="single" w:sz="8" w:space="0" w:color="auto"/>
              <w:right w:val="single" w:sz="8" w:space="0" w:color="auto"/>
            </w:tcBorders>
            <w:shd w:val="clear" w:color="auto" w:fill="auto"/>
            <w:vAlign w:val="center"/>
            <w:hideMark/>
          </w:tcPr>
          <w:p w14:paraId="1FBDEDD8"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143.59</w:t>
            </w:r>
          </w:p>
        </w:tc>
        <w:tc>
          <w:tcPr>
            <w:tcW w:w="952" w:type="dxa"/>
            <w:tcBorders>
              <w:top w:val="nil"/>
              <w:left w:val="nil"/>
              <w:bottom w:val="single" w:sz="8" w:space="0" w:color="auto"/>
              <w:right w:val="single" w:sz="8" w:space="0" w:color="auto"/>
            </w:tcBorders>
            <w:shd w:val="clear" w:color="auto" w:fill="auto"/>
            <w:vAlign w:val="center"/>
            <w:hideMark/>
          </w:tcPr>
          <w:p w14:paraId="545A27B9"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4390.60</w:t>
            </w:r>
          </w:p>
        </w:tc>
        <w:tc>
          <w:tcPr>
            <w:tcW w:w="1221" w:type="dxa"/>
            <w:tcBorders>
              <w:top w:val="nil"/>
              <w:left w:val="nil"/>
              <w:bottom w:val="single" w:sz="8" w:space="0" w:color="auto"/>
              <w:right w:val="single" w:sz="8" w:space="0" w:color="auto"/>
            </w:tcBorders>
            <w:shd w:val="clear" w:color="auto" w:fill="auto"/>
            <w:vAlign w:val="center"/>
            <w:hideMark/>
          </w:tcPr>
          <w:p w14:paraId="21B2C8A7"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173.55</w:t>
            </w:r>
          </w:p>
        </w:tc>
        <w:tc>
          <w:tcPr>
            <w:tcW w:w="952" w:type="dxa"/>
            <w:tcBorders>
              <w:top w:val="nil"/>
              <w:left w:val="nil"/>
              <w:bottom w:val="single" w:sz="8" w:space="0" w:color="auto"/>
              <w:right w:val="single" w:sz="8" w:space="0" w:color="auto"/>
            </w:tcBorders>
            <w:shd w:val="clear" w:color="auto" w:fill="auto"/>
            <w:vAlign w:val="center"/>
            <w:hideMark/>
          </w:tcPr>
          <w:p w14:paraId="62C861C4"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4803.50</w:t>
            </w:r>
          </w:p>
        </w:tc>
        <w:tc>
          <w:tcPr>
            <w:tcW w:w="1221" w:type="dxa"/>
            <w:tcBorders>
              <w:top w:val="nil"/>
              <w:left w:val="nil"/>
              <w:bottom w:val="single" w:sz="8" w:space="0" w:color="auto"/>
              <w:right w:val="single" w:sz="8" w:space="0" w:color="auto"/>
            </w:tcBorders>
            <w:shd w:val="clear" w:color="auto" w:fill="auto"/>
            <w:vAlign w:val="center"/>
            <w:hideMark/>
          </w:tcPr>
          <w:p w14:paraId="3C5B97C3"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186.45</w:t>
            </w:r>
          </w:p>
        </w:tc>
      </w:tr>
      <w:tr w:rsidR="004C3380" w:rsidRPr="00B7675F" w14:paraId="4A045FE5" w14:textId="77777777" w:rsidTr="004C3380">
        <w:trPr>
          <w:trHeight w:val="333"/>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60C57D4F" w14:textId="4C9BDD61" w:rsidR="004C3380" w:rsidRPr="004C3380" w:rsidRDefault="004C3380" w:rsidP="004C3380">
            <w:pPr>
              <w:spacing w:after="0" w:line="240" w:lineRule="auto"/>
              <w:jc w:val="both"/>
              <w:rPr>
                <w:rFonts w:ascii="Calibri Light" w:eastAsia="Times New Roman" w:hAnsi="Calibri Light" w:cs="Calibri Light"/>
                <w:b/>
                <w:bCs/>
                <w:i/>
                <w:iCs/>
                <w:color w:val="000000"/>
                <w:sz w:val="18"/>
                <w:szCs w:val="18"/>
                <w:lang w:val="ro-MD"/>
              </w:rPr>
            </w:pPr>
            <w:r w:rsidRPr="004C3380">
              <w:rPr>
                <w:rFonts w:asciiTheme="majorHAnsi" w:hAnsiTheme="majorHAnsi" w:cstheme="majorHAnsi"/>
                <w:b/>
                <w:i/>
                <w:iCs/>
                <w:color w:val="000000"/>
                <w:sz w:val="18"/>
                <w:szCs w:val="18"/>
                <w:lang w:val="ru-MD"/>
              </w:rPr>
              <w:t xml:space="preserve">Полученные текущие трансферты общего назначения между государственным бюджетом и бюджетом государственного социального страхования </w:t>
            </w:r>
          </w:p>
        </w:tc>
        <w:tc>
          <w:tcPr>
            <w:tcW w:w="951" w:type="dxa"/>
            <w:tcBorders>
              <w:top w:val="nil"/>
              <w:left w:val="nil"/>
              <w:bottom w:val="single" w:sz="8" w:space="0" w:color="auto"/>
              <w:right w:val="single" w:sz="8" w:space="0" w:color="auto"/>
            </w:tcBorders>
            <w:shd w:val="clear" w:color="auto" w:fill="auto"/>
            <w:vAlign w:val="center"/>
            <w:hideMark/>
          </w:tcPr>
          <w:p w14:paraId="13651D10" w14:textId="77777777" w:rsidR="004C3380" w:rsidRPr="00736448" w:rsidRDefault="004C3380" w:rsidP="004C3380">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1113.90</w:t>
            </w:r>
          </w:p>
        </w:tc>
        <w:tc>
          <w:tcPr>
            <w:tcW w:w="951" w:type="dxa"/>
            <w:tcBorders>
              <w:top w:val="nil"/>
              <w:left w:val="nil"/>
              <w:bottom w:val="single" w:sz="8" w:space="0" w:color="auto"/>
              <w:right w:val="single" w:sz="8" w:space="0" w:color="auto"/>
            </w:tcBorders>
            <w:shd w:val="clear" w:color="auto" w:fill="auto"/>
            <w:vAlign w:val="center"/>
            <w:hideMark/>
          </w:tcPr>
          <w:p w14:paraId="2918AEBA" w14:textId="77777777" w:rsidR="004C3380" w:rsidRPr="00736448" w:rsidRDefault="004C3380" w:rsidP="004C3380">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1987.70</w:t>
            </w:r>
          </w:p>
        </w:tc>
        <w:tc>
          <w:tcPr>
            <w:tcW w:w="951" w:type="dxa"/>
            <w:tcBorders>
              <w:top w:val="nil"/>
              <w:left w:val="nil"/>
              <w:bottom w:val="single" w:sz="8" w:space="0" w:color="auto"/>
              <w:right w:val="single" w:sz="8" w:space="0" w:color="auto"/>
            </w:tcBorders>
            <w:shd w:val="clear" w:color="auto" w:fill="auto"/>
            <w:vAlign w:val="center"/>
            <w:hideMark/>
          </w:tcPr>
          <w:p w14:paraId="32F3ED16" w14:textId="77777777" w:rsidR="004C3380" w:rsidRPr="00736448" w:rsidRDefault="004C3380" w:rsidP="004C3380">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2554.60</w:t>
            </w:r>
          </w:p>
        </w:tc>
        <w:tc>
          <w:tcPr>
            <w:tcW w:w="951" w:type="dxa"/>
            <w:tcBorders>
              <w:top w:val="nil"/>
              <w:left w:val="nil"/>
              <w:bottom w:val="single" w:sz="8" w:space="0" w:color="auto"/>
              <w:right w:val="single" w:sz="8" w:space="0" w:color="auto"/>
            </w:tcBorders>
            <w:shd w:val="clear" w:color="auto" w:fill="auto"/>
            <w:vAlign w:val="center"/>
            <w:hideMark/>
          </w:tcPr>
          <w:p w14:paraId="52DB44D3" w14:textId="77777777" w:rsidR="004C3380" w:rsidRPr="00736448" w:rsidRDefault="004C3380" w:rsidP="004C3380">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2840.00</w:t>
            </w:r>
          </w:p>
        </w:tc>
        <w:tc>
          <w:tcPr>
            <w:tcW w:w="952" w:type="dxa"/>
            <w:tcBorders>
              <w:top w:val="nil"/>
              <w:left w:val="nil"/>
              <w:bottom w:val="single" w:sz="8" w:space="0" w:color="auto"/>
              <w:right w:val="single" w:sz="8" w:space="0" w:color="auto"/>
            </w:tcBorders>
            <w:shd w:val="clear" w:color="auto" w:fill="auto"/>
            <w:vAlign w:val="center"/>
            <w:hideMark/>
          </w:tcPr>
          <w:p w14:paraId="40EC38B4" w14:textId="77777777" w:rsidR="004C3380" w:rsidRPr="00736448" w:rsidRDefault="004C3380" w:rsidP="004C3380">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4434.12</w:t>
            </w:r>
          </w:p>
        </w:tc>
        <w:tc>
          <w:tcPr>
            <w:tcW w:w="939" w:type="dxa"/>
            <w:tcBorders>
              <w:top w:val="nil"/>
              <w:left w:val="nil"/>
              <w:bottom w:val="single" w:sz="8" w:space="0" w:color="auto"/>
              <w:right w:val="single" w:sz="8" w:space="0" w:color="auto"/>
            </w:tcBorders>
            <w:shd w:val="clear" w:color="auto" w:fill="auto"/>
            <w:vAlign w:val="center"/>
            <w:hideMark/>
          </w:tcPr>
          <w:p w14:paraId="41483A5E"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1594.12</w:t>
            </w:r>
          </w:p>
        </w:tc>
        <w:tc>
          <w:tcPr>
            <w:tcW w:w="1104" w:type="dxa"/>
            <w:tcBorders>
              <w:top w:val="nil"/>
              <w:left w:val="nil"/>
              <w:bottom w:val="single" w:sz="8" w:space="0" w:color="auto"/>
              <w:right w:val="single" w:sz="8" w:space="0" w:color="auto"/>
            </w:tcBorders>
            <w:shd w:val="clear" w:color="auto" w:fill="auto"/>
            <w:vAlign w:val="center"/>
            <w:hideMark/>
          </w:tcPr>
          <w:p w14:paraId="0AF3EDFC"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156.13</w:t>
            </w:r>
          </w:p>
        </w:tc>
        <w:tc>
          <w:tcPr>
            <w:tcW w:w="939" w:type="dxa"/>
            <w:tcBorders>
              <w:top w:val="nil"/>
              <w:left w:val="nil"/>
              <w:bottom w:val="single" w:sz="8" w:space="0" w:color="auto"/>
              <w:right w:val="single" w:sz="8" w:space="0" w:color="auto"/>
            </w:tcBorders>
            <w:shd w:val="clear" w:color="auto" w:fill="auto"/>
            <w:vAlign w:val="center"/>
            <w:hideMark/>
          </w:tcPr>
          <w:p w14:paraId="4AFD9B1D"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1879.52</w:t>
            </w:r>
          </w:p>
        </w:tc>
        <w:tc>
          <w:tcPr>
            <w:tcW w:w="1221" w:type="dxa"/>
            <w:tcBorders>
              <w:top w:val="nil"/>
              <w:left w:val="nil"/>
              <w:bottom w:val="single" w:sz="8" w:space="0" w:color="auto"/>
              <w:right w:val="single" w:sz="8" w:space="0" w:color="auto"/>
            </w:tcBorders>
            <w:shd w:val="clear" w:color="auto" w:fill="auto"/>
            <w:vAlign w:val="center"/>
            <w:hideMark/>
          </w:tcPr>
          <w:p w14:paraId="7E3474B5"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173.57</w:t>
            </w:r>
          </w:p>
        </w:tc>
        <w:tc>
          <w:tcPr>
            <w:tcW w:w="952" w:type="dxa"/>
            <w:tcBorders>
              <w:top w:val="nil"/>
              <w:left w:val="nil"/>
              <w:bottom w:val="single" w:sz="8" w:space="0" w:color="auto"/>
              <w:right w:val="single" w:sz="8" w:space="0" w:color="auto"/>
            </w:tcBorders>
            <w:shd w:val="clear" w:color="auto" w:fill="auto"/>
            <w:vAlign w:val="center"/>
            <w:hideMark/>
          </w:tcPr>
          <w:p w14:paraId="3D6E4767"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2446.42</w:t>
            </w:r>
          </w:p>
        </w:tc>
        <w:tc>
          <w:tcPr>
            <w:tcW w:w="1221" w:type="dxa"/>
            <w:tcBorders>
              <w:top w:val="nil"/>
              <w:left w:val="nil"/>
              <w:bottom w:val="single" w:sz="8" w:space="0" w:color="auto"/>
              <w:right w:val="single" w:sz="8" w:space="0" w:color="auto"/>
            </w:tcBorders>
            <w:shd w:val="clear" w:color="auto" w:fill="auto"/>
            <w:vAlign w:val="center"/>
            <w:hideMark/>
          </w:tcPr>
          <w:p w14:paraId="4AB619CD"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223.08</w:t>
            </w:r>
          </w:p>
        </w:tc>
        <w:tc>
          <w:tcPr>
            <w:tcW w:w="952" w:type="dxa"/>
            <w:tcBorders>
              <w:top w:val="nil"/>
              <w:left w:val="nil"/>
              <w:bottom w:val="single" w:sz="8" w:space="0" w:color="auto"/>
              <w:right w:val="single" w:sz="8" w:space="0" w:color="auto"/>
            </w:tcBorders>
            <w:shd w:val="clear" w:color="auto" w:fill="auto"/>
            <w:vAlign w:val="center"/>
            <w:hideMark/>
          </w:tcPr>
          <w:p w14:paraId="4708B014"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3320.22</w:t>
            </w:r>
          </w:p>
        </w:tc>
        <w:tc>
          <w:tcPr>
            <w:tcW w:w="1221" w:type="dxa"/>
            <w:tcBorders>
              <w:top w:val="nil"/>
              <w:left w:val="nil"/>
              <w:bottom w:val="single" w:sz="8" w:space="0" w:color="auto"/>
              <w:right w:val="single" w:sz="8" w:space="0" w:color="auto"/>
            </w:tcBorders>
            <w:shd w:val="clear" w:color="auto" w:fill="auto"/>
            <w:vAlign w:val="center"/>
            <w:hideMark/>
          </w:tcPr>
          <w:p w14:paraId="3357CA9B" w14:textId="77777777" w:rsidR="004C3380" w:rsidRPr="00736448" w:rsidRDefault="004C3380" w:rsidP="004C3380">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398.07</w:t>
            </w:r>
          </w:p>
        </w:tc>
      </w:tr>
    </w:tbl>
    <w:p w14:paraId="1F94968C" w14:textId="77777777" w:rsidR="00036557" w:rsidRPr="00736448" w:rsidRDefault="00036557" w:rsidP="00036557">
      <w:pPr>
        <w:rPr>
          <w:lang w:val="ro-MD"/>
        </w:rPr>
      </w:pPr>
    </w:p>
    <w:p w14:paraId="38A83198" w14:textId="70FF4C59" w:rsidR="00036557" w:rsidRDefault="00036557" w:rsidP="00036557">
      <w:pPr>
        <w:jc w:val="center"/>
        <w:rPr>
          <w:sz w:val="24"/>
          <w:lang w:val="ro-MD"/>
        </w:rPr>
      </w:pPr>
    </w:p>
    <w:p w14:paraId="0D20EC78" w14:textId="289DD205" w:rsidR="00F6011F" w:rsidRDefault="00F6011F" w:rsidP="00036557">
      <w:pPr>
        <w:jc w:val="center"/>
        <w:rPr>
          <w:sz w:val="24"/>
          <w:lang w:val="ro-MD"/>
        </w:rPr>
      </w:pPr>
    </w:p>
    <w:p w14:paraId="1B259540" w14:textId="65D5EFF7" w:rsidR="00DB70CA" w:rsidRPr="00181EA0" w:rsidRDefault="00FC62B3" w:rsidP="004C228A">
      <w:pPr>
        <w:pStyle w:val="2"/>
        <w:jc w:val="right"/>
        <w:rPr>
          <w:rFonts w:cstheme="majorHAnsi"/>
          <w:b/>
          <w:color w:val="000000" w:themeColor="text1"/>
          <w:sz w:val="24"/>
          <w:szCs w:val="24"/>
          <w:lang w:val="ro-MD"/>
        </w:rPr>
      </w:pPr>
      <w:r>
        <w:rPr>
          <w:rFonts w:cstheme="majorHAnsi"/>
          <w:b/>
          <w:color w:val="000000" w:themeColor="text1"/>
          <w:sz w:val="24"/>
          <w:szCs w:val="24"/>
          <w:lang w:val="ro-MD"/>
        </w:rPr>
        <w:t>Приложение №</w:t>
      </w:r>
      <w:r w:rsidR="004C228A" w:rsidRPr="00181EA0">
        <w:rPr>
          <w:rFonts w:cstheme="majorHAnsi"/>
          <w:b/>
          <w:color w:val="000000" w:themeColor="text1"/>
          <w:sz w:val="24"/>
          <w:szCs w:val="24"/>
          <w:lang w:val="ro-MD"/>
        </w:rPr>
        <w:t>2</w:t>
      </w:r>
    </w:p>
    <w:p w14:paraId="0BDB764B" w14:textId="186E8B62" w:rsidR="00DB70CA" w:rsidRPr="00181EA0" w:rsidRDefault="00142567" w:rsidP="00DB70CA">
      <w:pPr>
        <w:shd w:val="clear" w:color="auto" w:fill="FFFFFF" w:themeFill="background1"/>
        <w:spacing w:after="0" w:line="276" w:lineRule="auto"/>
        <w:jc w:val="center"/>
        <w:rPr>
          <w:rFonts w:asciiTheme="majorHAnsi" w:hAnsiTheme="majorHAnsi" w:cstheme="majorHAnsi"/>
          <w:b/>
          <w:sz w:val="24"/>
          <w:szCs w:val="24"/>
          <w:lang w:val="ro-MD"/>
        </w:rPr>
      </w:pPr>
      <w:r w:rsidRPr="00142567">
        <w:rPr>
          <w:rFonts w:asciiTheme="majorHAnsi" w:hAnsiTheme="majorHAnsi" w:cstheme="majorHAnsi"/>
          <w:b/>
          <w:sz w:val="24"/>
          <w:szCs w:val="24"/>
          <w:lang w:val="ro-MD"/>
        </w:rPr>
        <w:t xml:space="preserve">Сведения об общей численности </w:t>
      </w:r>
      <w:r>
        <w:rPr>
          <w:rFonts w:asciiTheme="majorHAnsi" w:hAnsiTheme="majorHAnsi" w:cstheme="majorHAnsi"/>
          <w:b/>
          <w:sz w:val="24"/>
          <w:szCs w:val="24"/>
          <w:lang w:val="ru-RU"/>
        </w:rPr>
        <w:t>бенефициаров</w:t>
      </w:r>
      <w:r w:rsidRPr="00142567">
        <w:rPr>
          <w:rFonts w:asciiTheme="majorHAnsi" w:hAnsiTheme="majorHAnsi" w:cstheme="majorHAnsi"/>
          <w:b/>
          <w:sz w:val="24"/>
          <w:szCs w:val="24"/>
          <w:lang w:val="ro-MD"/>
        </w:rPr>
        <w:t xml:space="preserve">, в том числе работающих, по видам социальных пособий за 2020-2022 годы </w:t>
      </w:r>
    </w:p>
    <w:tbl>
      <w:tblPr>
        <w:tblW w:w="0" w:type="auto"/>
        <w:tblLook w:val="04A0" w:firstRow="1" w:lastRow="0" w:firstColumn="1" w:lastColumn="0" w:noHBand="0" w:noVBand="1"/>
      </w:tblPr>
      <w:tblGrid>
        <w:gridCol w:w="502"/>
        <w:gridCol w:w="2107"/>
        <w:gridCol w:w="1508"/>
        <w:gridCol w:w="1058"/>
        <w:gridCol w:w="1508"/>
        <w:gridCol w:w="1058"/>
        <w:gridCol w:w="1508"/>
        <w:gridCol w:w="1058"/>
        <w:gridCol w:w="828"/>
        <w:gridCol w:w="856"/>
        <w:gridCol w:w="710"/>
        <w:gridCol w:w="844"/>
      </w:tblGrid>
      <w:tr w:rsidR="00DB70CA" w:rsidRPr="00B7675F" w14:paraId="0F3F9617" w14:textId="77777777" w:rsidTr="00A72850">
        <w:trPr>
          <w:trHeight w:val="20"/>
        </w:trPr>
        <w:tc>
          <w:tcPr>
            <w:tcW w:w="0" w:type="auto"/>
            <w:vMerge w:val="restart"/>
            <w:tcBorders>
              <w:top w:val="single" w:sz="8" w:space="0" w:color="auto"/>
              <w:left w:val="single" w:sz="8" w:space="0" w:color="auto"/>
              <w:bottom w:val="single" w:sz="8" w:space="0" w:color="auto"/>
              <w:right w:val="single" w:sz="8" w:space="0" w:color="auto"/>
            </w:tcBorders>
            <w:vAlign w:val="center"/>
          </w:tcPr>
          <w:p w14:paraId="7D55DE01" w14:textId="28C66DB0" w:rsidR="00DB70CA" w:rsidRPr="00181EA0" w:rsidRDefault="00C0319C" w:rsidP="00490517">
            <w:pPr>
              <w:spacing w:after="0" w:line="240" w:lineRule="auto"/>
              <w:rPr>
                <w:rFonts w:asciiTheme="majorHAnsi" w:eastAsia="Times New Roman" w:hAnsiTheme="majorHAnsi" w:cstheme="majorHAnsi"/>
                <w:b/>
                <w:bCs/>
                <w:color w:val="000000"/>
                <w:sz w:val="20"/>
                <w:szCs w:val="20"/>
                <w:lang w:val="ro-MD"/>
              </w:rPr>
            </w:pPr>
            <w:r>
              <w:rPr>
                <w:rFonts w:asciiTheme="majorHAnsi" w:eastAsia="Times New Roman" w:hAnsiTheme="majorHAnsi" w:cstheme="majorHAnsi"/>
                <w:b/>
                <w:bCs/>
                <w:color w:val="000000"/>
                <w:sz w:val="20"/>
                <w:szCs w:val="20"/>
                <w:lang w:val="ro-MD"/>
              </w:rPr>
              <w:t>№ п/п</w:t>
            </w:r>
          </w:p>
        </w:tc>
        <w:tc>
          <w:tcPr>
            <w:tcW w:w="0" w:type="auto"/>
            <w:vMerge w:val="restart"/>
            <w:tcBorders>
              <w:top w:val="single" w:sz="8" w:space="0" w:color="auto"/>
              <w:left w:val="single" w:sz="8" w:space="0" w:color="auto"/>
              <w:bottom w:val="single" w:sz="8" w:space="0" w:color="auto"/>
              <w:right w:val="single" w:sz="4" w:space="0" w:color="auto"/>
            </w:tcBorders>
            <w:vAlign w:val="center"/>
          </w:tcPr>
          <w:p w14:paraId="6232C67F" w14:textId="036C5C09" w:rsidR="00DB70CA" w:rsidRPr="00C0319C" w:rsidRDefault="00C0319C" w:rsidP="00490517">
            <w:pPr>
              <w:spacing w:after="0" w:line="240" w:lineRule="auto"/>
              <w:rPr>
                <w:rFonts w:asciiTheme="majorHAnsi" w:eastAsia="Times New Roman" w:hAnsiTheme="majorHAnsi" w:cstheme="majorHAnsi"/>
                <w:b/>
                <w:bCs/>
                <w:color w:val="000000"/>
                <w:sz w:val="20"/>
                <w:szCs w:val="20"/>
                <w:lang w:val="ru-RU"/>
              </w:rPr>
            </w:pPr>
            <w:r>
              <w:rPr>
                <w:rFonts w:asciiTheme="majorHAnsi" w:eastAsia="Times New Roman" w:hAnsiTheme="majorHAnsi" w:cstheme="majorHAnsi"/>
                <w:b/>
                <w:bCs/>
                <w:color w:val="000000"/>
                <w:sz w:val="20"/>
                <w:szCs w:val="20"/>
                <w:lang w:val="ru-RU"/>
              </w:rPr>
              <w:t>Вид пособия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5D2F9" w14:textId="1C77FE5D" w:rsidR="00DB70CA" w:rsidRPr="00181EA0" w:rsidRDefault="00C0319C" w:rsidP="00490517">
            <w:pPr>
              <w:spacing w:after="0" w:line="240" w:lineRule="auto"/>
              <w:jc w:val="center"/>
              <w:rPr>
                <w:rFonts w:asciiTheme="majorHAnsi" w:eastAsia="Times New Roman" w:hAnsiTheme="majorHAnsi" w:cstheme="majorHAnsi"/>
                <w:b/>
                <w:bCs/>
                <w:color w:val="000000"/>
                <w:sz w:val="20"/>
                <w:szCs w:val="20"/>
                <w:lang w:val="ro-MD"/>
              </w:rPr>
            </w:pPr>
            <w:r>
              <w:rPr>
                <w:rFonts w:asciiTheme="majorHAnsi" w:eastAsia="Times New Roman" w:hAnsiTheme="majorHAnsi" w:cstheme="majorHAnsi"/>
                <w:b/>
                <w:bCs/>
                <w:color w:val="000000"/>
                <w:sz w:val="20"/>
                <w:szCs w:val="20"/>
                <w:lang w:val="ro-MD"/>
              </w:rPr>
              <w:t>По состоянию на</w:t>
            </w:r>
            <w:r>
              <w:rPr>
                <w:rFonts w:asciiTheme="majorHAnsi" w:eastAsia="Times New Roman" w:hAnsiTheme="majorHAnsi" w:cstheme="majorHAnsi"/>
                <w:b/>
                <w:bCs/>
                <w:color w:val="000000"/>
                <w:sz w:val="20"/>
                <w:szCs w:val="20"/>
                <w:lang w:val="ru-RU"/>
              </w:rPr>
              <w:t xml:space="preserve"> </w:t>
            </w:r>
            <w:r w:rsidR="00DB70CA" w:rsidRPr="00181EA0">
              <w:rPr>
                <w:rFonts w:asciiTheme="majorHAnsi" w:eastAsia="Times New Roman" w:hAnsiTheme="majorHAnsi" w:cstheme="majorHAnsi"/>
                <w:b/>
                <w:bCs/>
                <w:color w:val="000000"/>
                <w:sz w:val="20"/>
                <w:szCs w:val="20"/>
                <w:lang w:val="ro-MD"/>
              </w:rPr>
              <w:t>01.01.2021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B7653" w14:textId="16616A05" w:rsidR="00DB70CA" w:rsidRPr="00181EA0" w:rsidRDefault="00C0319C" w:rsidP="00490517">
            <w:pPr>
              <w:spacing w:after="0" w:line="240" w:lineRule="auto"/>
              <w:jc w:val="center"/>
              <w:rPr>
                <w:rFonts w:asciiTheme="majorHAnsi" w:eastAsia="Times New Roman" w:hAnsiTheme="majorHAnsi" w:cstheme="majorHAnsi"/>
                <w:b/>
                <w:bCs/>
                <w:color w:val="000000"/>
                <w:sz w:val="20"/>
                <w:szCs w:val="20"/>
                <w:lang w:val="ro-MD"/>
              </w:rPr>
            </w:pPr>
            <w:r>
              <w:rPr>
                <w:rFonts w:asciiTheme="majorHAnsi" w:eastAsia="Times New Roman" w:hAnsiTheme="majorHAnsi" w:cstheme="majorHAnsi"/>
                <w:b/>
                <w:bCs/>
                <w:color w:val="000000"/>
                <w:sz w:val="20"/>
                <w:szCs w:val="20"/>
                <w:lang w:val="ro-MD"/>
              </w:rPr>
              <w:t>По состоянию на</w:t>
            </w:r>
            <w:r>
              <w:rPr>
                <w:rFonts w:asciiTheme="majorHAnsi" w:eastAsia="Times New Roman" w:hAnsiTheme="majorHAnsi" w:cstheme="majorHAnsi"/>
                <w:b/>
                <w:bCs/>
                <w:color w:val="000000"/>
                <w:sz w:val="20"/>
                <w:szCs w:val="20"/>
                <w:lang w:val="ru-RU"/>
              </w:rPr>
              <w:t xml:space="preserve"> </w:t>
            </w:r>
            <w:r w:rsidR="00DB70CA" w:rsidRPr="00181EA0">
              <w:rPr>
                <w:rFonts w:asciiTheme="majorHAnsi" w:eastAsia="Times New Roman" w:hAnsiTheme="majorHAnsi" w:cstheme="majorHAnsi"/>
                <w:b/>
                <w:bCs/>
                <w:color w:val="000000"/>
                <w:sz w:val="20"/>
                <w:szCs w:val="20"/>
                <w:lang w:val="ro-MD"/>
              </w:rPr>
              <w:t>01.01.2022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6F5CB" w14:textId="52296964" w:rsidR="00DB70CA" w:rsidRPr="00181EA0" w:rsidRDefault="00C0319C" w:rsidP="00490517">
            <w:pPr>
              <w:spacing w:after="0" w:line="240" w:lineRule="auto"/>
              <w:jc w:val="center"/>
              <w:rPr>
                <w:rFonts w:asciiTheme="majorHAnsi" w:eastAsia="Times New Roman" w:hAnsiTheme="majorHAnsi" w:cstheme="majorHAnsi"/>
                <w:b/>
                <w:bCs/>
                <w:color w:val="000000"/>
                <w:sz w:val="20"/>
                <w:szCs w:val="20"/>
                <w:lang w:val="ro-MD"/>
              </w:rPr>
            </w:pPr>
            <w:r>
              <w:rPr>
                <w:rFonts w:asciiTheme="majorHAnsi" w:eastAsia="Times New Roman" w:hAnsiTheme="majorHAnsi" w:cstheme="majorHAnsi"/>
                <w:b/>
                <w:bCs/>
                <w:color w:val="000000"/>
                <w:sz w:val="20"/>
                <w:szCs w:val="20"/>
                <w:lang w:val="ro-MD"/>
              </w:rPr>
              <w:t>По состоянию на</w:t>
            </w:r>
            <w:r>
              <w:rPr>
                <w:rFonts w:asciiTheme="majorHAnsi" w:eastAsia="Times New Roman" w:hAnsiTheme="majorHAnsi" w:cstheme="majorHAnsi"/>
                <w:b/>
                <w:bCs/>
                <w:color w:val="000000"/>
                <w:sz w:val="20"/>
                <w:szCs w:val="20"/>
                <w:lang w:val="ru-RU"/>
              </w:rPr>
              <w:t xml:space="preserve"> </w:t>
            </w:r>
            <w:r w:rsidR="00DB70CA" w:rsidRPr="00181EA0">
              <w:rPr>
                <w:rFonts w:asciiTheme="majorHAnsi" w:eastAsia="Times New Roman" w:hAnsiTheme="majorHAnsi" w:cstheme="majorHAnsi"/>
                <w:b/>
                <w:bCs/>
                <w:color w:val="000000"/>
                <w:sz w:val="20"/>
                <w:szCs w:val="20"/>
                <w:lang w:val="ro-MD"/>
              </w:rPr>
              <w:t>01.01.2023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02399" w14:textId="615620AB" w:rsidR="00DB70CA" w:rsidRPr="00181EA0" w:rsidRDefault="00C0319C" w:rsidP="00490517">
            <w:pPr>
              <w:spacing w:after="0" w:line="240" w:lineRule="auto"/>
              <w:jc w:val="center"/>
              <w:rPr>
                <w:rFonts w:asciiTheme="majorHAnsi" w:eastAsia="Times New Roman" w:hAnsiTheme="majorHAnsi" w:cstheme="majorHAnsi"/>
                <w:b/>
                <w:bCs/>
                <w:color w:val="000000"/>
                <w:sz w:val="20"/>
                <w:szCs w:val="20"/>
                <w:lang w:val="ro-MD"/>
              </w:rPr>
            </w:pPr>
            <w:r w:rsidRPr="00C0319C">
              <w:rPr>
                <w:rFonts w:asciiTheme="majorHAnsi" w:eastAsia="Times New Roman" w:hAnsiTheme="majorHAnsi" w:cstheme="majorHAnsi"/>
                <w:b/>
                <w:bCs/>
                <w:color w:val="000000"/>
                <w:sz w:val="20"/>
                <w:szCs w:val="20"/>
                <w:lang w:val="ro-MD"/>
              </w:rPr>
              <w:t xml:space="preserve">Динамика общего числа бенефициаров </w:t>
            </w:r>
            <w:r w:rsidR="00DB70CA" w:rsidRPr="00181EA0">
              <w:rPr>
                <w:rFonts w:asciiTheme="majorHAnsi" w:eastAsia="Times New Roman" w:hAnsiTheme="majorHAnsi" w:cstheme="majorHAnsi"/>
                <w:b/>
                <w:bCs/>
                <w:color w:val="000000"/>
                <w:sz w:val="20"/>
                <w:szCs w:val="20"/>
                <w:lang w:val="ro-MD"/>
              </w:rPr>
              <w:t>01.01.2023/</w:t>
            </w:r>
          </w:p>
          <w:p w14:paraId="15126D91" w14:textId="77777777" w:rsidR="00DB70CA" w:rsidRPr="00181EA0" w:rsidRDefault="00DB70CA" w:rsidP="00490517">
            <w:pPr>
              <w:spacing w:after="0" w:line="240" w:lineRule="auto"/>
              <w:jc w:val="center"/>
              <w:rPr>
                <w:rFonts w:asciiTheme="majorHAnsi" w:eastAsia="Times New Roman" w:hAnsiTheme="majorHAnsi" w:cstheme="majorHAnsi"/>
                <w:color w:val="000000"/>
                <w:sz w:val="20"/>
                <w:szCs w:val="20"/>
                <w:lang w:val="ro-MD"/>
              </w:rPr>
            </w:pPr>
            <w:r w:rsidRPr="00181EA0">
              <w:rPr>
                <w:rFonts w:asciiTheme="majorHAnsi" w:eastAsia="Times New Roman" w:hAnsiTheme="majorHAnsi" w:cstheme="majorHAnsi"/>
                <w:b/>
                <w:bCs/>
                <w:color w:val="000000"/>
                <w:sz w:val="20"/>
                <w:szCs w:val="20"/>
                <w:lang w:val="ro-MD"/>
              </w:rPr>
              <w:t>01.01.2021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F7213" w14:textId="77777777" w:rsidR="00C0319C" w:rsidRDefault="00C0319C" w:rsidP="00490517">
            <w:pPr>
              <w:spacing w:after="0" w:line="240" w:lineRule="auto"/>
              <w:jc w:val="center"/>
              <w:rPr>
                <w:rFonts w:asciiTheme="majorHAnsi" w:eastAsia="Times New Roman" w:hAnsiTheme="majorHAnsi" w:cstheme="majorHAnsi"/>
                <w:b/>
                <w:bCs/>
                <w:color w:val="000000"/>
                <w:sz w:val="20"/>
                <w:szCs w:val="20"/>
                <w:lang w:val="ro-MD"/>
              </w:rPr>
            </w:pPr>
            <w:r w:rsidRPr="00C0319C">
              <w:rPr>
                <w:rFonts w:asciiTheme="majorHAnsi" w:eastAsia="Times New Roman" w:hAnsiTheme="majorHAnsi" w:cstheme="majorHAnsi"/>
                <w:b/>
                <w:bCs/>
                <w:color w:val="000000"/>
                <w:sz w:val="20"/>
                <w:szCs w:val="20"/>
                <w:lang w:val="ro-MD"/>
              </w:rPr>
              <w:t>Динамика работающих бенефициаров</w:t>
            </w:r>
          </w:p>
          <w:p w14:paraId="7F020400" w14:textId="2CDD4EA9" w:rsidR="00DB70CA" w:rsidRPr="00181EA0" w:rsidRDefault="00DB70CA" w:rsidP="00490517">
            <w:pPr>
              <w:spacing w:after="0" w:line="240" w:lineRule="auto"/>
              <w:jc w:val="center"/>
              <w:rPr>
                <w:rFonts w:asciiTheme="majorHAnsi" w:eastAsia="Times New Roman" w:hAnsiTheme="majorHAnsi" w:cstheme="majorHAnsi"/>
                <w:b/>
                <w:bCs/>
                <w:color w:val="000000"/>
                <w:sz w:val="20"/>
                <w:szCs w:val="20"/>
                <w:lang w:val="ro-MD"/>
              </w:rPr>
            </w:pPr>
            <w:r w:rsidRPr="00181EA0">
              <w:rPr>
                <w:rFonts w:asciiTheme="majorHAnsi" w:eastAsia="Times New Roman" w:hAnsiTheme="majorHAnsi" w:cstheme="majorHAnsi"/>
                <w:b/>
                <w:bCs/>
                <w:color w:val="000000"/>
                <w:sz w:val="20"/>
                <w:szCs w:val="20"/>
                <w:lang w:val="ro-MD"/>
              </w:rPr>
              <w:t>01.01.2023/</w:t>
            </w:r>
          </w:p>
          <w:p w14:paraId="0B607A46"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181EA0">
              <w:rPr>
                <w:rFonts w:asciiTheme="majorHAnsi" w:eastAsia="Times New Roman" w:hAnsiTheme="majorHAnsi" w:cstheme="majorHAnsi"/>
                <w:b/>
                <w:bCs/>
                <w:color w:val="000000"/>
                <w:sz w:val="20"/>
                <w:szCs w:val="20"/>
                <w:lang w:val="ro-MD"/>
              </w:rPr>
              <w:t>01.01.2021</w:t>
            </w:r>
          </w:p>
        </w:tc>
      </w:tr>
      <w:tr w:rsidR="00DB70CA" w:rsidRPr="00B7675F" w14:paraId="3F809B16" w14:textId="77777777" w:rsidTr="00A72850">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56DAED9" w14:textId="77777777" w:rsidR="00DB70CA" w:rsidRPr="00736448" w:rsidRDefault="00DB70CA" w:rsidP="00490517">
            <w:pPr>
              <w:spacing w:after="0" w:line="240" w:lineRule="auto"/>
              <w:rPr>
                <w:rFonts w:asciiTheme="majorHAnsi" w:eastAsia="Times New Roman" w:hAnsiTheme="majorHAnsi" w:cstheme="majorHAnsi"/>
                <w:b/>
                <w:bCs/>
                <w:color w:val="000000"/>
                <w:sz w:val="20"/>
                <w:szCs w:val="20"/>
                <w:lang w:val="ro-MD"/>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14:paraId="2BD9810B" w14:textId="77777777" w:rsidR="00DB70CA" w:rsidRPr="00736448" w:rsidRDefault="00DB70CA" w:rsidP="00490517">
            <w:pPr>
              <w:spacing w:after="0" w:line="240" w:lineRule="auto"/>
              <w:rPr>
                <w:rFonts w:asciiTheme="majorHAnsi" w:eastAsia="Times New Roman" w:hAnsiTheme="majorHAnsi" w:cstheme="majorHAnsi"/>
                <w:b/>
                <w:bCs/>
                <w:color w:val="000000"/>
                <w:sz w:val="20"/>
                <w:szCs w:val="20"/>
                <w:lang w:val="ro-MD"/>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383E0A" w14:textId="4B84F530" w:rsidR="00DB70CA" w:rsidRPr="00736448" w:rsidRDefault="00C0319C" w:rsidP="00C0319C">
            <w:pPr>
              <w:spacing w:after="0" w:line="240" w:lineRule="auto"/>
              <w:jc w:val="center"/>
              <w:rPr>
                <w:rFonts w:asciiTheme="majorHAnsi" w:eastAsia="Times New Roman" w:hAnsiTheme="majorHAnsi" w:cstheme="majorHAnsi"/>
                <w:b/>
                <w:bCs/>
                <w:color w:val="000000"/>
                <w:sz w:val="20"/>
                <w:szCs w:val="20"/>
                <w:lang w:val="ro-MD"/>
              </w:rPr>
            </w:pPr>
            <w:r w:rsidRPr="00C0319C">
              <w:rPr>
                <w:rFonts w:asciiTheme="majorHAnsi" w:eastAsia="Times New Roman" w:hAnsiTheme="majorHAnsi" w:cstheme="majorHAnsi"/>
                <w:b/>
                <w:bCs/>
                <w:color w:val="000000"/>
                <w:sz w:val="20"/>
                <w:szCs w:val="20"/>
                <w:lang w:val="ro-MD"/>
              </w:rPr>
              <w:t>обще</w:t>
            </w:r>
            <w:r>
              <w:rPr>
                <w:rFonts w:asciiTheme="majorHAnsi" w:eastAsia="Times New Roman" w:hAnsiTheme="majorHAnsi" w:cstheme="majorHAnsi"/>
                <w:b/>
                <w:bCs/>
                <w:color w:val="000000"/>
                <w:sz w:val="20"/>
                <w:szCs w:val="20"/>
                <w:lang w:val="ru-RU"/>
              </w:rPr>
              <w:t>е</w:t>
            </w:r>
            <w:r w:rsidRPr="00C0319C">
              <w:rPr>
                <w:rFonts w:asciiTheme="majorHAnsi" w:eastAsia="Times New Roman" w:hAnsiTheme="majorHAnsi" w:cstheme="majorHAnsi"/>
                <w:b/>
                <w:bCs/>
                <w:color w:val="000000"/>
                <w:sz w:val="20"/>
                <w:szCs w:val="20"/>
                <w:lang w:val="ro-MD"/>
              </w:rPr>
              <w:t xml:space="preserve"> числа бенефициаров</w:t>
            </w:r>
            <w:r w:rsidR="00DB70CA" w:rsidRPr="00736448">
              <w:rPr>
                <w:rFonts w:asciiTheme="majorHAnsi" w:eastAsia="Times New Roman" w:hAnsiTheme="majorHAnsi" w:cstheme="majorHAnsi"/>
                <w:b/>
                <w:bCs/>
                <w:i/>
                <w:iCs/>
                <w:color w:val="000000"/>
                <w:sz w:val="20"/>
                <w:szCs w:val="20"/>
                <w:lang w:val="ro-MD"/>
              </w:rPr>
              <w:t xml:space="preserve"> </w:t>
            </w:r>
            <w:r w:rsidR="00DB70CA" w:rsidRPr="00736448">
              <w:rPr>
                <w:rFonts w:asciiTheme="majorHAnsi" w:eastAsia="Times New Roman" w:hAnsiTheme="majorHAnsi" w:cstheme="majorHAnsi"/>
                <w:i/>
                <w:iCs/>
                <w:color w:val="000000"/>
                <w:sz w:val="20"/>
                <w:szCs w:val="20"/>
                <w:lang w:val="ro-MD"/>
              </w:rPr>
              <w:t>(</w:t>
            </w:r>
            <w:r>
              <w:rPr>
                <w:rFonts w:asciiTheme="majorHAnsi" w:eastAsia="Times New Roman" w:hAnsiTheme="majorHAnsi" w:cstheme="majorHAnsi"/>
                <w:i/>
                <w:iCs/>
                <w:color w:val="000000"/>
                <w:sz w:val="20"/>
                <w:szCs w:val="20"/>
                <w:lang w:val="ro-MD"/>
              </w:rPr>
              <w:t>лиц</w:t>
            </w:r>
            <w:r w:rsidR="00DB70CA" w:rsidRPr="00736448">
              <w:rPr>
                <w:rFonts w:asciiTheme="majorHAnsi" w:eastAsia="Times New Roman" w:hAnsiTheme="majorHAnsi" w:cstheme="majorHAnsi"/>
                <w:i/>
                <w:iCs/>
                <w:color w:val="000000"/>
                <w:sz w:val="20"/>
                <w:szCs w:val="20"/>
                <w:lang w:val="ro-MD"/>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B0E491" w14:textId="71F59D41" w:rsidR="00DB70CA" w:rsidRPr="00736448" w:rsidRDefault="00C0319C" w:rsidP="00186CDB">
            <w:pPr>
              <w:spacing w:after="0" w:line="240" w:lineRule="auto"/>
              <w:jc w:val="center"/>
              <w:rPr>
                <w:rFonts w:asciiTheme="majorHAnsi" w:eastAsia="Times New Roman" w:hAnsiTheme="majorHAnsi" w:cstheme="majorHAnsi"/>
                <w:b/>
                <w:bCs/>
                <w:color w:val="000000"/>
                <w:sz w:val="20"/>
                <w:szCs w:val="20"/>
                <w:lang w:val="ro-MD"/>
              </w:rPr>
            </w:pPr>
            <w:r>
              <w:rPr>
                <w:rFonts w:asciiTheme="majorHAnsi" w:eastAsia="Times New Roman" w:hAnsiTheme="majorHAnsi" w:cstheme="majorHAnsi"/>
                <w:b/>
                <w:bCs/>
                <w:color w:val="000000"/>
                <w:sz w:val="20"/>
                <w:szCs w:val="20"/>
                <w:lang w:val="ru-RU"/>
              </w:rPr>
              <w:t>из которых работают</w:t>
            </w:r>
            <w:r w:rsidR="00DB70CA" w:rsidRPr="00736448">
              <w:rPr>
                <w:rFonts w:asciiTheme="majorHAnsi" w:eastAsia="Times New Roman" w:hAnsiTheme="majorHAnsi" w:cstheme="majorHAnsi"/>
                <w:b/>
                <w:bCs/>
                <w:i/>
                <w:iCs/>
                <w:color w:val="000000"/>
                <w:sz w:val="20"/>
                <w:szCs w:val="20"/>
                <w:lang w:val="ro-MD"/>
              </w:rPr>
              <w:t xml:space="preserve"> </w:t>
            </w:r>
            <w:r w:rsidR="00DB70CA" w:rsidRPr="00736448">
              <w:rPr>
                <w:rFonts w:asciiTheme="majorHAnsi" w:eastAsia="Times New Roman" w:hAnsiTheme="majorHAnsi" w:cstheme="majorHAnsi"/>
                <w:i/>
                <w:iCs/>
                <w:color w:val="000000"/>
                <w:sz w:val="20"/>
                <w:szCs w:val="20"/>
                <w:lang w:val="ro-MD"/>
              </w:rPr>
              <w:t>(</w:t>
            </w:r>
            <w:r>
              <w:rPr>
                <w:rFonts w:asciiTheme="majorHAnsi" w:eastAsia="Times New Roman" w:hAnsiTheme="majorHAnsi" w:cstheme="majorHAnsi"/>
                <w:i/>
                <w:iCs/>
                <w:color w:val="000000"/>
                <w:sz w:val="20"/>
                <w:szCs w:val="20"/>
                <w:lang w:val="ro-MD"/>
              </w:rPr>
              <w:t>лиц</w:t>
            </w:r>
            <w:r w:rsidR="00DB70CA" w:rsidRPr="00736448">
              <w:rPr>
                <w:rFonts w:asciiTheme="majorHAnsi" w:eastAsia="Times New Roman" w:hAnsiTheme="majorHAnsi" w:cstheme="majorHAnsi"/>
                <w:i/>
                <w:iCs/>
                <w:color w:val="000000"/>
                <w:sz w:val="20"/>
                <w:szCs w:val="20"/>
                <w:lang w:val="ro-MD"/>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3D6DD5" w14:textId="005AB0B0" w:rsidR="00DB70CA" w:rsidRPr="00736448" w:rsidRDefault="00C0319C" w:rsidP="00186CDB">
            <w:pPr>
              <w:spacing w:after="0" w:line="240" w:lineRule="auto"/>
              <w:jc w:val="center"/>
              <w:rPr>
                <w:rFonts w:asciiTheme="majorHAnsi" w:eastAsia="Times New Roman" w:hAnsiTheme="majorHAnsi" w:cstheme="majorHAnsi"/>
                <w:b/>
                <w:bCs/>
                <w:color w:val="000000"/>
                <w:sz w:val="20"/>
                <w:szCs w:val="20"/>
                <w:lang w:val="ro-MD"/>
              </w:rPr>
            </w:pPr>
            <w:r w:rsidRPr="00C0319C">
              <w:rPr>
                <w:rFonts w:asciiTheme="majorHAnsi" w:eastAsia="Times New Roman" w:hAnsiTheme="majorHAnsi" w:cstheme="majorHAnsi"/>
                <w:b/>
                <w:bCs/>
                <w:color w:val="000000"/>
                <w:sz w:val="20"/>
                <w:szCs w:val="20"/>
                <w:lang w:val="ro-MD"/>
              </w:rPr>
              <w:t>обще</w:t>
            </w:r>
            <w:r>
              <w:rPr>
                <w:rFonts w:asciiTheme="majorHAnsi" w:eastAsia="Times New Roman" w:hAnsiTheme="majorHAnsi" w:cstheme="majorHAnsi"/>
                <w:b/>
                <w:bCs/>
                <w:color w:val="000000"/>
                <w:sz w:val="20"/>
                <w:szCs w:val="20"/>
                <w:lang w:val="ru-RU"/>
              </w:rPr>
              <w:t>е</w:t>
            </w:r>
            <w:r w:rsidRPr="00C0319C">
              <w:rPr>
                <w:rFonts w:asciiTheme="majorHAnsi" w:eastAsia="Times New Roman" w:hAnsiTheme="majorHAnsi" w:cstheme="majorHAnsi"/>
                <w:b/>
                <w:bCs/>
                <w:color w:val="000000"/>
                <w:sz w:val="20"/>
                <w:szCs w:val="20"/>
                <w:lang w:val="ro-MD"/>
              </w:rPr>
              <w:t xml:space="preserve"> числа бенефициаров</w:t>
            </w:r>
            <w:r w:rsidRPr="00736448">
              <w:rPr>
                <w:rFonts w:asciiTheme="majorHAnsi" w:eastAsia="Times New Roman" w:hAnsiTheme="majorHAnsi" w:cstheme="majorHAnsi"/>
                <w:b/>
                <w:bCs/>
                <w:i/>
                <w:iCs/>
                <w:color w:val="000000"/>
                <w:sz w:val="20"/>
                <w:szCs w:val="20"/>
                <w:lang w:val="ro-MD"/>
              </w:rPr>
              <w:t xml:space="preserve"> </w:t>
            </w:r>
            <w:r w:rsidR="00DB70CA" w:rsidRPr="00736448">
              <w:rPr>
                <w:rFonts w:asciiTheme="majorHAnsi" w:eastAsia="Times New Roman" w:hAnsiTheme="majorHAnsi" w:cstheme="majorHAnsi"/>
                <w:i/>
                <w:iCs/>
                <w:color w:val="000000"/>
                <w:sz w:val="20"/>
                <w:szCs w:val="20"/>
                <w:lang w:val="ro-MD"/>
              </w:rPr>
              <w:t>(</w:t>
            </w:r>
            <w:r>
              <w:rPr>
                <w:rFonts w:asciiTheme="majorHAnsi" w:eastAsia="Times New Roman" w:hAnsiTheme="majorHAnsi" w:cstheme="majorHAnsi"/>
                <w:i/>
                <w:iCs/>
                <w:color w:val="000000"/>
                <w:sz w:val="20"/>
                <w:szCs w:val="20"/>
                <w:lang w:val="ro-MD"/>
              </w:rPr>
              <w:t>лиц</w:t>
            </w:r>
            <w:r w:rsidR="00DB70CA" w:rsidRPr="00736448">
              <w:rPr>
                <w:rFonts w:asciiTheme="majorHAnsi" w:eastAsia="Times New Roman" w:hAnsiTheme="majorHAnsi" w:cstheme="majorHAnsi"/>
                <w:i/>
                <w:iCs/>
                <w:color w:val="000000"/>
                <w:sz w:val="20"/>
                <w:szCs w:val="20"/>
                <w:lang w:val="ro-MD"/>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AB7872" w14:textId="30E4D519" w:rsidR="00DB70CA" w:rsidRPr="00736448" w:rsidRDefault="00C0319C" w:rsidP="00186CDB">
            <w:pPr>
              <w:spacing w:after="0" w:line="240" w:lineRule="auto"/>
              <w:jc w:val="center"/>
              <w:rPr>
                <w:rFonts w:asciiTheme="majorHAnsi" w:eastAsia="Times New Roman" w:hAnsiTheme="majorHAnsi" w:cstheme="majorHAnsi"/>
                <w:b/>
                <w:bCs/>
                <w:color w:val="000000"/>
                <w:sz w:val="20"/>
                <w:szCs w:val="20"/>
                <w:lang w:val="ro-MD"/>
              </w:rPr>
            </w:pPr>
            <w:r>
              <w:rPr>
                <w:rFonts w:asciiTheme="majorHAnsi" w:eastAsia="Times New Roman" w:hAnsiTheme="majorHAnsi" w:cstheme="majorHAnsi"/>
                <w:b/>
                <w:bCs/>
                <w:color w:val="000000"/>
                <w:sz w:val="20"/>
                <w:szCs w:val="20"/>
                <w:lang w:val="ru-RU"/>
              </w:rPr>
              <w:t>из которых работают</w:t>
            </w:r>
            <w:r w:rsidRPr="00736448">
              <w:rPr>
                <w:rFonts w:asciiTheme="majorHAnsi" w:eastAsia="Times New Roman" w:hAnsiTheme="majorHAnsi" w:cstheme="majorHAnsi"/>
                <w:b/>
                <w:bCs/>
                <w:i/>
                <w:iCs/>
                <w:color w:val="000000"/>
                <w:sz w:val="20"/>
                <w:szCs w:val="20"/>
                <w:lang w:val="ro-MD"/>
              </w:rPr>
              <w:t xml:space="preserve"> </w:t>
            </w:r>
            <w:r w:rsidR="00DB70CA" w:rsidRPr="00736448">
              <w:rPr>
                <w:rFonts w:asciiTheme="majorHAnsi" w:eastAsia="Times New Roman" w:hAnsiTheme="majorHAnsi" w:cstheme="majorHAnsi"/>
                <w:i/>
                <w:iCs/>
                <w:color w:val="000000"/>
                <w:sz w:val="20"/>
                <w:szCs w:val="20"/>
                <w:lang w:val="ro-MD"/>
              </w:rPr>
              <w:t>(</w:t>
            </w:r>
            <w:r>
              <w:rPr>
                <w:rFonts w:asciiTheme="majorHAnsi" w:eastAsia="Times New Roman" w:hAnsiTheme="majorHAnsi" w:cstheme="majorHAnsi"/>
                <w:i/>
                <w:iCs/>
                <w:color w:val="000000"/>
                <w:sz w:val="20"/>
                <w:szCs w:val="20"/>
                <w:lang w:val="ro-MD"/>
              </w:rPr>
              <w:t>лиц</w:t>
            </w:r>
            <w:r w:rsidR="00DB70CA" w:rsidRPr="00736448">
              <w:rPr>
                <w:rFonts w:asciiTheme="majorHAnsi" w:eastAsia="Times New Roman" w:hAnsiTheme="majorHAnsi" w:cstheme="majorHAnsi"/>
                <w:i/>
                <w:iCs/>
                <w:color w:val="000000"/>
                <w:sz w:val="20"/>
                <w:szCs w:val="20"/>
                <w:lang w:val="ro-MD"/>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386EC0" w14:textId="0BF28953" w:rsidR="00DB70CA" w:rsidRPr="00736448" w:rsidRDefault="00C0319C" w:rsidP="00186CDB">
            <w:pPr>
              <w:spacing w:after="0" w:line="240" w:lineRule="auto"/>
              <w:jc w:val="center"/>
              <w:rPr>
                <w:rFonts w:asciiTheme="majorHAnsi" w:eastAsia="Times New Roman" w:hAnsiTheme="majorHAnsi" w:cstheme="majorHAnsi"/>
                <w:b/>
                <w:bCs/>
                <w:color w:val="000000"/>
                <w:sz w:val="20"/>
                <w:szCs w:val="20"/>
                <w:lang w:val="ro-MD"/>
              </w:rPr>
            </w:pPr>
            <w:r w:rsidRPr="00C0319C">
              <w:rPr>
                <w:rFonts w:asciiTheme="majorHAnsi" w:eastAsia="Times New Roman" w:hAnsiTheme="majorHAnsi" w:cstheme="majorHAnsi"/>
                <w:b/>
                <w:bCs/>
                <w:color w:val="000000"/>
                <w:sz w:val="20"/>
                <w:szCs w:val="20"/>
                <w:lang w:val="ro-MD"/>
              </w:rPr>
              <w:t>обще</w:t>
            </w:r>
            <w:r>
              <w:rPr>
                <w:rFonts w:asciiTheme="majorHAnsi" w:eastAsia="Times New Roman" w:hAnsiTheme="majorHAnsi" w:cstheme="majorHAnsi"/>
                <w:b/>
                <w:bCs/>
                <w:color w:val="000000"/>
                <w:sz w:val="20"/>
                <w:szCs w:val="20"/>
                <w:lang w:val="ru-RU"/>
              </w:rPr>
              <w:t>е</w:t>
            </w:r>
            <w:r w:rsidRPr="00C0319C">
              <w:rPr>
                <w:rFonts w:asciiTheme="majorHAnsi" w:eastAsia="Times New Roman" w:hAnsiTheme="majorHAnsi" w:cstheme="majorHAnsi"/>
                <w:b/>
                <w:bCs/>
                <w:color w:val="000000"/>
                <w:sz w:val="20"/>
                <w:szCs w:val="20"/>
                <w:lang w:val="ro-MD"/>
              </w:rPr>
              <w:t xml:space="preserve"> числа бенефициаров</w:t>
            </w:r>
            <w:r w:rsidRPr="00736448">
              <w:rPr>
                <w:rFonts w:asciiTheme="majorHAnsi" w:eastAsia="Times New Roman" w:hAnsiTheme="majorHAnsi" w:cstheme="majorHAnsi"/>
                <w:b/>
                <w:bCs/>
                <w:i/>
                <w:iCs/>
                <w:color w:val="000000"/>
                <w:sz w:val="20"/>
                <w:szCs w:val="20"/>
                <w:lang w:val="ro-MD"/>
              </w:rPr>
              <w:t xml:space="preserve"> </w:t>
            </w:r>
            <w:r w:rsidR="00DB70CA" w:rsidRPr="00736448">
              <w:rPr>
                <w:rFonts w:asciiTheme="majorHAnsi" w:eastAsia="Times New Roman" w:hAnsiTheme="majorHAnsi" w:cstheme="majorHAnsi"/>
                <w:i/>
                <w:iCs/>
                <w:color w:val="000000"/>
                <w:sz w:val="20"/>
                <w:szCs w:val="20"/>
                <w:lang w:val="ro-MD"/>
              </w:rPr>
              <w:t>(</w:t>
            </w:r>
            <w:r>
              <w:rPr>
                <w:rFonts w:asciiTheme="majorHAnsi" w:eastAsia="Times New Roman" w:hAnsiTheme="majorHAnsi" w:cstheme="majorHAnsi"/>
                <w:i/>
                <w:iCs/>
                <w:color w:val="000000"/>
                <w:sz w:val="20"/>
                <w:szCs w:val="20"/>
                <w:lang w:val="ro-MD"/>
              </w:rPr>
              <w:t>лиц</w:t>
            </w:r>
            <w:r w:rsidR="00DB70CA" w:rsidRPr="00736448">
              <w:rPr>
                <w:rFonts w:asciiTheme="majorHAnsi" w:eastAsia="Times New Roman" w:hAnsiTheme="majorHAnsi" w:cstheme="majorHAnsi"/>
                <w:i/>
                <w:iCs/>
                <w:color w:val="000000"/>
                <w:sz w:val="20"/>
                <w:szCs w:val="20"/>
                <w:lang w:val="ro-MD"/>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FDA494" w14:textId="418BBC13" w:rsidR="00DB70CA" w:rsidRPr="00736448" w:rsidRDefault="00C0319C" w:rsidP="00186CDB">
            <w:pPr>
              <w:spacing w:after="0" w:line="240" w:lineRule="auto"/>
              <w:jc w:val="center"/>
              <w:rPr>
                <w:rFonts w:asciiTheme="majorHAnsi" w:eastAsia="Times New Roman" w:hAnsiTheme="majorHAnsi" w:cstheme="majorHAnsi"/>
                <w:b/>
                <w:bCs/>
                <w:color w:val="000000"/>
                <w:sz w:val="20"/>
                <w:szCs w:val="20"/>
                <w:lang w:val="ro-MD"/>
              </w:rPr>
            </w:pPr>
            <w:r>
              <w:rPr>
                <w:rFonts w:asciiTheme="majorHAnsi" w:eastAsia="Times New Roman" w:hAnsiTheme="majorHAnsi" w:cstheme="majorHAnsi"/>
                <w:b/>
                <w:bCs/>
                <w:color w:val="000000"/>
                <w:sz w:val="20"/>
                <w:szCs w:val="20"/>
                <w:lang w:val="ru-RU"/>
              </w:rPr>
              <w:t>из которых работают</w:t>
            </w:r>
            <w:r w:rsidRPr="00736448">
              <w:rPr>
                <w:rFonts w:asciiTheme="majorHAnsi" w:eastAsia="Times New Roman" w:hAnsiTheme="majorHAnsi" w:cstheme="majorHAnsi"/>
                <w:b/>
                <w:bCs/>
                <w:i/>
                <w:iCs/>
                <w:color w:val="000000"/>
                <w:sz w:val="20"/>
                <w:szCs w:val="20"/>
                <w:lang w:val="ro-MD"/>
              </w:rPr>
              <w:t xml:space="preserve"> </w:t>
            </w:r>
            <w:r w:rsidR="00DB70CA" w:rsidRPr="00736448">
              <w:rPr>
                <w:rFonts w:asciiTheme="majorHAnsi" w:eastAsia="Times New Roman" w:hAnsiTheme="majorHAnsi" w:cstheme="majorHAnsi"/>
                <w:i/>
                <w:iCs/>
                <w:color w:val="000000"/>
                <w:sz w:val="20"/>
                <w:szCs w:val="20"/>
                <w:lang w:val="ro-MD"/>
              </w:rPr>
              <w:t>(</w:t>
            </w:r>
            <w:r>
              <w:rPr>
                <w:rFonts w:asciiTheme="majorHAnsi" w:eastAsia="Times New Roman" w:hAnsiTheme="majorHAnsi" w:cstheme="majorHAnsi"/>
                <w:i/>
                <w:iCs/>
                <w:color w:val="000000"/>
                <w:sz w:val="20"/>
                <w:szCs w:val="20"/>
                <w:lang w:val="ro-MD"/>
              </w:rPr>
              <w:t>лиц</w:t>
            </w:r>
            <w:r w:rsidR="00DB70CA" w:rsidRPr="00736448">
              <w:rPr>
                <w:rFonts w:asciiTheme="majorHAnsi" w:eastAsia="Times New Roman" w:hAnsiTheme="majorHAnsi" w:cstheme="majorHAnsi"/>
                <w:i/>
                <w:iCs/>
                <w:color w:val="000000"/>
                <w:sz w:val="20"/>
                <w:szCs w:val="20"/>
                <w:lang w:val="ro-MD"/>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9F79AA" w14:textId="77777777" w:rsidR="00DB70CA" w:rsidRPr="00736448" w:rsidRDefault="00DB70CA" w:rsidP="00490517">
            <w:pPr>
              <w:spacing w:after="0" w:line="240" w:lineRule="auto"/>
              <w:jc w:val="center"/>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B3591"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12C81A" w14:textId="77777777" w:rsidR="00DB70CA" w:rsidRPr="00736448" w:rsidRDefault="00DB70CA" w:rsidP="00490517">
            <w:pPr>
              <w:spacing w:after="0" w:line="240" w:lineRule="auto"/>
              <w:jc w:val="center"/>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371C5"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w:t>
            </w:r>
          </w:p>
        </w:tc>
      </w:tr>
      <w:tr w:rsidR="00DB70CA" w:rsidRPr="00B7675F" w14:paraId="4079BA04" w14:textId="77777777" w:rsidTr="00A72850">
        <w:trPr>
          <w:trHeight w:val="20"/>
        </w:trPr>
        <w:tc>
          <w:tcPr>
            <w:tcW w:w="0" w:type="auto"/>
            <w:tcBorders>
              <w:top w:val="nil"/>
              <w:left w:val="single" w:sz="8" w:space="0" w:color="auto"/>
              <w:bottom w:val="single" w:sz="8" w:space="0" w:color="auto"/>
              <w:right w:val="single" w:sz="8" w:space="0" w:color="auto"/>
            </w:tcBorders>
            <w:shd w:val="clear" w:color="000000" w:fill="C9C9C9"/>
            <w:vAlign w:val="bottom"/>
            <w:hideMark/>
          </w:tcPr>
          <w:p w14:paraId="43CA7308" w14:textId="77777777" w:rsidR="00DB70CA" w:rsidRPr="00736448" w:rsidRDefault="00DB70CA" w:rsidP="00490517">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 </w:t>
            </w:r>
          </w:p>
        </w:tc>
        <w:tc>
          <w:tcPr>
            <w:tcW w:w="0" w:type="auto"/>
            <w:tcBorders>
              <w:top w:val="nil"/>
              <w:left w:val="nil"/>
              <w:bottom w:val="single" w:sz="8" w:space="0" w:color="auto"/>
              <w:right w:val="single" w:sz="8" w:space="0" w:color="auto"/>
            </w:tcBorders>
            <w:shd w:val="clear" w:color="000000" w:fill="C9C9C9"/>
            <w:vAlign w:val="bottom"/>
            <w:hideMark/>
          </w:tcPr>
          <w:p w14:paraId="48ABE428" w14:textId="434A98C4" w:rsidR="00DB70CA" w:rsidRPr="00736448" w:rsidRDefault="00142567" w:rsidP="00142567">
            <w:pPr>
              <w:spacing w:after="0" w:line="240" w:lineRule="auto"/>
              <w:rPr>
                <w:rFonts w:asciiTheme="majorHAnsi" w:eastAsia="Times New Roman" w:hAnsiTheme="majorHAnsi" w:cstheme="majorHAnsi"/>
                <w:b/>
                <w:bCs/>
                <w:color w:val="000000"/>
                <w:sz w:val="20"/>
                <w:szCs w:val="20"/>
                <w:lang w:val="ro-MD"/>
              </w:rPr>
            </w:pPr>
            <w:r>
              <w:rPr>
                <w:rFonts w:asciiTheme="majorHAnsi" w:eastAsia="Times New Roman" w:hAnsiTheme="majorHAnsi" w:cstheme="majorHAnsi"/>
                <w:b/>
                <w:bCs/>
                <w:color w:val="000000"/>
                <w:sz w:val="20"/>
                <w:szCs w:val="20"/>
                <w:lang w:val="ru-RU"/>
              </w:rPr>
              <w:t>Пенсий всего</w:t>
            </w:r>
            <w:r w:rsidR="00DB70CA" w:rsidRPr="00736448">
              <w:rPr>
                <w:rFonts w:asciiTheme="majorHAnsi" w:eastAsia="Times New Roman" w:hAnsiTheme="majorHAnsi" w:cstheme="majorHAnsi"/>
                <w:b/>
                <w:bCs/>
                <w:color w:val="000000"/>
                <w:sz w:val="20"/>
                <w:szCs w:val="20"/>
                <w:lang w:val="ro-MD"/>
              </w:rPr>
              <w:t xml:space="preserve">, </w:t>
            </w:r>
            <w:r>
              <w:rPr>
                <w:rFonts w:asciiTheme="majorHAnsi" w:eastAsia="Times New Roman" w:hAnsiTheme="majorHAnsi" w:cstheme="majorHAnsi"/>
                <w:b/>
                <w:bCs/>
                <w:i/>
                <w:iCs/>
                <w:color w:val="000000"/>
                <w:sz w:val="20"/>
                <w:szCs w:val="20"/>
                <w:lang w:val="ru-RU"/>
              </w:rPr>
              <w:t>в том числе</w:t>
            </w:r>
            <w:r w:rsidR="00DB70CA" w:rsidRPr="00736448">
              <w:rPr>
                <w:rFonts w:asciiTheme="majorHAnsi" w:eastAsia="Times New Roman" w:hAnsiTheme="majorHAnsi" w:cstheme="majorHAnsi"/>
                <w:b/>
                <w:bCs/>
                <w:i/>
                <w:iCs/>
                <w:color w:val="000000"/>
                <w:sz w:val="20"/>
                <w:szCs w:val="20"/>
                <w:lang w:val="ro-MD"/>
              </w:rPr>
              <w:t>:</w:t>
            </w:r>
          </w:p>
        </w:tc>
        <w:tc>
          <w:tcPr>
            <w:tcW w:w="0" w:type="auto"/>
            <w:tcBorders>
              <w:top w:val="single" w:sz="4" w:space="0" w:color="auto"/>
              <w:left w:val="nil"/>
              <w:bottom w:val="single" w:sz="8" w:space="0" w:color="auto"/>
              <w:right w:val="single" w:sz="8" w:space="0" w:color="auto"/>
            </w:tcBorders>
            <w:shd w:val="clear" w:color="000000" w:fill="C9C9C9"/>
            <w:vAlign w:val="bottom"/>
            <w:hideMark/>
          </w:tcPr>
          <w:p w14:paraId="055C9BBD"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686251</w:t>
            </w:r>
          </w:p>
        </w:tc>
        <w:tc>
          <w:tcPr>
            <w:tcW w:w="0" w:type="auto"/>
            <w:tcBorders>
              <w:top w:val="single" w:sz="4" w:space="0" w:color="auto"/>
              <w:left w:val="nil"/>
              <w:bottom w:val="single" w:sz="8" w:space="0" w:color="auto"/>
              <w:right w:val="single" w:sz="8" w:space="0" w:color="auto"/>
            </w:tcBorders>
            <w:shd w:val="clear" w:color="000000" w:fill="C9C9C9"/>
            <w:vAlign w:val="bottom"/>
            <w:hideMark/>
          </w:tcPr>
          <w:p w14:paraId="4CCF66E5"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172516</w:t>
            </w:r>
          </w:p>
        </w:tc>
        <w:tc>
          <w:tcPr>
            <w:tcW w:w="0" w:type="auto"/>
            <w:tcBorders>
              <w:top w:val="single" w:sz="4" w:space="0" w:color="auto"/>
              <w:left w:val="nil"/>
              <w:bottom w:val="single" w:sz="8" w:space="0" w:color="auto"/>
              <w:right w:val="single" w:sz="8" w:space="0" w:color="auto"/>
            </w:tcBorders>
            <w:shd w:val="clear" w:color="000000" w:fill="C9C9C9"/>
            <w:vAlign w:val="bottom"/>
            <w:hideMark/>
          </w:tcPr>
          <w:p w14:paraId="4BAB32BC"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674948</w:t>
            </w:r>
          </w:p>
        </w:tc>
        <w:tc>
          <w:tcPr>
            <w:tcW w:w="0" w:type="auto"/>
            <w:tcBorders>
              <w:top w:val="single" w:sz="4" w:space="0" w:color="auto"/>
              <w:left w:val="nil"/>
              <w:bottom w:val="single" w:sz="8" w:space="0" w:color="auto"/>
              <w:right w:val="single" w:sz="8" w:space="0" w:color="auto"/>
            </w:tcBorders>
            <w:shd w:val="clear" w:color="000000" w:fill="C9C9C9"/>
            <w:vAlign w:val="bottom"/>
            <w:hideMark/>
          </w:tcPr>
          <w:p w14:paraId="01C64472"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169529</w:t>
            </w:r>
          </w:p>
        </w:tc>
        <w:tc>
          <w:tcPr>
            <w:tcW w:w="0" w:type="auto"/>
            <w:tcBorders>
              <w:top w:val="single" w:sz="4" w:space="0" w:color="auto"/>
              <w:left w:val="nil"/>
              <w:bottom w:val="single" w:sz="8" w:space="0" w:color="auto"/>
              <w:right w:val="single" w:sz="8" w:space="0" w:color="auto"/>
            </w:tcBorders>
            <w:shd w:val="clear" w:color="000000" w:fill="C9C9C9"/>
            <w:vAlign w:val="bottom"/>
            <w:hideMark/>
          </w:tcPr>
          <w:p w14:paraId="2E3C7D57"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675674</w:t>
            </w:r>
          </w:p>
        </w:tc>
        <w:tc>
          <w:tcPr>
            <w:tcW w:w="0" w:type="auto"/>
            <w:tcBorders>
              <w:top w:val="single" w:sz="4" w:space="0" w:color="auto"/>
              <w:left w:val="nil"/>
              <w:bottom w:val="single" w:sz="8" w:space="0" w:color="auto"/>
              <w:right w:val="nil"/>
            </w:tcBorders>
            <w:shd w:val="clear" w:color="000000" w:fill="D0CECE"/>
            <w:vAlign w:val="bottom"/>
            <w:hideMark/>
          </w:tcPr>
          <w:p w14:paraId="61A147BA"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171019</w:t>
            </w:r>
          </w:p>
        </w:tc>
        <w:tc>
          <w:tcPr>
            <w:tcW w:w="0" w:type="auto"/>
            <w:tcBorders>
              <w:top w:val="single" w:sz="4" w:space="0" w:color="auto"/>
              <w:left w:val="single" w:sz="4" w:space="0" w:color="auto"/>
              <w:bottom w:val="single" w:sz="8" w:space="0" w:color="auto"/>
              <w:right w:val="single" w:sz="4" w:space="0" w:color="auto"/>
            </w:tcBorders>
            <w:shd w:val="clear" w:color="000000" w:fill="D0CECE"/>
            <w:noWrap/>
            <w:vAlign w:val="bottom"/>
            <w:hideMark/>
          </w:tcPr>
          <w:p w14:paraId="0349823E"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-10577</w:t>
            </w:r>
          </w:p>
        </w:tc>
        <w:tc>
          <w:tcPr>
            <w:tcW w:w="0" w:type="auto"/>
            <w:tcBorders>
              <w:top w:val="single" w:sz="4" w:space="0" w:color="auto"/>
              <w:left w:val="nil"/>
              <w:bottom w:val="single" w:sz="8" w:space="0" w:color="auto"/>
              <w:right w:val="single" w:sz="4" w:space="0" w:color="auto"/>
            </w:tcBorders>
            <w:shd w:val="clear" w:color="000000" w:fill="D0CECE"/>
            <w:noWrap/>
            <w:vAlign w:val="bottom"/>
            <w:hideMark/>
          </w:tcPr>
          <w:p w14:paraId="36162591"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98,5%</w:t>
            </w:r>
          </w:p>
        </w:tc>
        <w:tc>
          <w:tcPr>
            <w:tcW w:w="0" w:type="auto"/>
            <w:tcBorders>
              <w:top w:val="single" w:sz="4" w:space="0" w:color="auto"/>
              <w:left w:val="nil"/>
              <w:bottom w:val="single" w:sz="8" w:space="0" w:color="auto"/>
              <w:right w:val="single" w:sz="4" w:space="0" w:color="auto"/>
            </w:tcBorders>
            <w:shd w:val="clear" w:color="000000" w:fill="D0CECE"/>
            <w:noWrap/>
            <w:vAlign w:val="bottom"/>
            <w:hideMark/>
          </w:tcPr>
          <w:p w14:paraId="0AAC097E"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-1497</w:t>
            </w:r>
          </w:p>
        </w:tc>
        <w:tc>
          <w:tcPr>
            <w:tcW w:w="0" w:type="auto"/>
            <w:tcBorders>
              <w:top w:val="single" w:sz="4" w:space="0" w:color="auto"/>
              <w:left w:val="nil"/>
              <w:bottom w:val="single" w:sz="8" w:space="0" w:color="auto"/>
              <w:right w:val="single" w:sz="8" w:space="0" w:color="auto"/>
            </w:tcBorders>
            <w:shd w:val="clear" w:color="000000" w:fill="D0CECE"/>
            <w:noWrap/>
            <w:vAlign w:val="bottom"/>
            <w:hideMark/>
          </w:tcPr>
          <w:p w14:paraId="04F4DAC7"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99,1%</w:t>
            </w:r>
          </w:p>
        </w:tc>
      </w:tr>
      <w:tr w:rsidR="006946EA" w:rsidRPr="00B7675F" w14:paraId="543D1C55"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E20E5C" w14:textId="77777777" w:rsidR="006946EA" w:rsidRPr="00736448" w:rsidRDefault="006946EA" w:rsidP="006946EA">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w:t>
            </w:r>
          </w:p>
        </w:tc>
        <w:tc>
          <w:tcPr>
            <w:tcW w:w="0" w:type="auto"/>
            <w:tcBorders>
              <w:top w:val="nil"/>
              <w:left w:val="nil"/>
              <w:bottom w:val="single" w:sz="8" w:space="0" w:color="auto"/>
              <w:right w:val="single" w:sz="8" w:space="0" w:color="auto"/>
            </w:tcBorders>
            <w:shd w:val="clear" w:color="auto" w:fill="auto"/>
            <w:hideMark/>
          </w:tcPr>
          <w:p w14:paraId="334DB045" w14:textId="24887E4E" w:rsidR="006946EA" w:rsidRPr="00A72850" w:rsidRDefault="006946EA" w:rsidP="006946EA">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rPr>
              <w:t>Пенсии по возрасту</w:t>
            </w:r>
          </w:p>
        </w:tc>
        <w:tc>
          <w:tcPr>
            <w:tcW w:w="0" w:type="auto"/>
            <w:tcBorders>
              <w:top w:val="nil"/>
              <w:left w:val="nil"/>
              <w:bottom w:val="single" w:sz="8" w:space="0" w:color="auto"/>
              <w:right w:val="single" w:sz="8" w:space="0" w:color="auto"/>
            </w:tcBorders>
            <w:shd w:val="clear" w:color="auto" w:fill="auto"/>
            <w:vAlign w:val="bottom"/>
            <w:hideMark/>
          </w:tcPr>
          <w:p w14:paraId="46702088"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522821</w:t>
            </w:r>
          </w:p>
        </w:tc>
        <w:tc>
          <w:tcPr>
            <w:tcW w:w="0" w:type="auto"/>
            <w:tcBorders>
              <w:top w:val="nil"/>
              <w:left w:val="nil"/>
              <w:bottom w:val="single" w:sz="8" w:space="0" w:color="auto"/>
              <w:right w:val="single" w:sz="8" w:space="0" w:color="auto"/>
            </w:tcBorders>
            <w:shd w:val="clear" w:color="auto" w:fill="auto"/>
            <w:vAlign w:val="bottom"/>
            <w:hideMark/>
          </w:tcPr>
          <w:p w14:paraId="569CD699"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123991</w:t>
            </w:r>
          </w:p>
        </w:tc>
        <w:tc>
          <w:tcPr>
            <w:tcW w:w="0" w:type="auto"/>
            <w:tcBorders>
              <w:top w:val="nil"/>
              <w:left w:val="nil"/>
              <w:bottom w:val="single" w:sz="8" w:space="0" w:color="auto"/>
              <w:right w:val="single" w:sz="8" w:space="0" w:color="auto"/>
            </w:tcBorders>
            <w:shd w:val="clear" w:color="auto" w:fill="auto"/>
            <w:vAlign w:val="bottom"/>
            <w:hideMark/>
          </w:tcPr>
          <w:p w14:paraId="59E19993"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520927</w:t>
            </w:r>
          </w:p>
        </w:tc>
        <w:tc>
          <w:tcPr>
            <w:tcW w:w="0" w:type="auto"/>
            <w:tcBorders>
              <w:top w:val="nil"/>
              <w:left w:val="nil"/>
              <w:bottom w:val="single" w:sz="8" w:space="0" w:color="auto"/>
              <w:right w:val="single" w:sz="8" w:space="0" w:color="auto"/>
            </w:tcBorders>
            <w:shd w:val="clear" w:color="auto" w:fill="auto"/>
            <w:vAlign w:val="bottom"/>
            <w:hideMark/>
          </w:tcPr>
          <w:p w14:paraId="3ECD8F1E"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124795</w:t>
            </w:r>
          </w:p>
        </w:tc>
        <w:tc>
          <w:tcPr>
            <w:tcW w:w="0" w:type="auto"/>
            <w:tcBorders>
              <w:top w:val="nil"/>
              <w:left w:val="nil"/>
              <w:bottom w:val="single" w:sz="8" w:space="0" w:color="auto"/>
              <w:right w:val="single" w:sz="8" w:space="0" w:color="auto"/>
            </w:tcBorders>
            <w:shd w:val="clear" w:color="auto" w:fill="auto"/>
            <w:vAlign w:val="bottom"/>
            <w:hideMark/>
          </w:tcPr>
          <w:p w14:paraId="6EF84F42"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526017</w:t>
            </w:r>
          </w:p>
        </w:tc>
        <w:tc>
          <w:tcPr>
            <w:tcW w:w="0" w:type="auto"/>
            <w:tcBorders>
              <w:top w:val="nil"/>
              <w:left w:val="nil"/>
              <w:bottom w:val="single" w:sz="8" w:space="0" w:color="auto"/>
              <w:right w:val="nil"/>
            </w:tcBorders>
            <w:shd w:val="clear" w:color="auto" w:fill="auto"/>
            <w:vAlign w:val="bottom"/>
            <w:hideMark/>
          </w:tcPr>
          <w:p w14:paraId="47057D41"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123732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A2FE35"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3196</w:t>
            </w:r>
          </w:p>
        </w:tc>
        <w:tc>
          <w:tcPr>
            <w:tcW w:w="0" w:type="auto"/>
            <w:tcBorders>
              <w:top w:val="nil"/>
              <w:left w:val="nil"/>
              <w:bottom w:val="single" w:sz="4" w:space="0" w:color="auto"/>
              <w:right w:val="single" w:sz="4" w:space="0" w:color="auto"/>
            </w:tcBorders>
            <w:shd w:val="clear" w:color="auto" w:fill="auto"/>
            <w:noWrap/>
            <w:vAlign w:val="bottom"/>
            <w:hideMark/>
          </w:tcPr>
          <w:p w14:paraId="5FFEF7B1"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100,6%</w:t>
            </w:r>
          </w:p>
        </w:tc>
        <w:tc>
          <w:tcPr>
            <w:tcW w:w="0" w:type="auto"/>
            <w:tcBorders>
              <w:top w:val="nil"/>
              <w:left w:val="nil"/>
              <w:bottom w:val="single" w:sz="4" w:space="0" w:color="auto"/>
              <w:right w:val="single" w:sz="4" w:space="0" w:color="auto"/>
            </w:tcBorders>
            <w:shd w:val="clear" w:color="auto" w:fill="auto"/>
            <w:noWrap/>
            <w:vAlign w:val="bottom"/>
            <w:hideMark/>
          </w:tcPr>
          <w:p w14:paraId="5371233B"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-259</w:t>
            </w:r>
          </w:p>
        </w:tc>
        <w:tc>
          <w:tcPr>
            <w:tcW w:w="0" w:type="auto"/>
            <w:tcBorders>
              <w:top w:val="nil"/>
              <w:left w:val="nil"/>
              <w:bottom w:val="single" w:sz="4" w:space="0" w:color="auto"/>
              <w:right w:val="single" w:sz="4" w:space="0" w:color="auto"/>
            </w:tcBorders>
            <w:shd w:val="clear" w:color="auto" w:fill="auto"/>
            <w:noWrap/>
            <w:vAlign w:val="bottom"/>
            <w:hideMark/>
          </w:tcPr>
          <w:p w14:paraId="366177C9"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99,8%</w:t>
            </w:r>
          </w:p>
        </w:tc>
      </w:tr>
      <w:tr w:rsidR="006946EA" w:rsidRPr="00B7675F" w14:paraId="70667E6E"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774B934" w14:textId="77777777" w:rsidR="006946EA" w:rsidRPr="00736448" w:rsidRDefault="006946EA" w:rsidP="006946EA">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w:t>
            </w:r>
          </w:p>
        </w:tc>
        <w:tc>
          <w:tcPr>
            <w:tcW w:w="0" w:type="auto"/>
            <w:tcBorders>
              <w:top w:val="nil"/>
              <w:left w:val="nil"/>
              <w:bottom w:val="single" w:sz="8" w:space="0" w:color="auto"/>
              <w:right w:val="single" w:sz="8" w:space="0" w:color="auto"/>
            </w:tcBorders>
            <w:shd w:val="clear" w:color="auto" w:fill="auto"/>
            <w:hideMark/>
          </w:tcPr>
          <w:p w14:paraId="63F1CEF0" w14:textId="08BF98AB" w:rsidR="006946EA" w:rsidRPr="00A72850" w:rsidRDefault="006946EA" w:rsidP="006946EA">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rPr>
              <w:t>Пенсии по инвалидности</w:t>
            </w:r>
          </w:p>
        </w:tc>
        <w:tc>
          <w:tcPr>
            <w:tcW w:w="0" w:type="auto"/>
            <w:tcBorders>
              <w:top w:val="nil"/>
              <w:left w:val="nil"/>
              <w:bottom w:val="single" w:sz="8" w:space="0" w:color="auto"/>
              <w:right w:val="single" w:sz="8" w:space="0" w:color="auto"/>
            </w:tcBorders>
            <w:shd w:val="clear" w:color="auto" w:fill="auto"/>
            <w:vAlign w:val="bottom"/>
            <w:hideMark/>
          </w:tcPr>
          <w:p w14:paraId="4E9CBF3A"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119015</w:t>
            </w:r>
          </w:p>
        </w:tc>
        <w:tc>
          <w:tcPr>
            <w:tcW w:w="0" w:type="auto"/>
            <w:tcBorders>
              <w:top w:val="nil"/>
              <w:left w:val="nil"/>
              <w:bottom w:val="single" w:sz="8" w:space="0" w:color="auto"/>
              <w:right w:val="single" w:sz="8" w:space="0" w:color="auto"/>
            </w:tcBorders>
            <w:shd w:val="clear" w:color="auto" w:fill="auto"/>
            <w:vAlign w:val="bottom"/>
            <w:hideMark/>
          </w:tcPr>
          <w:p w14:paraId="6E60FF71"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31694</w:t>
            </w:r>
          </w:p>
        </w:tc>
        <w:tc>
          <w:tcPr>
            <w:tcW w:w="0" w:type="auto"/>
            <w:tcBorders>
              <w:top w:val="nil"/>
              <w:left w:val="nil"/>
              <w:bottom w:val="single" w:sz="8" w:space="0" w:color="auto"/>
              <w:right w:val="single" w:sz="8" w:space="0" w:color="auto"/>
            </w:tcBorders>
            <w:shd w:val="clear" w:color="auto" w:fill="auto"/>
            <w:vAlign w:val="bottom"/>
            <w:hideMark/>
          </w:tcPr>
          <w:p w14:paraId="1A34770F"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110856</w:t>
            </w:r>
          </w:p>
        </w:tc>
        <w:tc>
          <w:tcPr>
            <w:tcW w:w="0" w:type="auto"/>
            <w:tcBorders>
              <w:top w:val="nil"/>
              <w:left w:val="nil"/>
              <w:bottom w:val="single" w:sz="8" w:space="0" w:color="auto"/>
              <w:right w:val="single" w:sz="8" w:space="0" w:color="auto"/>
            </w:tcBorders>
            <w:shd w:val="clear" w:color="auto" w:fill="auto"/>
            <w:vAlign w:val="bottom"/>
            <w:hideMark/>
          </w:tcPr>
          <w:p w14:paraId="69C8283A"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29310</w:t>
            </w:r>
          </w:p>
        </w:tc>
        <w:tc>
          <w:tcPr>
            <w:tcW w:w="0" w:type="auto"/>
            <w:tcBorders>
              <w:top w:val="nil"/>
              <w:left w:val="nil"/>
              <w:bottom w:val="single" w:sz="8" w:space="0" w:color="auto"/>
              <w:right w:val="single" w:sz="8" w:space="0" w:color="auto"/>
            </w:tcBorders>
            <w:shd w:val="clear" w:color="auto" w:fill="auto"/>
            <w:vAlign w:val="bottom"/>
            <w:hideMark/>
          </w:tcPr>
          <w:p w14:paraId="3EBC3899"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102225</w:t>
            </w:r>
          </w:p>
        </w:tc>
        <w:tc>
          <w:tcPr>
            <w:tcW w:w="0" w:type="auto"/>
            <w:tcBorders>
              <w:top w:val="nil"/>
              <w:left w:val="nil"/>
              <w:bottom w:val="single" w:sz="8" w:space="0" w:color="auto"/>
              <w:right w:val="nil"/>
            </w:tcBorders>
            <w:shd w:val="clear" w:color="auto" w:fill="auto"/>
            <w:vAlign w:val="bottom"/>
            <w:hideMark/>
          </w:tcPr>
          <w:p w14:paraId="55D42544"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27835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A679D2"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-16790</w:t>
            </w:r>
          </w:p>
        </w:tc>
        <w:tc>
          <w:tcPr>
            <w:tcW w:w="0" w:type="auto"/>
            <w:tcBorders>
              <w:top w:val="nil"/>
              <w:left w:val="nil"/>
              <w:bottom w:val="single" w:sz="4" w:space="0" w:color="auto"/>
              <w:right w:val="single" w:sz="4" w:space="0" w:color="auto"/>
            </w:tcBorders>
            <w:shd w:val="clear" w:color="auto" w:fill="auto"/>
            <w:noWrap/>
            <w:vAlign w:val="bottom"/>
            <w:hideMark/>
          </w:tcPr>
          <w:p w14:paraId="7B9C3824"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85,9%</w:t>
            </w:r>
          </w:p>
        </w:tc>
        <w:tc>
          <w:tcPr>
            <w:tcW w:w="0" w:type="auto"/>
            <w:tcBorders>
              <w:top w:val="nil"/>
              <w:left w:val="nil"/>
              <w:bottom w:val="single" w:sz="4" w:space="0" w:color="auto"/>
              <w:right w:val="single" w:sz="4" w:space="0" w:color="auto"/>
            </w:tcBorders>
            <w:shd w:val="clear" w:color="auto" w:fill="auto"/>
            <w:noWrap/>
            <w:vAlign w:val="bottom"/>
            <w:hideMark/>
          </w:tcPr>
          <w:p w14:paraId="3322A887"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-3859</w:t>
            </w:r>
          </w:p>
        </w:tc>
        <w:tc>
          <w:tcPr>
            <w:tcW w:w="0" w:type="auto"/>
            <w:tcBorders>
              <w:top w:val="nil"/>
              <w:left w:val="nil"/>
              <w:bottom w:val="single" w:sz="4" w:space="0" w:color="auto"/>
              <w:right w:val="single" w:sz="4" w:space="0" w:color="auto"/>
            </w:tcBorders>
            <w:shd w:val="clear" w:color="auto" w:fill="auto"/>
            <w:noWrap/>
            <w:vAlign w:val="bottom"/>
            <w:hideMark/>
          </w:tcPr>
          <w:p w14:paraId="53A808CD"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87,8%</w:t>
            </w:r>
          </w:p>
        </w:tc>
      </w:tr>
      <w:tr w:rsidR="006946EA" w:rsidRPr="00B7675F" w14:paraId="6A4612C7"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0D39A0" w14:textId="77777777" w:rsidR="006946EA" w:rsidRPr="00736448" w:rsidRDefault="006946EA" w:rsidP="006946EA">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w:t>
            </w:r>
          </w:p>
        </w:tc>
        <w:tc>
          <w:tcPr>
            <w:tcW w:w="0" w:type="auto"/>
            <w:tcBorders>
              <w:top w:val="nil"/>
              <w:left w:val="nil"/>
              <w:bottom w:val="single" w:sz="8" w:space="0" w:color="auto"/>
              <w:right w:val="single" w:sz="8" w:space="0" w:color="auto"/>
            </w:tcBorders>
            <w:shd w:val="clear" w:color="auto" w:fill="auto"/>
            <w:hideMark/>
          </w:tcPr>
          <w:p w14:paraId="416865BF" w14:textId="6241BBAA" w:rsidR="006946EA" w:rsidRPr="00A72850" w:rsidRDefault="006946EA" w:rsidP="006946EA">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lang w:val="ru-RU"/>
              </w:rPr>
              <w:t>Пенсии по случаю потери кормильца</w:t>
            </w:r>
          </w:p>
        </w:tc>
        <w:tc>
          <w:tcPr>
            <w:tcW w:w="0" w:type="auto"/>
            <w:tcBorders>
              <w:top w:val="nil"/>
              <w:left w:val="nil"/>
              <w:bottom w:val="single" w:sz="8" w:space="0" w:color="auto"/>
              <w:right w:val="single" w:sz="8" w:space="0" w:color="auto"/>
            </w:tcBorders>
            <w:shd w:val="clear" w:color="auto" w:fill="auto"/>
            <w:vAlign w:val="bottom"/>
            <w:hideMark/>
          </w:tcPr>
          <w:p w14:paraId="5D143A2F"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10988</w:t>
            </w:r>
          </w:p>
        </w:tc>
        <w:tc>
          <w:tcPr>
            <w:tcW w:w="0" w:type="auto"/>
            <w:tcBorders>
              <w:top w:val="nil"/>
              <w:left w:val="nil"/>
              <w:bottom w:val="single" w:sz="8" w:space="0" w:color="auto"/>
              <w:right w:val="single" w:sz="8" w:space="0" w:color="auto"/>
            </w:tcBorders>
            <w:shd w:val="clear" w:color="auto" w:fill="auto"/>
            <w:vAlign w:val="bottom"/>
            <w:hideMark/>
          </w:tcPr>
          <w:p w14:paraId="6C090932"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1206</w:t>
            </w:r>
          </w:p>
        </w:tc>
        <w:tc>
          <w:tcPr>
            <w:tcW w:w="0" w:type="auto"/>
            <w:tcBorders>
              <w:top w:val="nil"/>
              <w:left w:val="nil"/>
              <w:bottom w:val="single" w:sz="8" w:space="0" w:color="auto"/>
              <w:right w:val="single" w:sz="8" w:space="0" w:color="auto"/>
            </w:tcBorders>
            <w:shd w:val="clear" w:color="auto" w:fill="auto"/>
            <w:vAlign w:val="bottom"/>
            <w:hideMark/>
          </w:tcPr>
          <w:p w14:paraId="31B2A120"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11424</w:t>
            </w:r>
          </w:p>
        </w:tc>
        <w:tc>
          <w:tcPr>
            <w:tcW w:w="0" w:type="auto"/>
            <w:tcBorders>
              <w:top w:val="nil"/>
              <w:left w:val="nil"/>
              <w:bottom w:val="single" w:sz="8" w:space="0" w:color="auto"/>
              <w:right w:val="single" w:sz="8" w:space="0" w:color="auto"/>
            </w:tcBorders>
            <w:shd w:val="clear" w:color="auto" w:fill="auto"/>
            <w:vAlign w:val="bottom"/>
            <w:hideMark/>
          </w:tcPr>
          <w:p w14:paraId="2CDC1A13"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1164</w:t>
            </w:r>
          </w:p>
        </w:tc>
        <w:tc>
          <w:tcPr>
            <w:tcW w:w="0" w:type="auto"/>
            <w:tcBorders>
              <w:top w:val="nil"/>
              <w:left w:val="nil"/>
              <w:bottom w:val="single" w:sz="8" w:space="0" w:color="auto"/>
              <w:right w:val="single" w:sz="8" w:space="0" w:color="auto"/>
            </w:tcBorders>
            <w:shd w:val="clear" w:color="auto" w:fill="auto"/>
            <w:vAlign w:val="bottom"/>
            <w:hideMark/>
          </w:tcPr>
          <w:p w14:paraId="12E10F64"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11573</w:t>
            </w:r>
          </w:p>
        </w:tc>
        <w:tc>
          <w:tcPr>
            <w:tcW w:w="0" w:type="auto"/>
            <w:tcBorders>
              <w:top w:val="nil"/>
              <w:left w:val="nil"/>
              <w:bottom w:val="single" w:sz="8" w:space="0" w:color="auto"/>
              <w:right w:val="nil"/>
            </w:tcBorders>
            <w:shd w:val="clear" w:color="auto" w:fill="auto"/>
            <w:vAlign w:val="bottom"/>
            <w:hideMark/>
          </w:tcPr>
          <w:p w14:paraId="5F18238D"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1332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18C937"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585</w:t>
            </w:r>
          </w:p>
        </w:tc>
        <w:tc>
          <w:tcPr>
            <w:tcW w:w="0" w:type="auto"/>
            <w:tcBorders>
              <w:top w:val="nil"/>
              <w:left w:val="nil"/>
              <w:bottom w:val="single" w:sz="4" w:space="0" w:color="auto"/>
              <w:right w:val="single" w:sz="4" w:space="0" w:color="auto"/>
            </w:tcBorders>
            <w:shd w:val="clear" w:color="auto" w:fill="auto"/>
            <w:noWrap/>
            <w:vAlign w:val="bottom"/>
            <w:hideMark/>
          </w:tcPr>
          <w:p w14:paraId="1DEC1986"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105,3%</w:t>
            </w:r>
          </w:p>
        </w:tc>
        <w:tc>
          <w:tcPr>
            <w:tcW w:w="0" w:type="auto"/>
            <w:tcBorders>
              <w:top w:val="nil"/>
              <w:left w:val="nil"/>
              <w:bottom w:val="single" w:sz="4" w:space="0" w:color="auto"/>
              <w:right w:val="single" w:sz="4" w:space="0" w:color="auto"/>
            </w:tcBorders>
            <w:shd w:val="clear" w:color="auto" w:fill="auto"/>
            <w:noWrap/>
            <w:vAlign w:val="bottom"/>
            <w:hideMark/>
          </w:tcPr>
          <w:p w14:paraId="059BFBA8"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126</w:t>
            </w:r>
          </w:p>
        </w:tc>
        <w:tc>
          <w:tcPr>
            <w:tcW w:w="0" w:type="auto"/>
            <w:tcBorders>
              <w:top w:val="nil"/>
              <w:left w:val="nil"/>
              <w:bottom w:val="single" w:sz="4" w:space="0" w:color="auto"/>
              <w:right w:val="single" w:sz="4" w:space="0" w:color="auto"/>
            </w:tcBorders>
            <w:shd w:val="clear" w:color="auto" w:fill="auto"/>
            <w:noWrap/>
            <w:vAlign w:val="bottom"/>
            <w:hideMark/>
          </w:tcPr>
          <w:p w14:paraId="4C120491"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110,4%</w:t>
            </w:r>
          </w:p>
        </w:tc>
      </w:tr>
      <w:tr w:rsidR="006946EA" w:rsidRPr="00B7675F" w14:paraId="6C2A9D68"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4B4FE9" w14:textId="77777777" w:rsidR="006946EA" w:rsidRPr="00736448" w:rsidRDefault="006946EA" w:rsidP="006946EA">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w:t>
            </w:r>
          </w:p>
        </w:tc>
        <w:tc>
          <w:tcPr>
            <w:tcW w:w="0" w:type="auto"/>
            <w:tcBorders>
              <w:top w:val="nil"/>
              <w:left w:val="nil"/>
              <w:bottom w:val="single" w:sz="8" w:space="0" w:color="auto"/>
              <w:right w:val="single" w:sz="8" w:space="0" w:color="auto"/>
            </w:tcBorders>
            <w:shd w:val="clear" w:color="auto" w:fill="auto"/>
            <w:hideMark/>
          </w:tcPr>
          <w:p w14:paraId="6D455B88" w14:textId="05E14694" w:rsidR="006946EA" w:rsidRPr="00A72850" w:rsidRDefault="006946EA" w:rsidP="006946EA">
            <w:pPr>
              <w:spacing w:after="0" w:line="240" w:lineRule="auto"/>
              <w:rPr>
                <w:rFonts w:asciiTheme="majorHAnsi" w:eastAsia="Times New Roman" w:hAnsiTheme="majorHAnsi" w:cstheme="majorHAnsi"/>
                <w:color w:val="000000"/>
                <w:sz w:val="20"/>
                <w:szCs w:val="20"/>
                <w:lang w:val="ru-RU"/>
              </w:rPr>
            </w:pPr>
            <w:r w:rsidRPr="00A72850">
              <w:rPr>
                <w:rFonts w:asciiTheme="majorHAnsi" w:hAnsiTheme="majorHAnsi" w:cstheme="majorHAnsi"/>
                <w:sz w:val="20"/>
                <w:szCs w:val="20"/>
                <w:lang w:val="ru-RU"/>
              </w:rPr>
              <w:t>Выслуга лет</w:t>
            </w:r>
          </w:p>
        </w:tc>
        <w:tc>
          <w:tcPr>
            <w:tcW w:w="0" w:type="auto"/>
            <w:tcBorders>
              <w:top w:val="nil"/>
              <w:left w:val="nil"/>
              <w:bottom w:val="single" w:sz="8" w:space="0" w:color="auto"/>
              <w:right w:val="single" w:sz="8" w:space="0" w:color="auto"/>
            </w:tcBorders>
            <w:shd w:val="clear" w:color="auto" w:fill="auto"/>
            <w:vAlign w:val="bottom"/>
            <w:hideMark/>
          </w:tcPr>
          <w:p w14:paraId="18D571F6"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50</w:t>
            </w:r>
          </w:p>
        </w:tc>
        <w:tc>
          <w:tcPr>
            <w:tcW w:w="0" w:type="auto"/>
            <w:tcBorders>
              <w:top w:val="nil"/>
              <w:left w:val="nil"/>
              <w:bottom w:val="single" w:sz="8" w:space="0" w:color="auto"/>
              <w:right w:val="single" w:sz="8" w:space="0" w:color="auto"/>
            </w:tcBorders>
            <w:shd w:val="clear" w:color="auto" w:fill="auto"/>
            <w:vAlign w:val="bottom"/>
            <w:hideMark/>
          </w:tcPr>
          <w:p w14:paraId="4F81A017"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w:t>
            </w:r>
          </w:p>
        </w:tc>
        <w:tc>
          <w:tcPr>
            <w:tcW w:w="0" w:type="auto"/>
            <w:tcBorders>
              <w:top w:val="nil"/>
              <w:left w:val="nil"/>
              <w:bottom w:val="single" w:sz="8" w:space="0" w:color="auto"/>
              <w:right w:val="single" w:sz="8" w:space="0" w:color="auto"/>
            </w:tcBorders>
            <w:shd w:val="clear" w:color="auto" w:fill="auto"/>
            <w:vAlign w:val="bottom"/>
            <w:hideMark/>
          </w:tcPr>
          <w:p w14:paraId="3AE77543"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32</w:t>
            </w:r>
          </w:p>
        </w:tc>
        <w:tc>
          <w:tcPr>
            <w:tcW w:w="0" w:type="auto"/>
            <w:tcBorders>
              <w:top w:val="nil"/>
              <w:left w:val="nil"/>
              <w:bottom w:val="single" w:sz="8" w:space="0" w:color="auto"/>
              <w:right w:val="single" w:sz="8" w:space="0" w:color="auto"/>
            </w:tcBorders>
            <w:shd w:val="clear" w:color="auto" w:fill="auto"/>
            <w:vAlign w:val="bottom"/>
            <w:hideMark/>
          </w:tcPr>
          <w:p w14:paraId="5C8A5C30"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w:t>
            </w:r>
          </w:p>
        </w:tc>
        <w:tc>
          <w:tcPr>
            <w:tcW w:w="0" w:type="auto"/>
            <w:tcBorders>
              <w:top w:val="nil"/>
              <w:left w:val="nil"/>
              <w:bottom w:val="single" w:sz="8" w:space="0" w:color="auto"/>
              <w:right w:val="single" w:sz="8" w:space="0" w:color="auto"/>
            </w:tcBorders>
            <w:shd w:val="clear" w:color="auto" w:fill="auto"/>
            <w:vAlign w:val="bottom"/>
            <w:hideMark/>
          </w:tcPr>
          <w:p w14:paraId="42FF76E7"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25</w:t>
            </w:r>
          </w:p>
        </w:tc>
        <w:tc>
          <w:tcPr>
            <w:tcW w:w="0" w:type="auto"/>
            <w:tcBorders>
              <w:top w:val="nil"/>
              <w:left w:val="nil"/>
              <w:bottom w:val="single" w:sz="8" w:space="0" w:color="auto"/>
              <w:right w:val="nil"/>
            </w:tcBorders>
            <w:shd w:val="clear" w:color="auto" w:fill="auto"/>
            <w:vAlign w:val="bottom"/>
            <w:hideMark/>
          </w:tcPr>
          <w:p w14:paraId="5D81511C"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118D2B"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-25</w:t>
            </w:r>
          </w:p>
        </w:tc>
        <w:tc>
          <w:tcPr>
            <w:tcW w:w="0" w:type="auto"/>
            <w:tcBorders>
              <w:top w:val="nil"/>
              <w:left w:val="nil"/>
              <w:bottom w:val="single" w:sz="4" w:space="0" w:color="auto"/>
              <w:right w:val="single" w:sz="4" w:space="0" w:color="auto"/>
            </w:tcBorders>
            <w:shd w:val="clear" w:color="auto" w:fill="auto"/>
            <w:noWrap/>
            <w:vAlign w:val="bottom"/>
            <w:hideMark/>
          </w:tcPr>
          <w:p w14:paraId="4D6176F9"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50,0%</w:t>
            </w:r>
          </w:p>
        </w:tc>
        <w:tc>
          <w:tcPr>
            <w:tcW w:w="0" w:type="auto"/>
            <w:tcBorders>
              <w:top w:val="nil"/>
              <w:left w:val="nil"/>
              <w:bottom w:val="single" w:sz="4" w:space="0" w:color="auto"/>
              <w:right w:val="single" w:sz="4" w:space="0" w:color="auto"/>
            </w:tcBorders>
            <w:shd w:val="clear" w:color="auto" w:fill="auto"/>
            <w:noWrap/>
            <w:vAlign w:val="bottom"/>
            <w:hideMark/>
          </w:tcPr>
          <w:p w14:paraId="2F1E0BD2"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w:t>
            </w:r>
          </w:p>
        </w:tc>
        <w:tc>
          <w:tcPr>
            <w:tcW w:w="0" w:type="auto"/>
            <w:tcBorders>
              <w:top w:val="nil"/>
              <w:left w:val="nil"/>
              <w:bottom w:val="single" w:sz="4" w:space="0" w:color="auto"/>
              <w:right w:val="single" w:sz="4" w:space="0" w:color="auto"/>
            </w:tcBorders>
            <w:shd w:val="clear" w:color="auto" w:fill="auto"/>
            <w:noWrap/>
            <w:vAlign w:val="bottom"/>
            <w:hideMark/>
          </w:tcPr>
          <w:p w14:paraId="2EB83734"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37,5%</w:t>
            </w:r>
          </w:p>
        </w:tc>
      </w:tr>
      <w:tr w:rsidR="006946EA" w:rsidRPr="00B7675F" w14:paraId="0765AF93"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E57E9E" w14:textId="77777777" w:rsidR="006946EA" w:rsidRPr="00736448" w:rsidRDefault="006946EA" w:rsidP="006946EA">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w:t>
            </w:r>
          </w:p>
        </w:tc>
        <w:tc>
          <w:tcPr>
            <w:tcW w:w="0" w:type="auto"/>
            <w:tcBorders>
              <w:top w:val="nil"/>
              <w:left w:val="nil"/>
              <w:bottom w:val="single" w:sz="8" w:space="0" w:color="auto"/>
              <w:right w:val="single" w:sz="8" w:space="0" w:color="auto"/>
            </w:tcBorders>
            <w:shd w:val="clear" w:color="auto" w:fill="auto"/>
            <w:hideMark/>
          </w:tcPr>
          <w:p w14:paraId="3437332A" w14:textId="766CC7C6" w:rsidR="006946EA" w:rsidRPr="00A72850" w:rsidRDefault="006946EA" w:rsidP="006946EA">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lang w:val="ru-RU"/>
              </w:rPr>
              <w:t>Пенсии отдельных категорий работников гражданской авиации</w:t>
            </w:r>
          </w:p>
        </w:tc>
        <w:tc>
          <w:tcPr>
            <w:tcW w:w="0" w:type="auto"/>
            <w:tcBorders>
              <w:top w:val="nil"/>
              <w:left w:val="nil"/>
              <w:bottom w:val="single" w:sz="8" w:space="0" w:color="auto"/>
              <w:right w:val="single" w:sz="8" w:space="0" w:color="auto"/>
            </w:tcBorders>
            <w:shd w:val="clear" w:color="auto" w:fill="auto"/>
            <w:vAlign w:val="bottom"/>
            <w:hideMark/>
          </w:tcPr>
          <w:p w14:paraId="44B29BD6"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523</w:t>
            </w:r>
          </w:p>
        </w:tc>
        <w:tc>
          <w:tcPr>
            <w:tcW w:w="0" w:type="auto"/>
            <w:tcBorders>
              <w:top w:val="nil"/>
              <w:left w:val="nil"/>
              <w:bottom w:val="single" w:sz="8" w:space="0" w:color="auto"/>
              <w:right w:val="single" w:sz="8" w:space="0" w:color="auto"/>
            </w:tcBorders>
            <w:shd w:val="clear" w:color="auto" w:fill="auto"/>
            <w:vAlign w:val="bottom"/>
            <w:hideMark/>
          </w:tcPr>
          <w:p w14:paraId="131148D2"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148</w:t>
            </w:r>
          </w:p>
        </w:tc>
        <w:tc>
          <w:tcPr>
            <w:tcW w:w="0" w:type="auto"/>
            <w:tcBorders>
              <w:top w:val="nil"/>
              <w:left w:val="nil"/>
              <w:bottom w:val="single" w:sz="8" w:space="0" w:color="auto"/>
              <w:right w:val="single" w:sz="8" w:space="0" w:color="auto"/>
            </w:tcBorders>
            <w:shd w:val="clear" w:color="auto" w:fill="auto"/>
            <w:vAlign w:val="bottom"/>
            <w:hideMark/>
          </w:tcPr>
          <w:p w14:paraId="19235F3B"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476</w:t>
            </w:r>
          </w:p>
        </w:tc>
        <w:tc>
          <w:tcPr>
            <w:tcW w:w="0" w:type="auto"/>
            <w:tcBorders>
              <w:top w:val="nil"/>
              <w:left w:val="nil"/>
              <w:bottom w:val="single" w:sz="8" w:space="0" w:color="auto"/>
              <w:right w:val="single" w:sz="8" w:space="0" w:color="auto"/>
            </w:tcBorders>
            <w:shd w:val="clear" w:color="auto" w:fill="auto"/>
            <w:vAlign w:val="bottom"/>
            <w:hideMark/>
          </w:tcPr>
          <w:p w14:paraId="7D092416"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120</w:t>
            </w:r>
          </w:p>
        </w:tc>
        <w:tc>
          <w:tcPr>
            <w:tcW w:w="0" w:type="auto"/>
            <w:tcBorders>
              <w:top w:val="nil"/>
              <w:left w:val="nil"/>
              <w:bottom w:val="single" w:sz="8" w:space="0" w:color="auto"/>
              <w:right w:val="single" w:sz="8" w:space="0" w:color="auto"/>
            </w:tcBorders>
            <w:shd w:val="clear" w:color="auto" w:fill="auto"/>
            <w:vAlign w:val="bottom"/>
            <w:hideMark/>
          </w:tcPr>
          <w:p w14:paraId="62BA4F09"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462</w:t>
            </w:r>
          </w:p>
        </w:tc>
        <w:tc>
          <w:tcPr>
            <w:tcW w:w="0" w:type="auto"/>
            <w:tcBorders>
              <w:top w:val="nil"/>
              <w:left w:val="nil"/>
              <w:bottom w:val="single" w:sz="8" w:space="0" w:color="auto"/>
              <w:right w:val="nil"/>
            </w:tcBorders>
            <w:shd w:val="clear" w:color="auto" w:fill="auto"/>
            <w:vAlign w:val="bottom"/>
            <w:hideMark/>
          </w:tcPr>
          <w:p w14:paraId="2076ED9B"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8604EA"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-61</w:t>
            </w:r>
          </w:p>
        </w:tc>
        <w:tc>
          <w:tcPr>
            <w:tcW w:w="0" w:type="auto"/>
            <w:tcBorders>
              <w:top w:val="nil"/>
              <w:left w:val="nil"/>
              <w:bottom w:val="single" w:sz="4" w:space="0" w:color="auto"/>
              <w:right w:val="single" w:sz="4" w:space="0" w:color="auto"/>
            </w:tcBorders>
            <w:shd w:val="clear" w:color="auto" w:fill="auto"/>
            <w:noWrap/>
            <w:vAlign w:val="bottom"/>
            <w:hideMark/>
          </w:tcPr>
          <w:p w14:paraId="697741EC"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88,3%</w:t>
            </w:r>
          </w:p>
        </w:tc>
        <w:tc>
          <w:tcPr>
            <w:tcW w:w="0" w:type="auto"/>
            <w:tcBorders>
              <w:top w:val="nil"/>
              <w:left w:val="nil"/>
              <w:bottom w:val="single" w:sz="4" w:space="0" w:color="auto"/>
              <w:right w:val="single" w:sz="4" w:space="0" w:color="auto"/>
            </w:tcBorders>
            <w:shd w:val="clear" w:color="auto" w:fill="auto"/>
            <w:noWrap/>
            <w:vAlign w:val="bottom"/>
            <w:hideMark/>
          </w:tcPr>
          <w:p w14:paraId="1F28EE6D"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-44</w:t>
            </w:r>
          </w:p>
        </w:tc>
        <w:tc>
          <w:tcPr>
            <w:tcW w:w="0" w:type="auto"/>
            <w:tcBorders>
              <w:top w:val="nil"/>
              <w:left w:val="nil"/>
              <w:bottom w:val="single" w:sz="4" w:space="0" w:color="auto"/>
              <w:right w:val="single" w:sz="4" w:space="0" w:color="auto"/>
            </w:tcBorders>
            <w:shd w:val="clear" w:color="auto" w:fill="auto"/>
            <w:noWrap/>
            <w:vAlign w:val="bottom"/>
            <w:hideMark/>
          </w:tcPr>
          <w:p w14:paraId="004F9076"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70,3%</w:t>
            </w:r>
          </w:p>
        </w:tc>
      </w:tr>
      <w:tr w:rsidR="006946EA" w:rsidRPr="00B7675F" w14:paraId="247E4C2A"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0D506D" w14:textId="77777777" w:rsidR="006946EA" w:rsidRPr="00736448" w:rsidRDefault="006946EA" w:rsidP="006946EA">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w:t>
            </w:r>
          </w:p>
        </w:tc>
        <w:tc>
          <w:tcPr>
            <w:tcW w:w="0" w:type="auto"/>
            <w:tcBorders>
              <w:top w:val="nil"/>
              <w:left w:val="nil"/>
              <w:bottom w:val="single" w:sz="8" w:space="0" w:color="auto"/>
              <w:right w:val="single" w:sz="8" w:space="0" w:color="auto"/>
            </w:tcBorders>
            <w:shd w:val="clear" w:color="auto" w:fill="auto"/>
            <w:hideMark/>
          </w:tcPr>
          <w:p w14:paraId="10D34C65" w14:textId="4FE6346E" w:rsidR="006946EA" w:rsidRPr="00A72850" w:rsidRDefault="006946EA" w:rsidP="006946EA">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lang w:val="ru-RU"/>
              </w:rPr>
              <w:t>Пенсии некоторым категориям работников в сфере культуры</w:t>
            </w:r>
          </w:p>
        </w:tc>
        <w:tc>
          <w:tcPr>
            <w:tcW w:w="0" w:type="auto"/>
            <w:tcBorders>
              <w:top w:val="nil"/>
              <w:left w:val="nil"/>
              <w:bottom w:val="single" w:sz="8" w:space="0" w:color="auto"/>
              <w:right w:val="single" w:sz="8" w:space="0" w:color="auto"/>
            </w:tcBorders>
            <w:shd w:val="clear" w:color="auto" w:fill="auto"/>
            <w:vAlign w:val="bottom"/>
            <w:hideMark/>
          </w:tcPr>
          <w:p w14:paraId="15266AFA"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32</w:t>
            </w:r>
          </w:p>
        </w:tc>
        <w:tc>
          <w:tcPr>
            <w:tcW w:w="0" w:type="auto"/>
            <w:tcBorders>
              <w:top w:val="nil"/>
              <w:left w:val="nil"/>
              <w:bottom w:val="single" w:sz="8" w:space="0" w:color="auto"/>
              <w:right w:val="single" w:sz="8" w:space="0" w:color="auto"/>
            </w:tcBorders>
            <w:shd w:val="clear" w:color="auto" w:fill="auto"/>
            <w:vAlign w:val="bottom"/>
            <w:hideMark/>
          </w:tcPr>
          <w:p w14:paraId="7DE2B9B4"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25</w:t>
            </w:r>
          </w:p>
        </w:tc>
        <w:tc>
          <w:tcPr>
            <w:tcW w:w="0" w:type="auto"/>
            <w:tcBorders>
              <w:top w:val="nil"/>
              <w:left w:val="nil"/>
              <w:bottom w:val="single" w:sz="8" w:space="0" w:color="auto"/>
              <w:right w:val="single" w:sz="8" w:space="0" w:color="auto"/>
            </w:tcBorders>
            <w:shd w:val="clear" w:color="auto" w:fill="auto"/>
            <w:vAlign w:val="bottom"/>
            <w:hideMark/>
          </w:tcPr>
          <w:p w14:paraId="7DFB3A21"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33</w:t>
            </w:r>
          </w:p>
        </w:tc>
        <w:tc>
          <w:tcPr>
            <w:tcW w:w="0" w:type="auto"/>
            <w:tcBorders>
              <w:top w:val="nil"/>
              <w:left w:val="nil"/>
              <w:bottom w:val="single" w:sz="8" w:space="0" w:color="auto"/>
              <w:right w:val="single" w:sz="8" w:space="0" w:color="auto"/>
            </w:tcBorders>
            <w:shd w:val="clear" w:color="auto" w:fill="auto"/>
            <w:vAlign w:val="bottom"/>
            <w:hideMark/>
          </w:tcPr>
          <w:p w14:paraId="29F1FB0D"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26</w:t>
            </w:r>
          </w:p>
        </w:tc>
        <w:tc>
          <w:tcPr>
            <w:tcW w:w="0" w:type="auto"/>
            <w:tcBorders>
              <w:top w:val="nil"/>
              <w:left w:val="nil"/>
              <w:bottom w:val="single" w:sz="8" w:space="0" w:color="auto"/>
              <w:right w:val="single" w:sz="8" w:space="0" w:color="auto"/>
            </w:tcBorders>
            <w:shd w:val="clear" w:color="auto" w:fill="auto"/>
            <w:vAlign w:val="bottom"/>
            <w:hideMark/>
          </w:tcPr>
          <w:p w14:paraId="4338ED53"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32</w:t>
            </w:r>
          </w:p>
        </w:tc>
        <w:tc>
          <w:tcPr>
            <w:tcW w:w="0" w:type="auto"/>
            <w:tcBorders>
              <w:top w:val="nil"/>
              <w:left w:val="nil"/>
              <w:bottom w:val="single" w:sz="8" w:space="0" w:color="auto"/>
              <w:right w:val="nil"/>
            </w:tcBorders>
            <w:shd w:val="clear" w:color="auto" w:fill="auto"/>
            <w:vAlign w:val="bottom"/>
            <w:hideMark/>
          </w:tcPr>
          <w:p w14:paraId="79F56D8E"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78C9B6"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w:t>
            </w:r>
          </w:p>
        </w:tc>
        <w:tc>
          <w:tcPr>
            <w:tcW w:w="0" w:type="auto"/>
            <w:tcBorders>
              <w:top w:val="nil"/>
              <w:left w:val="nil"/>
              <w:bottom w:val="single" w:sz="4" w:space="0" w:color="auto"/>
              <w:right w:val="single" w:sz="4" w:space="0" w:color="auto"/>
            </w:tcBorders>
            <w:shd w:val="clear" w:color="auto" w:fill="auto"/>
            <w:noWrap/>
            <w:vAlign w:val="bottom"/>
            <w:hideMark/>
          </w:tcPr>
          <w:p w14:paraId="4FDF1EF6"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DB3A706"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w:t>
            </w:r>
          </w:p>
        </w:tc>
        <w:tc>
          <w:tcPr>
            <w:tcW w:w="0" w:type="auto"/>
            <w:tcBorders>
              <w:top w:val="nil"/>
              <w:left w:val="nil"/>
              <w:bottom w:val="single" w:sz="4" w:space="0" w:color="auto"/>
              <w:right w:val="single" w:sz="4" w:space="0" w:color="auto"/>
            </w:tcBorders>
            <w:shd w:val="clear" w:color="auto" w:fill="auto"/>
            <w:noWrap/>
            <w:vAlign w:val="bottom"/>
            <w:hideMark/>
          </w:tcPr>
          <w:p w14:paraId="301B5AFC"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100,0%</w:t>
            </w:r>
          </w:p>
        </w:tc>
      </w:tr>
      <w:tr w:rsidR="006946EA" w:rsidRPr="00B7675F" w14:paraId="68349242"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3CC033" w14:textId="77777777" w:rsidR="006946EA" w:rsidRPr="00736448" w:rsidRDefault="006946EA" w:rsidP="006946EA">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w:t>
            </w:r>
          </w:p>
        </w:tc>
        <w:tc>
          <w:tcPr>
            <w:tcW w:w="0" w:type="auto"/>
            <w:tcBorders>
              <w:top w:val="nil"/>
              <w:left w:val="nil"/>
              <w:bottom w:val="single" w:sz="8" w:space="0" w:color="auto"/>
              <w:right w:val="single" w:sz="8" w:space="0" w:color="auto"/>
            </w:tcBorders>
            <w:shd w:val="clear" w:color="auto" w:fill="auto"/>
            <w:hideMark/>
          </w:tcPr>
          <w:p w14:paraId="61A62F4E" w14:textId="4A01D140" w:rsidR="006946EA" w:rsidRPr="00A72850" w:rsidRDefault="006946EA" w:rsidP="006946EA">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rPr>
              <w:t>Пенсии государственным служащим</w:t>
            </w:r>
          </w:p>
        </w:tc>
        <w:tc>
          <w:tcPr>
            <w:tcW w:w="0" w:type="auto"/>
            <w:tcBorders>
              <w:top w:val="nil"/>
              <w:left w:val="nil"/>
              <w:bottom w:val="single" w:sz="8" w:space="0" w:color="auto"/>
              <w:right w:val="single" w:sz="8" w:space="0" w:color="auto"/>
            </w:tcBorders>
            <w:shd w:val="clear" w:color="auto" w:fill="auto"/>
            <w:vAlign w:val="bottom"/>
            <w:hideMark/>
          </w:tcPr>
          <w:p w14:paraId="3F71A7D1"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5652</w:t>
            </w:r>
          </w:p>
        </w:tc>
        <w:tc>
          <w:tcPr>
            <w:tcW w:w="0" w:type="auto"/>
            <w:tcBorders>
              <w:top w:val="nil"/>
              <w:left w:val="nil"/>
              <w:bottom w:val="single" w:sz="8" w:space="0" w:color="auto"/>
              <w:right w:val="single" w:sz="8" w:space="0" w:color="auto"/>
            </w:tcBorders>
            <w:shd w:val="clear" w:color="auto" w:fill="auto"/>
            <w:vAlign w:val="bottom"/>
            <w:hideMark/>
          </w:tcPr>
          <w:p w14:paraId="063FC6A9"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2506</w:t>
            </w:r>
          </w:p>
        </w:tc>
        <w:tc>
          <w:tcPr>
            <w:tcW w:w="0" w:type="auto"/>
            <w:tcBorders>
              <w:top w:val="nil"/>
              <w:left w:val="nil"/>
              <w:bottom w:val="single" w:sz="8" w:space="0" w:color="auto"/>
              <w:right w:val="single" w:sz="8" w:space="0" w:color="auto"/>
            </w:tcBorders>
            <w:shd w:val="clear" w:color="auto" w:fill="auto"/>
            <w:vAlign w:val="bottom"/>
            <w:hideMark/>
          </w:tcPr>
          <w:p w14:paraId="57B4EAAE"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4916</w:t>
            </w:r>
          </w:p>
        </w:tc>
        <w:tc>
          <w:tcPr>
            <w:tcW w:w="0" w:type="auto"/>
            <w:tcBorders>
              <w:top w:val="nil"/>
              <w:left w:val="nil"/>
              <w:bottom w:val="single" w:sz="8" w:space="0" w:color="auto"/>
              <w:right w:val="single" w:sz="8" w:space="0" w:color="auto"/>
            </w:tcBorders>
            <w:shd w:val="clear" w:color="auto" w:fill="auto"/>
            <w:vAlign w:val="bottom"/>
            <w:hideMark/>
          </w:tcPr>
          <w:p w14:paraId="529BF245"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2041</w:t>
            </w:r>
          </w:p>
        </w:tc>
        <w:tc>
          <w:tcPr>
            <w:tcW w:w="0" w:type="auto"/>
            <w:tcBorders>
              <w:top w:val="nil"/>
              <w:left w:val="nil"/>
              <w:bottom w:val="single" w:sz="8" w:space="0" w:color="auto"/>
              <w:right w:val="single" w:sz="8" w:space="0" w:color="auto"/>
            </w:tcBorders>
            <w:shd w:val="clear" w:color="auto" w:fill="auto"/>
            <w:vAlign w:val="bottom"/>
            <w:hideMark/>
          </w:tcPr>
          <w:p w14:paraId="43AA31D5"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4181</w:t>
            </w:r>
          </w:p>
        </w:tc>
        <w:tc>
          <w:tcPr>
            <w:tcW w:w="0" w:type="auto"/>
            <w:tcBorders>
              <w:top w:val="nil"/>
              <w:left w:val="nil"/>
              <w:bottom w:val="single" w:sz="8" w:space="0" w:color="auto"/>
              <w:right w:val="nil"/>
            </w:tcBorders>
            <w:shd w:val="clear" w:color="auto" w:fill="auto"/>
            <w:vAlign w:val="bottom"/>
            <w:hideMark/>
          </w:tcPr>
          <w:p w14:paraId="7346A060"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1425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838792"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-1471</w:t>
            </w:r>
          </w:p>
        </w:tc>
        <w:tc>
          <w:tcPr>
            <w:tcW w:w="0" w:type="auto"/>
            <w:tcBorders>
              <w:top w:val="nil"/>
              <w:left w:val="nil"/>
              <w:bottom w:val="single" w:sz="4" w:space="0" w:color="auto"/>
              <w:right w:val="single" w:sz="4" w:space="0" w:color="auto"/>
            </w:tcBorders>
            <w:shd w:val="clear" w:color="auto" w:fill="auto"/>
            <w:noWrap/>
            <w:vAlign w:val="bottom"/>
            <w:hideMark/>
          </w:tcPr>
          <w:p w14:paraId="0BF4E042"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74,0%</w:t>
            </w:r>
          </w:p>
        </w:tc>
        <w:tc>
          <w:tcPr>
            <w:tcW w:w="0" w:type="auto"/>
            <w:tcBorders>
              <w:top w:val="nil"/>
              <w:left w:val="nil"/>
              <w:bottom w:val="single" w:sz="4" w:space="0" w:color="auto"/>
              <w:right w:val="single" w:sz="4" w:space="0" w:color="auto"/>
            </w:tcBorders>
            <w:shd w:val="clear" w:color="auto" w:fill="auto"/>
            <w:noWrap/>
            <w:vAlign w:val="bottom"/>
            <w:hideMark/>
          </w:tcPr>
          <w:p w14:paraId="4C4BECF6"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-1081</w:t>
            </w:r>
          </w:p>
        </w:tc>
        <w:tc>
          <w:tcPr>
            <w:tcW w:w="0" w:type="auto"/>
            <w:tcBorders>
              <w:top w:val="nil"/>
              <w:left w:val="nil"/>
              <w:bottom w:val="single" w:sz="4" w:space="0" w:color="auto"/>
              <w:right w:val="single" w:sz="4" w:space="0" w:color="auto"/>
            </w:tcBorders>
            <w:shd w:val="clear" w:color="auto" w:fill="auto"/>
            <w:noWrap/>
            <w:vAlign w:val="bottom"/>
            <w:hideMark/>
          </w:tcPr>
          <w:p w14:paraId="17CE80EC"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56,9%</w:t>
            </w:r>
          </w:p>
        </w:tc>
      </w:tr>
      <w:tr w:rsidR="006946EA" w:rsidRPr="00B7675F" w14:paraId="145C5034"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3DBD47B" w14:textId="77777777" w:rsidR="006946EA" w:rsidRPr="00736448" w:rsidRDefault="006946EA" w:rsidP="006946EA">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w:t>
            </w:r>
          </w:p>
        </w:tc>
        <w:tc>
          <w:tcPr>
            <w:tcW w:w="0" w:type="auto"/>
            <w:tcBorders>
              <w:top w:val="nil"/>
              <w:left w:val="nil"/>
              <w:bottom w:val="single" w:sz="8" w:space="0" w:color="auto"/>
              <w:right w:val="single" w:sz="8" w:space="0" w:color="auto"/>
            </w:tcBorders>
            <w:shd w:val="clear" w:color="auto" w:fill="auto"/>
            <w:hideMark/>
          </w:tcPr>
          <w:p w14:paraId="637338BD" w14:textId="28DFA838" w:rsidR="006946EA" w:rsidRPr="00A72850" w:rsidRDefault="006946EA" w:rsidP="006946EA">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rPr>
              <w:t>Пенсии депутатам</w:t>
            </w:r>
          </w:p>
        </w:tc>
        <w:tc>
          <w:tcPr>
            <w:tcW w:w="0" w:type="auto"/>
            <w:tcBorders>
              <w:top w:val="nil"/>
              <w:left w:val="nil"/>
              <w:bottom w:val="single" w:sz="8" w:space="0" w:color="auto"/>
              <w:right w:val="single" w:sz="8" w:space="0" w:color="auto"/>
            </w:tcBorders>
            <w:shd w:val="clear" w:color="auto" w:fill="auto"/>
            <w:vAlign w:val="bottom"/>
            <w:hideMark/>
          </w:tcPr>
          <w:p w14:paraId="5654A47E"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190</w:t>
            </w:r>
          </w:p>
        </w:tc>
        <w:tc>
          <w:tcPr>
            <w:tcW w:w="0" w:type="auto"/>
            <w:tcBorders>
              <w:top w:val="nil"/>
              <w:left w:val="nil"/>
              <w:bottom w:val="single" w:sz="8" w:space="0" w:color="auto"/>
              <w:right w:val="single" w:sz="8" w:space="0" w:color="auto"/>
            </w:tcBorders>
            <w:shd w:val="clear" w:color="auto" w:fill="auto"/>
            <w:vAlign w:val="bottom"/>
            <w:hideMark/>
          </w:tcPr>
          <w:p w14:paraId="08375CF4"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89</w:t>
            </w:r>
          </w:p>
        </w:tc>
        <w:tc>
          <w:tcPr>
            <w:tcW w:w="0" w:type="auto"/>
            <w:tcBorders>
              <w:top w:val="nil"/>
              <w:left w:val="nil"/>
              <w:bottom w:val="single" w:sz="8" w:space="0" w:color="auto"/>
              <w:right w:val="single" w:sz="8" w:space="0" w:color="auto"/>
            </w:tcBorders>
            <w:shd w:val="clear" w:color="auto" w:fill="auto"/>
            <w:vAlign w:val="bottom"/>
            <w:hideMark/>
          </w:tcPr>
          <w:p w14:paraId="4EF5B4B0"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170</w:t>
            </w:r>
          </w:p>
        </w:tc>
        <w:tc>
          <w:tcPr>
            <w:tcW w:w="0" w:type="auto"/>
            <w:tcBorders>
              <w:top w:val="nil"/>
              <w:left w:val="nil"/>
              <w:bottom w:val="single" w:sz="8" w:space="0" w:color="auto"/>
              <w:right w:val="single" w:sz="8" w:space="0" w:color="auto"/>
            </w:tcBorders>
            <w:shd w:val="clear" w:color="auto" w:fill="auto"/>
            <w:vAlign w:val="bottom"/>
            <w:hideMark/>
          </w:tcPr>
          <w:p w14:paraId="432198AE"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58</w:t>
            </w:r>
          </w:p>
        </w:tc>
        <w:tc>
          <w:tcPr>
            <w:tcW w:w="0" w:type="auto"/>
            <w:tcBorders>
              <w:top w:val="nil"/>
              <w:left w:val="nil"/>
              <w:bottom w:val="single" w:sz="8" w:space="0" w:color="auto"/>
              <w:right w:val="single" w:sz="8" w:space="0" w:color="auto"/>
            </w:tcBorders>
            <w:shd w:val="clear" w:color="auto" w:fill="auto"/>
            <w:vAlign w:val="bottom"/>
            <w:hideMark/>
          </w:tcPr>
          <w:p w14:paraId="7AEB35C1"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155</w:t>
            </w:r>
          </w:p>
        </w:tc>
        <w:tc>
          <w:tcPr>
            <w:tcW w:w="0" w:type="auto"/>
            <w:tcBorders>
              <w:top w:val="nil"/>
              <w:left w:val="nil"/>
              <w:bottom w:val="single" w:sz="8" w:space="0" w:color="auto"/>
              <w:right w:val="nil"/>
            </w:tcBorders>
            <w:shd w:val="clear" w:color="auto" w:fill="auto"/>
            <w:vAlign w:val="bottom"/>
            <w:hideMark/>
          </w:tcPr>
          <w:p w14:paraId="2C7A388E"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D87AC6"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-35</w:t>
            </w:r>
          </w:p>
        </w:tc>
        <w:tc>
          <w:tcPr>
            <w:tcW w:w="0" w:type="auto"/>
            <w:tcBorders>
              <w:top w:val="nil"/>
              <w:left w:val="nil"/>
              <w:bottom w:val="single" w:sz="4" w:space="0" w:color="auto"/>
              <w:right w:val="single" w:sz="4" w:space="0" w:color="auto"/>
            </w:tcBorders>
            <w:shd w:val="clear" w:color="auto" w:fill="auto"/>
            <w:noWrap/>
            <w:vAlign w:val="bottom"/>
            <w:hideMark/>
          </w:tcPr>
          <w:p w14:paraId="76EAD9F0"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81,6%</w:t>
            </w:r>
          </w:p>
        </w:tc>
        <w:tc>
          <w:tcPr>
            <w:tcW w:w="0" w:type="auto"/>
            <w:tcBorders>
              <w:top w:val="nil"/>
              <w:left w:val="nil"/>
              <w:bottom w:val="single" w:sz="4" w:space="0" w:color="auto"/>
              <w:right w:val="single" w:sz="4" w:space="0" w:color="auto"/>
            </w:tcBorders>
            <w:shd w:val="clear" w:color="auto" w:fill="auto"/>
            <w:noWrap/>
            <w:vAlign w:val="bottom"/>
            <w:hideMark/>
          </w:tcPr>
          <w:p w14:paraId="2AB7CE7D"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-45</w:t>
            </w:r>
          </w:p>
        </w:tc>
        <w:tc>
          <w:tcPr>
            <w:tcW w:w="0" w:type="auto"/>
            <w:tcBorders>
              <w:top w:val="nil"/>
              <w:left w:val="nil"/>
              <w:bottom w:val="single" w:sz="4" w:space="0" w:color="auto"/>
              <w:right w:val="single" w:sz="4" w:space="0" w:color="auto"/>
            </w:tcBorders>
            <w:shd w:val="clear" w:color="auto" w:fill="auto"/>
            <w:noWrap/>
            <w:vAlign w:val="bottom"/>
            <w:hideMark/>
          </w:tcPr>
          <w:p w14:paraId="68796674"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49,4%</w:t>
            </w:r>
          </w:p>
        </w:tc>
      </w:tr>
      <w:tr w:rsidR="006946EA" w:rsidRPr="00B7675F" w14:paraId="6AE338CB"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7D891F" w14:textId="77777777" w:rsidR="006946EA" w:rsidRPr="00736448" w:rsidRDefault="006946EA" w:rsidP="006946EA">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w:t>
            </w:r>
          </w:p>
        </w:tc>
        <w:tc>
          <w:tcPr>
            <w:tcW w:w="0" w:type="auto"/>
            <w:tcBorders>
              <w:top w:val="nil"/>
              <w:left w:val="nil"/>
              <w:bottom w:val="single" w:sz="8" w:space="0" w:color="auto"/>
              <w:right w:val="single" w:sz="8" w:space="0" w:color="auto"/>
            </w:tcBorders>
            <w:shd w:val="clear" w:color="auto" w:fill="auto"/>
            <w:hideMark/>
          </w:tcPr>
          <w:p w14:paraId="4F0246DF" w14:textId="24AB6CE4" w:rsidR="006946EA" w:rsidRPr="00A72850" w:rsidRDefault="006946EA" w:rsidP="006946EA">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rPr>
              <w:t>Пенсии членам Правительства</w:t>
            </w:r>
          </w:p>
        </w:tc>
        <w:tc>
          <w:tcPr>
            <w:tcW w:w="0" w:type="auto"/>
            <w:tcBorders>
              <w:top w:val="nil"/>
              <w:left w:val="nil"/>
              <w:bottom w:val="single" w:sz="8" w:space="0" w:color="auto"/>
              <w:right w:val="single" w:sz="8" w:space="0" w:color="auto"/>
            </w:tcBorders>
            <w:shd w:val="clear" w:color="auto" w:fill="auto"/>
            <w:vAlign w:val="bottom"/>
            <w:hideMark/>
          </w:tcPr>
          <w:p w14:paraId="2565C656"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42</w:t>
            </w:r>
          </w:p>
        </w:tc>
        <w:tc>
          <w:tcPr>
            <w:tcW w:w="0" w:type="auto"/>
            <w:tcBorders>
              <w:top w:val="nil"/>
              <w:left w:val="nil"/>
              <w:bottom w:val="single" w:sz="8" w:space="0" w:color="auto"/>
              <w:right w:val="single" w:sz="8" w:space="0" w:color="auto"/>
            </w:tcBorders>
            <w:shd w:val="clear" w:color="auto" w:fill="auto"/>
            <w:vAlign w:val="bottom"/>
            <w:hideMark/>
          </w:tcPr>
          <w:p w14:paraId="4C76853E"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w:t>
            </w:r>
          </w:p>
        </w:tc>
        <w:tc>
          <w:tcPr>
            <w:tcW w:w="0" w:type="auto"/>
            <w:tcBorders>
              <w:top w:val="nil"/>
              <w:left w:val="nil"/>
              <w:bottom w:val="single" w:sz="8" w:space="0" w:color="auto"/>
              <w:right w:val="single" w:sz="8" w:space="0" w:color="auto"/>
            </w:tcBorders>
            <w:shd w:val="clear" w:color="auto" w:fill="auto"/>
            <w:vAlign w:val="bottom"/>
            <w:hideMark/>
          </w:tcPr>
          <w:p w14:paraId="79E2779B"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33</w:t>
            </w:r>
          </w:p>
        </w:tc>
        <w:tc>
          <w:tcPr>
            <w:tcW w:w="0" w:type="auto"/>
            <w:tcBorders>
              <w:top w:val="nil"/>
              <w:left w:val="nil"/>
              <w:bottom w:val="single" w:sz="8" w:space="0" w:color="auto"/>
              <w:right w:val="single" w:sz="8" w:space="0" w:color="auto"/>
            </w:tcBorders>
            <w:shd w:val="clear" w:color="auto" w:fill="auto"/>
            <w:vAlign w:val="bottom"/>
            <w:hideMark/>
          </w:tcPr>
          <w:p w14:paraId="00137E95"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w:t>
            </w:r>
          </w:p>
        </w:tc>
        <w:tc>
          <w:tcPr>
            <w:tcW w:w="0" w:type="auto"/>
            <w:tcBorders>
              <w:top w:val="nil"/>
              <w:left w:val="nil"/>
              <w:bottom w:val="single" w:sz="8" w:space="0" w:color="auto"/>
              <w:right w:val="single" w:sz="8" w:space="0" w:color="auto"/>
            </w:tcBorders>
            <w:shd w:val="clear" w:color="auto" w:fill="auto"/>
            <w:vAlign w:val="bottom"/>
            <w:hideMark/>
          </w:tcPr>
          <w:p w14:paraId="06EBC49E"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30</w:t>
            </w:r>
          </w:p>
        </w:tc>
        <w:tc>
          <w:tcPr>
            <w:tcW w:w="0" w:type="auto"/>
            <w:tcBorders>
              <w:top w:val="nil"/>
              <w:left w:val="nil"/>
              <w:bottom w:val="single" w:sz="8" w:space="0" w:color="auto"/>
              <w:right w:val="nil"/>
            </w:tcBorders>
            <w:shd w:val="clear" w:color="auto" w:fill="auto"/>
            <w:vAlign w:val="bottom"/>
            <w:hideMark/>
          </w:tcPr>
          <w:p w14:paraId="1DE29481"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67D55A"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w:t>
            </w:r>
          </w:p>
        </w:tc>
        <w:tc>
          <w:tcPr>
            <w:tcW w:w="0" w:type="auto"/>
            <w:tcBorders>
              <w:top w:val="nil"/>
              <w:left w:val="nil"/>
              <w:bottom w:val="single" w:sz="4" w:space="0" w:color="auto"/>
              <w:right w:val="single" w:sz="4" w:space="0" w:color="auto"/>
            </w:tcBorders>
            <w:shd w:val="clear" w:color="auto" w:fill="auto"/>
            <w:noWrap/>
            <w:vAlign w:val="bottom"/>
            <w:hideMark/>
          </w:tcPr>
          <w:p w14:paraId="62709FB5"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71,4%</w:t>
            </w:r>
          </w:p>
        </w:tc>
        <w:tc>
          <w:tcPr>
            <w:tcW w:w="0" w:type="auto"/>
            <w:tcBorders>
              <w:top w:val="nil"/>
              <w:left w:val="nil"/>
              <w:bottom w:val="single" w:sz="4" w:space="0" w:color="auto"/>
              <w:right w:val="single" w:sz="4" w:space="0" w:color="auto"/>
            </w:tcBorders>
            <w:shd w:val="clear" w:color="auto" w:fill="auto"/>
            <w:noWrap/>
            <w:vAlign w:val="bottom"/>
            <w:hideMark/>
          </w:tcPr>
          <w:p w14:paraId="15ABBD92"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w:t>
            </w:r>
          </w:p>
        </w:tc>
        <w:tc>
          <w:tcPr>
            <w:tcW w:w="0" w:type="auto"/>
            <w:tcBorders>
              <w:top w:val="nil"/>
              <w:left w:val="nil"/>
              <w:bottom w:val="single" w:sz="4" w:space="0" w:color="auto"/>
              <w:right w:val="single" w:sz="4" w:space="0" w:color="auto"/>
            </w:tcBorders>
            <w:shd w:val="clear" w:color="auto" w:fill="auto"/>
            <w:noWrap/>
            <w:vAlign w:val="bottom"/>
            <w:hideMark/>
          </w:tcPr>
          <w:p w14:paraId="78944335"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20,0%</w:t>
            </w:r>
          </w:p>
        </w:tc>
      </w:tr>
      <w:tr w:rsidR="006946EA" w:rsidRPr="00B7675F" w14:paraId="59BDFB9B"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A06BD5B" w14:textId="77777777" w:rsidR="006946EA" w:rsidRPr="00736448" w:rsidRDefault="006946EA" w:rsidP="006946EA">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w:t>
            </w:r>
          </w:p>
        </w:tc>
        <w:tc>
          <w:tcPr>
            <w:tcW w:w="0" w:type="auto"/>
            <w:tcBorders>
              <w:top w:val="nil"/>
              <w:left w:val="nil"/>
              <w:bottom w:val="single" w:sz="8" w:space="0" w:color="auto"/>
              <w:right w:val="single" w:sz="8" w:space="0" w:color="auto"/>
            </w:tcBorders>
            <w:shd w:val="clear" w:color="auto" w:fill="auto"/>
            <w:hideMark/>
          </w:tcPr>
          <w:p w14:paraId="5F9B1E67" w14:textId="5F669CFC" w:rsidR="006946EA" w:rsidRPr="00A72850" w:rsidRDefault="006946EA" w:rsidP="006946EA">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rPr>
              <w:t>Пенсии местных выборных лиц</w:t>
            </w:r>
          </w:p>
        </w:tc>
        <w:tc>
          <w:tcPr>
            <w:tcW w:w="0" w:type="auto"/>
            <w:tcBorders>
              <w:top w:val="nil"/>
              <w:left w:val="nil"/>
              <w:bottom w:val="single" w:sz="8" w:space="0" w:color="auto"/>
              <w:right w:val="single" w:sz="8" w:space="0" w:color="auto"/>
            </w:tcBorders>
            <w:shd w:val="clear" w:color="auto" w:fill="auto"/>
            <w:vAlign w:val="bottom"/>
            <w:hideMark/>
          </w:tcPr>
          <w:p w14:paraId="5CEA4728"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539</w:t>
            </w:r>
          </w:p>
        </w:tc>
        <w:tc>
          <w:tcPr>
            <w:tcW w:w="0" w:type="auto"/>
            <w:tcBorders>
              <w:top w:val="nil"/>
              <w:left w:val="nil"/>
              <w:bottom w:val="single" w:sz="8" w:space="0" w:color="auto"/>
              <w:right w:val="single" w:sz="8" w:space="0" w:color="auto"/>
            </w:tcBorders>
            <w:shd w:val="clear" w:color="auto" w:fill="auto"/>
            <w:vAlign w:val="bottom"/>
            <w:hideMark/>
          </w:tcPr>
          <w:p w14:paraId="22B8BF65"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232</w:t>
            </w:r>
          </w:p>
        </w:tc>
        <w:tc>
          <w:tcPr>
            <w:tcW w:w="0" w:type="auto"/>
            <w:tcBorders>
              <w:top w:val="nil"/>
              <w:left w:val="nil"/>
              <w:bottom w:val="single" w:sz="8" w:space="0" w:color="auto"/>
              <w:right w:val="single" w:sz="8" w:space="0" w:color="auto"/>
            </w:tcBorders>
            <w:shd w:val="clear" w:color="auto" w:fill="auto"/>
            <w:vAlign w:val="bottom"/>
            <w:hideMark/>
          </w:tcPr>
          <w:p w14:paraId="249354D1"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444</w:t>
            </w:r>
          </w:p>
        </w:tc>
        <w:tc>
          <w:tcPr>
            <w:tcW w:w="0" w:type="auto"/>
            <w:tcBorders>
              <w:top w:val="nil"/>
              <w:left w:val="nil"/>
              <w:bottom w:val="single" w:sz="8" w:space="0" w:color="auto"/>
              <w:right w:val="single" w:sz="8" w:space="0" w:color="auto"/>
            </w:tcBorders>
            <w:shd w:val="clear" w:color="auto" w:fill="auto"/>
            <w:vAlign w:val="bottom"/>
            <w:hideMark/>
          </w:tcPr>
          <w:p w14:paraId="4329A892"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127</w:t>
            </w:r>
          </w:p>
        </w:tc>
        <w:tc>
          <w:tcPr>
            <w:tcW w:w="0" w:type="auto"/>
            <w:tcBorders>
              <w:top w:val="nil"/>
              <w:left w:val="nil"/>
              <w:bottom w:val="single" w:sz="8" w:space="0" w:color="auto"/>
              <w:right w:val="single" w:sz="8" w:space="0" w:color="auto"/>
            </w:tcBorders>
            <w:shd w:val="clear" w:color="auto" w:fill="auto"/>
            <w:vAlign w:val="bottom"/>
            <w:hideMark/>
          </w:tcPr>
          <w:p w14:paraId="3034D04B"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392</w:t>
            </w:r>
          </w:p>
        </w:tc>
        <w:tc>
          <w:tcPr>
            <w:tcW w:w="0" w:type="auto"/>
            <w:tcBorders>
              <w:top w:val="nil"/>
              <w:left w:val="nil"/>
              <w:bottom w:val="single" w:sz="8" w:space="0" w:color="auto"/>
              <w:right w:val="nil"/>
            </w:tcBorders>
            <w:shd w:val="clear" w:color="auto" w:fill="auto"/>
            <w:vAlign w:val="bottom"/>
            <w:hideMark/>
          </w:tcPr>
          <w:p w14:paraId="75278C42"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3CB6F7"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-147</w:t>
            </w:r>
          </w:p>
        </w:tc>
        <w:tc>
          <w:tcPr>
            <w:tcW w:w="0" w:type="auto"/>
            <w:tcBorders>
              <w:top w:val="nil"/>
              <w:left w:val="nil"/>
              <w:bottom w:val="single" w:sz="4" w:space="0" w:color="auto"/>
              <w:right w:val="single" w:sz="4" w:space="0" w:color="auto"/>
            </w:tcBorders>
            <w:shd w:val="clear" w:color="auto" w:fill="auto"/>
            <w:noWrap/>
            <w:vAlign w:val="bottom"/>
            <w:hideMark/>
          </w:tcPr>
          <w:p w14:paraId="7943E649"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72,7%</w:t>
            </w:r>
          </w:p>
        </w:tc>
        <w:tc>
          <w:tcPr>
            <w:tcW w:w="0" w:type="auto"/>
            <w:tcBorders>
              <w:top w:val="nil"/>
              <w:left w:val="nil"/>
              <w:bottom w:val="single" w:sz="4" w:space="0" w:color="auto"/>
              <w:right w:val="single" w:sz="4" w:space="0" w:color="auto"/>
            </w:tcBorders>
            <w:shd w:val="clear" w:color="auto" w:fill="auto"/>
            <w:noWrap/>
            <w:vAlign w:val="bottom"/>
            <w:hideMark/>
          </w:tcPr>
          <w:p w14:paraId="3CE68671"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-156</w:t>
            </w:r>
          </w:p>
        </w:tc>
        <w:tc>
          <w:tcPr>
            <w:tcW w:w="0" w:type="auto"/>
            <w:tcBorders>
              <w:top w:val="nil"/>
              <w:left w:val="nil"/>
              <w:bottom w:val="single" w:sz="4" w:space="0" w:color="auto"/>
              <w:right w:val="single" w:sz="4" w:space="0" w:color="auto"/>
            </w:tcBorders>
            <w:shd w:val="clear" w:color="auto" w:fill="auto"/>
            <w:noWrap/>
            <w:vAlign w:val="bottom"/>
            <w:hideMark/>
          </w:tcPr>
          <w:p w14:paraId="72C063B5"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32,8%</w:t>
            </w:r>
          </w:p>
        </w:tc>
      </w:tr>
      <w:tr w:rsidR="006946EA" w:rsidRPr="00B7675F" w14:paraId="38162592"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6A5607" w14:textId="77777777" w:rsidR="006946EA" w:rsidRPr="00736448" w:rsidRDefault="006946EA" w:rsidP="006946EA">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w:t>
            </w:r>
          </w:p>
        </w:tc>
        <w:tc>
          <w:tcPr>
            <w:tcW w:w="0" w:type="auto"/>
            <w:tcBorders>
              <w:top w:val="nil"/>
              <w:left w:val="nil"/>
              <w:bottom w:val="single" w:sz="8" w:space="0" w:color="auto"/>
              <w:right w:val="single" w:sz="8" w:space="0" w:color="auto"/>
            </w:tcBorders>
            <w:shd w:val="clear" w:color="auto" w:fill="auto"/>
            <w:hideMark/>
          </w:tcPr>
          <w:p w14:paraId="527339E3" w14:textId="64339651" w:rsidR="006946EA" w:rsidRPr="00A72850" w:rsidRDefault="006946EA" w:rsidP="006946EA">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rPr>
              <w:t>Пенсии таможенным работникам</w:t>
            </w:r>
          </w:p>
        </w:tc>
        <w:tc>
          <w:tcPr>
            <w:tcW w:w="0" w:type="auto"/>
            <w:tcBorders>
              <w:top w:val="nil"/>
              <w:left w:val="nil"/>
              <w:bottom w:val="single" w:sz="8" w:space="0" w:color="auto"/>
              <w:right w:val="single" w:sz="8" w:space="0" w:color="auto"/>
            </w:tcBorders>
            <w:shd w:val="clear" w:color="auto" w:fill="auto"/>
            <w:vAlign w:val="bottom"/>
            <w:hideMark/>
          </w:tcPr>
          <w:p w14:paraId="29809029"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w:t>
            </w:r>
          </w:p>
        </w:tc>
        <w:tc>
          <w:tcPr>
            <w:tcW w:w="0" w:type="auto"/>
            <w:tcBorders>
              <w:top w:val="nil"/>
              <w:left w:val="nil"/>
              <w:bottom w:val="single" w:sz="8" w:space="0" w:color="auto"/>
              <w:right w:val="single" w:sz="8" w:space="0" w:color="auto"/>
            </w:tcBorders>
            <w:shd w:val="clear" w:color="auto" w:fill="auto"/>
            <w:vAlign w:val="bottom"/>
            <w:hideMark/>
          </w:tcPr>
          <w:p w14:paraId="44272E71"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w:t>
            </w:r>
          </w:p>
        </w:tc>
        <w:tc>
          <w:tcPr>
            <w:tcW w:w="0" w:type="auto"/>
            <w:tcBorders>
              <w:top w:val="nil"/>
              <w:left w:val="nil"/>
              <w:bottom w:val="single" w:sz="8" w:space="0" w:color="auto"/>
              <w:right w:val="single" w:sz="8" w:space="0" w:color="auto"/>
            </w:tcBorders>
            <w:shd w:val="clear" w:color="auto" w:fill="auto"/>
            <w:vAlign w:val="bottom"/>
            <w:hideMark/>
          </w:tcPr>
          <w:p w14:paraId="2E2D6BB6"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w:t>
            </w:r>
          </w:p>
        </w:tc>
        <w:tc>
          <w:tcPr>
            <w:tcW w:w="0" w:type="auto"/>
            <w:tcBorders>
              <w:top w:val="nil"/>
              <w:left w:val="nil"/>
              <w:bottom w:val="single" w:sz="8" w:space="0" w:color="auto"/>
              <w:right w:val="single" w:sz="8" w:space="0" w:color="auto"/>
            </w:tcBorders>
            <w:shd w:val="clear" w:color="auto" w:fill="auto"/>
            <w:vAlign w:val="bottom"/>
            <w:hideMark/>
          </w:tcPr>
          <w:p w14:paraId="1F89E39C"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w:t>
            </w:r>
          </w:p>
        </w:tc>
        <w:tc>
          <w:tcPr>
            <w:tcW w:w="0" w:type="auto"/>
            <w:tcBorders>
              <w:top w:val="nil"/>
              <w:left w:val="nil"/>
              <w:bottom w:val="single" w:sz="8" w:space="0" w:color="auto"/>
              <w:right w:val="single" w:sz="8" w:space="0" w:color="auto"/>
            </w:tcBorders>
            <w:shd w:val="clear" w:color="auto" w:fill="auto"/>
            <w:vAlign w:val="bottom"/>
            <w:hideMark/>
          </w:tcPr>
          <w:p w14:paraId="07ED9DE2"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w:t>
            </w:r>
          </w:p>
        </w:tc>
        <w:tc>
          <w:tcPr>
            <w:tcW w:w="0" w:type="auto"/>
            <w:tcBorders>
              <w:top w:val="nil"/>
              <w:left w:val="nil"/>
              <w:bottom w:val="single" w:sz="8" w:space="0" w:color="auto"/>
              <w:right w:val="nil"/>
            </w:tcBorders>
            <w:shd w:val="clear" w:color="auto" w:fill="auto"/>
            <w:vAlign w:val="bottom"/>
            <w:hideMark/>
          </w:tcPr>
          <w:p w14:paraId="41CEA225"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2F4460"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w:t>
            </w:r>
          </w:p>
        </w:tc>
        <w:tc>
          <w:tcPr>
            <w:tcW w:w="0" w:type="auto"/>
            <w:tcBorders>
              <w:top w:val="nil"/>
              <w:left w:val="nil"/>
              <w:bottom w:val="single" w:sz="4" w:space="0" w:color="auto"/>
              <w:right w:val="single" w:sz="4" w:space="0" w:color="auto"/>
            </w:tcBorders>
            <w:shd w:val="clear" w:color="auto" w:fill="auto"/>
            <w:noWrap/>
            <w:vAlign w:val="bottom"/>
            <w:hideMark/>
          </w:tcPr>
          <w:p w14:paraId="435EF609"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50,0%</w:t>
            </w:r>
          </w:p>
        </w:tc>
        <w:tc>
          <w:tcPr>
            <w:tcW w:w="0" w:type="auto"/>
            <w:tcBorders>
              <w:top w:val="nil"/>
              <w:left w:val="nil"/>
              <w:bottom w:val="single" w:sz="4" w:space="0" w:color="auto"/>
              <w:right w:val="single" w:sz="4" w:space="0" w:color="auto"/>
            </w:tcBorders>
            <w:shd w:val="clear" w:color="auto" w:fill="auto"/>
            <w:noWrap/>
            <w:vAlign w:val="bottom"/>
            <w:hideMark/>
          </w:tcPr>
          <w:p w14:paraId="2D1184F9"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w:t>
            </w:r>
          </w:p>
        </w:tc>
        <w:tc>
          <w:tcPr>
            <w:tcW w:w="0" w:type="auto"/>
            <w:tcBorders>
              <w:top w:val="nil"/>
              <w:left w:val="nil"/>
              <w:bottom w:val="single" w:sz="4" w:space="0" w:color="auto"/>
              <w:right w:val="single" w:sz="4" w:space="0" w:color="auto"/>
            </w:tcBorders>
            <w:shd w:val="clear" w:color="auto" w:fill="auto"/>
            <w:noWrap/>
            <w:vAlign w:val="bottom"/>
            <w:hideMark/>
          </w:tcPr>
          <w:p w14:paraId="142705CC" w14:textId="77777777" w:rsidR="006946EA" w:rsidRPr="00736448" w:rsidRDefault="006946EA" w:rsidP="006946EA">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 </w:t>
            </w:r>
          </w:p>
        </w:tc>
      </w:tr>
      <w:tr w:rsidR="006946EA" w:rsidRPr="00B7675F" w14:paraId="0370D4FB"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AC304D" w14:textId="77777777" w:rsidR="006946EA" w:rsidRPr="00736448" w:rsidRDefault="006946EA" w:rsidP="006946EA">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w:t>
            </w:r>
          </w:p>
        </w:tc>
        <w:tc>
          <w:tcPr>
            <w:tcW w:w="0" w:type="auto"/>
            <w:tcBorders>
              <w:top w:val="nil"/>
              <w:left w:val="nil"/>
              <w:bottom w:val="single" w:sz="8" w:space="0" w:color="auto"/>
              <w:right w:val="single" w:sz="8" w:space="0" w:color="auto"/>
            </w:tcBorders>
            <w:shd w:val="clear" w:color="auto" w:fill="auto"/>
            <w:hideMark/>
          </w:tcPr>
          <w:p w14:paraId="1CC5C0C8" w14:textId="5A755222" w:rsidR="006946EA" w:rsidRPr="00A72850" w:rsidRDefault="006946EA" w:rsidP="006946EA">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rPr>
              <w:t>Пенсии прокурорам и судьям</w:t>
            </w:r>
          </w:p>
        </w:tc>
        <w:tc>
          <w:tcPr>
            <w:tcW w:w="0" w:type="auto"/>
            <w:tcBorders>
              <w:top w:val="nil"/>
              <w:left w:val="nil"/>
              <w:bottom w:val="single" w:sz="8" w:space="0" w:color="auto"/>
              <w:right w:val="single" w:sz="8" w:space="0" w:color="auto"/>
            </w:tcBorders>
            <w:shd w:val="clear" w:color="auto" w:fill="auto"/>
            <w:vAlign w:val="bottom"/>
            <w:hideMark/>
          </w:tcPr>
          <w:p w14:paraId="69818515"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512</w:t>
            </w:r>
          </w:p>
        </w:tc>
        <w:tc>
          <w:tcPr>
            <w:tcW w:w="0" w:type="auto"/>
            <w:tcBorders>
              <w:top w:val="nil"/>
              <w:left w:val="nil"/>
              <w:bottom w:val="single" w:sz="8" w:space="0" w:color="auto"/>
              <w:right w:val="single" w:sz="8" w:space="0" w:color="auto"/>
            </w:tcBorders>
            <w:shd w:val="clear" w:color="auto" w:fill="auto"/>
            <w:vAlign w:val="bottom"/>
            <w:hideMark/>
          </w:tcPr>
          <w:p w14:paraId="28DB5AF6"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220</w:t>
            </w:r>
          </w:p>
        </w:tc>
        <w:tc>
          <w:tcPr>
            <w:tcW w:w="0" w:type="auto"/>
            <w:tcBorders>
              <w:top w:val="nil"/>
              <w:left w:val="nil"/>
              <w:bottom w:val="single" w:sz="8" w:space="0" w:color="auto"/>
              <w:right w:val="single" w:sz="8" w:space="0" w:color="auto"/>
            </w:tcBorders>
            <w:shd w:val="clear" w:color="auto" w:fill="auto"/>
            <w:vAlign w:val="bottom"/>
            <w:hideMark/>
          </w:tcPr>
          <w:p w14:paraId="023D4B2A"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497</w:t>
            </w:r>
          </w:p>
        </w:tc>
        <w:tc>
          <w:tcPr>
            <w:tcW w:w="0" w:type="auto"/>
            <w:tcBorders>
              <w:top w:val="nil"/>
              <w:left w:val="nil"/>
              <w:bottom w:val="single" w:sz="8" w:space="0" w:color="auto"/>
              <w:right w:val="single" w:sz="8" w:space="0" w:color="auto"/>
            </w:tcBorders>
            <w:shd w:val="clear" w:color="auto" w:fill="auto"/>
            <w:vAlign w:val="bottom"/>
            <w:hideMark/>
          </w:tcPr>
          <w:p w14:paraId="04793BCA"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211</w:t>
            </w:r>
          </w:p>
        </w:tc>
        <w:tc>
          <w:tcPr>
            <w:tcW w:w="0" w:type="auto"/>
            <w:tcBorders>
              <w:top w:val="nil"/>
              <w:left w:val="nil"/>
              <w:bottom w:val="single" w:sz="8" w:space="0" w:color="auto"/>
              <w:right w:val="single" w:sz="8" w:space="0" w:color="auto"/>
            </w:tcBorders>
            <w:shd w:val="clear" w:color="auto" w:fill="auto"/>
            <w:vAlign w:val="bottom"/>
            <w:hideMark/>
          </w:tcPr>
          <w:p w14:paraId="39F76A56"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491</w:t>
            </w:r>
          </w:p>
        </w:tc>
        <w:tc>
          <w:tcPr>
            <w:tcW w:w="0" w:type="auto"/>
            <w:tcBorders>
              <w:top w:val="nil"/>
              <w:left w:val="nil"/>
              <w:bottom w:val="single" w:sz="8" w:space="0" w:color="auto"/>
              <w:right w:val="nil"/>
            </w:tcBorders>
            <w:shd w:val="clear" w:color="auto" w:fill="auto"/>
            <w:vAlign w:val="bottom"/>
            <w:hideMark/>
          </w:tcPr>
          <w:p w14:paraId="63B72751"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6C474A"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-21</w:t>
            </w:r>
          </w:p>
        </w:tc>
        <w:tc>
          <w:tcPr>
            <w:tcW w:w="0" w:type="auto"/>
            <w:tcBorders>
              <w:top w:val="nil"/>
              <w:left w:val="nil"/>
              <w:bottom w:val="single" w:sz="4" w:space="0" w:color="auto"/>
              <w:right w:val="single" w:sz="4" w:space="0" w:color="auto"/>
            </w:tcBorders>
            <w:shd w:val="clear" w:color="auto" w:fill="auto"/>
            <w:noWrap/>
            <w:vAlign w:val="bottom"/>
            <w:hideMark/>
          </w:tcPr>
          <w:p w14:paraId="48F794D5"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95,9%</w:t>
            </w:r>
          </w:p>
        </w:tc>
        <w:tc>
          <w:tcPr>
            <w:tcW w:w="0" w:type="auto"/>
            <w:tcBorders>
              <w:top w:val="nil"/>
              <w:left w:val="nil"/>
              <w:bottom w:val="single" w:sz="4" w:space="0" w:color="auto"/>
              <w:right w:val="single" w:sz="4" w:space="0" w:color="auto"/>
            </w:tcBorders>
            <w:shd w:val="clear" w:color="auto" w:fill="auto"/>
            <w:noWrap/>
            <w:vAlign w:val="bottom"/>
            <w:hideMark/>
          </w:tcPr>
          <w:p w14:paraId="5D159CFF"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-64</w:t>
            </w:r>
          </w:p>
        </w:tc>
        <w:tc>
          <w:tcPr>
            <w:tcW w:w="0" w:type="auto"/>
            <w:tcBorders>
              <w:top w:val="nil"/>
              <w:left w:val="nil"/>
              <w:bottom w:val="single" w:sz="4" w:space="0" w:color="auto"/>
              <w:right w:val="single" w:sz="4" w:space="0" w:color="auto"/>
            </w:tcBorders>
            <w:shd w:val="clear" w:color="auto" w:fill="auto"/>
            <w:noWrap/>
            <w:vAlign w:val="bottom"/>
            <w:hideMark/>
          </w:tcPr>
          <w:p w14:paraId="2134D8E0"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70,9%</w:t>
            </w:r>
          </w:p>
        </w:tc>
      </w:tr>
      <w:tr w:rsidR="006946EA" w:rsidRPr="00B7675F" w14:paraId="4559C9B3"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AA75F3A" w14:textId="77777777" w:rsidR="006946EA" w:rsidRPr="00736448" w:rsidRDefault="006946EA" w:rsidP="006946EA">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13</w:t>
            </w:r>
          </w:p>
        </w:tc>
        <w:tc>
          <w:tcPr>
            <w:tcW w:w="0" w:type="auto"/>
            <w:tcBorders>
              <w:top w:val="nil"/>
              <w:left w:val="nil"/>
              <w:bottom w:val="single" w:sz="8" w:space="0" w:color="auto"/>
              <w:right w:val="single" w:sz="8" w:space="0" w:color="auto"/>
            </w:tcBorders>
            <w:shd w:val="clear" w:color="auto" w:fill="auto"/>
            <w:hideMark/>
          </w:tcPr>
          <w:p w14:paraId="21FCF6D5" w14:textId="6ECFF714" w:rsidR="006946EA" w:rsidRPr="00A72850" w:rsidRDefault="006946EA" w:rsidP="006946EA">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lang w:val="ru-RU"/>
              </w:rPr>
              <w:t>Пенсии участникам ликвидации Чернобыльской аварии</w:t>
            </w:r>
          </w:p>
        </w:tc>
        <w:tc>
          <w:tcPr>
            <w:tcW w:w="0" w:type="auto"/>
            <w:tcBorders>
              <w:top w:val="nil"/>
              <w:left w:val="nil"/>
              <w:bottom w:val="single" w:sz="8" w:space="0" w:color="auto"/>
              <w:right w:val="single" w:sz="8" w:space="0" w:color="auto"/>
            </w:tcBorders>
            <w:shd w:val="clear" w:color="auto" w:fill="auto"/>
            <w:vAlign w:val="bottom"/>
            <w:hideMark/>
          </w:tcPr>
          <w:p w14:paraId="00961D27"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1646</w:t>
            </w:r>
          </w:p>
        </w:tc>
        <w:tc>
          <w:tcPr>
            <w:tcW w:w="0" w:type="auto"/>
            <w:tcBorders>
              <w:top w:val="nil"/>
              <w:left w:val="nil"/>
              <w:bottom w:val="single" w:sz="8" w:space="0" w:color="auto"/>
              <w:right w:val="single" w:sz="8" w:space="0" w:color="auto"/>
            </w:tcBorders>
            <w:shd w:val="clear" w:color="auto" w:fill="auto"/>
            <w:vAlign w:val="bottom"/>
            <w:hideMark/>
          </w:tcPr>
          <w:p w14:paraId="19E9177E"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378</w:t>
            </w:r>
          </w:p>
        </w:tc>
        <w:tc>
          <w:tcPr>
            <w:tcW w:w="0" w:type="auto"/>
            <w:tcBorders>
              <w:top w:val="nil"/>
              <w:left w:val="nil"/>
              <w:bottom w:val="single" w:sz="8" w:space="0" w:color="auto"/>
              <w:right w:val="single" w:sz="8" w:space="0" w:color="auto"/>
            </w:tcBorders>
            <w:shd w:val="clear" w:color="auto" w:fill="auto"/>
            <w:vAlign w:val="bottom"/>
            <w:hideMark/>
          </w:tcPr>
          <w:p w14:paraId="1E370AB4"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1589</w:t>
            </w:r>
          </w:p>
        </w:tc>
        <w:tc>
          <w:tcPr>
            <w:tcW w:w="0" w:type="auto"/>
            <w:tcBorders>
              <w:top w:val="nil"/>
              <w:left w:val="nil"/>
              <w:bottom w:val="single" w:sz="8" w:space="0" w:color="auto"/>
              <w:right w:val="single" w:sz="8" w:space="0" w:color="auto"/>
            </w:tcBorders>
            <w:shd w:val="clear" w:color="auto" w:fill="auto"/>
            <w:vAlign w:val="bottom"/>
            <w:hideMark/>
          </w:tcPr>
          <w:p w14:paraId="40A256C6"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353</w:t>
            </w:r>
          </w:p>
        </w:tc>
        <w:tc>
          <w:tcPr>
            <w:tcW w:w="0" w:type="auto"/>
            <w:tcBorders>
              <w:top w:val="nil"/>
              <w:left w:val="nil"/>
              <w:bottom w:val="single" w:sz="8" w:space="0" w:color="auto"/>
              <w:right w:val="single" w:sz="8" w:space="0" w:color="auto"/>
            </w:tcBorders>
            <w:shd w:val="clear" w:color="auto" w:fill="auto"/>
            <w:vAlign w:val="bottom"/>
            <w:hideMark/>
          </w:tcPr>
          <w:p w14:paraId="2EE7AEAE"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1528</w:t>
            </w:r>
          </w:p>
        </w:tc>
        <w:tc>
          <w:tcPr>
            <w:tcW w:w="0" w:type="auto"/>
            <w:tcBorders>
              <w:top w:val="nil"/>
              <w:left w:val="nil"/>
              <w:bottom w:val="single" w:sz="8" w:space="0" w:color="auto"/>
              <w:right w:val="nil"/>
            </w:tcBorders>
            <w:shd w:val="clear" w:color="auto" w:fill="auto"/>
            <w:vAlign w:val="bottom"/>
            <w:hideMark/>
          </w:tcPr>
          <w:p w14:paraId="0925029C"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E1D364"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-118</w:t>
            </w:r>
          </w:p>
        </w:tc>
        <w:tc>
          <w:tcPr>
            <w:tcW w:w="0" w:type="auto"/>
            <w:tcBorders>
              <w:top w:val="nil"/>
              <w:left w:val="nil"/>
              <w:bottom w:val="single" w:sz="4" w:space="0" w:color="auto"/>
              <w:right w:val="single" w:sz="4" w:space="0" w:color="auto"/>
            </w:tcBorders>
            <w:shd w:val="clear" w:color="auto" w:fill="auto"/>
            <w:noWrap/>
            <w:vAlign w:val="bottom"/>
            <w:hideMark/>
          </w:tcPr>
          <w:p w14:paraId="5177906C"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92,8%</w:t>
            </w:r>
          </w:p>
        </w:tc>
        <w:tc>
          <w:tcPr>
            <w:tcW w:w="0" w:type="auto"/>
            <w:tcBorders>
              <w:top w:val="nil"/>
              <w:left w:val="nil"/>
              <w:bottom w:val="single" w:sz="4" w:space="0" w:color="auto"/>
              <w:right w:val="single" w:sz="4" w:space="0" w:color="auto"/>
            </w:tcBorders>
            <w:shd w:val="clear" w:color="auto" w:fill="auto"/>
            <w:noWrap/>
            <w:vAlign w:val="bottom"/>
            <w:hideMark/>
          </w:tcPr>
          <w:p w14:paraId="72EC6B0E"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-38</w:t>
            </w:r>
          </w:p>
        </w:tc>
        <w:tc>
          <w:tcPr>
            <w:tcW w:w="0" w:type="auto"/>
            <w:tcBorders>
              <w:top w:val="nil"/>
              <w:left w:val="nil"/>
              <w:bottom w:val="single" w:sz="4" w:space="0" w:color="auto"/>
              <w:right w:val="single" w:sz="4" w:space="0" w:color="auto"/>
            </w:tcBorders>
            <w:shd w:val="clear" w:color="auto" w:fill="auto"/>
            <w:noWrap/>
            <w:vAlign w:val="bottom"/>
            <w:hideMark/>
          </w:tcPr>
          <w:p w14:paraId="72D3E089"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89,9%</w:t>
            </w:r>
          </w:p>
        </w:tc>
      </w:tr>
      <w:tr w:rsidR="006946EA" w:rsidRPr="00B7675F" w14:paraId="3015706B"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09BC174" w14:textId="77777777" w:rsidR="006946EA" w:rsidRPr="00736448" w:rsidRDefault="006946EA" w:rsidP="006946EA">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14</w:t>
            </w:r>
          </w:p>
        </w:tc>
        <w:tc>
          <w:tcPr>
            <w:tcW w:w="0" w:type="auto"/>
            <w:tcBorders>
              <w:top w:val="nil"/>
              <w:left w:val="nil"/>
              <w:bottom w:val="single" w:sz="8" w:space="0" w:color="auto"/>
              <w:right w:val="single" w:sz="8" w:space="0" w:color="auto"/>
            </w:tcBorders>
            <w:shd w:val="clear" w:color="auto" w:fill="auto"/>
            <w:hideMark/>
          </w:tcPr>
          <w:p w14:paraId="1259486C" w14:textId="21F3D036" w:rsidR="006946EA" w:rsidRPr="00A72850" w:rsidRDefault="006946EA" w:rsidP="006946EA">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lang w:val="ru-RU"/>
              </w:rPr>
              <w:t>Военные пенсионеры и их семьи, получающие пенсии в органах социального страхования</w:t>
            </w:r>
          </w:p>
        </w:tc>
        <w:tc>
          <w:tcPr>
            <w:tcW w:w="0" w:type="auto"/>
            <w:tcBorders>
              <w:top w:val="nil"/>
              <w:left w:val="nil"/>
              <w:bottom w:val="single" w:sz="8" w:space="0" w:color="auto"/>
              <w:right w:val="single" w:sz="8" w:space="0" w:color="auto"/>
            </w:tcBorders>
            <w:shd w:val="clear" w:color="auto" w:fill="auto"/>
            <w:vAlign w:val="bottom"/>
            <w:hideMark/>
          </w:tcPr>
          <w:p w14:paraId="063C2371"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731</w:t>
            </w:r>
          </w:p>
        </w:tc>
        <w:tc>
          <w:tcPr>
            <w:tcW w:w="0" w:type="auto"/>
            <w:tcBorders>
              <w:top w:val="nil"/>
              <w:left w:val="nil"/>
              <w:bottom w:val="single" w:sz="8" w:space="0" w:color="auto"/>
              <w:right w:val="single" w:sz="8" w:space="0" w:color="auto"/>
            </w:tcBorders>
            <w:shd w:val="clear" w:color="auto" w:fill="auto"/>
            <w:vAlign w:val="bottom"/>
            <w:hideMark/>
          </w:tcPr>
          <w:p w14:paraId="4C284F1C"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146</w:t>
            </w:r>
          </w:p>
        </w:tc>
        <w:tc>
          <w:tcPr>
            <w:tcW w:w="0" w:type="auto"/>
            <w:tcBorders>
              <w:top w:val="nil"/>
              <w:left w:val="nil"/>
              <w:bottom w:val="single" w:sz="8" w:space="0" w:color="auto"/>
              <w:right w:val="single" w:sz="8" w:space="0" w:color="auto"/>
            </w:tcBorders>
            <w:shd w:val="clear" w:color="auto" w:fill="auto"/>
            <w:vAlign w:val="bottom"/>
            <w:hideMark/>
          </w:tcPr>
          <w:p w14:paraId="416FD3B1"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710</w:t>
            </w:r>
          </w:p>
        </w:tc>
        <w:tc>
          <w:tcPr>
            <w:tcW w:w="0" w:type="auto"/>
            <w:tcBorders>
              <w:top w:val="nil"/>
              <w:left w:val="nil"/>
              <w:bottom w:val="single" w:sz="8" w:space="0" w:color="auto"/>
              <w:right w:val="single" w:sz="8" w:space="0" w:color="auto"/>
            </w:tcBorders>
            <w:shd w:val="clear" w:color="auto" w:fill="auto"/>
            <w:vAlign w:val="bottom"/>
            <w:hideMark/>
          </w:tcPr>
          <w:p w14:paraId="7A190411"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131</w:t>
            </w:r>
          </w:p>
        </w:tc>
        <w:tc>
          <w:tcPr>
            <w:tcW w:w="0" w:type="auto"/>
            <w:tcBorders>
              <w:top w:val="nil"/>
              <w:left w:val="nil"/>
              <w:bottom w:val="single" w:sz="8" w:space="0" w:color="auto"/>
              <w:right w:val="single" w:sz="8" w:space="0" w:color="auto"/>
            </w:tcBorders>
            <w:shd w:val="clear" w:color="auto" w:fill="auto"/>
            <w:vAlign w:val="bottom"/>
            <w:hideMark/>
          </w:tcPr>
          <w:p w14:paraId="2CBDE70E"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674</w:t>
            </w:r>
          </w:p>
        </w:tc>
        <w:tc>
          <w:tcPr>
            <w:tcW w:w="0" w:type="auto"/>
            <w:tcBorders>
              <w:top w:val="nil"/>
              <w:left w:val="nil"/>
              <w:bottom w:val="single" w:sz="8" w:space="0" w:color="auto"/>
              <w:right w:val="nil"/>
            </w:tcBorders>
            <w:shd w:val="clear" w:color="auto" w:fill="auto"/>
            <w:vAlign w:val="bottom"/>
            <w:hideMark/>
          </w:tcPr>
          <w:p w14:paraId="0C55C6B3"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B486DC"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-57</w:t>
            </w:r>
          </w:p>
        </w:tc>
        <w:tc>
          <w:tcPr>
            <w:tcW w:w="0" w:type="auto"/>
            <w:tcBorders>
              <w:top w:val="nil"/>
              <w:left w:val="nil"/>
              <w:bottom w:val="single" w:sz="4" w:space="0" w:color="auto"/>
              <w:right w:val="single" w:sz="4" w:space="0" w:color="auto"/>
            </w:tcBorders>
            <w:shd w:val="clear" w:color="auto" w:fill="auto"/>
            <w:noWrap/>
            <w:vAlign w:val="bottom"/>
            <w:hideMark/>
          </w:tcPr>
          <w:p w14:paraId="15A68ADA"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92,2%</w:t>
            </w:r>
          </w:p>
        </w:tc>
        <w:tc>
          <w:tcPr>
            <w:tcW w:w="0" w:type="auto"/>
            <w:tcBorders>
              <w:top w:val="nil"/>
              <w:left w:val="nil"/>
              <w:bottom w:val="single" w:sz="4" w:space="0" w:color="auto"/>
              <w:right w:val="single" w:sz="4" w:space="0" w:color="auto"/>
            </w:tcBorders>
            <w:shd w:val="clear" w:color="auto" w:fill="auto"/>
            <w:noWrap/>
            <w:vAlign w:val="bottom"/>
            <w:hideMark/>
          </w:tcPr>
          <w:p w14:paraId="31299A5F"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-17</w:t>
            </w:r>
          </w:p>
        </w:tc>
        <w:tc>
          <w:tcPr>
            <w:tcW w:w="0" w:type="auto"/>
            <w:tcBorders>
              <w:top w:val="nil"/>
              <w:left w:val="nil"/>
              <w:bottom w:val="single" w:sz="4" w:space="0" w:color="auto"/>
              <w:right w:val="single" w:sz="4" w:space="0" w:color="auto"/>
            </w:tcBorders>
            <w:shd w:val="clear" w:color="auto" w:fill="auto"/>
            <w:noWrap/>
            <w:vAlign w:val="bottom"/>
            <w:hideMark/>
          </w:tcPr>
          <w:p w14:paraId="24140BCD"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88,4%</w:t>
            </w:r>
          </w:p>
        </w:tc>
      </w:tr>
      <w:tr w:rsidR="006946EA" w:rsidRPr="00B7675F" w14:paraId="2AF1389B"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869482" w14:textId="77777777" w:rsidR="006946EA" w:rsidRPr="00736448" w:rsidRDefault="006946EA" w:rsidP="006946EA">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w:t>
            </w:r>
          </w:p>
        </w:tc>
        <w:tc>
          <w:tcPr>
            <w:tcW w:w="0" w:type="auto"/>
            <w:tcBorders>
              <w:top w:val="nil"/>
              <w:left w:val="nil"/>
              <w:bottom w:val="single" w:sz="8" w:space="0" w:color="auto"/>
              <w:right w:val="single" w:sz="8" w:space="0" w:color="auto"/>
            </w:tcBorders>
            <w:shd w:val="clear" w:color="auto" w:fill="auto"/>
            <w:hideMark/>
          </w:tcPr>
          <w:p w14:paraId="62FC1EAF" w14:textId="61179561" w:rsidR="006946EA" w:rsidRPr="00A72850" w:rsidRDefault="006946EA" w:rsidP="006946EA">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rPr>
              <w:t>Досрочные пенсии по возрасту</w:t>
            </w:r>
          </w:p>
        </w:tc>
        <w:tc>
          <w:tcPr>
            <w:tcW w:w="0" w:type="auto"/>
            <w:tcBorders>
              <w:top w:val="nil"/>
              <w:left w:val="nil"/>
              <w:bottom w:val="single" w:sz="8" w:space="0" w:color="auto"/>
              <w:right w:val="single" w:sz="8" w:space="0" w:color="auto"/>
            </w:tcBorders>
            <w:shd w:val="clear" w:color="auto" w:fill="auto"/>
            <w:vAlign w:val="bottom"/>
            <w:hideMark/>
          </w:tcPr>
          <w:p w14:paraId="7D320925"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2105</w:t>
            </w:r>
          </w:p>
        </w:tc>
        <w:tc>
          <w:tcPr>
            <w:tcW w:w="0" w:type="auto"/>
            <w:tcBorders>
              <w:top w:val="nil"/>
              <w:left w:val="nil"/>
              <w:bottom w:val="single" w:sz="8" w:space="0" w:color="auto"/>
              <w:right w:val="single" w:sz="8" w:space="0" w:color="auto"/>
            </w:tcBorders>
            <w:shd w:val="clear" w:color="auto" w:fill="auto"/>
            <w:vAlign w:val="bottom"/>
            <w:hideMark/>
          </w:tcPr>
          <w:p w14:paraId="0395CE06"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1395</w:t>
            </w:r>
          </w:p>
        </w:tc>
        <w:tc>
          <w:tcPr>
            <w:tcW w:w="0" w:type="auto"/>
            <w:tcBorders>
              <w:top w:val="nil"/>
              <w:left w:val="nil"/>
              <w:bottom w:val="single" w:sz="8" w:space="0" w:color="auto"/>
              <w:right w:val="single" w:sz="8" w:space="0" w:color="auto"/>
            </w:tcBorders>
            <w:shd w:val="clear" w:color="auto" w:fill="auto"/>
            <w:vAlign w:val="bottom"/>
            <w:hideMark/>
          </w:tcPr>
          <w:p w14:paraId="250D8024"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1343</w:t>
            </w:r>
          </w:p>
        </w:tc>
        <w:tc>
          <w:tcPr>
            <w:tcW w:w="0" w:type="auto"/>
            <w:tcBorders>
              <w:top w:val="nil"/>
              <w:left w:val="nil"/>
              <w:bottom w:val="single" w:sz="8" w:space="0" w:color="auto"/>
              <w:right w:val="single" w:sz="8" w:space="0" w:color="auto"/>
            </w:tcBorders>
            <w:shd w:val="clear" w:color="auto" w:fill="auto"/>
            <w:vAlign w:val="bottom"/>
            <w:hideMark/>
          </w:tcPr>
          <w:p w14:paraId="11F9B541"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688</w:t>
            </w:r>
          </w:p>
        </w:tc>
        <w:tc>
          <w:tcPr>
            <w:tcW w:w="0" w:type="auto"/>
            <w:tcBorders>
              <w:top w:val="nil"/>
              <w:left w:val="nil"/>
              <w:bottom w:val="single" w:sz="8" w:space="0" w:color="auto"/>
              <w:right w:val="single" w:sz="8" w:space="0" w:color="auto"/>
            </w:tcBorders>
            <w:shd w:val="clear" w:color="auto" w:fill="auto"/>
            <w:vAlign w:val="bottom"/>
            <w:hideMark/>
          </w:tcPr>
          <w:p w14:paraId="33AB3FBA"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1194</w:t>
            </w:r>
          </w:p>
        </w:tc>
        <w:tc>
          <w:tcPr>
            <w:tcW w:w="0" w:type="auto"/>
            <w:tcBorders>
              <w:top w:val="nil"/>
              <w:left w:val="nil"/>
              <w:bottom w:val="single" w:sz="8" w:space="0" w:color="auto"/>
              <w:right w:val="nil"/>
            </w:tcBorders>
            <w:shd w:val="clear" w:color="auto" w:fill="auto"/>
            <w:vAlign w:val="bottom"/>
            <w:hideMark/>
          </w:tcPr>
          <w:p w14:paraId="4BB8967D"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481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72240A"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-911</w:t>
            </w:r>
          </w:p>
        </w:tc>
        <w:tc>
          <w:tcPr>
            <w:tcW w:w="0" w:type="auto"/>
            <w:tcBorders>
              <w:top w:val="nil"/>
              <w:left w:val="nil"/>
              <w:bottom w:val="single" w:sz="4" w:space="0" w:color="auto"/>
              <w:right w:val="single" w:sz="4" w:space="0" w:color="auto"/>
            </w:tcBorders>
            <w:shd w:val="clear" w:color="auto" w:fill="auto"/>
            <w:noWrap/>
            <w:vAlign w:val="bottom"/>
            <w:hideMark/>
          </w:tcPr>
          <w:p w14:paraId="4CDD32F4"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56,7%</w:t>
            </w:r>
          </w:p>
        </w:tc>
        <w:tc>
          <w:tcPr>
            <w:tcW w:w="0" w:type="auto"/>
            <w:tcBorders>
              <w:top w:val="nil"/>
              <w:left w:val="nil"/>
              <w:bottom w:val="single" w:sz="4" w:space="0" w:color="auto"/>
              <w:right w:val="single" w:sz="4" w:space="0" w:color="auto"/>
            </w:tcBorders>
            <w:shd w:val="clear" w:color="auto" w:fill="auto"/>
            <w:noWrap/>
            <w:vAlign w:val="bottom"/>
            <w:hideMark/>
          </w:tcPr>
          <w:p w14:paraId="5CF891A2"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-914</w:t>
            </w:r>
          </w:p>
        </w:tc>
        <w:tc>
          <w:tcPr>
            <w:tcW w:w="0" w:type="auto"/>
            <w:tcBorders>
              <w:top w:val="nil"/>
              <w:left w:val="nil"/>
              <w:bottom w:val="single" w:sz="4" w:space="0" w:color="auto"/>
              <w:right w:val="single" w:sz="4" w:space="0" w:color="auto"/>
            </w:tcBorders>
            <w:shd w:val="clear" w:color="auto" w:fill="auto"/>
            <w:noWrap/>
            <w:vAlign w:val="bottom"/>
            <w:hideMark/>
          </w:tcPr>
          <w:p w14:paraId="46F7C945"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34,5%</w:t>
            </w:r>
          </w:p>
        </w:tc>
      </w:tr>
      <w:tr w:rsidR="006946EA" w:rsidRPr="00B7675F" w14:paraId="08785656"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15524D" w14:textId="77777777" w:rsidR="006946EA" w:rsidRPr="00736448" w:rsidRDefault="006946EA" w:rsidP="006946EA">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16</w:t>
            </w:r>
          </w:p>
        </w:tc>
        <w:tc>
          <w:tcPr>
            <w:tcW w:w="0" w:type="auto"/>
            <w:tcBorders>
              <w:top w:val="nil"/>
              <w:left w:val="nil"/>
              <w:bottom w:val="single" w:sz="8" w:space="0" w:color="auto"/>
              <w:right w:val="single" w:sz="8" w:space="0" w:color="auto"/>
            </w:tcBorders>
            <w:shd w:val="clear" w:color="auto" w:fill="auto"/>
            <w:hideMark/>
          </w:tcPr>
          <w:p w14:paraId="64030C18" w14:textId="4644E96E" w:rsidR="006946EA" w:rsidRPr="00A72850" w:rsidRDefault="006946EA" w:rsidP="006946EA">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lang w:val="ru-RU"/>
              </w:rPr>
              <w:t>Досрочная пенсия за долгую карьеру</w:t>
            </w:r>
          </w:p>
        </w:tc>
        <w:tc>
          <w:tcPr>
            <w:tcW w:w="0" w:type="auto"/>
            <w:tcBorders>
              <w:top w:val="nil"/>
              <w:left w:val="nil"/>
              <w:bottom w:val="single" w:sz="8" w:space="0" w:color="auto"/>
              <w:right w:val="single" w:sz="8" w:space="0" w:color="auto"/>
            </w:tcBorders>
            <w:shd w:val="clear" w:color="auto" w:fill="auto"/>
            <w:vAlign w:val="bottom"/>
            <w:hideMark/>
          </w:tcPr>
          <w:p w14:paraId="63F3D06E"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w:t>
            </w:r>
          </w:p>
        </w:tc>
        <w:tc>
          <w:tcPr>
            <w:tcW w:w="0" w:type="auto"/>
            <w:tcBorders>
              <w:top w:val="nil"/>
              <w:left w:val="nil"/>
              <w:bottom w:val="single" w:sz="8" w:space="0" w:color="auto"/>
              <w:right w:val="single" w:sz="8" w:space="0" w:color="auto"/>
            </w:tcBorders>
            <w:shd w:val="clear" w:color="auto" w:fill="auto"/>
            <w:vAlign w:val="bottom"/>
            <w:hideMark/>
          </w:tcPr>
          <w:p w14:paraId="1B900965"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w:t>
            </w:r>
          </w:p>
        </w:tc>
        <w:tc>
          <w:tcPr>
            <w:tcW w:w="0" w:type="auto"/>
            <w:tcBorders>
              <w:top w:val="nil"/>
              <w:left w:val="nil"/>
              <w:bottom w:val="single" w:sz="8" w:space="0" w:color="auto"/>
              <w:right w:val="single" w:sz="8" w:space="0" w:color="auto"/>
            </w:tcBorders>
            <w:shd w:val="clear" w:color="auto" w:fill="auto"/>
            <w:vAlign w:val="bottom"/>
            <w:hideMark/>
          </w:tcPr>
          <w:p w14:paraId="7FC51DB6"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w:t>
            </w:r>
          </w:p>
        </w:tc>
        <w:tc>
          <w:tcPr>
            <w:tcW w:w="0" w:type="auto"/>
            <w:tcBorders>
              <w:top w:val="nil"/>
              <w:left w:val="nil"/>
              <w:bottom w:val="single" w:sz="8" w:space="0" w:color="auto"/>
              <w:right w:val="single" w:sz="8" w:space="0" w:color="auto"/>
            </w:tcBorders>
            <w:shd w:val="clear" w:color="auto" w:fill="auto"/>
            <w:vAlign w:val="bottom"/>
            <w:hideMark/>
          </w:tcPr>
          <w:p w14:paraId="4811CDE5"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w:t>
            </w:r>
          </w:p>
        </w:tc>
        <w:tc>
          <w:tcPr>
            <w:tcW w:w="0" w:type="auto"/>
            <w:tcBorders>
              <w:top w:val="nil"/>
              <w:left w:val="nil"/>
              <w:bottom w:val="single" w:sz="8" w:space="0" w:color="auto"/>
              <w:right w:val="single" w:sz="8" w:space="0" w:color="auto"/>
            </w:tcBorders>
            <w:shd w:val="clear" w:color="auto" w:fill="auto"/>
            <w:vAlign w:val="bottom"/>
            <w:hideMark/>
          </w:tcPr>
          <w:p w14:paraId="6E14B0EA"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4862</w:t>
            </w:r>
          </w:p>
        </w:tc>
        <w:tc>
          <w:tcPr>
            <w:tcW w:w="0" w:type="auto"/>
            <w:tcBorders>
              <w:top w:val="nil"/>
              <w:left w:val="nil"/>
              <w:bottom w:val="single" w:sz="8" w:space="0" w:color="auto"/>
              <w:right w:val="nil"/>
            </w:tcBorders>
            <w:shd w:val="clear" w:color="auto" w:fill="auto"/>
            <w:vAlign w:val="bottom"/>
            <w:hideMark/>
          </w:tcPr>
          <w:p w14:paraId="2AD40256"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4737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6A6480"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4862</w:t>
            </w:r>
          </w:p>
        </w:tc>
        <w:tc>
          <w:tcPr>
            <w:tcW w:w="0" w:type="auto"/>
            <w:tcBorders>
              <w:top w:val="nil"/>
              <w:left w:val="nil"/>
              <w:bottom w:val="single" w:sz="4" w:space="0" w:color="auto"/>
              <w:right w:val="single" w:sz="4" w:space="0" w:color="auto"/>
            </w:tcBorders>
            <w:shd w:val="clear" w:color="auto" w:fill="auto"/>
            <w:noWrap/>
            <w:vAlign w:val="bottom"/>
            <w:hideMark/>
          </w:tcPr>
          <w:p w14:paraId="669E525F" w14:textId="77777777" w:rsidR="006946EA" w:rsidRPr="00736448" w:rsidRDefault="006946EA" w:rsidP="006946EA">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 </w:t>
            </w:r>
          </w:p>
        </w:tc>
        <w:tc>
          <w:tcPr>
            <w:tcW w:w="0" w:type="auto"/>
            <w:tcBorders>
              <w:top w:val="nil"/>
              <w:left w:val="nil"/>
              <w:bottom w:val="single" w:sz="4" w:space="0" w:color="auto"/>
              <w:right w:val="single" w:sz="4" w:space="0" w:color="auto"/>
            </w:tcBorders>
            <w:shd w:val="clear" w:color="auto" w:fill="auto"/>
            <w:noWrap/>
            <w:vAlign w:val="bottom"/>
            <w:hideMark/>
          </w:tcPr>
          <w:p w14:paraId="62CAF87A"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4737</w:t>
            </w:r>
          </w:p>
        </w:tc>
        <w:tc>
          <w:tcPr>
            <w:tcW w:w="0" w:type="auto"/>
            <w:tcBorders>
              <w:top w:val="nil"/>
              <w:left w:val="nil"/>
              <w:bottom w:val="single" w:sz="4" w:space="0" w:color="auto"/>
              <w:right w:val="single" w:sz="4" w:space="0" w:color="auto"/>
            </w:tcBorders>
            <w:shd w:val="clear" w:color="auto" w:fill="auto"/>
            <w:noWrap/>
            <w:vAlign w:val="bottom"/>
            <w:hideMark/>
          </w:tcPr>
          <w:p w14:paraId="1FAB44BA" w14:textId="77777777" w:rsidR="006946EA" w:rsidRPr="00736448" w:rsidRDefault="006946EA" w:rsidP="006946EA">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 </w:t>
            </w:r>
          </w:p>
        </w:tc>
      </w:tr>
      <w:tr w:rsidR="006946EA" w:rsidRPr="00B7675F" w14:paraId="7B668C96"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94CEA7" w14:textId="77777777" w:rsidR="006946EA" w:rsidRPr="00736448" w:rsidRDefault="006946EA" w:rsidP="006946EA">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17</w:t>
            </w:r>
          </w:p>
        </w:tc>
        <w:tc>
          <w:tcPr>
            <w:tcW w:w="0" w:type="auto"/>
            <w:tcBorders>
              <w:top w:val="nil"/>
              <w:left w:val="nil"/>
              <w:bottom w:val="single" w:sz="8" w:space="0" w:color="auto"/>
              <w:right w:val="single" w:sz="8" w:space="0" w:color="auto"/>
            </w:tcBorders>
            <w:shd w:val="clear" w:color="auto" w:fill="auto"/>
            <w:hideMark/>
          </w:tcPr>
          <w:p w14:paraId="66C892FD" w14:textId="2FC59C59" w:rsidR="006946EA" w:rsidRPr="00A72850" w:rsidRDefault="006946EA" w:rsidP="006946EA">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rPr>
              <w:t>Пенсии сотрудникам силовых структур</w:t>
            </w:r>
          </w:p>
        </w:tc>
        <w:tc>
          <w:tcPr>
            <w:tcW w:w="0" w:type="auto"/>
            <w:tcBorders>
              <w:top w:val="nil"/>
              <w:left w:val="nil"/>
              <w:bottom w:val="single" w:sz="8" w:space="0" w:color="auto"/>
              <w:right w:val="single" w:sz="8" w:space="0" w:color="auto"/>
            </w:tcBorders>
            <w:shd w:val="clear" w:color="auto" w:fill="auto"/>
            <w:vAlign w:val="bottom"/>
            <w:hideMark/>
          </w:tcPr>
          <w:p w14:paraId="37BBE833"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21399</w:t>
            </w:r>
          </w:p>
        </w:tc>
        <w:tc>
          <w:tcPr>
            <w:tcW w:w="0" w:type="auto"/>
            <w:tcBorders>
              <w:top w:val="nil"/>
              <w:left w:val="nil"/>
              <w:bottom w:val="single" w:sz="8" w:space="0" w:color="auto"/>
              <w:right w:val="single" w:sz="8" w:space="0" w:color="auto"/>
            </w:tcBorders>
            <w:shd w:val="clear" w:color="auto" w:fill="auto"/>
            <w:vAlign w:val="bottom"/>
            <w:hideMark/>
          </w:tcPr>
          <w:p w14:paraId="3EC7C2C5"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10473</w:t>
            </w:r>
          </w:p>
        </w:tc>
        <w:tc>
          <w:tcPr>
            <w:tcW w:w="0" w:type="auto"/>
            <w:tcBorders>
              <w:top w:val="nil"/>
              <w:left w:val="nil"/>
              <w:bottom w:val="single" w:sz="8" w:space="0" w:color="auto"/>
              <w:right w:val="single" w:sz="8" w:space="0" w:color="auto"/>
            </w:tcBorders>
            <w:shd w:val="clear" w:color="auto" w:fill="auto"/>
            <w:vAlign w:val="bottom"/>
            <w:hideMark/>
          </w:tcPr>
          <w:p w14:paraId="1087DC08"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21493</w:t>
            </w:r>
          </w:p>
        </w:tc>
        <w:tc>
          <w:tcPr>
            <w:tcW w:w="0" w:type="auto"/>
            <w:tcBorders>
              <w:top w:val="nil"/>
              <w:left w:val="nil"/>
              <w:bottom w:val="single" w:sz="8" w:space="0" w:color="auto"/>
              <w:right w:val="single" w:sz="8" w:space="0" w:color="auto"/>
            </w:tcBorders>
            <w:shd w:val="clear" w:color="auto" w:fill="auto"/>
            <w:vAlign w:val="bottom"/>
            <w:hideMark/>
          </w:tcPr>
          <w:p w14:paraId="4710D7ED"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10499</w:t>
            </w:r>
          </w:p>
        </w:tc>
        <w:tc>
          <w:tcPr>
            <w:tcW w:w="0" w:type="auto"/>
            <w:tcBorders>
              <w:top w:val="nil"/>
              <w:left w:val="nil"/>
              <w:bottom w:val="single" w:sz="8" w:space="0" w:color="auto"/>
              <w:right w:val="single" w:sz="8" w:space="0" w:color="auto"/>
            </w:tcBorders>
            <w:shd w:val="clear" w:color="auto" w:fill="auto"/>
            <w:vAlign w:val="bottom"/>
            <w:hideMark/>
          </w:tcPr>
          <w:p w14:paraId="6C3881B3"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21830</w:t>
            </w:r>
          </w:p>
        </w:tc>
        <w:tc>
          <w:tcPr>
            <w:tcW w:w="0" w:type="auto"/>
            <w:tcBorders>
              <w:top w:val="nil"/>
              <w:left w:val="nil"/>
              <w:bottom w:val="nil"/>
              <w:right w:val="nil"/>
            </w:tcBorders>
            <w:shd w:val="clear" w:color="auto" w:fill="auto"/>
            <w:vAlign w:val="bottom"/>
            <w:hideMark/>
          </w:tcPr>
          <w:p w14:paraId="4ED4B1BA"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10599</w:t>
            </w:r>
          </w:p>
        </w:tc>
        <w:tc>
          <w:tcPr>
            <w:tcW w:w="0" w:type="auto"/>
            <w:tcBorders>
              <w:top w:val="nil"/>
              <w:left w:val="single" w:sz="4" w:space="0" w:color="auto"/>
              <w:bottom w:val="nil"/>
              <w:right w:val="single" w:sz="4" w:space="0" w:color="auto"/>
            </w:tcBorders>
            <w:shd w:val="clear" w:color="auto" w:fill="auto"/>
            <w:noWrap/>
            <w:vAlign w:val="bottom"/>
            <w:hideMark/>
          </w:tcPr>
          <w:p w14:paraId="50B31698"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431</w:t>
            </w:r>
          </w:p>
        </w:tc>
        <w:tc>
          <w:tcPr>
            <w:tcW w:w="0" w:type="auto"/>
            <w:tcBorders>
              <w:top w:val="nil"/>
              <w:left w:val="nil"/>
              <w:bottom w:val="nil"/>
              <w:right w:val="single" w:sz="4" w:space="0" w:color="auto"/>
            </w:tcBorders>
            <w:shd w:val="clear" w:color="auto" w:fill="auto"/>
            <w:noWrap/>
            <w:vAlign w:val="bottom"/>
            <w:hideMark/>
          </w:tcPr>
          <w:p w14:paraId="01769FE3"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102,0%</w:t>
            </w:r>
          </w:p>
        </w:tc>
        <w:tc>
          <w:tcPr>
            <w:tcW w:w="0" w:type="auto"/>
            <w:tcBorders>
              <w:top w:val="nil"/>
              <w:left w:val="nil"/>
              <w:bottom w:val="nil"/>
              <w:right w:val="single" w:sz="4" w:space="0" w:color="auto"/>
            </w:tcBorders>
            <w:shd w:val="clear" w:color="auto" w:fill="auto"/>
            <w:noWrap/>
            <w:vAlign w:val="bottom"/>
            <w:hideMark/>
          </w:tcPr>
          <w:p w14:paraId="3EE072B3"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126</w:t>
            </w:r>
          </w:p>
        </w:tc>
        <w:tc>
          <w:tcPr>
            <w:tcW w:w="0" w:type="auto"/>
            <w:tcBorders>
              <w:top w:val="nil"/>
              <w:left w:val="nil"/>
              <w:bottom w:val="nil"/>
              <w:right w:val="single" w:sz="4" w:space="0" w:color="auto"/>
            </w:tcBorders>
            <w:shd w:val="clear" w:color="auto" w:fill="auto"/>
            <w:noWrap/>
            <w:vAlign w:val="bottom"/>
            <w:hideMark/>
          </w:tcPr>
          <w:p w14:paraId="439D0F73" w14:textId="77777777" w:rsidR="006946EA" w:rsidRPr="00736448" w:rsidRDefault="006946EA" w:rsidP="006946EA">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101,2%</w:t>
            </w:r>
          </w:p>
        </w:tc>
      </w:tr>
      <w:tr w:rsidR="00DB70CA" w:rsidRPr="00B7675F" w14:paraId="5535C8BD" w14:textId="77777777" w:rsidTr="00A72850">
        <w:trPr>
          <w:trHeight w:val="20"/>
        </w:trPr>
        <w:tc>
          <w:tcPr>
            <w:tcW w:w="0" w:type="auto"/>
            <w:tcBorders>
              <w:top w:val="nil"/>
              <w:left w:val="single" w:sz="8" w:space="0" w:color="auto"/>
              <w:bottom w:val="single" w:sz="8" w:space="0" w:color="auto"/>
              <w:right w:val="single" w:sz="8" w:space="0" w:color="auto"/>
            </w:tcBorders>
            <w:shd w:val="clear" w:color="000000" w:fill="C9C9C9"/>
            <w:vAlign w:val="bottom"/>
            <w:hideMark/>
          </w:tcPr>
          <w:p w14:paraId="282C4038" w14:textId="77777777" w:rsidR="00DB70CA" w:rsidRPr="00736448" w:rsidRDefault="00DB70CA" w:rsidP="00490517">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 </w:t>
            </w:r>
          </w:p>
        </w:tc>
        <w:tc>
          <w:tcPr>
            <w:tcW w:w="0" w:type="auto"/>
            <w:tcBorders>
              <w:top w:val="nil"/>
              <w:left w:val="nil"/>
              <w:bottom w:val="single" w:sz="8" w:space="0" w:color="auto"/>
              <w:right w:val="single" w:sz="8" w:space="0" w:color="auto"/>
            </w:tcBorders>
            <w:shd w:val="clear" w:color="000000" w:fill="C9C9C9"/>
            <w:vAlign w:val="bottom"/>
            <w:hideMark/>
          </w:tcPr>
          <w:p w14:paraId="44A86335" w14:textId="141C6E5B" w:rsidR="00DB70CA" w:rsidRPr="00A72850" w:rsidRDefault="006946EA" w:rsidP="00490517">
            <w:pPr>
              <w:spacing w:after="0" w:line="240" w:lineRule="auto"/>
              <w:rPr>
                <w:rFonts w:asciiTheme="majorHAnsi" w:eastAsia="Times New Roman" w:hAnsiTheme="majorHAnsi" w:cstheme="majorHAnsi"/>
                <w:b/>
                <w:bCs/>
                <w:color w:val="000000"/>
                <w:sz w:val="20"/>
                <w:szCs w:val="20"/>
                <w:lang w:val="ro-MD"/>
              </w:rPr>
            </w:pPr>
            <w:r w:rsidRPr="00A72850">
              <w:rPr>
                <w:rFonts w:asciiTheme="majorHAnsi" w:eastAsia="Times New Roman" w:hAnsiTheme="majorHAnsi" w:cstheme="majorHAnsi"/>
                <w:b/>
                <w:bCs/>
                <w:color w:val="000000"/>
                <w:sz w:val="20"/>
                <w:szCs w:val="20"/>
                <w:lang w:val="ro-MD"/>
              </w:rPr>
              <w:t>Государственные социальные ассигнования, всего, в том числе</w:t>
            </w:r>
            <w:r w:rsidR="00DB70CA" w:rsidRPr="00A72850">
              <w:rPr>
                <w:rFonts w:asciiTheme="majorHAnsi" w:eastAsia="Times New Roman" w:hAnsiTheme="majorHAnsi" w:cstheme="majorHAnsi"/>
                <w:b/>
                <w:bCs/>
                <w:i/>
                <w:iCs/>
                <w:color w:val="000000"/>
                <w:sz w:val="20"/>
                <w:szCs w:val="20"/>
                <w:lang w:val="ro-MD"/>
              </w:rPr>
              <w:t>:</w:t>
            </w:r>
          </w:p>
        </w:tc>
        <w:tc>
          <w:tcPr>
            <w:tcW w:w="0" w:type="auto"/>
            <w:tcBorders>
              <w:top w:val="nil"/>
              <w:left w:val="nil"/>
              <w:bottom w:val="single" w:sz="8" w:space="0" w:color="auto"/>
              <w:right w:val="single" w:sz="8" w:space="0" w:color="auto"/>
            </w:tcBorders>
            <w:shd w:val="clear" w:color="000000" w:fill="C9C9C9"/>
            <w:vAlign w:val="bottom"/>
            <w:hideMark/>
          </w:tcPr>
          <w:p w14:paraId="0AF2D14F"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68889</w:t>
            </w:r>
          </w:p>
        </w:tc>
        <w:tc>
          <w:tcPr>
            <w:tcW w:w="0" w:type="auto"/>
            <w:tcBorders>
              <w:top w:val="nil"/>
              <w:left w:val="nil"/>
              <w:bottom w:val="single" w:sz="8" w:space="0" w:color="auto"/>
              <w:right w:val="single" w:sz="8" w:space="0" w:color="auto"/>
            </w:tcBorders>
            <w:shd w:val="clear" w:color="000000" w:fill="C9C9C9"/>
            <w:vAlign w:val="bottom"/>
            <w:hideMark/>
          </w:tcPr>
          <w:p w14:paraId="20546A24"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9121</w:t>
            </w:r>
          </w:p>
        </w:tc>
        <w:tc>
          <w:tcPr>
            <w:tcW w:w="0" w:type="auto"/>
            <w:tcBorders>
              <w:top w:val="nil"/>
              <w:left w:val="nil"/>
              <w:bottom w:val="single" w:sz="8" w:space="0" w:color="auto"/>
              <w:right w:val="single" w:sz="8" w:space="0" w:color="auto"/>
            </w:tcBorders>
            <w:shd w:val="clear" w:color="000000" w:fill="C9C9C9"/>
            <w:vAlign w:val="bottom"/>
            <w:hideMark/>
          </w:tcPr>
          <w:p w14:paraId="6178A185"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73023</w:t>
            </w:r>
          </w:p>
        </w:tc>
        <w:tc>
          <w:tcPr>
            <w:tcW w:w="0" w:type="auto"/>
            <w:tcBorders>
              <w:top w:val="nil"/>
              <w:left w:val="nil"/>
              <w:bottom w:val="single" w:sz="8" w:space="0" w:color="auto"/>
              <w:right w:val="single" w:sz="8" w:space="0" w:color="auto"/>
            </w:tcBorders>
            <w:shd w:val="clear" w:color="000000" w:fill="C9C9C9"/>
            <w:vAlign w:val="bottom"/>
            <w:hideMark/>
          </w:tcPr>
          <w:p w14:paraId="6BD95F3A"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9535</w:t>
            </w:r>
          </w:p>
        </w:tc>
        <w:tc>
          <w:tcPr>
            <w:tcW w:w="0" w:type="auto"/>
            <w:tcBorders>
              <w:top w:val="nil"/>
              <w:left w:val="nil"/>
              <w:bottom w:val="single" w:sz="8" w:space="0" w:color="auto"/>
              <w:right w:val="single" w:sz="8" w:space="0" w:color="auto"/>
            </w:tcBorders>
            <w:shd w:val="clear" w:color="000000" w:fill="D0CECE"/>
            <w:vAlign w:val="bottom"/>
            <w:hideMark/>
          </w:tcPr>
          <w:p w14:paraId="0D273433"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78670</w:t>
            </w:r>
          </w:p>
        </w:tc>
        <w:tc>
          <w:tcPr>
            <w:tcW w:w="0" w:type="auto"/>
            <w:tcBorders>
              <w:top w:val="single" w:sz="8" w:space="0" w:color="auto"/>
              <w:left w:val="nil"/>
              <w:bottom w:val="single" w:sz="8" w:space="0" w:color="auto"/>
              <w:right w:val="nil"/>
            </w:tcBorders>
            <w:shd w:val="clear" w:color="000000" w:fill="D0CECE"/>
            <w:vAlign w:val="bottom"/>
            <w:hideMark/>
          </w:tcPr>
          <w:p w14:paraId="340A536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10710</w:t>
            </w:r>
          </w:p>
        </w:tc>
        <w:tc>
          <w:tcPr>
            <w:tcW w:w="0" w:type="auto"/>
            <w:tcBorders>
              <w:top w:val="single" w:sz="8" w:space="0" w:color="auto"/>
              <w:left w:val="single" w:sz="4" w:space="0" w:color="auto"/>
              <w:bottom w:val="single" w:sz="8" w:space="0" w:color="auto"/>
              <w:right w:val="single" w:sz="4" w:space="0" w:color="auto"/>
            </w:tcBorders>
            <w:shd w:val="clear" w:color="000000" w:fill="D0CECE"/>
            <w:noWrap/>
            <w:vAlign w:val="bottom"/>
            <w:hideMark/>
          </w:tcPr>
          <w:p w14:paraId="0B2D9BB0"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9781</w:t>
            </w:r>
          </w:p>
        </w:tc>
        <w:tc>
          <w:tcPr>
            <w:tcW w:w="0" w:type="auto"/>
            <w:tcBorders>
              <w:top w:val="single" w:sz="8" w:space="0" w:color="auto"/>
              <w:left w:val="nil"/>
              <w:bottom w:val="single" w:sz="8" w:space="0" w:color="auto"/>
              <w:right w:val="single" w:sz="4" w:space="0" w:color="auto"/>
            </w:tcBorders>
            <w:shd w:val="clear" w:color="000000" w:fill="D0CECE"/>
            <w:noWrap/>
            <w:vAlign w:val="bottom"/>
            <w:hideMark/>
          </w:tcPr>
          <w:p w14:paraId="6FBA748B"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114,2%</w:t>
            </w:r>
          </w:p>
        </w:tc>
        <w:tc>
          <w:tcPr>
            <w:tcW w:w="0" w:type="auto"/>
            <w:tcBorders>
              <w:top w:val="single" w:sz="8" w:space="0" w:color="auto"/>
              <w:left w:val="nil"/>
              <w:bottom w:val="single" w:sz="8" w:space="0" w:color="auto"/>
              <w:right w:val="single" w:sz="4" w:space="0" w:color="auto"/>
            </w:tcBorders>
            <w:shd w:val="clear" w:color="000000" w:fill="D0CECE"/>
            <w:noWrap/>
            <w:vAlign w:val="bottom"/>
            <w:hideMark/>
          </w:tcPr>
          <w:p w14:paraId="5F15EEE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1589</w:t>
            </w:r>
          </w:p>
        </w:tc>
        <w:tc>
          <w:tcPr>
            <w:tcW w:w="0" w:type="auto"/>
            <w:tcBorders>
              <w:top w:val="single" w:sz="8" w:space="0" w:color="auto"/>
              <w:left w:val="nil"/>
              <w:bottom w:val="single" w:sz="8" w:space="0" w:color="auto"/>
              <w:right w:val="single" w:sz="8" w:space="0" w:color="auto"/>
            </w:tcBorders>
            <w:shd w:val="clear" w:color="000000" w:fill="D0CECE"/>
            <w:noWrap/>
            <w:vAlign w:val="bottom"/>
            <w:hideMark/>
          </w:tcPr>
          <w:p w14:paraId="677A2DA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117,4%</w:t>
            </w:r>
          </w:p>
        </w:tc>
      </w:tr>
      <w:tr w:rsidR="00AE0481" w:rsidRPr="00B7675F" w14:paraId="799BC2A5"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62E48A" w14:textId="77777777" w:rsidR="00AE0481" w:rsidRPr="00736448" w:rsidRDefault="00AE0481" w:rsidP="00AE0481">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w:t>
            </w:r>
          </w:p>
        </w:tc>
        <w:tc>
          <w:tcPr>
            <w:tcW w:w="0" w:type="auto"/>
            <w:tcBorders>
              <w:top w:val="nil"/>
              <w:left w:val="nil"/>
              <w:bottom w:val="single" w:sz="8" w:space="0" w:color="auto"/>
              <w:right w:val="single" w:sz="8" w:space="0" w:color="auto"/>
            </w:tcBorders>
            <w:shd w:val="clear" w:color="auto" w:fill="auto"/>
            <w:hideMark/>
          </w:tcPr>
          <w:p w14:paraId="6BE6287E" w14:textId="6275A854" w:rsidR="00AE0481" w:rsidRPr="00A72850" w:rsidRDefault="00AE0481" w:rsidP="00AE0481">
            <w:pPr>
              <w:spacing w:after="0" w:line="240" w:lineRule="auto"/>
              <w:rPr>
                <w:rFonts w:asciiTheme="majorHAnsi" w:eastAsia="Times New Roman" w:hAnsiTheme="majorHAnsi" w:cstheme="majorHAnsi"/>
                <w:color w:val="000000"/>
                <w:sz w:val="20"/>
                <w:szCs w:val="20"/>
                <w:lang w:val="ru-RU"/>
              </w:rPr>
            </w:pPr>
            <w:r w:rsidRPr="00A72850">
              <w:rPr>
                <w:rFonts w:asciiTheme="majorHAnsi" w:hAnsiTheme="majorHAnsi" w:cstheme="majorHAnsi"/>
                <w:sz w:val="20"/>
                <w:szCs w:val="20"/>
                <w:lang w:val="ru-RU"/>
              </w:rPr>
              <w:t>П</w:t>
            </w:r>
            <w:r w:rsidRPr="00A72850">
              <w:rPr>
                <w:rFonts w:asciiTheme="majorHAnsi" w:hAnsiTheme="majorHAnsi" w:cstheme="majorHAnsi"/>
                <w:sz w:val="20"/>
                <w:szCs w:val="20"/>
              </w:rPr>
              <w:t>ожилы</w:t>
            </w:r>
            <w:r w:rsidRPr="00A72850">
              <w:rPr>
                <w:rFonts w:asciiTheme="majorHAnsi" w:hAnsiTheme="majorHAnsi" w:cstheme="majorHAnsi"/>
                <w:sz w:val="20"/>
                <w:szCs w:val="20"/>
                <w:lang w:val="ru-RU"/>
              </w:rPr>
              <w:t>м</w:t>
            </w:r>
            <w:r w:rsidRPr="00A72850">
              <w:rPr>
                <w:rFonts w:asciiTheme="majorHAnsi" w:hAnsiTheme="majorHAnsi" w:cstheme="majorHAnsi"/>
                <w:sz w:val="20"/>
                <w:szCs w:val="20"/>
              </w:rPr>
              <w:t xml:space="preserve"> люд</w:t>
            </w:r>
            <w:r w:rsidRPr="00A72850">
              <w:rPr>
                <w:rFonts w:asciiTheme="majorHAnsi" w:hAnsiTheme="majorHAnsi" w:cstheme="majorHAnsi"/>
                <w:sz w:val="20"/>
                <w:szCs w:val="20"/>
                <w:lang w:val="ru-RU"/>
              </w:rPr>
              <w:t>ям</w:t>
            </w:r>
          </w:p>
        </w:tc>
        <w:tc>
          <w:tcPr>
            <w:tcW w:w="0" w:type="auto"/>
            <w:tcBorders>
              <w:top w:val="nil"/>
              <w:left w:val="nil"/>
              <w:bottom w:val="single" w:sz="8" w:space="0" w:color="auto"/>
              <w:right w:val="single" w:sz="8" w:space="0" w:color="auto"/>
            </w:tcBorders>
            <w:shd w:val="clear" w:color="auto" w:fill="auto"/>
            <w:vAlign w:val="bottom"/>
            <w:hideMark/>
          </w:tcPr>
          <w:p w14:paraId="77AC69F9"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10393</w:t>
            </w:r>
          </w:p>
        </w:tc>
        <w:tc>
          <w:tcPr>
            <w:tcW w:w="0" w:type="auto"/>
            <w:tcBorders>
              <w:top w:val="nil"/>
              <w:left w:val="nil"/>
              <w:bottom w:val="single" w:sz="8" w:space="0" w:color="auto"/>
              <w:right w:val="single" w:sz="8" w:space="0" w:color="auto"/>
            </w:tcBorders>
            <w:shd w:val="clear" w:color="auto" w:fill="auto"/>
            <w:vAlign w:val="bottom"/>
            <w:hideMark/>
          </w:tcPr>
          <w:p w14:paraId="2C6A6D92"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972</w:t>
            </w:r>
          </w:p>
        </w:tc>
        <w:tc>
          <w:tcPr>
            <w:tcW w:w="0" w:type="auto"/>
            <w:tcBorders>
              <w:top w:val="nil"/>
              <w:left w:val="nil"/>
              <w:bottom w:val="single" w:sz="8" w:space="0" w:color="auto"/>
              <w:right w:val="single" w:sz="8" w:space="0" w:color="auto"/>
            </w:tcBorders>
            <w:shd w:val="clear" w:color="auto" w:fill="auto"/>
            <w:vAlign w:val="bottom"/>
            <w:hideMark/>
          </w:tcPr>
          <w:p w14:paraId="09FA341D"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12716</w:t>
            </w:r>
          </w:p>
        </w:tc>
        <w:tc>
          <w:tcPr>
            <w:tcW w:w="0" w:type="auto"/>
            <w:tcBorders>
              <w:top w:val="nil"/>
              <w:left w:val="nil"/>
              <w:bottom w:val="single" w:sz="8" w:space="0" w:color="auto"/>
              <w:right w:val="single" w:sz="8" w:space="0" w:color="auto"/>
            </w:tcBorders>
            <w:shd w:val="clear" w:color="auto" w:fill="auto"/>
            <w:vAlign w:val="bottom"/>
            <w:hideMark/>
          </w:tcPr>
          <w:p w14:paraId="5EADE73E"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1223</w:t>
            </w:r>
          </w:p>
        </w:tc>
        <w:tc>
          <w:tcPr>
            <w:tcW w:w="0" w:type="auto"/>
            <w:tcBorders>
              <w:top w:val="nil"/>
              <w:left w:val="nil"/>
              <w:bottom w:val="single" w:sz="8" w:space="0" w:color="auto"/>
              <w:right w:val="single" w:sz="8" w:space="0" w:color="auto"/>
            </w:tcBorders>
            <w:shd w:val="clear" w:color="auto" w:fill="auto"/>
            <w:vAlign w:val="bottom"/>
            <w:hideMark/>
          </w:tcPr>
          <w:p w14:paraId="508D23E4"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15390</w:t>
            </w:r>
          </w:p>
        </w:tc>
        <w:tc>
          <w:tcPr>
            <w:tcW w:w="0" w:type="auto"/>
            <w:tcBorders>
              <w:top w:val="nil"/>
              <w:left w:val="nil"/>
              <w:bottom w:val="single" w:sz="8" w:space="0" w:color="auto"/>
              <w:right w:val="nil"/>
            </w:tcBorders>
            <w:shd w:val="clear" w:color="auto" w:fill="auto"/>
            <w:vAlign w:val="bottom"/>
            <w:hideMark/>
          </w:tcPr>
          <w:p w14:paraId="51A6D105"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AD9BF0"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4997</w:t>
            </w:r>
          </w:p>
        </w:tc>
        <w:tc>
          <w:tcPr>
            <w:tcW w:w="0" w:type="auto"/>
            <w:tcBorders>
              <w:top w:val="nil"/>
              <w:left w:val="nil"/>
              <w:bottom w:val="single" w:sz="4" w:space="0" w:color="auto"/>
              <w:right w:val="single" w:sz="4" w:space="0" w:color="auto"/>
            </w:tcBorders>
            <w:shd w:val="clear" w:color="auto" w:fill="auto"/>
            <w:noWrap/>
            <w:vAlign w:val="bottom"/>
            <w:hideMark/>
          </w:tcPr>
          <w:p w14:paraId="2A4407FA"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148,1%</w:t>
            </w:r>
          </w:p>
        </w:tc>
        <w:tc>
          <w:tcPr>
            <w:tcW w:w="0" w:type="auto"/>
            <w:tcBorders>
              <w:top w:val="nil"/>
              <w:left w:val="nil"/>
              <w:bottom w:val="single" w:sz="4" w:space="0" w:color="auto"/>
              <w:right w:val="single" w:sz="4" w:space="0" w:color="auto"/>
            </w:tcBorders>
            <w:shd w:val="clear" w:color="auto" w:fill="auto"/>
            <w:noWrap/>
            <w:vAlign w:val="bottom"/>
            <w:hideMark/>
          </w:tcPr>
          <w:p w14:paraId="0EF2C7BB"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588</w:t>
            </w:r>
          </w:p>
        </w:tc>
        <w:tc>
          <w:tcPr>
            <w:tcW w:w="0" w:type="auto"/>
            <w:tcBorders>
              <w:top w:val="nil"/>
              <w:left w:val="nil"/>
              <w:bottom w:val="single" w:sz="4" w:space="0" w:color="auto"/>
              <w:right w:val="single" w:sz="4" w:space="0" w:color="auto"/>
            </w:tcBorders>
            <w:shd w:val="clear" w:color="auto" w:fill="auto"/>
            <w:noWrap/>
            <w:vAlign w:val="bottom"/>
            <w:hideMark/>
          </w:tcPr>
          <w:p w14:paraId="12E51678"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160,5%</w:t>
            </w:r>
          </w:p>
        </w:tc>
      </w:tr>
      <w:tr w:rsidR="00AE0481" w:rsidRPr="00B7675F" w14:paraId="76E6CBB1"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78737F7" w14:textId="77777777" w:rsidR="00AE0481" w:rsidRPr="00736448" w:rsidRDefault="00AE0481" w:rsidP="00AE0481">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w:t>
            </w:r>
          </w:p>
        </w:tc>
        <w:tc>
          <w:tcPr>
            <w:tcW w:w="0" w:type="auto"/>
            <w:tcBorders>
              <w:top w:val="nil"/>
              <w:left w:val="nil"/>
              <w:bottom w:val="single" w:sz="8" w:space="0" w:color="auto"/>
              <w:right w:val="single" w:sz="8" w:space="0" w:color="auto"/>
            </w:tcBorders>
            <w:shd w:val="clear" w:color="auto" w:fill="auto"/>
            <w:hideMark/>
          </w:tcPr>
          <w:p w14:paraId="497ADAAB" w14:textId="209008D9" w:rsidR="00AE0481" w:rsidRPr="00A72850" w:rsidRDefault="00AE0481" w:rsidP="00AE0481">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lang w:val="ru-RU"/>
              </w:rPr>
              <w:t>Лицам с ограниченными возможностями</w:t>
            </w:r>
          </w:p>
        </w:tc>
        <w:tc>
          <w:tcPr>
            <w:tcW w:w="0" w:type="auto"/>
            <w:tcBorders>
              <w:top w:val="nil"/>
              <w:left w:val="nil"/>
              <w:bottom w:val="single" w:sz="8" w:space="0" w:color="auto"/>
              <w:right w:val="single" w:sz="8" w:space="0" w:color="auto"/>
            </w:tcBorders>
            <w:shd w:val="clear" w:color="auto" w:fill="auto"/>
            <w:vAlign w:val="bottom"/>
            <w:hideMark/>
          </w:tcPr>
          <w:p w14:paraId="0923A718"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14123</w:t>
            </w:r>
          </w:p>
        </w:tc>
        <w:tc>
          <w:tcPr>
            <w:tcW w:w="0" w:type="auto"/>
            <w:tcBorders>
              <w:top w:val="nil"/>
              <w:left w:val="nil"/>
              <w:bottom w:val="single" w:sz="8" w:space="0" w:color="auto"/>
              <w:right w:val="single" w:sz="8" w:space="0" w:color="auto"/>
            </w:tcBorders>
            <w:shd w:val="clear" w:color="auto" w:fill="auto"/>
            <w:vAlign w:val="bottom"/>
            <w:hideMark/>
          </w:tcPr>
          <w:p w14:paraId="37CDF672"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3220</w:t>
            </w:r>
          </w:p>
        </w:tc>
        <w:tc>
          <w:tcPr>
            <w:tcW w:w="0" w:type="auto"/>
            <w:tcBorders>
              <w:top w:val="nil"/>
              <w:left w:val="nil"/>
              <w:bottom w:val="single" w:sz="8" w:space="0" w:color="auto"/>
              <w:right w:val="single" w:sz="8" w:space="0" w:color="auto"/>
            </w:tcBorders>
            <w:shd w:val="clear" w:color="auto" w:fill="auto"/>
            <w:vAlign w:val="bottom"/>
            <w:hideMark/>
          </w:tcPr>
          <w:p w14:paraId="73744C20"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15637</w:t>
            </w:r>
          </w:p>
        </w:tc>
        <w:tc>
          <w:tcPr>
            <w:tcW w:w="0" w:type="auto"/>
            <w:tcBorders>
              <w:top w:val="nil"/>
              <w:left w:val="nil"/>
              <w:bottom w:val="single" w:sz="8" w:space="0" w:color="auto"/>
              <w:right w:val="single" w:sz="8" w:space="0" w:color="auto"/>
            </w:tcBorders>
            <w:shd w:val="clear" w:color="auto" w:fill="auto"/>
            <w:vAlign w:val="bottom"/>
            <w:hideMark/>
          </w:tcPr>
          <w:p w14:paraId="4F996A39"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3461</w:t>
            </w:r>
          </w:p>
        </w:tc>
        <w:tc>
          <w:tcPr>
            <w:tcW w:w="0" w:type="auto"/>
            <w:tcBorders>
              <w:top w:val="nil"/>
              <w:left w:val="nil"/>
              <w:bottom w:val="single" w:sz="8" w:space="0" w:color="auto"/>
              <w:right w:val="single" w:sz="8" w:space="0" w:color="auto"/>
            </w:tcBorders>
            <w:shd w:val="clear" w:color="auto" w:fill="auto"/>
            <w:vAlign w:val="bottom"/>
            <w:hideMark/>
          </w:tcPr>
          <w:p w14:paraId="4B8CFDA0"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17917</w:t>
            </w:r>
          </w:p>
        </w:tc>
        <w:tc>
          <w:tcPr>
            <w:tcW w:w="0" w:type="auto"/>
            <w:tcBorders>
              <w:top w:val="nil"/>
              <w:left w:val="nil"/>
              <w:bottom w:val="single" w:sz="8" w:space="0" w:color="auto"/>
              <w:right w:val="nil"/>
            </w:tcBorders>
            <w:shd w:val="clear" w:color="auto" w:fill="auto"/>
            <w:vAlign w:val="bottom"/>
            <w:hideMark/>
          </w:tcPr>
          <w:p w14:paraId="7AEAB2B2"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4005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D6531F"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3794</w:t>
            </w:r>
          </w:p>
        </w:tc>
        <w:tc>
          <w:tcPr>
            <w:tcW w:w="0" w:type="auto"/>
            <w:tcBorders>
              <w:top w:val="nil"/>
              <w:left w:val="nil"/>
              <w:bottom w:val="single" w:sz="4" w:space="0" w:color="auto"/>
              <w:right w:val="single" w:sz="4" w:space="0" w:color="auto"/>
            </w:tcBorders>
            <w:shd w:val="clear" w:color="auto" w:fill="auto"/>
            <w:noWrap/>
            <w:vAlign w:val="bottom"/>
            <w:hideMark/>
          </w:tcPr>
          <w:p w14:paraId="713F9ADC"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126,9%</w:t>
            </w:r>
          </w:p>
        </w:tc>
        <w:tc>
          <w:tcPr>
            <w:tcW w:w="0" w:type="auto"/>
            <w:tcBorders>
              <w:top w:val="nil"/>
              <w:left w:val="nil"/>
              <w:bottom w:val="single" w:sz="4" w:space="0" w:color="auto"/>
              <w:right w:val="single" w:sz="4" w:space="0" w:color="auto"/>
            </w:tcBorders>
            <w:shd w:val="clear" w:color="auto" w:fill="auto"/>
            <w:noWrap/>
            <w:vAlign w:val="bottom"/>
            <w:hideMark/>
          </w:tcPr>
          <w:p w14:paraId="3024D884"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785</w:t>
            </w:r>
          </w:p>
        </w:tc>
        <w:tc>
          <w:tcPr>
            <w:tcW w:w="0" w:type="auto"/>
            <w:tcBorders>
              <w:top w:val="nil"/>
              <w:left w:val="nil"/>
              <w:bottom w:val="single" w:sz="4" w:space="0" w:color="auto"/>
              <w:right w:val="single" w:sz="4" w:space="0" w:color="auto"/>
            </w:tcBorders>
            <w:shd w:val="clear" w:color="auto" w:fill="auto"/>
            <w:noWrap/>
            <w:vAlign w:val="bottom"/>
            <w:hideMark/>
          </w:tcPr>
          <w:p w14:paraId="10931DB1"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124,4%</w:t>
            </w:r>
          </w:p>
        </w:tc>
      </w:tr>
      <w:tr w:rsidR="00AE0481" w:rsidRPr="00B7675F" w14:paraId="72FB8ED0"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212E94" w14:textId="77777777" w:rsidR="00AE0481" w:rsidRPr="00736448" w:rsidRDefault="00AE0481" w:rsidP="00AE0481">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w:t>
            </w:r>
          </w:p>
        </w:tc>
        <w:tc>
          <w:tcPr>
            <w:tcW w:w="0" w:type="auto"/>
            <w:tcBorders>
              <w:top w:val="nil"/>
              <w:left w:val="nil"/>
              <w:bottom w:val="single" w:sz="8" w:space="0" w:color="auto"/>
              <w:right w:val="single" w:sz="8" w:space="0" w:color="auto"/>
            </w:tcBorders>
            <w:shd w:val="clear" w:color="auto" w:fill="auto"/>
            <w:hideMark/>
          </w:tcPr>
          <w:p w14:paraId="07049F30" w14:textId="0255061C" w:rsidR="00AE0481" w:rsidRPr="00A72850" w:rsidRDefault="00AE0481" w:rsidP="00AE0481">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lang w:val="ru-RU"/>
              </w:rPr>
              <w:t>Лицам с ограниченными возможностями с детства</w:t>
            </w:r>
          </w:p>
        </w:tc>
        <w:tc>
          <w:tcPr>
            <w:tcW w:w="0" w:type="auto"/>
            <w:tcBorders>
              <w:top w:val="nil"/>
              <w:left w:val="nil"/>
              <w:bottom w:val="single" w:sz="8" w:space="0" w:color="auto"/>
              <w:right w:val="single" w:sz="8" w:space="0" w:color="auto"/>
            </w:tcBorders>
            <w:shd w:val="clear" w:color="auto" w:fill="auto"/>
            <w:vAlign w:val="bottom"/>
            <w:hideMark/>
          </w:tcPr>
          <w:p w14:paraId="575BA97C"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27733</w:t>
            </w:r>
          </w:p>
        </w:tc>
        <w:tc>
          <w:tcPr>
            <w:tcW w:w="0" w:type="auto"/>
            <w:tcBorders>
              <w:top w:val="nil"/>
              <w:left w:val="nil"/>
              <w:bottom w:val="single" w:sz="8" w:space="0" w:color="auto"/>
              <w:right w:val="single" w:sz="8" w:space="0" w:color="auto"/>
            </w:tcBorders>
            <w:shd w:val="clear" w:color="auto" w:fill="auto"/>
            <w:vAlign w:val="bottom"/>
            <w:hideMark/>
          </w:tcPr>
          <w:p w14:paraId="7281EAF6"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4599</w:t>
            </w:r>
          </w:p>
        </w:tc>
        <w:tc>
          <w:tcPr>
            <w:tcW w:w="0" w:type="auto"/>
            <w:tcBorders>
              <w:top w:val="nil"/>
              <w:left w:val="nil"/>
              <w:bottom w:val="single" w:sz="8" w:space="0" w:color="auto"/>
              <w:right w:val="single" w:sz="8" w:space="0" w:color="auto"/>
            </w:tcBorders>
            <w:shd w:val="clear" w:color="auto" w:fill="auto"/>
            <w:vAlign w:val="bottom"/>
            <w:hideMark/>
          </w:tcPr>
          <w:p w14:paraId="7D1FD54D"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27922</w:t>
            </w:r>
          </w:p>
        </w:tc>
        <w:tc>
          <w:tcPr>
            <w:tcW w:w="0" w:type="auto"/>
            <w:tcBorders>
              <w:top w:val="nil"/>
              <w:left w:val="nil"/>
              <w:bottom w:val="single" w:sz="8" w:space="0" w:color="auto"/>
              <w:right w:val="single" w:sz="8" w:space="0" w:color="auto"/>
            </w:tcBorders>
            <w:shd w:val="clear" w:color="auto" w:fill="auto"/>
            <w:vAlign w:val="bottom"/>
            <w:hideMark/>
          </w:tcPr>
          <w:p w14:paraId="4946E794"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4533</w:t>
            </w:r>
          </w:p>
        </w:tc>
        <w:tc>
          <w:tcPr>
            <w:tcW w:w="0" w:type="auto"/>
            <w:tcBorders>
              <w:top w:val="nil"/>
              <w:left w:val="nil"/>
              <w:bottom w:val="single" w:sz="8" w:space="0" w:color="auto"/>
              <w:right w:val="single" w:sz="8" w:space="0" w:color="auto"/>
            </w:tcBorders>
            <w:shd w:val="clear" w:color="auto" w:fill="auto"/>
            <w:vAlign w:val="bottom"/>
            <w:hideMark/>
          </w:tcPr>
          <w:p w14:paraId="402EF54D"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28255</w:t>
            </w:r>
          </w:p>
        </w:tc>
        <w:tc>
          <w:tcPr>
            <w:tcW w:w="0" w:type="auto"/>
            <w:tcBorders>
              <w:top w:val="nil"/>
              <w:left w:val="nil"/>
              <w:bottom w:val="single" w:sz="8" w:space="0" w:color="auto"/>
              <w:right w:val="nil"/>
            </w:tcBorders>
            <w:shd w:val="clear" w:color="auto" w:fill="auto"/>
            <w:vAlign w:val="bottom"/>
            <w:hideMark/>
          </w:tcPr>
          <w:p w14:paraId="64857153"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4719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595BA2"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522</w:t>
            </w:r>
          </w:p>
        </w:tc>
        <w:tc>
          <w:tcPr>
            <w:tcW w:w="0" w:type="auto"/>
            <w:tcBorders>
              <w:top w:val="nil"/>
              <w:left w:val="nil"/>
              <w:bottom w:val="single" w:sz="4" w:space="0" w:color="auto"/>
              <w:right w:val="single" w:sz="4" w:space="0" w:color="auto"/>
            </w:tcBorders>
            <w:shd w:val="clear" w:color="auto" w:fill="auto"/>
            <w:noWrap/>
            <w:vAlign w:val="bottom"/>
            <w:hideMark/>
          </w:tcPr>
          <w:p w14:paraId="751D57ED"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101,9%</w:t>
            </w:r>
          </w:p>
        </w:tc>
        <w:tc>
          <w:tcPr>
            <w:tcW w:w="0" w:type="auto"/>
            <w:tcBorders>
              <w:top w:val="nil"/>
              <w:left w:val="nil"/>
              <w:bottom w:val="single" w:sz="4" w:space="0" w:color="auto"/>
              <w:right w:val="single" w:sz="4" w:space="0" w:color="auto"/>
            </w:tcBorders>
            <w:shd w:val="clear" w:color="auto" w:fill="auto"/>
            <w:noWrap/>
            <w:vAlign w:val="bottom"/>
            <w:hideMark/>
          </w:tcPr>
          <w:p w14:paraId="01C30587"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120</w:t>
            </w:r>
          </w:p>
        </w:tc>
        <w:tc>
          <w:tcPr>
            <w:tcW w:w="0" w:type="auto"/>
            <w:tcBorders>
              <w:top w:val="nil"/>
              <w:left w:val="nil"/>
              <w:bottom w:val="single" w:sz="4" w:space="0" w:color="auto"/>
              <w:right w:val="single" w:sz="4" w:space="0" w:color="auto"/>
            </w:tcBorders>
            <w:shd w:val="clear" w:color="auto" w:fill="auto"/>
            <w:noWrap/>
            <w:vAlign w:val="bottom"/>
            <w:hideMark/>
          </w:tcPr>
          <w:p w14:paraId="31B7CB35"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102,6%</w:t>
            </w:r>
          </w:p>
        </w:tc>
      </w:tr>
      <w:tr w:rsidR="00AE0481" w:rsidRPr="00B7675F" w14:paraId="0476080E"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7A2BB3F" w14:textId="77777777" w:rsidR="00AE0481" w:rsidRPr="00736448" w:rsidRDefault="00AE0481" w:rsidP="00AE0481">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w:t>
            </w:r>
          </w:p>
        </w:tc>
        <w:tc>
          <w:tcPr>
            <w:tcW w:w="0" w:type="auto"/>
            <w:tcBorders>
              <w:top w:val="nil"/>
              <w:left w:val="nil"/>
              <w:bottom w:val="single" w:sz="8" w:space="0" w:color="auto"/>
              <w:right w:val="single" w:sz="8" w:space="0" w:color="auto"/>
            </w:tcBorders>
            <w:shd w:val="clear" w:color="auto" w:fill="auto"/>
            <w:hideMark/>
          </w:tcPr>
          <w:p w14:paraId="78F63920" w14:textId="530D8785" w:rsidR="00AE0481" w:rsidRPr="00A72850" w:rsidRDefault="00AE0481" w:rsidP="00AE0481">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lang w:val="ru-RU"/>
              </w:rPr>
              <w:t>Детям с ограниченными возможностями в возрасте до 18 лет</w:t>
            </w:r>
          </w:p>
        </w:tc>
        <w:tc>
          <w:tcPr>
            <w:tcW w:w="0" w:type="auto"/>
            <w:tcBorders>
              <w:top w:val="nil"/>
              <w:left w:val="nil"/>
              <w:bottom w:val="single" w:sz="8" w:space="0" w:color="auto"/>
              <w:right w:val="single" w:sz="8" w:space="0" w:color="auto"/>
            </w:tcBorders>
            <w:shd w:val="clear" w:color="auto" w:fill="auto"/>
            <w:vAlign w:val="bottom"/>
            <w:hideMark/>
          </w:tcPr>
          <w:p w14:paraId="18FA6748"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10429</w:t>
            </w:r>
          </w:p>
        </w:tc>
        <w:tc>
          <w:tcPr>
            <w:tcW w:w="0" w:type="auto"/>
            <w:tcBorders>
              <w:top w:val="nil"/>
              <w:left w:val="nil"/>
              <w:bottom w:val="single" w:sz="8" w:space="0" w:color="auto"/>
              <w:right w:val="single" w:sz="8" w:space="0" w:color="auto"/>
            </w:tcBorders>
            <w:shd w:val="clear" w:color="auto" w:fill="auto"/>
            <w:vAlign w:val="bottom"/>
            <w:hideMark/>
          </w:tcPr>
          <w:p w14:paraId="5958E2F0"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54</w:t>
            </w:r>
          </w:p>
        </w:tc>
        <w:tc>
          <w:tcPr>
            <w:tcW w:w="0" w:type="auto"/>
            <w:tcBorders>
              <w:top w:val="nil"/>
              <w:left w:val="nil"/>
              <w:bottom w:val="single" w:sz="8" w:space="0" w:color="auto"/>
              <w:right w:val="single" w:sz="8" w:space="0" w:color="auto"/>
            </w:tcBorders>
            <w:shd w:val="clear" w:color="auto" w:fill="auto"/>
            <w:vAlign w:val="bottom"/>
            <w:hideMark/>
          </w:tcPr>
          <w:p w14:paraId="4206EA5A"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10567</w:t>
            </w:r>
          </w:p>
        </w:tc>
        <w:tc>
          <w:tcPr>
            <w:tcW w:w="0" w:type="auto"/>
            <w:tcBorders>
              <w:top w:val="nil"/>
              <w:left w:val="nil"/>
              <w:bottom w:val="single" w:sz="8" w:space="0" w:color="auto"/>
              <w:right w:val="single" w:sz="8" w:space="0" w:color="auto"/>
            </w:tcBorders>
            <w:shd w:val="clear" w:color="auto" w:fill="auto"/>
            <w:vAlign w:val="bottom"/>
            <w:hideMark/>
          </w:tcPr>
          <w:p w14:paraId="1E595E62"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40</w:t>
            </w:r>
          </w:p>
        </w:tc>
        <w:tc>
          <w:tcPr>
            <w:tcW w:w="0" w:type="auto"/>
            <w:tcBorders>
              <w:top w:val="nil"/>
              <w:left w:val="nil"/>
              <w:bottom w:val="single" w:sz="8" w:space="0" w:color="auto"/>
              <w:right w:val="single" w:sz="8" w:space="0" w:color="auto"/>
            </w:tcBorders>
            <w:shd w:val="clear" w:color="auto" w:fill="auto"/>
            <w:vAlign w:val="bottom"/>
            <w:hideMark/>
          </w:tcPr>
          <w:p w14:paraId="6586875A"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10936</w:t>
            </w:r>
          </w:p>
        </w:tc>
        <w:tc>
          <w:tcPr>
            <w:tcW w:w="0" w:type="auto"/>
            <w:tcBorders>
              <w:top w:val="nil"/>
              <w:left w:val="nil"/>
              <w:bottom w:val="single" w:sz="8" w:space="0" w:color="auto"/>
              <w:right w:val="nil"/>
            </w:tcBorders>
            <w:shd w:val="clear" w:color="auto" w:fill="auto"/>
            <w:vAlign w:val="bottom"/>
            <w:hideMark/>
          </w:tcPr>
          <w:p w14:paraId="750378E9"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426E18"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507</w:t>
            </w:r>
          </w:p>
        </w:tc>
        <w:tc>
          <w:tcPr>
            <w:tcW w:w="0" w:type="auto"/>
            <w:tcBorders>
              <w:top w:val="nil"/>
              <w:left w:val="nil"/>
              <w:bottom w:val="single" w:sz="4" w:space="0" w:color="auto"/>
              <w:right w:val="single" w:sz="4" w:space="0" w:color="auto"/>
            </w:tcBorders>
            <w:shd w:val="clear" w:color="auto" w:fill="auto"/>
            <w:noWrap/>
            <w:vAlign w:val="bottom"/>
            <w:hideMark/>
          </w:tcPr>
          <w:p w14:paraId="0C86547B"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104,9%</w:t>
            </w:r>
          </w:p>
        </w:tc>
        <w:tc>
          <w:tcPr>
            <w:tcW w:w="0" w:type="auto"/>
            <w:tcBorders>
              <w:top w:val="nil"/>
              <w:left w:val="nil"/>
              <w:bottom w:val="single" w:sz="4" w:space="0" w:color="auto"/>
              <w:right w:val="single" w:sz="4" w:space="0" w:color="auto"/>
            </w:tcBorders>
            <w:shd w:val="clear" w:color="auto" w:fill="auto"/>
            <w:noWrap/>
            <w:vAlign w:val="bottom"/>
            <w:hideMark/>
          </w:tcPr>
          <w:p w14:paraId="1863AA48"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14</w:t>
            </w:r>
          </w:p>
        </w:tc>
        <w:tc>
          <w:tcPr>
            <w:tcW w:w="0" w:type="auto"/>
            <w:tcBorders>
              <w:top w:val="nil"/>
              <w:left w:val="nil"/>
              <w:bottom w:val="single" w:sz="4" w:space="0" w:color="auto"/>
              <w:right w:val="single" w:sz="4" w:space="0" w:color="auto"/>
            </w:tcBorders>
            <w:shd w:val="clear" w:color="auto" w:fill="auto"/>
            <w:noWrap/>
            <w:vAlign w:val="bottom"/>
            <w:hideMark/>
          </w:tcPr>
          <w:p w14:paraId="42885D74"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125,9%</w:t>
            </w:r>
          </w:p>
        </w:tc>
      </w:tr>
      <w:tr w:rsidR="00AE0481" w:rsidRPr="00B7675F" w14:paraId="10EA2074"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1FBD8E" w14:textId="77777777" w:rsidR="00AE0481" w:rsidRPr="00736448" w:rsidRDefault="00AE0481" w:rsidP="00AE0481">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w:t>
            </w:r>
          </w:p>
        </w:tc>
        <w:tc>
          <w:tcPr>
            <w:tcW w:w="0" w:type="auto"/>
            <w:tcBorders>
              <w:top w:val="nil"/>
              <w:left w:val="nil"/>
              <w:bottom w:val="single" w:sz="8" w:space="0" w:color="auto"/>
              <w:right w:val="single" w:sz="8" w:space="0" w:color="auto"/>
            </w:tcBorders>
            <w:shd w:val="clear" w:color="auto" w:fill="auto"/>
            <w:hideMark/>
          </w:tcPr>
          <w:p w14:paraId="3FB7BA77" w14:textId="31674208" w:rsidR="00AE0481" w:rsidRPr="00A72850" w:rsidRDefault="00AE0481" w:rsidP="00AE0481">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rPr>
              <w:t>В случае потери кормильца</w:t>
            </w:r>
          </w:p>
        </w:tc>
        <w:tc>
          <w:tcPr>
            <w:tcW w:w="0" w:type="auto"/>
            <w:tcBorders>
              <w:top w:val="nil"/>
              <w:left w:val="nil"/>
              <w:bottom w:val="single" w:sz="8" w:space="0" w:color="auto"/>
              <w:right w:val="single" w:sz="8" w:space="0" w:color="auto"/>
            </w:tcBorders>
            <w:shd w:val="clear" w:color="auto" w:fill="auto"/>
            <w:vAlign w:val="bottom"/>
            <w:hideMark/>
          </w:tcPr>
          <w:p w14:paraId="067944D2"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6211</w:t>
            </w:r>
          </w:p>
        </w:tc>
        <w:tc>
          <w:tcPr>
            <w:tcW w:w="0" w:type="auto"/>
            <w:tcBorders>
              <w:top w:val="nil"/>
              <w:left w:val="nil"/>
              <w:bottom w:val="single" w:sz="8" w:space="0" w:color="auto"/>
              <w:right w:val="single" w:sz="8" w:space="0" w:color="auto"/>
            </w:tcBorders>
            <w:shd w:val="clear" w:color="auto" w:fill="auto"/>
            <w:vAlign w:val="bottom"/>
            <w:hideMark/>
          </w:tcPr>
          <w:p w14:paraId="7551DABE"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276</w:t>
            </w:r>
          </w:p>
        </w:tc>
        <w:tc>
          <w:tcPr>
            <w:tcW w:w="0" w:type="auto"/>
            <w:tcBorders>
              <w:top w:val="nil"/>
              <w:left w:val="nil"/>
              <w:bottom w:val="single" w:sz="8" w:space="0" w:color="auto"/>
              <w:right w:val="single" w:sz="8" w:space="0" w:color="auto"/>
            </w:tcBorders>
            <w:shd w:val="clear" w:color="auto" w:fill="auto"/>
            <w:vAlign w:val="bottom"/>
            <w:hideMark/>
          </w:tcPr>
          <w:p w14:paraId="60419C8A"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6181</w:t>
            </w:r>
          </w:p>
        </w:tc>
        <w:tc>
          <w:tcPr>
            <w:tcW w:w="0" w:type="auto"/>
            <w:tcBorders>
              <w:top w:val="nil"/>
              <w:left w:val="nil"/>
              <w:bottom w:val="single" w:sz="8" w:space="0" w:color="auto"/>
              <w:right w:val="single" w:sz="8" w:space="0" w:color="auto"/>
            </w:tcBorders>
            <w:shd w:val="clear" w:color="auto" w:fill="auto"/>
            <w:vAlign w:val="bottom"/>
            <w:hideMark/>
          </w:tcPr>
          <w:p w14:paraId="501F3B2A"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278</w:t>
            </w:r>
          </w:p>
        </w:tc>
        <w:tc>
          <w:tcPr>
            <w:tcW w:w="0" w:type="auto"/>
            <w:tcBorders>
              <w:top w:val="nil"/>
              <w:left w:val="nil"/>
              <w:bottom w:val="single" w:sz="8" w:space="0" w:color="auto"/>
              <w:right w:val="single" w:sz="8" w:space="0" w:color="auto"/>
            </w:tcBorders>
            <w:shd w:val="clear" w:color="auto" w:fill="auto"/>
            <w:vAlign w:val="bottom"/>
            <w:hideMark/>
          </w:tcPr>
          <w:p w14:paraId="592D9CB6"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6172</w:t>
            </w:r>
          </w:p>
        </w:tc>
        <w:tc>
          <w:tcPr>
            <w:tcW w:w="0" w:type="auto"/>
            <w:tcBorders>
              <w:top w:val="nil"/>
              <w:left w:val="nil"/>
              <w:bottom w:val="nil"/>
              <w:right w:val="nil"/>
            </w:tcBorders>
            <w:shd w:val="clear" w:color="auto" w:fill="auto"/>
            <w:vAlign w:val="bottom"/>
            <w:hideMark/>
          </w:tcPr>
          <w:p w14:paraId="45E1E5E2"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358</w:t>
            </w:r>
          </w:p>
        </w:tc>
        <w:tc>
          <w:tcPr>
            <w:tcW w:w="0" w:type="auto"/>
            <w:tcBorders>
              <w:top w:val="nil"/>
              <w:left w:val="single" w:sz="4" w:space="0" w:color="auto"/>
              <w:bottom w:val="nil"/>
              <w:right w:val="single" w:sz="4" w:space="0" w:color="auto"/>
            </w:tcBorders>
            <w:shd w:val="clear" w:color="auto" w:fill="auto"/>
            <w:noWrap/>
            <w:vAlign w:val="bottom"/>
            <w:hideMark/>
          </w:tcPr>
          <w:p w14:paraId="063CDAEF"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-39</w:t>
            </w:r>
          </w:p>
        </w:tc>
        <w:tc>
          <w:tcPr>
            <w:tcW w:w="0" w:type="auto"/>
            <w:tcBorders>
              <w:top w:val="nil"/>
              <w:left w:val="nil"/>
              <w:bottom w:val="nil"/>
              <w:right w:val="single" w:sz="4" w:space="0" w:color="auto"/>
            </w:tcBorders>
            <w:shd w:val="clear" w:color="auto" w:fill="auto"/>
            <w:noWrap/>
            <w:vAlign w:val="bottom"/>
            <w:hideMark/>
          </w:tcPr>
          <w:p w14:paraId="67A7AF68"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99,4%</w:t>
            </w:r>
          </w:p>
        </w:tc>
        <w:tc>
          <w:tcPr>
            <w:tcW w:w="0" w:type="auto"/>
            <w:tcBorders>
              <w:top w:val="nil"/>
              <w:left w:val="nil"/>
              <w:bottom w:val="nil"/>
              <w:right w:val="single" w:sz="4" w:space="0" w:color="auto"/>
            </w:tcBorders>
            <w:shd w:val="clear" w:color="auto" w:fill="auto"/>
            <w:noWrap/>
            <w:vAlign w:val="bottom"/>
            <w:hideMark/>
          </w:tcPr>
          <w:p w14:paraId="2701058B"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82</w:t>
            </w:r>
          </w:p>
        </w:tc>
        <w:tc>
          <w:tcPr>
            <w:tcW w:w="0" w:type="auto"/>
            <w:tcBorders>
              <w:top w:val="nil"/>
              <w:left w:val="nil"/>
              <w:bottom w:val="nil"/>
              <w:right w:val="single" w:sz="4" w:space="0" w:color="auto"/>
            </w:tcBorders>
            <w:shd w:val="clear" w:color="auto" w:fill="auto"/>
            <w:noWrap/>
            <w:vAlign w:val="bottom"/>
            <w:hideMark/>
          </w:tcPr>
          <w:p w14:paraId="6D3E7A63"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129,7%</w:t>
            </w:r>
          </w:p>
        </w:tc>
      </w:tr>
      <w:tr w:rsidR="00DB70CA" w:rsidRPr="00B7675F" w14:paraId="788ECCFA" w14:textId="77777777" w:rsidTr="00A72850">
        <w:trPr>
          <w:trHeight w:val="20"/>
        </w:trPr>
        <w:tc>
          <w:tcPr>
            <w:tcW w:w="0" w:type="auto"/>
            <w:tcBorders>
              <w:top w:val="nil"/>
              <w:left w:val="single" w:sz="8" w:space="0" w:color="auto"/>
              <w:bottom w:val="single" w:sz="8" w:space="0" w:color="auto"/>
              <w:right w:val="single" w:sz="8" w:space="0" w:color="auto"/>
            </w:tcBorders>
            <w:shd w:val="clear" w:color="000000" w:fill="C9C9C9"/>
            <w:vAlign w:val="center"/>
            <w:hideMark/>
          </w:tcPr>
          <w:p w14:paraId="00EBB89E"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 </w:t>
            </w:r>
          </w:p>
        </w:tc>
        <w:tc>
          <w:tcPr>
            <w:tcW w:w="0" w:type="auto"/>
            <w:tcBorders>
              <w:top w:val="nil"/>
              <w:left w:val="nil"/>
              <w:bottom w:val="single" w:sz="8" w:space="0" w:color="auto"/>
              <w:right w:val="single" w:sz="8" w:space="0" w:color="auto"/>
            </w:tcBorders>
            <w:shd w:val="clear" w:color="000000" w:fill="C9C9C9"/>
            <w:vAlign w:val="bottom"/>
            <w:hideMark/>
          </w:tcPr>
          <w:p w14:paraId="6E163AE5" w14:textId="61AB642C" w:rsidR="00DB70CA" w:rsidRPr="00A72850" w:rsidRDefault="00AE0481" w:rsidP="00490517">
            <w:pPr>
              <w:spacing w:after="0" w:line="240" w:lineRule="auto"/>
              <w:rPr>
                <w:rFonts w:asciiTheme="majorHAnsi" w:eastAsia="Times New Roman" w:hAnsiTheme="majorHAnsi" w:cstheme="majorHAnsi"/>
                <w:b/>
                <w:bCs/>
                <w:color w:val="000000"/>
                <w:sz w:val="20"/>
                <w:szCs w:val="20"/>
                <w:lang w:val="ro-MD"/>
              </w:rPr>
            </w:pPr>
            <w:r w:rsidRPr="00A72850">
              <w:rPr>
                <w:rFonts w:asciiTheme="majorHAnsi" w:eastAsia="Times New Roman" w:hAnsiTheme="majorHAnsi" w:cstheme="majorHAnsi"/>
                <w:b/>
                <w:bCs/>
                <w:color w:val="000000"/>
                <w:sz w:val="20"/>
                <w:szCs w:val="20"/>
                <w:lang w:val="ro-MD"/>
              </w:rPr>
              <w:t>Ассигнования на уход, сопровождение и наблюдение, всего, в том числе</w:t>
            </w:r>
            <w:r w:rsidR="00DB70CA" w:rsidRPr="00A72850">
              <w:rPr>
                <w:rFonts w:asciiTheme="majorHAnsi" w:eastAsia="Times New Roman" w:hAnsiTheme="majorHAnsi" w:cstheme="majorHAnsi"/>
                <w:b/>
                <w:bCs/>
                <w:i/>
                <w:iCs/>
                <w:color w:val="000000"/>
                <w:sz w:val="20"/>
                <w:szCs w:val="20"/>
                <w:lang w:val="ro-MD"/>
              </w:rPr>
              <w:t>:</w:t>
            </w:r>
          </w:p>
        </w:tc>
        <w:tc>
          <w:tcPr>
            <w:tcW w:w="0" w:type="auto"/>
            <w:tcBorders>
              <w:top w:val="nil"/>
              <w:left w:val="nil"/>
              <w:bottom w:val="single" w:sz="8" w:space="0" w:color="auto"/>
              <w:right w:val="single" w:sz="8" w:space="0" w:color="auto"/>
            </w:tcBorders>
            <w:shd w:val="clear" w:color="000000" w:fill="C9C9C9"/>
            <w:vAlign w:val="bottom"/>
            <w:hideMark/>
          </w:tcPr>
          <w:p w14:paraId="65DE578E"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13024</w:t>
            </w:r>
          </w:p>
        </w:tc>
        <w:tc>
          <w:tcPr>
            <w:tcW w:w="0" w:type="auto"/>
            <w:tcBorders>
              <w:top w:val="nil"/>
              <w:left w:val="nil"/>
              <w:bottom w:val="single" w:sz="8" w:space="0" w:color="auto"/>
              <w:right w:val="single" w:sz="8" w:space="0" w:color="auto"/>
            </w:tcBorders>
            <w:shd w:val="clear" w:color="000000" w:fill="C9C9C9"/>
            <w:vAlign w:val="bottom"/>
            <w:hideMark/>
          </w:tcPr>
          <w:p w14:paraId="1DD1CB6A"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626</w:t>
            </w:r>
          </w:p>
        </w:tc>
        <w:tc>
          <w:tcPr>
            <w:tcW w:w="0" w:type="auto"/>
            <w:tcBorders>
              <w:top w:val="nil"/>
              <w:left w:val="nil"/>
              <w:bottom w:val="single" w:sz="8" w:space="0" w:color="auto"/>
              <w:right w:val="single" w:sz="8" w:space="0" w:color="auto"/>
            </w:tcBorders>
            <w:shd w:val="clear" w:color="000000" w:fill="C9C9C9"/>
            <w:vAlign w:val="bottom"/>
            <w:hideMark/>
          </w:tcPr>
          <w:p w14:paraId="14755968"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13134</w:t>
            </w:r>
          </w:p>
        </w:tc>
        <w:tc>
          <w:tcPr>
            <w:tcW w:w="0" w:type="auto"/>
            <w:tcBorders>
              <w:top w:val="nil"/>
              <w:left w:val="nil"/>
              <w:bottom w:val="single" w:sz="8" w:space="0" w:color="auto"/>
              <w:right w:val="single" w:sz="8" w:space="0" w:color="auto"/>
            </w:tcBorders>
            <w:shd w:val="clear" w:color="000000" w:fill="C9C9C9"/>
            <w:vAlign w:val="bottom"/>
            <w:hideMark/>
          </w:tcPr>
          <w:p w14:paraId="74F3B196"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634</w:t>
            </w:r>
          </w:p>
        </w:tc>
        <w:tc>
          <w:tcPr>
            <w:tcW w:w="0" w:type="auto"/>
            <w:tcBorders>
              <w:top w:val="nil"/>
              <w:left w:val="nil"/>
              <w:bottom w:val="single" w:sz="8" w:space="0" w:color="auto"/>
              <w:right w:val="single" w:sz="8" w:space="0" w:color="auto"/>
            </w:tcBorders>
            <w:shd w:val="clear" w:color="000000" w:fill="C9C9C9"/>
            <w:vAlign w:val="bottom"/>
            <w:hideMark/>
          </w:tcPr>
          <w:p w14:paraId="43F0BA48"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12672</w:t>
            </w:r>
          </w:p>
        </w:tc>
        <w:tc>
          <w:tcPr>
            <w:tcW w:w="0" w:type="auto"/>
            <w:tcBorders>
              <w:top w:val="single" w:sz="8" w:space="0" w:color="auto"/>
              <w:left w:val="nil"/>
              <w:bottom w:val="single" w:sz="8" w:space="0" w:color="auto"/>
              <w:right w:val="nil"/>
            </w:tcBorders>
            <w:shd w:val="clear" w:color="000000" w:fill="D0CECE"/>
            <w:vAlign w:val="bottom"/>
            <w:hideMark/>
          </w:tcPr>
          <w:p w14:paraId="0527407D"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649</w:t>
            </w:r>
          </w:p>
        </w:tc>
        <w:tc>
          <w:tcPr>
            <w:tcW w:w="0" w:type="auto"/>
            <w:tcBorders>
              <w:top w:val="single" w:sz="8" w:space="0" w:color="auto"/>
              <w:left w:val="single" w:sz="4" w:space="0" w:color="auto"/>
              <w:bottom w:val="single" w:sz="8" w:space="0" w:color="auto"/>
              <w:right w:val="single" w:sz="4" w:space="0" w:color="auto"/>
            </w:tcBorders>
            <w:shd w:val="clear" w:color="000000" w:fill="D0CECE"/>
            <w:noWrap/>
            <w:vAlign w:val="bottom"/>
            <w:hideMark/>
          </w:tcPr>
          <w:p w14:paraId="4DE1B734"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-352</w:t>
            </w:r>
          </w:p>
        </w:tc>
        <w:tc>
          <w:tcPr>
            <w:tcW w:w="0" w:type="auto"/>
            <w:tcBorders>
              <w:top w:val="single" w:sz="8" w:space="0" w:color="auto"/>
              <w:left w:val="nil"/>
              <w:bottom w:val="single" w:sz="8" w:space="0" w:color="auto"/>
              <w:right w:val="single" w:sz="4" w:space="0" w:color="auto"/>
            </w:tcBorders>
            <w:shd w:val="clear" w:color="000000" w:fill="D0CECE"/>
            <w:noWrap/>
            <w:vAlign w:val="bottom"/>
            <w:hideMark/>
          </w:tcPr>
          <w:p w14:paraId="673E1DC8"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97,3%</w:t>
            </w:r>
          </w:p>
        </w:tc>
        <w:tc>
          <w:tcPr>
            <w:tcW w:w="0" w:type="auto"/>
            <w:tcBorders>
              <w:top w:val="single" w:sz="8" w:space="0" w:color="auto"/>
              <w:left w:val="nil"/>
              <w:bottom w:val="single" w:sz="8" w:space="0" w:color="auto"/>
              <w:right w:val="single" w:sz="4" w:space="0" w:color="auto"/>
            </w:tcBorders>
            <w:shd w:val="clear" w:color="000000" w:fill="D0CECE"/>
            <w:noWrap/>
            <w:vAlign w:val="bottom"/>
            <w:hideMark/>
          </w:tcPr>
          <w:p w14:paraId="55095DF8"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23</w:t>
            </w:r>
          </w:p>
        </w:tc>
        <w:tc>
          <w:tcPr>
            <w:tcW w:w="0" w:type="auto"/>
            <w:tcBorders>
              <w:top w:val="single" w:sz="8" w:space="0" w:color="auto"/>
              <w:left w:val="nil"/>
              <w:bottom w:val="single" w:sz="8" w:space="0" w:color="auto"/>
              <w:right w:val="single" w:sz="8" w:space="0" w:color="auto"/>
            </w:tcBorders>
            <w:shd w:val="clear" w:color="000000" w:fill="D0CECE"/>
            <w:noWrap/>
            <w:vAlign w:val="bottom"/>
            <w:hideMark/>
          </w:tcPr>
          <w:p w14:paraId="6366C48A"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103,7%</w:t>
            </w:r>
          </w:p>
        </w:tc>
      </w:tr>
      <w:tr w:rsidR="00AE0481" w:rsidRPr="00B7675F" w14:paraId="296C70E4"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95A93C6" w14:textId="77777777" w:rsidR="00AE0481" w:rsidRPr="00736448" w:rsidRDefault="00AE0481" w:rsidP="00AE0481">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w:t>
            </w:r>
          </w:p>
        </w:tc>
        <w:tc>
          <w:tcPr>
            <w:tcW w:w="0" w:type="auto"/>
            <w:tcBorders>
              <w:top w:val="nil"/>
              <w:left w:val="nil"/>
              <w:bottom w:val="single" w:sz="8" w:space="0" w:color="auto"/>
              <w:right w:val="single" w:sz="8" w:space="0" w:color="auto"/>
            </w:tcBorders>
            <w:shd w:val="clear" w:color="auto" w:fill="auto"/>
            <w:hideMark/>
          </w:tcPr>
          <w:p w14:paraId="42E3DDA2" w14:textId="0DF17A4B" w:rsidR="00AE0481" w:rsidRPr="00A72850" w:rsidRDefault="00AE0481" w:rsidP="00AE0481">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lang w:val="ru-RU"/>
              </w:rPr>
              <w:t>Ассигнования лицам, ухаживающим за ребенком в возрасте до 18 лет с тяжелой инвалидностью</w:t>
            </w:r>
          </w:p>
        </w:tc>
        <w:tc>
          <w:tcPr>
            <w:tcW w:w="0" w:type="auto"/>
            <w:tcBorders>
              <w:top w:val="nil"/>
              <w:left w:val="nil"/>
              <w:bottom w:val="single" w:sz="8" w:space="0" w:color="auto"/>
              <w:right w:val="single" w:sz="8" w:space="0" w:color="auto"/>
            </w:tcBorders>
            <w:shd w:val="clear" w:color="auto" w:fill="auto"/>
            <w:vAlign w:val="bottom"/>
            <w:hideMark/>
          </w:tcPr>
          <w:p w14:paraId="3ABA6D5D"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3210</w:t>
            </w:r>
          </w:p>
        </w:tc>
        <w:tc>
          <w:tcPr>
            <w:tcW w:w="0" w:type="auto"/>
            <w:tcBorders>
              <w:top w:val="nil"/>
              <w:left w:val="nil"/>
              <w:bottom w:val="single" w:sz="8" w:space="0" w:color="auto"/>
              <w:right w:val="single" w:sz="8" w:space="0" w:color="auto"/>
            </w:tcBorders>
            <w:shd w:val="clear" w:color="auto" w:fill="auto"/>
            <w:vAlign w:val="bottom"/>
            <w:hideMark/>
          </w:tcPr>
          <w:p w14:paraId="1D0256A3"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w:t>
            </w:r>
          </w:p>
        </w:tc>
        <w:tc>
          <w:tcPr>
            <w:tcW w:w="0" w:type="auto"/>
            <w:tcBorders>
              <w:top w:val="nil"/>
              <w:left w:val="nil"/>
              <w:bottom w:val="single" w:sz="8" w:space="0" w:color="auto"/>
              <w:right w:val="single" w:sz="8" w:space="0" w:color="auto"/>
            </w:tcBorders>
            <w:shd w:val="clear" w:color="auto" w:fill="auto"/>
            <w:vAlign w:val="bottom"/>
            <w:hideMark/>
          </w:tcPr>
          <w:p w14:paraId="7DC27A7C"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3448</w:t>
            </w:r>
          </w:p>
        </w:tc>
        <w:tc>
          <w:tcPr>
            <w:tcW w:w="0" w:type="auto"/>
            <w:tcBorders>
              <w:top w:val="nil"/>
              <w:left w:val="nil"/>
              <w:bottom w:val="single" w:sz="8" w:space="0" w:color="auto"/>
              <w:right w:val="single" w:sz="8" w:space="0" w:color="auto"/>
            </w:tcBorders>
            <w:shd w:val="clear" w:color="auto" w:fill="auto"/>
            <w:vAlign w:val="bottom"/>
            <w:hideMark/>
          </w:tcPr>
          <w:p w14:paraId="28E1EDFF"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w:t>
            </w:r>
          </w:p>
        </w:tc>
        <w:tc>
          <w:tcPr>
            <w:tcW w:w="0" w:type="auto"/>
            <w:tcBorders>
              <w:top w:val="nil"/>
              <w:left w:val="nil"/>
              <w:bottom w:val="single" w:sz="8" w:space="0" w:color="auto"/>
              <w:right w:val="single" w:sz="8" w:space="0" w:color="auto"/>
            </w:tcBorders>
            <w:shd w:val="clear" w:color="auto" w:fill="auto"/>
            <w:vAlign w:val="bottom"/>
            <w:hideMark/>
          </w:tcPr>
          <w:p w14:paraId="7E74085B"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3042</w:t>
            </w:r>
          </w:p>
        </w:tc>
        <w:tc>
          <w:tcPr>
            <w:tcW w:w="0" w:type="auto"/>
            <w:tcBorders>
              <w:top w:val="nil"/>
              <w:left w:val="nil"/>
              <w:bottom w:val="single" w:sz="8" w:space="0" w:color="auto"/>
              <w:right w:val="nil"/>
            </w:tcBorders>
            <w:shd w:val="clear" w:color="auto" w:fill="auto"/>
            <w:vAlign w:val="bottom"/>
            <w:hideMark/>
          </w:tcPr>
          <w:p w14:paraId="44717827"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1B5BFD"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-168</w:t>
            </w:r>
          </w:p>
        </w:tc>
        <w:tc>
          <w:tcPr>
            <w:tcW w:w="0" w:type="auto"/>
            <w:tcBorders>
              <w:top w:val="nil"/>
              <w:left w:val="nil"/>
              <w:bottom w:val="single" w:sz="4" w:space="0" w:color="auto"/>
              <w:right w:val="single" w:sz="4" w:space="0" w:color="auto"/>
            </w:tcBorders>
            <w:shd w:val="clear" w:color="auto" w:fill="auto"/>
            <w:noWrap/>
            <w:vAlign w:val="bottom"/>
            <w:hideMark/>
          </w:tcPr>
          <w:p w14:paraId="44A4E15C"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94,8%</w:t>
            </w:r>
          </w:p>
        </w:tc>
        <w:tc>
          <w:tcPr>
            <w:tcW w:w="0" w:type="auto"/>
            <w:tcBorders>
              <w:top w:val="nil"/>
              <w:left w:val="nil"/>
              <w:bottom w:val="single" w:sz="4" w:space="0" w:color="auto"/>
              <w:right w:val="single" w:sz="4" w:space="0" w:color="auto"/>
            </w:tcBorders>
            <w:shd w:val="clear" w:color="auto" w:fill="auto"/>
            <w:noWrap/>
            <w:vAlign w:val="bottom"/>
            <w:hideMark/>
          </w:tcPr>
          <w:p w14:paraId="04666835"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w:t>
            </w:r>
          </w:p>
        </w:tc>
        <w:tc>
          <w:tcPr>
            <w:tcW w:w="0" w:type="auto"/>
            <w:tcBorders>
              <w:top w:val="nil"/>
              <w:left w:val="nil"/>
              <w:bottom w:val="single" w:sz="4" w:space="0" w:color="auto"/>
              <w:right w:val="single" w:sz="4" w:space="0" w:color="auto"/>
            </w:tcBorders>
            <w:shd w:val="clear" w:color="auto" w:fill="auto"/>
            <w:noWrap/>
            <w:vAlign w:val="bottom"/>
            <w:hideMark/>
          </w:tcPr>
          <w:p w14:paraId="67B86E4D"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180,0%</w:t>
            </w:r>
          </w:p>
        </w:tc>
      </w:tr>
      <w:tr w:rsidR="00AE0481" w:rsidRPr="00B7675F" w14:paraId="746CD806"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033AA67" w14:textId="77777777" w:rsidR="00AE0481" w:rsidRPr="00736448" w:rsidRDefault="00AE0481" w:rsidP="00AE0481">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w:t>
            </w:r>
          </w:p>
        </w:tc>
        <w:tc>
          <w:tcPr>
            <w:tcW w:w="0" w:type="auto"/>
            <w:tcBorders>
              <w:top w:val="nil"/>
              <w:left w:val="nil"/>
              <w:bottom w:val="single" w:sz="8" w:space="0" w:color="auto"/>
              <w:right w:val="single" w:sz="8" w:space="0" w:color="auto"/>
            </w:tcBorders>
            <w:shd w:val="clear" w:color="auto" w:fill="auto"/>
            <w:hideMark/>
          </w:tcPr>
          <w:p w14:paraId="191D0783" w14:textId="42F144AD" w:rsidR="00AE0481" w:rsidRPr="00A72850" w:rsidRDefault="00AE0481" w:rsidP="00AE0481">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lang w:val="ru-RU"/>
              </w:rPr>
              <w:t>Пособие по уходу за людьми с тяжелыми формами инвалидности с детства</w:t>
            </w:r>
          </w:p>
        </w:tc>
        <w:tc>
          <w:tcPr>
            <w:tcW w:w="0" w:type="auto"/>
            <w:tcBorders>
              <w:top w:val="nil"/>
              <w:left w:val="nil"/>
              <w:bottom w:val="single" w:sz="8" w:space="0" w:color="auto"/>
              <w:right w:val="single" w:sz="8" w:space="0" w:color="auto"/>
            </w:tcBorders>
            <w:shd w:val="clear" w:color="auto" w:fill="auto"/>
            <w:vAlign w:val="bottom"/>
            <w:hideMark/>
          </w:tcPr>
          <w:p w14:paraId="09B5FB1E"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6048</w:t>
            </w:r>
          </w:p>
        </w:tc>
        <w:tc>
          <w:tcPr>
            <w:tcW w:w="0" w:type="auto"/>
            <w:tcBorders>
              <w:top w:val="nil"/>
              <w:left w:val="nil"/>
              <w:bottom w:val="single" w:sz="8" w:space="0" w:color="auto"/>
              <w:right w:val="single" w:sz="8" w:space="0" w:color="auto"/>
            </w:tcBorders>
            <w:shd w:val="clear" w:color="auto" w:fill="auto"/>
            <w:vAlign w:val="bottom"/>
            <w:hideMark/>
          </w:tcPr>
          <w:p w14:paraId="256F6F2A"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346</w:t>
            </w:r>
          </w:p>
        </w:tc>
        <w:tc>
          <w:tcPr>
            <w:tcW w:w="0" w:type="auto"/>
            <w:tcBorders>
              <w:top w:val="nil"/>
              <w:left w:val="nil"/>
              <w:bottom w:val="single" w:sz="8" w:space="0" w:color="auto"/>
              <w:right w:val="single" w:sz="8" w:space="0" w:color="auto"/>
            </w:tcBorders>
            <w:shd w:val="clear" w:color="auto" w:fill="auto"/>
            <w:vAlign w:val="bottom"/>
            <w:hideMark/>
          </w:tcPr>
          <w:p w14:paraId="3F0859C0"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6035</w:t>
            </w:r>
          </w:p>
        </w:tc>
        <w:tc>
          <w:tcPr>
            <w:tcW w:w="0" w:type="auto"/>
            <w:tcBorders>
              <w:top w:val="nil"/>
              <w:left w:val="nil"/>
              <w:bottom w:val="single" w:sz="8" w:space="0" w:color="auto"/>
              <w:right w:val="single" w:sz="8" w:space="0" w:color="auto"/>
            </w:tcBorders>
            <w:shd w:val="clear" w:color="auto" w:fill="auto"/>
            <w:vAlign w:val="bottom"/>
            <w:hideMark/>
          </w:tcPr>
          <w:p w14:paraId="3E67FD22"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361</w:t>
            </w:r>
          </w:p>
        </w:tc>
        <w:tc>
          <w:tcPr>
            <w:tcW w:w="0" w:type="auto"/>
            <w:tcBorders>
              <w:top w:val="nil"/>
              <w:left w:val="nil"/>
              <w:bottom w:val="single" w:sz="8" w:space="0" w:color="auto"/>
              <w:right w:val="single" w:sz="8" w:space="0" w:color="auto"/>
            </w:tcBorders>
            <w:shd w:val="clear" w:color="auto" w:fill="auto"/>
            <w:vAlign w:val="bottom"/>
            <w:hideMark/>
          </w:tcPr>
          <w:p w14:paraId="3666C7C9"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6021</w:t>
            </w:r>
          </w:p>
        </w:tc>
        <w:tc>
          <w:tcPr>
            <w:tcW w:w="0" w:type="auto"/>
            <w:tcBorders>
              <w:top w:val="nil"/>
              <w:left w:val="nil"/>
              <w:bottom w:val="single" w:sz="8" w:space="0" w:color="auto"/>
              <w:right w:val="nil"/>
            </w:tcBorders>
            <w:shd w:val="clear" w:color="auto" w:fill="auto"/>
            <w:vAlign w:val="bottom"/>
            <w:hideMark/>
          </w:tcPr>
          <w:p w14:paraId="200B39F8"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368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BBB1AA"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-27</w:t>
            </w:r>
          </w:p>
        </w:tc>
        <w:tc>
          <w:tcPr>
            <w:tcW w:w="0" w:type="auto"/>
            <w:tcBorders>
              <w:top w:val="nil"/>
              <w:left w:val="nil"/>
              <w:bottom w:val="single" w:sz="4" w:space="0" w:color="auto"/>
              <w:right w:val="single" w:sz="4" w:space="0" w:color="auto"/>
            </w:tcBorders>
            <w:shd w:val="clear" w:color="auto" w:fill="auto"/>
            <w:noWrap/>
            <w:vAlign w:val="bottom"/>
            <w:hideMark/>
          </w:tcPr>
          <w:p w14:paraId="609BA70A"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99,6%</w:t>
            </w:r>
          </w:p>
        </w:tc>
        <w:tc>
          <w:tcPr>
            <w:tcW w:w="0" w:type="auto"/>
            <w:tcBorders>
              <w:top w:val="nil"/>
              <w:left w:val="nil"/>
              <w:bottom w:val="single" w:sz="4" w:space="0" w:color="auto"/>
              <w:right w:val="single" w:sz="4" w:space="0" w:color="auto"/>
            </w:tcBorders>
            <w:shd w:val="clear" w:color="auto" w:fill="auto"/>
            <w:noWrap/>
            <w:vAlign w:val="bottom"/>
            <w:hideMark/>
          </w:tcPr>
          <w:p w14:paraId="4E641422"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22</w:t>
            </w:r>
          </w:p>
        </w:tc>
        <w:tc>
          <w:tcPr>
            <w:tcW w:w="0" w:type="auto"/>
            <w:tcBorders>
              <w:top w:val="nil"/>
              <w:left w:val="nil"/>
              <w:bottom w:val="single" w:sz="4" w:space="0" w:color="auto"/>
              <w:right w:val="single" w:sz="4" w:space="0" w:color="auto"/>
            </w:tcBorders>
            <w:shd w:val="clear" w:color="auto" w:fill="auto"/>
            <w:noWrap/>
            <w:vAlign w:val="bottom"/>
            <w:hideMark/>
          </w:tcPr>
          <w:p w14:paraId="70652C99"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106,4%</w:t>
            </w:r>
          </w:p>
        </w:tc>
      </w:tr>
      <w:tr w:rsidR="00AE0481" w:rsidRPr="00B7675F" w14:paraId="1DCC5D96"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A8547F" w14:textId="77777777" w:rsidR="00AE0481" w:rsidRPr="00736448" w:rsidRDefault="00AE0481" w:rsidP="00AE0481">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w:t>
            </w:r>
          </w:p>
        </w:tc>
        <w:tc>
          <w:tcPr>
            <w:tcW w:w="0" w:type="auto"/>
            <w:tcBorders>
              <w:top w:val="nil"/>
              <w:left w:val="nil"/>
              <w:bottom w:val="single" w:sz="8" w:space="0" w:color="auto"/>
              <w:right w:val="single" w:sz="8" w:space="0" w:color="auto"/>
            </w:tcBorders>
            <w:shd w:val="clear" w:color="auto" w:fill="auto"/>
            <w:hideMark/>
          </w:tcPr>
          <w:p w14:paraId="6ABE386B" w14:textId="2E97EB3A" w:rsidR="00AE0481" w:rsidRPr="00A72850" w:rsidRDefault="00AE0481" w:rsidP="00AE0481">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lang w:val="ru-RU"/>
              </w:rPr>
              <w:t>Ассигнования лицам с тяжелыми формами инвалидности, прикованным к постели, из числа участников ликвидации Чернобыльской авариии</w:t>
            </w:r>
          </w:p>
        </w:tc>
        <w:tc>
          <w:tcPr>
            <w:tcW w:w="0" w:type="auto"/>
            <w:tcBorders>
              <w:top w:val="nil"/>
              <w:left w:val="nil"/>
              <w:bottom w:val="single" w:sz="8" w:space="0" w:color="auto"/>
              <w:right w:val="single" w:sz="8" w:space="0" w:color="auto"/>
            </w:tcBorders>
            <w:shd w:val="clear" w:color="auto" w:fill="auto"/>
            <w:vAlign w:val="bottom"/>
            <w:hideMark/>
          </w:tcPr>
          <w:p w14:paraId="1E874820"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w:t>
            </w:r>
          </w:p>
        </w:tc>
        <w:tc>
          <w:tcPr>
            <w:tcW w:w="0" w:type="auto"/>
            <w:tcBorders>
              <w:top w:val="nil"/>
              <w:left w:val="nil"/>
              <w:bottom w:val="single" w:sz="8" w:space="0" w:color="auto"/>
              <w:right w:val="single" w:sz="8" w:space="0" w:color="auto"/>
            </w:tcBorders>
            <w:shd w:val="clear" w:color="auto" w:fill="auto"/>
            <w:vAlign w:val="bottom"/>
            <w:hideMark/>
          </w:tcPr>
          <w:p w14:paraId="46E6B2A4"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w:t>
            </w:r>
          </w:p>
        </w:tc>
        <w:tc>
          <w:tcPr>
            <w:tcW w:w="0" w:type="auto"/>
            <w:tcBorders>
              <w:top w:val="nil"/>
              <w:left w:val="nil"/>
              <w:bottom w:val="single" w:sz="8" w:space="0" w:color="auto"/>
              <w:right w:val="single" w:sz="8" w:space="0" w:color="auto"/>
            </w:tcBorders>
            <w:shd w:val="clear" w:color="auto" w:fill="auto"/>
            <w:vAlign w:val="bottom"/>
            <w:hideMark/>
          </w:tcPr>
          <w:p w14:paraId="1B600E34"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w:t>
            </w:r>
          </w:p>
        </w:tc>
        <w:tc>
          <w:tcPr>
            <w:tcW w:w="0" w:type="auto"/>
            <w:tcBorders>
              <w:top w:val="nil"/>
              <w:left w:val="nil"/>
              <w:bottom w:val="single" w:sz="8" w:space="0" w:color="auto"/>
              <w:right w:val="single" w:sz="8" w:space="0" w:color="auto"/>
            </w:tcBorders>
            <w:shd w:val="clear" w:color="auto" w:fill="auto"/>
            <w:vAlign w:val="bottom"/>
            <w:hideMark/>
          </w:tcPr>
          <w:p w14:paraId="4F0DA573"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w:t>
            </w:r>
          </w:p>
        </w:tc>
        <w:tc>
          <w:tcPr>
            <w:tcW w:w="0" w:type="auto"/>
            <w:tcBorders>
              <w:top w:val="nil"/>
              <w:left w:val="nil"/>
              <w:bottom w:val="single" w:sz="8" w:space="0" w:color="auto"/>
              <w:right w:val="single" w:sz="8" w:space="0" w:color="auto"/>
            </w:tcBorders>
            <w:shd w:val="clear" w:color="auto" w:fill="auto"/>
            <w:vAlign w:val="bottom"/>
            <w:hideMark/>
          </w:tcPr>
          <w:p w14:paraId="59910E55"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w:t>
            </w:r>
          </w:p>
        </w:tc>
        <w:tc>
          <w:tcPr>
            <w:tcW w:w="0" w:type="auto"/>
            <w:tcBorders>
              <w:top w:val="nil"/>
              <w:left w:val="nil"/>
              <w:bottom w:val="single" w:sz="8" w:space="0" w:color="auto"/>
              <w:right w:val="nil"/>
            </w:tcBorders>
            <w:shd w:val="clear" w:color="auto" w:fill="auto"/>
            <w:vAlign w:val="bottom"/>
            <w:hideMark/>
          </w:tcPr>
          <w:p w14:paraId="2CDFBFC0"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CBFFAB"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w:t>
            </w:r>
          </w:p>
        </w:tc>
        <w:tc>
          <w:tcPr>
            <w:tcW w:w="0" w:type="auto"/>
            <w:tcBorders>
              <w:top w:val="nil"/>
              <w:left w:val="nil"/>
              <w:bottom w:val="single" w:sz="4" w:space="0" w:color="auto"/>
              <w:right w:val="single" w:sz="4" w:space="0" w:color="auto"/>
            </w:tcBorders>
            <w:shd w:val="clear" w:color="auto" w:fill="auto"/>
            <w:noWrap/>
            <w:vAlign w:val="bottom"/>
            <w:hideMark/>
          </w:tcPr>
          <w:p w14:paraId="131C1193"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80,0%</w:t>
            </w:r>
          </w:p>
        </w:tc>
        <w:tc>
          <w:tcPr>
            <w:tcW w:w="0" w:type="auto"/>
            <w:tcBorders>
              <w:top w:val="nil"/>
              <w:left w:val="nil"/>
              <w:bottom w:val="single" w:sz="4" w:space="0" w:color="auto"/>
              <w:right w:val="single" w:sz="4" w:space="0" w:color="auto"/>
            </w:tcBorders>
            <w:shd w:val="clear" w:color="auto" w:fill="auto"/>
            <w:noWrap/>
            <w:vAlign w:val="bottom"/>
            <w:hideMark/>
          </w:tcPr>
          <w:p w14:paraId="36DAEEB3"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w:t>
            </w:r>
          </w:p>
        </w:tc>
        <w:tc>
          <w:tcPr>
            <w:tcW w:w="0" w:type="auto"/>
            <w:tcBorders>
              <w:top w:val="nil"/>
              <w:left w:val="nil"/>
              <w:bottom w:val="single" w:sz="4" w:space="0" w:color="auto"/>
              <w:right w:val="single" w:sz="4" w:space="0" w:color="auto"/>
            </w:tcBorders>
            <w:shd w:val="clear" w:color="auto" w:fill="auto"/>
            <w:noWrap/>
            <w:vAlign w:val="bottom"/>
            <w:hideMark/>
          </w:tcPr>
          <w:p w14:paraId="080408A5"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0,0%</w:t>
            </w:r>
          </w:p>
        </w:tc>
      </w:tr>
      <w:tr w:rsidR="00AE0481" w:rsidRPr="00B7675F" w14:paraId="7E93F3FB"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2F0D72" w14:textId="77777777" w:rsidR="00AE0481" w:rsidRPr="00736448" w:rsidRDefault="00AE0481" w:rsidP="00AE0481">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w:t>
            </w:r>
          </w:p>
        </w:tc>
        <w:tc>
          <w:tcPr>
            <w:tcW w:w="0" w:type="auto"/>
            <w:tcBorders>
              <w:top w:val="nil"/>
              <w:left w:val="nil"/>
              <w:bottom w:val="single" w:sz="8" w:space="0" w:color="auto"/>
              <w:right w:val="single" w:sz="8" w:space="0" w:color="auto"/>
            </w:tcBorders>
            <w:shd w:val="clear" w:color="auto" w:fill="auto"/>
            <w:hideMark/>
          </w:tcPr>
          <w:p w14:paraId="5C23B2F7" w14:textId="33FED937" w:rsidR="00AE0481" w:rsidRPr="00A72850" w:rsidRDefault="00AE0481" w:rsidP="00A72850">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lang w:val="ru-RU"/>
              </w:rPr>
              <w:t>Ассигнования лицам с тяжелой инвалидностью</w:t>
            </w:r>
            <w:r w:rsidR="00A72850" w:rsidRPr="00A72850">
              <w:rPr>
                <w:rFonts w:asciiTheme="majorHAnsi" w:hAnsiTheme="majorHAnsi" w:cstheme="majorHAnsi"/>
                <w:sz w:val="20"/>
                <w:szCs w:val="20"/>
                <w:lang w:val="ru-RU"/>
              </w:rPr>
              <w:t xml:space="preserve"> слепоты</w:t>
            </w:r>
          </w:p>
        </w:tc>
        <w:tc>
          <w:tcPr>
            <w:tcW w:w="0" w:type="auto"/>
            <w:tcBorders>
              <w:top w:val="nil"/>
              <w:left w:val="nil"/>
              <w:bottom w:val="single" w:sz="8" w:space="0" w:color="auto"/>
              <w:right w:val="single" w:sz="8" w:space="0" w:color="auto"/>
            </w:tcBorders>
            <w:shd w:val="clear" w:color="auto" w:fill="auto"/>
            <w:vAlign w:val="bottom"/>
            <w:hideMark/>
          </w:tcPr>
          <w:p w14:paraId="6095A4CA"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3751</w:t>
            </w:r>
          </w:p>
        </w:tc>
        <w:tc>
          <w:tcPr>
            <w:tcW w:w="0" w:type="auto"/>
            <w:tcBorders>
              <w:top w:val="nil"/>
              <w:left w:val="nil"/>
              <w:bottom w:val="single" w:sz="8" w:space="0" w:color="auto"/>
              <w:right w:val="single" w:sz="8" w:space="0" w:color="auto"/>
            </w:tcBorders>
            <w:shd w:val="clear" w:color="auto" w:fill="auto"/>
            <w:vAlign w:val="bottom"/>
            <w:hideMark/>
          </w:tcPr>
          <w:p w14:paraId="67DFCB46"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274</w:t>
            </w:r>
          </w:p>
        </w:tc>
        <w:tc>
          <w:tcPr>
            <w:tcW w:w="0" w:type="auto"/>
            <w:tcBorders>
              <w:top w:val="nil"/>
              <w:left w:val="nil"/>
              <w:bottom w:val="single" w:sz="8" w:space="0" w:color="auto"/>
              <w:right w:val="single" w:sz="8" w:space="0" w:color="auto"/>
            </w:tcBorders>
            <w:shd w:val="clear" w:color="auto" w:fill="auto"/>
            <w:vAlign w:val="bottom"/>
            <w:hideMark/>
          </w:tcPr>
          <w:p w14:paraId="0F8619DE"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3636</w:t>
            </w:r>
          </w:p>
        </w:tc>
        <w:tc>
          <w:tcPr>
            <w:tcW w:w="0" w:type="auto"/>
            <w:tcBorders>
              <w:top w:val="nil"/>
              <w:left w:val="nil"/>
              <w:bottom w:val="single" w:sz="8" w:space="0" w:color="auto"/>
              <w:right w:val="single" w:sz="8" w:space="0" w:color="auto"/>
            </w:tcBorders>
            <w:shd w:val="clear" w:color="auto" w:fill="auto"/>
            <w:vAlign w:val="bottom"/>
            <w:hideMark/>
          </w:tcPr>
          <w:p w14:paraId="269B2088"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265</w:t>
            </w:r>
          </w:p>
        </w:tc>
        <w:tc>
          <w:tcPr>
            <w:tcW w:w="0" w:type="auto"/>
            <w:tcBorders>
              <w:top w:val="nil"/>
              <w:left w:val="nil"/>
              <w:bottom w:val="single" w:sz="8" w:space="0" w:color="auto"/>
              <w:right w:val="single" w:sz="8" w:space="0" w:color="auto"/>
            </w:tcBorders>
            <w:shd w:val="clear" w:color="auto" w:fill="auto"/>
            <w:vAlign w:val="bottom"/>
            <w:hideMark/>
          </w:tcPr>
          <w:p w14:paraId="283BD4CE"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3597</w:t>
            </w:r>
          </w:p>
        </w:tc>
        <w:tc>
          <w:tcPr>
            <w:tcW w:w="0" w:type="auto"/>
            <w:tcBorders>
              <w:top w:val="nil"/>
              <w:left w:val="nil"/>
              <w:bottom w:val="nil"/>
              <w:right w:val="nil"/>
            </w:tcBorders>
            <w:shd w:val="clear" w:color="auto" w:fill="auto"/>
            <w:vAlign w:val="bottom"/>
            <w:hideMark/>
          </w:tcPr>
          <w:p w14:paraId="1A5F9CAF"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272</w:t>
            </w:r>
          </w:p>
        </w:tc>
        <w:tc>
          <w:tcPr>
            <w:tcW w:w="0" w:type="auto"/>
            <w:tcBorders>
              <w:top w:val="nil"/>
              <w:left w:val="single" w:sz="4" w:space="0" w:color="auto"/>
              <w:bottom w:val="nil"/>
              <w:right w:val="single" w:sz="4" w:space="0" w:color="auto"/>
            </w:tcBorders>
            <w:shd w:val="clear" w:color="auto" w:fill="auto"/>
            <w:noWrap/>
            <w:vAlign w:val="bottom"/>
            <w:hideMark/>
          </w:tcPr>
          <w:p w14:paraId="610AA1BD"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-154</w:t>
            </w:r>
          </w:p>
        </w:tc>
        <w:tc>
          <w:tcPr>
            <w:tcW w:w="0" w:type="auto"/>
            <w:tcBorders>
              <w:top w:val="nil"/>
              <w:left w:val="nil"/>
              <w:bottom w:val="nil"/>
              <w:right w:val="single" w:sz="4" w:space="0" w:color="auto"/>
            </w:tcBorders>
            <w:shd w:val="clear" w:color="auto" w:fill="auto"/>
            <w:noWrap/>
            <w:vAlign w:val="bottom"/>
            <w:hideMark/>
          </w:tcPr>
          <w:p w14:paraId="6FEBCA64"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95,9%</w:t>
            </w:r>
          </w:p>
        </w:tc>
        <w:tc>
          <w:tcPr>
            <w:tcW w:w="0" w:type="auto"/>
            <w:tcBorders>
              <w:top w:val="nil"/>
              <w:left w:val="nil"/>
              <w:bottom w:val="nil"/>
              <w:right w:val="single" w:sz="4" w:space="0" w:color="auto"/>
            </w:tcBorders>
            <w:shd w:val="clear" w:color="auto" w:fill="auto"/>
            <w:noWrap/>
            <w:vAlign w:val="bottom"/>
            <w:hideMark/>
          </w:tcPr>
          <w:p w14:paraId="43C04C66"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w:t>
            </w:r>
          </w:p>
        </w:tc>
        <w:tc>
          <w:tcPr>
            <w:tcW w:w="0" w:type="auto"/>
            <w:tcBorders>
              <w:top w:val="nil"/>
              <w:left w:val="nil"/>
              <w:bottom w:val="nil"/>
              <w:right w:val="single" w:sz="4" w:space="0" w:color="auto"/>
            </w:tcBorders>
            <w:shd w:val="clear" w:color="auto" w:fill="auto"/>
            <w:noWrap/>
            <w:vAlign w:val="bottom"/>
            <w:hideMark/>
          </w:tcPr>
          <w:p w14:paraId="433FB873" w14:textId="77777777" w:rsidR="00AE0481" w:rsidRPr="00736448" w:rsidRDefault="00AE0481" w:rsidP="00AE0481">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99,3%</w:t>
            </w:r>
          </w:p>
        </w:tc>
      </w:tr>
      <w:tr w:rsidR="00DB70CA" w:rsidRPr="00B7675F" w14:paraId="7647C938" w14:textId="77777777" w:rsidTr="00A72850">
        <w:trPr>
          <w:trHeight w:val="20"/>
        </w:trPr>
        <w:tc>
          <w:tcPr>
            <w:tcW w:w="0" w:type="auto"/>
            <w:tcBorders>
              <w:top w:val="nil"/>
              <w:left w:val="single" w:sz="8" w:space="0" w:color="auto"/>
              <w:bottom w:val="single" w:sz="8" w:space="0" w:color="auto"/>
              <w:right w:val="single" w:sz="8" w:space="0" w:color="auto"/>
            </w:tcBorders>
            <w:shd w:val="clear" w:color="000000" w:fill="C9C9C9"/>
            <w:vAlign w:val="center"/>
            <w:hideMark/>
          </w:tcPr>
          <w:p w14:paraId="0D03ED15" w14:textId="77777777" w:rsidR="00DB70CA" w:rsidRPr="00736448" w:rsidRDefault="00DB70CA" w:rsidP="00490517">
            <w:pPr>
              <w:spacing w:after="0" w:line="240" w:lineRule="auto"/>
              <w:jc w:val="center"/>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 </w:t>
            </w:r>
          </w:p>
        </w:tc>
        <w:tc>
          <w:tcPr>
            <w:tcW w:w="0" w:type="auto"/>
            <w:tcBorders>
              <w:top w:val="nil"/>
              <w:left w:val="nil"/>
              <w:bottom w:val="single" w:sz="8" w:space="0" w:color="auto"/>
              <w:right w:val="single" w:sz="8" w:space="0" w:color="auto"/>
            </w:tcBorders>
            <w:shd w:val="clear" w:color="000000" w:fill="C9C9C9"/>
            <w:vAlign w:val="bottom"/>
            <w:hideMark/>
          </w:tcPr>
          <w:p w14:paraId="6AAAECB5" w14:textId="27B24159" w:rsidR="00DB70CA" w:rsidRPr="00A72850" w:rsidRDefault="00AE0481" w:rsidP="00490517">
            <w:pPr>
              <w:spacing w:after="0" w:line="240" w:lineRule="auto"/>
              <w:rPr>
                <w:rFonts w:asciiTheme="majorHAnsi" w:eastAsia="Times New Roman" w:hAnsiTheme="majorHAnsi" w:cstheme="majorHAnsi"/>
                <w:b/>
                <w:bCs/>
                <w:color w:val="000000"/>
                <w:sz w:val="20"/>
                <w:szCs w:val="20"/>
                <w:lang w:val="ro-MD"/>
              </w:rPr>
            </w:pPr>
            <w:r w:rsidRPr="00A72850">
              <w:rPr>
                <w:rFonts w:asciiTheme="majorHAnsi" w:eastAsia="Times New Roman" w:hAnsiTheme="majorHAnsi" w:cstheme="majorHAnsi"/>
                <w:b/>
                <w:bCs/>
                <w:color w:val="000000"/>
                <w:sz w:val="20"/>
                <w:szCs w:val="20"/>
                <w:lang w:val="ro-MD"/>
              </w:rPr>
              <w:t xml:space="preserve">Всего пособий, </w:t>
            </w:r>
            <w:r w:rsidRPr="00A72850">
              <w:rPr>
                <w:rFonts w:asciiTheme="majorHAnsi" w:eastAsia="Times New Roman" w:hAnsiTheme="majorHAnsi" w:cstheme="majorHAnsi"/>
                <w:b/>
                <w:bCs/>
                <w:i/>
                <w:color w:val="000000"/>
                <w:sz w:val="20"/>
                <w:szCs w:val="20"/>
                <w:lang w:val="ro-MD"/>
              </w:rPr>
              <w:t>предоставляемых в соответствии с</w:t>
            </w:r>
            <w:r w:rsidR="00DB70CA" w:rsidRPr="00A72850">
              <w:rPr>
                <w:rFonts w:asciiTheme="majorHAnsi" w:eastAsia="Times New Roman" w:hAnsiTheme="majorHAnsi" w:cstheme="majorHAnsi"/>
                <w:b/>
                <w:bCs/>
                <w:i/>
                <w:iCs/>
                <w:color w:val="000000"/>
                <w:sz w:val="20"/>
                <w:szCs w:val="20"/>
                <w:lang w:val="ro-MD"/>
              </w:rPr>
              <w:t>:</w:t>
            </w:r>
          </w:p>
        </w:tc>
        <w:tc>
          <w:tcPr>
            <w:tcW w:w="0" w:type="auto"/>
            <w:tcBorders>
              <w:top w:val="nil"/>
              <w:left w:val="nil"/>
              <w:bottom w:val="single" w:sz="8" w:space="0" w:color="auto"/>
              <w:right w:val="single" w:sz="8" w:space="0" w:color="auto"/>
            </w:tcBorders>
            <w:shd w:val="clear" w:color="000000" w:fill="C9C9C9"/>
            <w:vAlign w:val="bottom"/>
            <w:hideMark/>
          </w:tcPr>
          <w:p w14:paraId="3A47D0CB"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808</w:t>
            </w:r>
          </w:p>
        </w:tc>
        <w:tc>
          <w:tcPr>
            <w:tcW w:w="0" w:type="auto"/>
            <w:tcBorders>
              <w:top w:val="nil"/>
              <w:left w:val="nil"/>
              <w:bottom w:val="single" w:sz="8" w:space="0" w:color="auto"/>
              <w:right w:val="single" w:sz="8" w:space="0" w:color="auto"/>
            </w:tcBorders>
            <w:shd w:val="clear" w:color="000000" w:fill="C9C9C9"/>
            <w:vAlign w:val="bottom"/>
            <w:hideMark/>
          </w:tcPr>
          <w:p w14:paraId="7021CAF1"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249</w:t>
            </w:r>
          </w:p>
        </w:tc>
        <w:tc>
          <w:tcPr>
            <w:tcW w:w="0" w:type="auto"/>
            <w:tcBorders>
              <w:top w:val="nil"/>
              <w:left w:val="nil"/>
              <w:bottom w:val="single" w:sz="8" w:space="0" w:color="auto"/>
              <w:right w:val="single" w:sz="8" w:space="0" w:color="auto"/>
            </w:tcBorders>
            <w:shd w:val="clear" w:color="000000" w:fill="C9C9C9"/>
            <w:vAlign w:val="bottom"/>
            <w:hideMark/>
          </w:tcPr>
          <w:p w14:paraId="5B737F87"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1482</w:t>
            </w:r>
          </w:p>
        </w:tc>
        <w:tc>
          <w:tcPr>
            <w:tcW w:w="0" w:type="auto"/>
            <w:tcBorders>
              <w:top w:val="nil"/>
              <w:left w:val="nil"/>
              <w:bottom w:val="single" w:sz="8" w:space="0" w:color="auto"/>
              <w:right w:val="single" w:sz="8" w:space="0" w:color="auto"/>
            </w:tcBorders>
            <w:shd w:val="clear" w:color="000000" w:fill="C9C9C9"/>
            <w:vAlign w:val="bottom"/>
            <w:hideMark/>
          </w:tcPr>
          <w:p w14:paraId="78F0412C"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451</w:t>
            </w:r>
          </w:p>
        </w:tc>
        <w:tc>
          <w:tcPr>
            <w:tcW w:w="0" w:type="auto"/>
            <w:tcBorders>
              <w:top w:val="nil"/>
              <w:left w:val="nil"/>
              <w:bottom w:val="single" w:sz="8" w:space="0" w:color="auto"/>
              <w:right w:val="single" w:sz="8" w:space="0" w:color="auto"/>
            </w:tcBorders>
            <w:shd w:val="clear" w:color="000000" w:fill="C9C9C9"/>
            <w:vAlign w:val="bottom"/>
            <w:hideMark/>
          </w:tcPr>
          <w:p w14:paraId="34011ABD"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1922</w:t>
            </w:r>
          </w:p>
        </w:tc>
        <w:tc>
          <w:tcPr>
            <w:tcW w:w="0" w:type="auto"/>
            <w:tcBorders>
              <w:top w:val="single" w:sz="8" w:space="0" w:color="auto"/>
              <w:left w:val="nil"/>
              <w:bottom w:val="single" w:sz="8" w:space="0" w:color="auto"/>
              <w:right w:val="nil"/>
            </w:tcBorders>
            <w:shd w:val="clear" w:color="000000" w:fill="D0CECE"/>
            <w:vAlign w:val="bottom"/>
            <w:hideMark/>
          </w:tcPr>
          <w:p w14:paraId="296B91E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502</w:t>
            </w:r>
          </w:p>
        </w:tc>
        <w:tc>
          <w:tcPr>
            <w:tcW w:w="0" w:type="auto"/>
            <w:tcBorders>
              <w:top w:val="single" w:sz="8" w:space="0" w:color="auto"/>
              <w:left w:val="single" w:sz="4" w:space="0" w:color="auto"/>
              <w:bottom w:val="single" w:sz="8" w:space="0" w:color="auto"/>
              <w:right w:val="single" w:sz="4" w:space="0" w:color="auto"/>
            </w:tcBorders>
            <w:shd w:val="clear" w:color="000000" w:fill="D0CECE"/>
            <w:noWrap/>
            <w:vAlign w:val="bottom"/>
            <w:hideMark/>
          </w:tcPr>
          <w:p w14:paraId="1EC97BE7"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1114</w:t>
            </w:r>
          </w:p>
        </w:tc>
        <w:tc>
          <w:tcPr>
            <w:tcW w:w="0" w:type="auto"/>
            <w:tcBorders>
              <w:top w:val="single" w:sz="8" w:space="0" w:color="auto"/>
              <w:left w:val="nil"/>
              <w:bottom w:val="single" w:sz="8" w:space="0" w:color="auto"/>
              <w:right w:val="single" w:sz="4" w:space="0" w:color="auto"/>
            </w:tcBorders>
            <w:shd w:val="clear" w:color="000000" w:fill="D0CECE"/>
            <w:noWrap/>
            <w:vAlign w:val="bottom"/>
            <w:hideMark/>
          </w:tcPr>
          <w:p w14:paraId="32A301B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237,9%</w:t>
            </w:r>
          </w:p>
        </w:tc>
        <w:tc>
          <w:tcPr>
            <w:tcW w:w="0" w:type="auto"/>
            <w:tcBorders>
              <w:top w:val="single" w:sz="8" w:space="0" w:color="auto"/>
              <w:left w:val="nil"/>
              <w:bottom w:val="single" w:sz="8" w:space="0" w:color="auto"/>
              <w:right w:val="single" w:sz="4" w:space="0" w:color="auto"/>
            </w:tcBorders>
            <w:shd w:val="clear" w:color="000000" w:fill="D0CECE"/>
            <w:noWrap/>
            <w:vAlign w:val="bottom"/>
            <w:hideMark/>
          </w:tcPr>
          <w:p w14:paraId="3286B209"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253</w:t>
            </w:r>
          </w:p>
        </w:tc>
        <w:tc>
          <w:tcPr>
            <w:tcW w:w="0" w:type="auto"/>
            <w:tcBorders>
              <w:top w:val="single" w:sz="8" w:space="0" w:color="auto"/>
              <w:left w:val="nil"/>
              <w:bottom w:val="single" w:sz="8" w:space="0" w:color="auto"/>
              <w:right w:val="single" w:sz="8" w:space="0" w:color="auto"/>
            </w:tcBorders>
            <w:shd w:val="clear" w:color="000000" w:fill="D0CECE"/>
            <w:noWrap/>
            <w:vAlign w:val="bottom"/>
            <w:hideMark/>
          </w:tcPr>
          <w:p w14:paraId="7468DF3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201,6%</w:t>
            </w:r>
          </w:p>
        </w:tc>
      </w:tr>
      <w:tr w:rsidR="00DB70CA" w:rsidRPr="00B7675F" w14:paraId="01BC89D5" w14:textId="77777777" w:rsidTr="00A7285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FF68F3"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w:t>
            </w:r>
          </w:p>
        </w:tc>
        <w:tc>
          <w:tcPr>
            <w:tcW w:w="0" w:type="auto"/>
            <w:tcBorders>
              <w:top w:val="nil"/>
              <w:left w:val="nil"/>
              <w:bottom w:val="single" w:sz="8" w:space="0" w:color="auto"/>
              <w:right w:val="single" w:sz="8" w:space="0" w:color="auto"/>
            </w:tcBorders>
            <w:shd w:val="clear" w:color="auto" w:fill="auto"/>
            <w:vAlign w:val="bottom"/>
            <w:hideMark/>
          </w:tcPr>
          <w:p w14:paraId="7369F2A3" w14:textId="6DF8158D" w:rsidR="00DB70CA" w:rsidRPr="00A72850" w:rsidRDefault="00AE0481" w:rsidP="002D2A2D">
            <w:pPr>
              <w:spacing w:after="0" w:line="240" w:lineRule="auto"/>
              <w:rPr>
                <w:rFonts w:asciiTheme="majorHAnsi" w:eastAsia="Times New Roman" w:hAnsiTheme="majorHAnsi" w:cstheme="majorHAnsi"/>
                <w:color w:val="000000"/>
                <w:sz w:val="20"/>
                <w:szCs w:val="20"/>
                <w:lang w:val="ro-MD"/>
              </w:rPr>
            </w:pPr>
            <w:r w:rsidRPr="00A72850">
              <w:rPr>
                <w:rFonts w:asciiTheme="majorHAnsi" w:eastAsia="Times New Roman" w:hAnsiTheme="majorHAnsi" w:cstheme="majorHAnsi"/>
                <w:color w:val="000000"/>
                <w:sz w:val="20"/>
                <w:szCs w:val="20"/>
                <w:lang w:val="ro-MD"/>
              </w:rPr>
              <w:t>Законом №156/2019, пособие в случае смерти одного из супругов</w:t>
            </w:r>
          </w:p>
        </w:tc>
        <w:tc>
          <w:tcPr>
            <w:tcW w:w="0" w:type="auto"/>
            <w:tcBorders>
              <w:top w:val="nil"/>
              <w:left w:val="nil"/>
              <w:bottom w:val="single" w:sz="8" w:space="0" w:color="auto"/>
              <w:right w:val="single" w:sz="8" w:space="0" w:color="auto"/>
            </w:tcBorders>
            <w:shd w:val="clear" w:color="auto" w:fill="auto"/>
            <w:vAlign w:val="bottom"/>
            <w:hideMark/>
          </w:tcPr>
          <w:p w14:paraId="428E588B"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775</w:t>
            </w:r>
          </w:p>
        </w:tc>
        <w:tc>
          <w:tcPr>
            <w:tcW w:w="0" w:type="auto"/>
            <w:tcBorders>
              <w:top w:val="nil"/>
              <w:left w:val="nil"/>
              <w:bottom w:val="single" w:sz="8" w:space="0" w:color="auto"/>
              <w:right w:val="single" w:sz="8" w:space="0" w:color="auto"/>
            </w:tcBorders>
            <w:shd w:val="clear" w:color="auto" w:fill="auto"/>
            <w:vAlign w:val="bottom"/>
            <w:hideMark/>
          </w:tcPr>
          <w:p w14:paraId="69E793C0"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229</w:t>
            </w:r>
          </w:p>
        </w:tc>
        <w:tc>
          <w:tcPr>
            <w:tcW w:w="0" w:type="auto"/>
            <w:tcBorders>
              <w:top w:val="nil"/>
              <w:left w:val="nil"/>
              <w:bottom w:val="single" w:sz="8" w:space="0" w:color="auto"/>
              <w:right w:val="single" w:sz="8" w:space="0" w:color="auto"/>
            </w:tcBorders>
            <w:shd w:val="clear" w:color="auto" w:fill="auto"/>
            <w:vAlign w:val="bottom"/>
            <w:hideMark/>
          </w:tcPr>
          <w:p w14:paraId="741C22FC"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1413</w:t>
            </w:r>
          </w:p>
        </w:tc>
        <w:tc>
          <w:tcPr>
            <w:tcW w:w="0" w:type="auto"/>
            <w:tcBorders>
              <w:top w:val="nil"/>
              <w:left w:val="nil"/>
              <w:bottom w:val="single" w:sz="8" w:space="0" w:color="auto"/>
              <w:right w:val="single" w:sz="8" w:space="0" w:color="auto"/>
            </w:tcBorders>
            <w:shd w:val="clear" w:color="auto" w:fill="auto"/>
            <w:vAlign w:val="bottom"/>
            <w:hideMark/>
          </w:tcPr>
          <w:p w14:paraId="76770F83"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413</w:t>
            </w:r>
          </w:p>
        </w:tc>
        <w:tc>
          <w:tcPr>
            <w:tcW w:w="0" w:type="auto"/>
            <w:tcBorders>
              <w:top w:val="nil"/>
              <w:left w:val="nil"/>
              <w:bottom w:val="single" w:sz="8" w:space="0" w:color="auto"/>
              <w:right w:val="single" w:sz="8" w:space="0" w:color="auto"/>
            </w:tcBorders>
            <w:shd w:val="clear" w:color="auto" w:fill="auto"/>
            <w:vAlign w:val="bottom"/>
            <w:hideMark/>
          </w:tcPr>
          <w:p w14:paraId="509AF911"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1854</w:t>
            </w:r>
          </w:p>
        </w:tc>
        <w:tc>
          <w:tcPr>
            <w:tcW w:w="0" w:type="auto"/>
            <w:tcBorders>
              <w:top w:val="nil"/>
              <w:left w:val="nil"/>
              <w:bottom w:val="single" w:sz="8" w:space="0" w:color="auto"/>
              <w:right w:val="nil"/>
            </w:tcBorders>
            <w:shd w:val="clear" w:color="auto" w:fill="auto"/>
            <w:vAlign w:val="bottom"/>
            <w:hideMark/>
          </w:tcPr>
          <w:p w14:paraId="6451F157"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466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A4939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1079</w:t>
            </w:r>
          </w:p>
        </w:tc>
        <w:tc>
          <w:tcPr>
            <w:tcW w:w="0" w:type="auto"/>
            <w:tcBorders>
              <w:top w:val="nil"/>
              <w:left w:val="nil"/>
              <w:bottom w:val="single" w:sz="4" w:space="0" w:color="auto"/>
              <w:right w:val="single" w:sz="4" w:space="0" w:color="auto"/>
            </w:tcBorders>
            <w:shd w:val="clear" w:color="auto" w:fill="auto"/>
            <w:noWrap/>
            <w:vAlign w:val="bottom"/>
            <w:hideMark/>
          </w:tcPr>
          <w:p w14:paraId="62BEBA6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239,2%</w:t>
            </w:r>
          </w:p>
        </w:tc>
        <w:tc>
          <w:tcPr>
            <w:tcW w:w="0" w:type="auto"/>
            <w:tcBorders>
              <w:top w:val="nil"/>
              <w:left w:val="nil"/>
              <w:bottom w:val="single" w:sz="4" w:space="0" w:color="auto"/>
              <w:right w:val="single" w:sz="4" w:space="0" w:color="auto"/>
            </w:tcBorders>
            <w:shd w:val="clear" w:color="auto" w:fill="auto"/>
            <w:noWrap/>
            <w:vAlign w:val="bottom"/>
            <w:hideMark/>
          </w:tcPr>
          <w:p w14:paraId="4A02FF1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237</w:t>
            </w:r>
          </w:p>
        </w:tc>
        <w:tc>
          <w:tcPr>
            <w:tcW w:w="0" w:type="auto"/>
            <w:tcBorders>
              <w:top w:val="nil"/>
              <w:left w:val="nil"/>
              <w:bottom w:val="single" w:sz="4" w:space="0" w:color="auto"/>
              <w:right w:val="single" w:sz="4" w:space="0" w:color="auto"/>
            </w:tcBorders>
            <w:shd w:val="clear" w:color="auto" w:fill="auto"/>
            <w:noWrap/>
            <w:vAlign w:val="bottom"/>
            <w:hideMark/>
          </w:tcPr>
          <w:p w14:paraId="70016CEC"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203,5%</w:t>
            </w:r>
          </w:p>
        </w:tc>
      </w:tr>
      <w:tr w:rsidR="00DB70CA" w:rsidRPr="00B7675F" w14:paraId="22857A4A" w14:textId="77777777" w:rsidTr="00A72850">
        <w:trPr>
          <w:trHeight w:val="20"/>
        </w:trPr>
        <w:tc>
          <w:tcPr>
            <w:tcW w:w="0" w:type="auto"/>
            <w:tcBorders>
              <w:top w:val="nil"/>
              <w:left w:val="single" w:sz="8" w:space="0" w:color="auto"/>
              <w:bottom w:val="nil"/>
              <w:right w:val="single" w:sz="8" w:space="0" w:color="auto"/>
            </w:tcBorders>
            <w:shd w:val="clear" w:color="auto" w:fill="auto"/>
            <w:vAlign w:val="center"/>
            <w:hideMark/>
          </w:tcPr>
          <w:p w14:paraId="390059AA"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w:t>
            </w:r>
          </w:p>
        </w:tc>
        <w:tc>
          <w:tcPr>
            <w:tcW w:w="0" w:type="auto"/>
            <w:tcBorders>
              <w:top w:val="nil"/>
              <w:left w:val="nil"/>
              <w:bottom w:val="nil"/>
              <w:right w:val="single" w:sz="8" w:space="0" w:color="auto"/>
            </w:tcBorders>
            <w:shd w:val="clear" w:color="auto" w:fill="auto"/>
            <w:vAlign w:val="bottom"/>
            <w:hideMark/>
          </w:tcPr>
          <w:p w14:paraId="5D7CABD2" w14:textId="423BE3C4" w:rsidR="00DB70CA" w:rsidRPr="00A72850" w:rsidRDefault="00AE0481" w:rsidP="002D2A2D">
            <w:pPr>
              <w:spacing w:after="0" w:line="240" w:lineRule="auto"/>
              <w:rPr>
                <w:rFonts w:asciiTheme="majorHAnsi" w:eastAsia="Times New Roman" w:hAnsiTheme="majorHAnsi" w:cstheme="majorHAnsi"/>
                <w:color w:val="000000"/>
                <w:sz w:val="20"/>
                <w:szCs w:val="20"/>
                <w:lang w:val="ro-MD"/>
              </w:rPr>
            </w:pPr>
            <w:r w:rsidRPr="00A72850">
              <w:rPr>
                <w:rFonts w:asciiTheme="majorHAnsi" w:eastAsia="Times New Roman" w:hAnsiTheme="majorHAnsi" w:cstheme="majorHAnsi"/>
                <w:color w:val="000000"/>
                <w:sz w:val="20"/>
                <w:szCs w:val="20"/>
                <w:lang w:val="ro-MD"/>
              </w:rPr>
              <w:t>Законом №</w:t>
            </w:r>
            <w:r w:rsidR="00DB70CA" w:rsidRPr="00A72850">
              <w:rPr>
                <w:rFonts w:asciiTheme="majorHAnsi" w:eastAsia="Times New Roman" w:hAnsiTheme="majorHAnsi" w:cstheme="majorHAnsi"/>
                <w:color w:val="000000"/>
                <w:sz w:val="20"/>
                <w:szCs w:val="20"/>
                <w:lang w:val="ro-MD"/>
              </w:rPr>
              <w:t xml:space="preserve">127/2020, </w:t>
            </w:r>
            <w:r w:rsidRPr="00A72850">
              <w:rPr>
                <w:rFonts w:asciiTheme="majorHAnsi" w:eastAsia="Times New Roman" w:hAnsiTheme="majorHAnsi" w:cstheme="majorHAnsi"/>
                <w:color w:val="000000"/>
                <w:sz w:val="20"/>
                <w:szCs w:val="20"/>
                <w:lang w:val="ro-MD"/>
              </w:rPr>
              <w:t>Пособие наследникам умершего медицинского персонала</w:t>
            </w:r>
          </w:p>
        </w:tc>
        <w:tc>
          <w:tcPr>
            <w:tcW w:w="0" w:type="auto"/>
            <w:tcBorders>
              <w:top w:val="nil"/>
              <w:left w:val="nil"/>
              <w:bottom w:val="nil"/>
              <w:right w:val="single" w:sz="8" w:space="0" w:color="auto"/>
            </w:tcBorders>
            <w:shd w:val="clear" w:color="auto" w:fill="auto"/>
            <w:vAlign w:val="bottom"/>
            <w:hideMark/>
          </w:tcPr>
          <w:p w14:paraId="12D878B3"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33</w:t>
            </w:r>
          </w:p>
        </w:tc>
        <w:tc>
          <w:tcPr>
            <w:tcW w:w="0" w:type="auto"/>
            <w:tcBorders>
              <w:top w:val="nil"/>
              <w:left w:val="nil"/>
              <w:bottom w:val="nil"/>
              <w:right w:val="single" w:sz="8" w:space="0" w:color="auto"/>
            </w:tcBorders>
            <w:shd w:val="clear" w:color="auto" w:fill="auto"/>
            <w:vAlign w:val="bottom"/>
            <w:hideMark/>
          </w:tcPr>
          <w:p w14:paraId="159B239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20</w:t>
            </w:r>
          </w:p>
        </w:tc>
        <w:tc>
          <w:tcPr>
            <w:tcW w:w="0" w:type="auto"/>
            <w:tcBorders>
              <w:top w:val="nil"/>
              <w:left w:val="nil"/>
              <w:bottom w:val="nil"/>
              <w:right w:val="single" w:sz="8" w:space="0" w:color="auto"/>
            </w:tcBorders>
            <w:shd w:val="clear" w:color="auto" w:fill="auto"/>
            <w:vAlign w:val="bottom"/>
            <w:hideMark/>
          </w:tcPr>
          <w:p w14:paraId="7BB183B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69</w:t>
            </w:r>
          </w:p>
        </w:tc>
        <w:tc>
          <w:tcPr>
            <w:tcW w:w="0" w:type="auto"/>
            <w:tcBorders>
              <w:top w:val="nil"/>
              <w:left w:val="nil"/>
              <w:bottom w:val="nil"/>
              <w:right w:val="single" w:sz="8" w:space="0" w:color="auto"/>
            </w:tcBorders>
            <w:shd w:val="clear" w:color="auto" w:fill="auto"/>
            <w:vAlign w:val="bottom"/>
            <w:hideMark/>
          </w:tcPr>
          <w:p w14:paraId="6417DDB9"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38</w:t>
            </w:r>
          </w:p>
        </w:tc>
        <w:tc>
          <w:tcPr>
            <w:tcW w:w="0" w:type="auto"/>
            <w:tcBorders>
              <w:top w:val="nil"/>
              <w:left w:val="nil"/>
              <w:bottom w:val="nil"/>
              <w:right w:val="single" w:sz="8" w:space="0" w:color="auto"/>
            </w:tcBorders>
            <w:shd w:val="clear" w:color="auto" w:fill="auto"/>
            <w:vAlign w:val="bottom"/>
            <w:hideMark/>
          </w:tcPr>
          <w:p w14:paraId="02A1E9F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68</w:t>
            </w:r>
          </w:p>
        </w:tc>
        <w:tc>
          <w:tcPr>
            <w:tcW w:w="0" w:type="auto"/>
            <w:tcBorders>
              <w:top w:val="nil"/>
              <w:left w:val="nil"/>
              <w:bottom w:val="nil"/>
              <w:right w:val="nil"/>
            </w:tcBorders>
            <w:shd w:val="clear" w:color="auto" w:fill="auto"/>
            <w:vAlign w:val="bottom"/>
            <w:hideMark/>
          </w:tcPr>
          <w:p w14:paraId="189A31FB"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36</w:t>
            </w:r>
          </w:p>
        </w:tc>
        <w:tc>
          <w:tcPr>
            <w:tcW w:w="0" w:type="auto"/>
            <w:tcBorders>
              <w:top w:val="nil"/>
              <w:left w:val="single" w:sz="4" w:space="0" w:color="auto"/>
              <w:bottom w:val="nil"/>
              <w:right w:val="single" w:sz="4" w:space="0" w:color="auto"/>
            </w:tcBorders>
            <w:shd w:val="clear" w:color="auto" w:fill="auto"/>
            <w:noWrap/>
            <w:vAlign w:val="bottom"/>
            <w:hideMark/>
          </w:tcPr>
          <w:p w14:paraId="6E7C1DF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35</w:t>
            </w:r>
          </w:p>
        </w:tc>
        <w:tc>
          <w:tcPr>
            <w:tcW w:w="0" w:type="auto"/>
            <w:tcBorders>
              <w:top w:val="nil"/>
              <w:left w:val="nil"/>
              <w:bottom w:val="nil"/>
              <w:right w:val="single" w:sz="4" w:space="0" w:color="auto"/>
            </w:tcBorders>
            <w:shd w:val="clear" w:color="auto" w:fill="auto"/>
            <w:noWrap/>
            <w:vAlign w:val="bottom"/>
            <w:hideMark/>
          </w:tcPr>
          <w:p w14:paraId="2A96448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206,1%</w:t>
            </w:r>
          </w:p>
        </w:tc>
        <w:tc>
          <w:tcPr>
            <w:tcW w:w="0" w:type="auto"/>
            <w:tcBorders>
              <w:top w:val="nil"/>
              <w:left w:val="nil"/>
              <w:bottom w:val="nil"/>
              <w:right w:val="single" w:sz="4" w:space="0" w:color="auto"/>
            </w:tcBorders>
            <w:shd w:val="clear" w:color="auto" w:fill="auto"/>
            <w:noWrap/>
            <w:vAlign w:val="bottom"/>
            <w:hideMark/>
          </w:tcPr>
          <w:p w14:paraId="61D0BB7F"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16</w:t>
            </w:r>
          </w:p>
        </w:tc>
        <w:tc>
          <w:tcPr>
            <w:tcW w:w="0" w:type="auto"/>
            <w:tcBorders>
              <w:top w:val="nil"/>
              <w:left w:val="nil"/>
              <w:bottom w:val="nil"/>
              <w:right w:val="single" w:sz="4" w:space="0" w:color="auto"/>
            </w:tcBorders>
            <w:shd w:val="clear" w:color="auto" w:fill="auto"/>
            <w:noWrap/>
            <w:vAlign w:val="bottom"/>
            <w:hideMark/>
          </w:tcPr>
          <w:p w14:paraId="1FB5F50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180,0%</w:t>
            </w:r>
          </w:p>
        </w:tc>
      </w:tr>
      <w:tr w:rsidR="00DB70CA" w:rsidRPr="00B7675F" w14:paraId="21609257" w14:textId="77777777" w:rsidTr="00A7285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B12892"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 </w:t>
            </w:r>
          </w:p>
        </w:tc>
        <w:tc>
          <w:tcPr>
            <w:tcW w:w="0" w:type="auto"/>
            <w:tcBorders>
              <w:top w:val="single" w:sz="8" w:space="0" w:color="auto"/>
              <w:left w:val="nil"/>
              <w:bottom w:val="single" w:sz="8" w:space="0" w:color="auto"/>
              <w:right w:val="single" w:sz="4" w:space="0" w:color="auto"/>
            </w:tcBorders>
            <w:shd w:val="clear" w:color="000000" w:fill="D0CECE"/>
            <w:vAlign w:val="bottom"/>
            <w:hideMark/>
          </w:tcPr>
          <w:p w14:paraId="286E5204" w14:textId="29ADAFB9" w:rsidR="00DB70CA" w:rsidRPr="00A72850" w:rsidRDefault="00AE0481" w:rsidP="00490517">
            <w:pPr>
              <w:spacing w:after="0" w:line="240" w:lineRule="auto"/>
              <w:rPr>
                <w:rFonts w:asciiTheme="majorHAnsi" w:eastAsia="Times New Roman" w:hAnsiTheme="majorHAnsi" w:cstheme="majorHAnsi"/>
                <w:b/>
                <w:bCs/>
                <w:i/>
                <w:iCs/>
                <w:color w:val="000000"/>
                <w:sz w:val="20"/>
                <w:szCs w:val="20"/>
                <w:lang w:val="ro-MD"/>
              </w:rPr>
            </w:pPr>
            <w:r w:rsidRPr="00A72850">
              <w:rPr>
                <w:rFonts w:asciiTheme="majorHAnsi" w:eastAsia="Times New Roman" w:hAnsiTheme="majorHAnsi" w:cstheme="majorHAnsi"/>
                <w:b/>
                <w:bCs/>
                <w:i/>
                <w:iCs/>
                <w:color w:val="000000"/>
                <w:sz w:val="20"/>
                <w:szCs w:val="20"/>
                <w:lang w:val="ro-MD"/>
              </w:rPr>
              <w:t>Пособия на поддержку семей</w:t>
            </w:r>
          </w:p>
        </w:tc>
        <w:tc>
          <w:tcPr>
            <w:tcW w:w="0" w:type="auto"/>
            <w:tcBorders>
              <w:top w:val="single" w:sz="8" w:space="0" w:color="auto"/>
              <w:left w:val="nil"/>
              <w:bottom w:val="single" w:sz="8" w:space="0" w:color="auto"/>
              <w:right w:val="single" w:sz="4" w:space="0" w:color="auto"/>
            </w:tcBorders>
            <w:shd w:val="clear" w:color="000000" w:fill="D0CECE"/>
            <w:vAlign w:val="bottom"/>
            <w:hideMark/>
          </w:tcPr>
          <w:p w14:paraId="2B4D295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81490</w:t>
            </w:r>
          </w:p>
        </w:tc>
        <w:tc>
          <w:tcPr>
            <w:tcW w:w="0" w:type="auto"/>
            <w:tcBorders>
              <w:top w:val="single" w:sz="8" w:space="0" w:color="auto"/>
              <w:left w:val="nil"/>
              <w:bottom w:val="single" w:sz="8" w:space="0" w:color="auto"/>
              <w:right w:val="single" w:sz="4" w:space="0" w:color="auto"/>
            </w:tcBorders>
            <w:shd w:val="clear" w:color="000000" w:fill="D0CECE"/>
            <w:vAlign w:val="bottom"/>
            <w:hideMark/>
          </w:tcPr>
          <w:p w14:paraId="4A389A51"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23308</w:t>
            </w:r>
          </w:p>
        </w:tc>
        <w:tc>
          <w:tcPr>
            <w:tcW w:w="0" w:type="auto"/>
            <w:tcBorders>
              <w:top w:val="single" w:sz="8" w:space="0" w:color="auto"/>
              <w:left w:val="nil"/>
              <w:bottom w:val="single" w:sz="8" w:space="0" w:color="auto"/>
              <w:right w:val="single" w:sz="4" w:space="0" w:color="auto"/>
            </w:tcBorders>
            <w:shd w:val="clear" w:color="000000" w:fill="D0CECE"/>
            <w:vAlign w:val="bottom"/>
            <w:hideMark/>
          </w:tcPr>
          <w:p w14:paraId="788504D7"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81280</w:t>
            </w:r>
          </w:p>
        </w:tc>
        <w:tc>
          <w:tcPr>
            <w:tcW w:w="0" w:type="auto"/>
            <w:tcBorders>
              <w:top w:val="single" w:sz="8" w:space="0" w:color="auto"/>
              <w:left w:val="nil"/>
              <w:bottom w:val="single" w:sz="8" w:space="0" w:color="auto"/>
              <w:right w:val="single" w:sz="4" w:space="0" w:color="auto"/>
            </w:tcBorders>
            <w:shd w:val="clear" w:color="000000" w:fill="D0CECE"/>
            <w:vAlign w:val="bottom"/>
            <w:hideMark/>
          </w:tcPr>
          <w:p w14:paraId="2217B02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22875</w:t>
            </w:r>
          </w:p>
        </w:tc>
        <w:tc>
          <w:tcPr>
            <w:tcW w:w="0" w:type="auto"/>
            <w:tcBorders>
              <w:top w:val="single" w:sz="8" w:space="0" w:color="auto"/>
              <w:left w:val="nil"/>
              <w:bottom w:val="single" w:sz="8" w:space="0" w:color="auto"/>
              <w:right w:val="nil"/>
            </w:tcBorders>
            <w:shd w:val="clear" w:color="000000" w:fill="D0CECE"/>
            <w:vAlign w:val="bottom"/>
            <w:hideMark/>
          </w:tcPr>
          <w:p w14:paraId="01CCBDE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72767</w:t>
            </w:r>
          </w:p>
        </w:tc>
        <w:tc>
          <w:tcPr>
            <w:tcW w:w="0" w:type="auto"/>
            <w:tcBorders>
              <w:top w:val="single" w:sz="8" w:space="0" w:color="auto"/>
              <w:left w:val="single" w:sz="8" w:space="0" w:color="auto"/>
              <w:bottom w:val="single" w:sz="8" w:space="0" w:color="auto"/>
              <w:right w:val="single" w:sz="4" w:space="0" w:color="auto"/>
            </w:tcBorders>
            <w:shd w:val="clear" w:color="000000" w:fill="D0CECE"/>
            <w:vAlign w:val="bottom"/>
            <w:hideMark/>
          </w:tcPr>
          <w:p w14:paraId="269F0211"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21883</w:t>
            </w:r>
          </w:p>
        </w:tc>
        <w:tc>
          <w:tcPr>
            <w:tcW w:w="0" w:type="auto"/>
            <w:tcBorders>
              <w:top w:val="single" w:sz="8" w:space="0" w:color="auto"/>
              <w:left w:val="nil"/>
              <w:bottom w:val="single" w:sz="8" w:space="0" w:color="auto"/>
              <w:right w:val="single" w:sz="4" w:space="0" w:color="auto"/>
            </w:tcBorders>
            <w:shd w:val="clear" w:color="000000" w:fill="D0CECE"/>
            <w:noWrap/>
            <w:vAlign w:val="bottom"/>
            <w:hideMark/>
          </w:tcPr>
          <w:p w14:paraId="3D1F1F4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-8723</w:t>
            </w:r>
          </w:p>
        </w:tc>
        <w:tc>
          <w:tcPr>
            <w:tcW w:w="0" w:type="auto"/>
            <w:tcBorders>
              <w:top w:val="single" w:sz="8" w:space="0" w:color="auto"/>
              <w:left w:val="nil"/>
              <w:bottom w:val="nil"/>
              <w:right w:val="single" w:sz="4" w:space="0" w:color="auto"/>
            </w:tcBorders>
            <w:shd w:val="clear" w:color="000000" w:fill="D0CECE"/>
            <w:noWrap/>
            <w:vAlign w:val="bottom"/>
            <w:hideMark/>
          </w:tcPr>
          <w:p w14:paraId="6DFF636B"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89,3%</w:t>
            </w:r>
          </w:p>
        </w:tc>
        <w:tc>
          <w:tcPr>
            <w:tcW w:w="0" w:type="auto"/>
            <w:tcBorders>
              <w:top w:val="single" w:sz="8" w:space="0" w:color="auto"/>
              <w:left w:val="nil"/>
              <w:bottom w:val="nil"/>
              <w:right w:val="single" w:sz="4" w:space="0" w:color="auto"/>
            </w:tcBorders>
            <w:shd w:val="clear" w:color="000000" w:fill="D0CECE"/>
            <w:noWrap/>
            <w:vAlign w:val="bottom"/>
            <w:hideMark/>
          </w:tcPr>
          <w:p w14:paraId="7995F967"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-1425</w:t>
            </w:r>
          </w:p>
        </w:tc>
        <w:tc>
          <w:tcPr>
            <w:tcW w:w="0" w:type="auto"/>
            <w:tcBorders>
              <w:top w:val="single" w:sz="8" w:space="0" w:color="auto"/>
              <w:left w:val="nil"/>
              <w:bottom w:val="single" w:sz="8" w:space="0" w:color="auto"/>
              <w:right w:val="single" w:sz="8" w:space="0" w:color="auto"/>
            </w:tcBorders>
            <w:shd w:val="clear" w:color="000000" w:fill="D0CECE"/>
            <w:noWrap/>
            <w:vAlign w:val="bottom"/>
            <w:hideMark/>
          </w:tcPr>
          <w:p w14:paraId="098DD63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93,9%</w:t>
            </w:r>
          </w:p>
        </w:tc>
      </w:tr>
      <w:tr w:rsidR="00A72850" w:rsidRPr="00B7675F" w14:paraId="53811A01" w14:textId="77777777" w:rsidTr="00A7285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DAE595" w14:textId="77777777" w:rsidR="00A72850" w:rsidRPr="00736448" w:rsidRDefault="00A72850" w:rsidP="00A72850">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 </w:t>
            </w:r>
          </w:p>
        </w:tc>
        <w:tc>
          <w:tcPr>
            <w:tcW w:w="0" w:type="auto"/>
            <w:tcBorders>
              <w:top w:val="nil"/>
              <w:left w:val="nil"/>
              <w:bottom w:val="single" w:sz="8" w:space="0" w:color="auto"/>
              <w:right w:val="single" w:sz="8" w:space="0" w:color="auto"/>
            </w:tcBorders>
            <w:shd w:val="clear" w:color="auto" w:fill="auto"/>
            <w:hideMark/>
          </w:tcPr>
          <w:p w14:paraId="38A62DAA" w14:textId="0D181333" w:rsidR="00A72850" w:rsidRPr="00A72850" w:rsidRDefault="00A72850" w:rsidP="00A72850">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lang w:val="ru-RU"/>
              </w:rPr>
              <w:t>Пособия по уходу за ребенком, застрахованным лицам</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2B6DC" w14:textId="77777777" w:rsidR="00A72850" w:rsidRPr="00736448" w:rsidRDefault="00A72850" w:rsidP="00A72850">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47876</w:t>
            </w:r>
          </w:p>
        </w:tc>
        <w:tc>
          <w:tcPr>
            <w:tcW w:w="0" w:type="auto"/>
            <w:tcBorders>
              <w:top w:val="nil"/>
              <w:left w:val="nil"/>
              <w:bottom w:val="single" w:sz="4" w:space="0" w:color="auto"/>
              <w:right w:val="single" w:sz="4" w:space="0" w:color="auto"/>
            </w:tcBorders>
            <w:shd w:val="clear" w:color="auto" w:fill="auto"/>
            <w:noWrap/>
            <w:vAlign w:val="bottom"/>
            <w:hideMark/>
          </w:tcPr>
          <w:p w14:paraId="669E0989" w14:textId="77777777" w:rsidR="00A72850" w:rsidRPr="00736448" w:rsidRDefault="00A72850" w:rsidP="00A72850">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21910</w:t>
            </w:r>
          </w:p>
        </w:tc>
        <w:tc>
          <w:tcPr>
            <w:tcW w:w="0" w:type="auto"/>
            <w:tcBorders>
              <w:top w:val="nil"/>
              <w:left w:val="nil"/>
              <w:bottom w:val="single" w:sz="4" w:space="0" w:color="auto"/>
              <w:right w:val="single" w:sz="4" w:space="0" w:color="auto"/>
            </w:tcBorders>
            <w:shd w:val="clear" w:color="auto" w:fill="auto"/>
            <w:noWrap/>
            <w:vAlign w:val="bottom"/>
            <w:hideMark/>
          </w:tcPr>
          <w:p w14:paraId="57E0B106" w14:textId="77777777" w:rsidR="00A72850" w:rsidRPr="00736448" w:rsidRDefault="00A72850" w:rsidP="00A72850">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47788</w:t>
            </w:r>
          </w:p>
        </w:tc>
        <w:tc>
          <w:tcPr>
            <w:tcW w:w="0" w:type="auto"/>
            <w:tcBorders>
              <w:top w:val="nil"/>
              <w:left w:val="nil"/>
              <w:bottom w:val="single" w:sz="4" w:space="0" w:color="auto"/>
              <w:right w:val="single" w:sz="4" w:space="0" w:color="auto"/>
            </w:tcBorders>
            <w:shd w:val="clear" w:color="auto" w:fill="auto"/>
            <w:noWrap/>
            <w:vAlign w:val="bottom"/>
            <w:hideMark/>
          </w:tcPr>
          <w:p w14:paraId="61F40E5E" w14:textId="77777777" w:rsidR="00A72850" w:rsidRPr="00736448" w:rsidRDefault="00A72850" w:rsidP="00A72850">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21605</w:t>
            </w:r>
          </w:p>
        </w:tc>
        <w:tc>
          <w:tcPr>
            <w:tcW w:w="0" w:type="auto"/>
            <w:tcBorders>
              <w:top w:val="nil"/>
              <w:left w:val="nil"/>
              <w:bottom w:val="single" w:sz="4" w:space="0" w:color="auto"/>
              <w:right w:val="single" w:sz="4" w:space="0" w:color="auto"/>
            </w:tcBorders>
            <w:shd w:val="clear" w:color="auto" w:fill="auto"/>
            <w:noWrap/>
            <w:vAlign w:val="bottom"/>
            <w:hideMark/>
          </w:tcPr>
          <w:p w14:paraId="6AD80828" w14:textId="77777777" w:rsidR="00A72850" w:rsidRPr="00736448" w:rsidRDefault="00A72850" w:rsidP="00A72850">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42360</w:t>
            </w:r>
          </w:p>
        </w:tc>
        <w:tc>
          <w:tcPr>
            <w:tcW w:w="0" w:type="auto"/>
            <w:tcBorders>
              <w:top w:val="nil"/>
              <w:left w:val="nil"/>
              <w:bottom w:val="single" w:sz="4" w:space="0" w:color="auto"/>
              <w:right w:val="nil"/>
            </w:tcBorders>
            <w:shd w:val="clear" w:color="auto" w:fill="auto"/>
            <w:noWrap/>
            <w:vAlign w:val="bottom"/>
            <w:hideMark/>
          </w:tcPr>
          <w:p w14:paraId="7CBDE8D4" w14:textId="77777777" w:rsidR="00A72850" w:rsidRPr="00736448" w:rsidRDefault="00A72850" w:rsidP="00A72850">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20713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9A086D" w14:textId="77777777" w:rsidR="00A72850" w:rsidRPr="00736448" w:rsidRDefault="00A72850" w:rsidP="00A72850">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-5516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C41F75E" w14:textId="77777777" w:rsidR="00A72850" w:rsidRPr="00736448" w:rsidRDefault="00A72850" w:rsidP="00A72850">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88,5%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BBACB5" w14:textId="77777777" w:rsidR="00A72850" w:rsidRPr="00736448" w:rsidRDefault="00A72850" w:rsidP="00A72850">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-1197</w:t>
            </w:r>
          </w:p>
        </w:tc>
        <w:tc>
          <w:tcPr>
            <w:tcW w:w="0" w:type="auto"/>
            <w:tcBorders>
              <w:top w:val="nil"/>
              <w:left w:val="nil"/>
              <w:bottom w:val="single" w:sz="4" w:space="0" w:color="auto"/>
              <w:right w:val="single" w:sz="4" w:space="0" w:color="auto"/>
            </w:tcBorders>
            <w:shd w:val="clear" w:color="auto" w:fill="auto"/>
            <w:noWrap/>
            <w:vAlign w:val="bottom"/>
            <w:hideMark/>
          </w:tcPr>
          <w:p w14:paraId="5FDD9A9B" w14:textId="77777777" w:rsidR="00A72850" w:rsidRPr="00736448" w:rsidRDefault="00A72850" w:rsidP="00A72850">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94,5%</w:t>
            </w:r>
          </w:p>
        </w:tc>
      </w:tr>
      <w:tr w:rsidR="00A72850" w:rsidRPr="00B7675F" w14:paraId="315F1A7A" w14:textId="77777777" w:rsidTr="00A7285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CF6F35" w14:textId="77777777" w:rsidR="00A72850" w:rsidRPr="00736448" w:rsidRDefault="00A72850" w:rsidP="00A72850">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 </w:t>
            </w:r>
          </w:p>
        </w:tc>
        <w:tc>
          <w:tcPr>
            <w:tcW w:w="0" w:type="auto"/>
            <w:tcBorders>
              <w:top w:val="nil"/>
              <w:left w:val="nil"/>
              <w:bottom w:val="single" w:sz="8" w:space="0" w:color="auto"/>
              <w:right w:val="single" w:sz="8" w:space="0" w:color="auto"/>
            </w:tcBorders>
            <w:shd w:val="clear" w:color="auto" w:fill="auto"/>
            <w:hideMark/>
          </w:tcPr>
          <w:p w14:paraId="22EA0BBD" w14:textId="3448FA30" w:rsidR="00A72850" w:rsidRPr="00A72850" w:rsidRDefault="00A72850" w:rsidP="00A72850">
            <w:pPr>
              <w:spacing w:after="0" w:line="240" w:lineRule="auto"/>
              <w:rPr>
                <w:rFonts w:asciiTheme="majorHAnsi" w:eastAsia="Times New Roman" w:hAnsiTheme="majorHAnsi" w:cstheme="majorHAnsi"/>
                <w:color w:val="000000"/>
                <w:sz w:val="20"/>
                <w:szCs w:val="20"/>
                <w:lang w:val="ro-MD"/>
              </w:rPr>
            </w:pPr>
            <w:r w:rsidRPr="00A72850">
              <w:rPr>
                <w:rFonts w:asciiTheme="majorHAnsi" w:hAnsiTheme="majorHAnsi" w:cstheme="majorHAnsi"/>
                <w:sz w:val="20"/>
                <w:szCs w:val="20"/>
                <w:lang w:val="ru-RU"/>
              </w:rPr>
              <w:t>Пособия по уходу за ребенком, незастрахованным лицам</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D11014" w14:textId="77777777" w:rsidR="00A72850" w:rsidRPr="00736448" w:rsidRDefault="00A72850" w:rsidP="00A72850">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33614</w:t>
            </w:r>
          </w:p>
        </w:tc>
        <w:tc>
          <w:tcPr>
            <w:tcW w:w="0" w:type="auto"/>
            <w:tcBorders>
              <w:top w:val="nil"/>
              <w:left w:val="nil"/>
              <w:bottom w:val="single" w:sz="4" w:space="0" w:color="auto"/>
              <w:right w:val="single" w:sz="4" w:space="0" w:color="auto"/>
            </w:tcBorders>
            <w:shd w:val="clear" w:color="auto" w:fill="auto"/>
            <w:noWrap/>
            <w:vAlign w:val="bottom"/>
            <w:hideMark/>
          </w:tcPr>
          <w:p w14:paraId="7A628E80" w14:textId="77777777" w:rsidR="00A72850" w:rsidRPr="00736448" w:rsidRDefault="00A72850" w:rsidP="00A72850">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1398</w:t>
            </w:r>
          </w:p>
        </w:tc>
        <w:tc>
          <w:tcPr>
            <w:tcW w:w="0" w:type="auto"/>
            <w:tcBorders>
              <w:top w:val="nil"/>
              <w:left w:val="nil"/>
              <w:bottom w:val="single" w:sz="4" w:space="0" w:color="auto"/>
              <w:right w:val="single" w:sz="4" w:space="0" w:color="auto"/>
            </w:tcBorders>
            <w:shd w:val="clear" w:color="auto" w:fill="auto"/>
            <w:noWrap/>
            <w:vAlign w:val="bottom"/>
            <w:hideMark/>
          </w:tcPr>
          <w:p w14:paraId="3201D064" w14:textId="77777777" w:rsidR="00A72850" w:rsidRPr="00736448" w:rsidRDefault="00A72850" w:rsidP="00A72850">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33492</w:t>
            </w:r>
          </w:p>
        </w:tc>
        <w:tc>
          <w:tcPr>
            <w:tcW w:w="0" w:type="auto"/>
            <w:tcBorders>
              <w:top w:val="nil"/>
              <w:left w:val="nil"/>
              <w:bottom w:val="single" w:sz="4" w:space="0" w:color="auto"/>
              <w:right w:val="single" w:sz="4" w:space="0" w:color="auto"/>
            </w:tcBorders>
            <w:shd w:val="clear" w:color="auto" w:fill="auto"/>
            <w:noWrap/>
            <w:vAlign w:val="bottom"/>
            <w:hideMark/>
          </w:tcPr>
          <w:p w14:paraId="0AA46AF7" w14:textId="77777777" w:rsidR="00A72850" w:rsidRPr="00736448" w:rsidRDefault="00A72850" w:rsidP="00A72850">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1270</w:t>
            </w:r>
          </w:p>
        </w:tc>
        <w:tc>
          <w:tcPr>
            <w:tcW w:w="0" w:type="auto"/>
            <w:tcBorders>
              <w:top w:val="nil"/>
              <w:left w:val="nil"/>
              <w:bottom w:val="single" w:sz="4" w:space="0" w:color="auto"/>
              <w:right w:val="single" w:sz="4" w:space="0" w:color="auto"/>
            </w:tcBorders>
            <w:shd w:val="clear" w:color="auto" w:fill="auto"/>
            <w:noWrap/>
            <w:vAlign w:val="bottom"/>
            <w:hideMark/>
          </w:tcPr>
          <w:p w14:paraId="60A84904" w14:textId="77777777" w:rsidR="00A72850" w:rsidRPr="00736448" w:rsidRDefault="00A72850" w:rsidP="00A72850">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30407</w:t>
            </w:r>
          </w:p>
        </w:tc>
        <w:tc>
          <w:tcPr>
            <w:tcW w:w="0" w:type="auto"/>
            <w:tcBorders>
              <w:top w:val="nil"/>
              <w:left w:val="nil"/>
              <w:bottom w:val="single" w:sz="4" w:space="0" w:color="auto"/>
              <w:right w:val="nil"/>
            </w:tcBorders>
            <w:shd w:val="clear" w:color="auto" w:fill="auto"/>
            <w:noWrap/>
            <w:vAlign w:val="bottom"/>
            <w:hideMark/>
          </w:tcPr>
          <w:p w14:paraId="3305FCA4" w14:textId="77777777" w:rsidR="00A72850" w:rsidRPr="00736448" w:rsidRDefault="00A72850" w:rsidP="00A72850">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B9DF6C" w14:textId="77777777" w:rsidR="00A72850" w:rsidRPr="00736448" w:rsidRDefault="00A72850" w:rsidP="00A72850">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-3207</w:t>
            </w:r>
          </w:p>
        </w:tc>
        <w:tc>
          <w:tcPr>
            <w:tcW w:w="0" w:type="auto"/>
            <w:tcBorders>
              <w:top w:val="nil"/>
              <w:left w:val="nil"/>
              <w:bottom w:val="single" w:sz="4" w:space="0" w:color="auto"/>
              <w:right w:val="single" w:sz="4" w:space="0" w:color="auto"/>
            </w:tcBorders>
            <w:shd w:val="clear" w:color="auto" w:fill="auto"/>
            <w:noWrap/>
            <w:vAlign w:val="bottom"/>
            <w:hideMark/>
          </w:tcPr>
          <w:p w14:paraId="00BCDC6C" w14:textId="77777777" w:rsidR="00A72850" w:rsidRPr="00736448" w:rsidRDefault="00A72850" w:rsidP="00A72850">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90,5%</w:t>
            </w:r>
          </w:p>
        </w:tc>
        <w:tc>
          <w:tcPr>
            <w:tcW w:w="0" w:type="auto"/>
            <w:tcBorders>
              <w:top w:val="nil"/>
              <w:left w:val="nil"/>
              <w:bottom w:val="single" w:sz="4" w:space="0" w:color="auto"/>
              <w:right w:val="single" w:sz="4" w:space="0" w:color="auto"/>
            </w:tcBorders>
            <w:shd w:val="clear" w:color="auto" w:fill="auto"/>
            <w:noWrap/>
            <w:vAlign w:val="bottom"/>
            <w:hideMark/>
          </w:tcPr>
          <w:p w14:paraId="6860D8D3" w14:textId="77777777" w:rsidR="00A72850" w:rsidRPr="00736448" w:rsidRDefault="00A72850" w:rsidP="00A72850">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-228</w:t>
            </w:r>
          </w:p>
        </w:tc>
        <w:tc>
          <w:tcPr>
            <w:tcW w:w="0" w:type="auto"/>
            <w:tcBorders>
              <w:top w:val="nil"/>
              <w:left w:val="nil"/>
              <w:bottom w:val="single" w:sz="4" w:space="0" w:color="auto"/>
              <w:right w:val="single" w:sz="4" w:space="0" w:color="auto"/>
            </w:tcBorders>
            <w:shd w:val="clear" w:color="auto" w:fill="auto"/>
            <w:noWrap/>
            <w:vAlign w:val="bottom"/>
            <w:hideMark/>
          </w:tcPr>
          <w:p w14:paraId="666AFC54" w14:textId="77777777" w:rsidR="00A72850" w:rsidRPr="00736448" w:rsidRDefault="00A72850" w:rsidP="00A72850">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83,7%</w:t>
            </w:r>
          </w:p>
        </w:tc>
      </w:tr>
    </w:tbl>
    <w:p w14:paraId="28878CBE" w14:textId="77777777" w:rsidR="00DB70CA" w:rsidRPr="00736448" w:rsidRDefault="00DB70CA" w:rsidP="00DB70CA">
      <w:pPr>
        <w:rPr>
          <w:rFonts w:cstheme="majorHAnsi"/>
          <w:b/>
          <w:bCs/>
          <w:color w:val="000000" w:themeColor="text1"/>
          <w:sz w:val="24"/>
          <w:szCs w:val="24"/>
          <w:lang w:val="ro-MD"/>
        </w:rPr>
      </w:pPr>
    </w:p>
    <w:p w14:paraId="732F275E" w14:textId="187ABA18" w:rsidR="00DB70CA" w:rsidRPr="00736448" w:rsidRDefault="00DB70CA" w:rsidP="00DB70CA">
      <w:pPr>
        <w:rPr>
          <w:rFonts w:cstheme="majorHAnsi"/>
          <w:b/>
          <w:bCs/>
          <w:color w:val="000000" w:themeColor="text1"/>
          <w:sz w:val="24"/>
          <w:szCs w:val="24"/>
          <w:lang w:val="ro-MD"/>
        </w:rPr>
      </w:pPr>
    </w:p>
    <w:p w14:paraId="3741F63F" w14:textId="46E921E4" w:rsidR="004C228A" w:rsidRPr="00736448" w:rsidRDefault="004C228A" w:rsidP="00DB70CA">
      <w:pPr>
        <w:rPr>
          <w:rFonts w:cstheme="majorHAnsi"/>
          <w:b/>
          <w:bCs/>
          <w:color w:val="000000" w:themeColor="text1"/>
          <w:sz w:val="24"/>
          <w:szCs w:val="24"/>
          <w:lang w:val="ro-MD"/>
        </w:rPr>
      </w:pPr>
    </w:p>
    <w:p w14:paraId="78C5F2FA" w14:textId="6A33FAAA" w:rsidR="004C228A" w:rsidRPr="00736448" w:rsidRDefault="004C228A" w:rsidP="00DB70CA">
      <w:pPr>
        <w:rPr>
          <w:rFonts w:cstheme="majorHAnsi"/>
          <w:b/>
          <w:bCs/>
          <w:color w:val="000000" w:themeColor="text1"/>
          <w:sz w:val="24"/>
          <w:szCs w:val="24"/>
          <w:lang w:val="ro-MD"/>
        </w:rPr>
      </w:pPr>
      <w:r w:rsidRPr="00736448">
        <w:rPr>
          <w:rFonts w:cstheme="majorHAnsi"/>
          <w:b/>
          <w:bCs/>
          <w:color w:val="000000" w:themeColor="text1"/>
          <w:sz w:val="24"/>
          <w:szCs w:val="24"/>
          <w:lang w:val="ro-MD"/>
        </w:rPr>
        <w:br w:type="page"/>
      </w:r>
    </w:p>
    <w:p w14:paraId="67244716" w14:textId="3B148766" w:rsidR="004C228A" w:rsidRPr="00736448" w:rsidRDefault="00FC62B3" w:rsidP="004C228A">
      <w:pPr>
        <w:pStyle w:val="2"/>
        <w:jc w:val="right"/>
        <w:rPr>
          <w:rFonts w:cstheme="majorHAnsi"/>
          <w:b/>
          <w:bCs/>
          <w:color w:val="000000" w:themeColor="text1"/>
          <w:sz w:val="24"/>
          <w:szCs w:val="24"/>
          <w:lang w:val="ro-MD"/>
        </w:rPr>
      </w:pPr>
      <w:r>
        <w:rPr>
          <w:rFonts w:cstheme="majorHAnsi"/>
          <w:b/>
          <w:bCs/>
          <w:color w:val="000000" w:themeColor="text1"/>
          <w:sz w:val="24"/>
          <w:szCs w:val="24"/>
          <w:lang w:val="ro-MD"/>
        </w:rPr>
        <w:t>Приложение №</w:t>
      </w:r>
      <w:r w:rsidR="004C228A" w:rsidRPr="00736448">
        <w:rPr>
          <w:rFonts w:cstheme="majorHAnsi"/>
          <w:b/>
          <w:bCs/>
          <w:color w:val="000000" w:themeColor="text1"/>
          <w:sz w:val="24"/>
          <w:szCs w:val="24"/>
          <w:lang w:val="ro-MD"/>
        </w:rPr>
        <w:t>3</w:t>
      </w:r>
    </w:p>
    <w:p w14:paraId="4E45F6BE" w14:textId="5D108CD3" w:rsidR="004C228A" w:rsidRPr="00736448" w:rsidRDefault="00DD42C6" w:rsidP="004C228A">
      <w:pPr>
        <w:jc w:val="center"/>
        <w:rPr>
          <w:rFonts w:asciiTheme="majorHAnsi" w:hAnsiTheme="majorHAnsi"/>
          <w:b/>
          <w:sz w:val="24"/>
          <w:szCs w:val="24"/>
          <w:lang w:val="ro-MD"/>
        </w:rPr>
      </w:pPr>
      <w:r w:rsidRPr="00DD42C6">
        <w:rPr>
          <w:rFonts w:asciiTheme="majorHAnsi" w:hAnsiTheme="majorHAnsi"/>
          <w:b/>
          <w:sz w:val="24"/>
          <w:szCs w:val="24"/>
          <w:lang w:val="ro-MD"/>
        </w:rPr>
        <w:t>Информация о количестве плательщиков, участвующих в системе социального страхования, за 2021-2022 годы</w:t>
      </w:r>
    </w:p>
    <w:tbl>
      <w:tblPr>
        <w:tblW w:w="14312" w:type="dxa"/>
        <w:shd w:val="clear" w:color="auto" w:fill="FFFFFF" w:themeFill="background1"/>
        <w:tblLayout w:type="fixed"/>
        <w:tblLook w:val="04A0" w:firstRow="1" w:lastRow="0" w:firstColumn="1" w:lastColumn="0" w:noHBand="0" w:noVBand="1"/>
      </w:tblPr>
      <w:tblGrid>
        <w:gridCol w:w="2258"/>
        <w:gridCol w:w="1981"/>
        <w:gridCol w:w="854"/>
        <w:gridCol w:w="851"/>
        <w:gridCol w:w="851"/>
        <w:gridCol w:w="850"/>
        <w:gridCol w:w="850"/>
        <w:gridCol w:w="994"/>
        <w:gridCol w:w="766"/>
        <w:gridCol w:w="795"/>
        <w:gridCol w:w="992"/>
        <w:gridCol w:w="853"/>
        <w:gridCol w:w="708"/>
        <w:gridCol w:w="709"/>
      </w:tblGrid>
      <w:tr w:rsidR="00DB70CA" w:rsidRPr="00B7675F" w14:paraId="64A31EBC" w14:textId="77777777" w:rsidTr="00B27804">
        <w:trPr>
          <w:trHeight w:val="540"/>
        </w:trPr>
        <w:tc>
          <w:tcPr>
            <w:tcW w:w="22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0632E3" w14:textId="0EAAB82A" w:rsidR="00DB70CA" w:rsidRPr="008A5E25" w:rsidRDefault="008A5E25" w:rsidP="00B27804">
            <w:pPr>
              <w:spacing w:after="0" w:line="240" w:lineRule="auto"/>
              <w:jc w:val="center"/>
              <w:rPr>
                <w:rFonts w:asciiTheme="majorHAnsi" w:eastAsia="Times New Roman" w:hAnsiTheme="majorHAnsi" w:cstheme="majorHAnsi"/>
                <w:b/>
                <w:bCs/>
                <w:color w:val="333333"/>
                <w:sz w:val="16"/>
                <w:szCs w:val="18"/>
                <w:lang w:val="ru-RU"/>
              </w:rPr>
            </w:pPr>
            <w:r w:rsidRPr="008A5E25">
              <w:rPr>
                <w:rFonts w:asciiTheme="majorHAnsi" w:eastAsia="Times New Roman" w:hAnsiTheme="majorHAnsi" w:cstheme="majorHAnsi"/>
                <w:b/>
                <w:bCs/>
                <w:color w:val="333333"/>
                <w:sz w:val="16"/>
                <w:szCs w:val="18"/>
                <w:lang w:val="ro-RO"/>
              </w:rPr>
              <w:t>Категории плательщиков и застрахованных лиц</w:t>
            </w:r>
          </w:p>
        </w:tc>
        <w:tc>
          <w:tcPr>
            <w:tcW w:w="19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DB247A" w14:textId="78CFD0AE" w:rsidR="00DB70CA" w:rsidRPr="008A5E25" w:rsidRDefault="008A5E25" w:rsidP="00B27804">
            <w:pPr>
              <w:spacing w:after="0" w:line="240" w:lineRule="auto"/>
              <w:jc w:val="center"/>
              <w:rPr>
                <w:rFonts w:asciiTheme="majorHAnsi" w:eastAsia="Times New Roman" w:hAnsiTheme="majorHAnsi" w:cstheme="majorHAnsi"/>
                <w:b/>
                <w:bCs/>
                <w:color w:val="333333"/>
                <w:sz w:val="16"/>
                <w:szCs w:val="18"/>
                <w:lang w:val="ru-RU"/>
              </w:rPr>
            </w:pPr>
            <w:r w:rsidRPr="008A5E25">
              <w:rPr>
                <w:rFonts w:asciiTheme="majorHAnsi" w:eastAsia="Times New Roman" w:hAnsiTheme="majorHAnsi" w:cstheme="majorHAnsi"/>
                <w:b/>
                <w:bCs/>
                <w:color w:val="333333"/>
                <w:sz w:val="16"/>
                <w:szCs w:val="18"/>
                <w:lang w:val="ro-RO"/>
              </w:rPr>
              <w:t>Тарифы и основа</w:t>
            </w:r>
            <w:r w:rsidRPr="008A5E25">
              <w:rPr>
                <w:rFonts w:asciiTheme="majorHAnsi" w:eastAsia="Times New Roman" w:hAnsiTheme="majorHAnsi" w:cstheme="majorHAnsi"/>
                <w:b/>
                <w:bCs/>
                <w:color w:val="333333"/>
                <w:sz w:val="16"/>
                <w:szCs w:val="18"/>
                <w:lang w:val="ro-RO"/>
              </w:rPr>
              <w:br/>
              <w:t>для исчисления взноса обязательного государственного социального страхования</w:t>
            </w:r>
          </w:p>
        </w:tc>
        <w:tc>
          <w:tcPr>
            <w:tcW w:w="2556"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25133975" w14:textId="438A7CE3" w:rsidR="00DB70CA" w:rsidRPr="008A5E25" w:rsidRDefault="00DB70CA" w:rsidP="00B27804">
            <w:pPr>
              <w:spacing w:after="0" w:line="240" w:lineRule="auto"/>
              <w:jc w:val="center"/>
              <w:rPr>
                <w:rFonts w:asciiTheme="majorHAnsi" w:eastAsia="Times New Roman" w:hAnsiTheme="majorHAnsi" w:cstheme="majorHAnsi"/>
                <w:b/>
                <w:bCs/>
                <w:color w:val="000000"/>
                <w:sz w:val="16"/>
                <w:szCs w:val="18"/>
                <w:lang w:val="ru-RU"/>
              </w:rPr>
            </w:pPr>
            <w:r w:rsidRPr="00736448">
              <w:rPr>
                <w:rFonts w:asciiTheme="majorHAnsi" w:eastAsia="Times New Roman" w:hAnsiTheme="majorHAnsi" w:cstheme="majorHAnsi"/>
                <w:b/>
                <w:bCs/>
                <w:color w:val="000000"/>
                <w:sz w:val="16"/>
                <w:szCs w:val="18"/>
                <w:lang w:val="ro-MD"/>
              </w:rPr>
              <w:t>2021</w:t>
            </w:r>
            <w:r w:rsidR="008A5E25">
              <w:rPr>
                <w:rFonts w:asciiTheme="majorHAnsi" w:eastAsia="Times New Roman" w:hAnsiTheme="majorHAnsi" w:cstheme="majorHAnsi"/>
                <w:b/>
                <w:bCs/>
                <w:color w:val="000000"/>
                <w:sz w:val="16"/>
                <w:szCs w:val="18"/>
                <w:lang w:val="ru-RU"/>
              </w:rPr>
              <w:t xml:space="preserve"> год</w:t>
            </w:r>
          </w:p>
        </w:tc>
        <w:tc>
          <w:tcPr>
            <w:tcW w:w="2694"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6D900EE0" w14:textId="501CC009" w:rsidR="00DB70CA" w:rsidRPr="008A5E25" w:rsidRDefault="00DB70CA" w:rsidP="00B27804">
            <w:pPr>
              <w:spacing w:after="0" w:line="240" w:lineRule="auto"/>
              <w:jc w:val="center"/>
              <w:rPr>
                <w:rFonts w:asciiTheme="majorHAnsi" w:eastAsia="Times New Roman" w:hAnsiTheme="majorHAnsi" w:cstheme="majorHAnsi"/>
                <w:b/>
                <w:bCs/>
                <w:color w:val="000000"/>
                <w:sz w:val="16"/>
                <w:szCs w:val="18"/>
                <w:lang w:val="ru-RU"/>
              </w:rPr>
            </w:pPr>
            <w:r w:rsidRPr="00736448">
              <w:rPr>
                <w:rFonts w:asciiTheme="majorHAnsi" w:eastAsia="Times New Roman" w:hAnsiTheme="majorHAnsi" w:cstheme="majorHAnsi"/>
                <w:b/>
                <w:bCs/>
                <w:color w:val="000000"/>
                <w:sz w:val="16"/>
                <w:szCs w:val="18"/>
                <w:lang w:val="ro-MD"/>
              </w:rPr>
              <w:t>2022</w:t>
            </w:r>
            <w:r w:rsidR="008A5E25">
              <w:rPr>
                <w:rFonts w:asciiTheme="majorHAnsi" w:eastAsia="Times New Roman" w:hAnsiTheme="majorHAnsi" w:cstheme="majorHAnsi"/>
                <w:b/>
                <w:bCs/>
                <w:color w:val="000000"/>
                <w:sz w:val="16"/>
                <w:szCs w:val="18"/>
                <w:lang w:val="ru-RU"/>
              </w:rPr>
              <w:t xml:space="preserve"> год</w:t>
            </w:r>
          </w:p>
        </w:tc>
        <w:tc>
          <w:tcPr>
            <w:tcW w:w="1561"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A978B41" w14:textId="69CA8CAD" w:rsidR="00DB70CA" w:rsidRPr="00736448" w:rsidRDefault="008A5E25" w:rsidP="008A5E25">
            <w:pPr>
              <w:spacing w:after="0" w:line="240" w:lineRule="auto"/>
              <w:jc w:val="center"/>
              <w:rPr>
                <w:rFonts w:asciiTheme="majorHAnsi" w:eastAsia="Times New Roman" w:hAnsiTheme="majorHAnsi" w:cstheme="majorHAnsi"/>
                <w:b/>
                <w:bCs/>
                <w:color w:val="000000"/>
                <w:sz w:val="16"/>
                <w:szCs w:val="18"/>
                <w:lang w:val="ro-MD"/>
              </w:rPr>
            </w:pPr>
            <w:r>
              <w:rPr>
                <w:rFonts w:asciiTheme="majorHAnsi" w:eastAsia="Times New Roman" w:hAnsiTheme="majorHAnsi" w:cstheme="majorHAnsi"/>
                <w:b/>
                <w:bCs/>
                <w:color w:val="000000"/>
                <w:sz w:val="16"/>
                <w:szCs w:val="18"/>
                <w:lang w:val="ru-RU"/>
              </w:rPr>
              <w:t>Динамика кол-ва плательщиков</w:t>
            </w:r>
            <w:r w:rsidR="00DB70CA" w:rsidRPr="00736448">
              <w:rPr>
                <w:rFonts w:asciiTheme="majorHAnsi" w:eastAsia="Times New Roman" w:hAnsiTheme="majorHAnsi" w:cstheme="majorHAnsi"/>
                <w:b/>
                <w:bCs/>
                <w:color w:val="000000"/>
                <w:sz w:val="16"/>
                <w:szCs w:val="18"/>
                <w:lang w:val="ro-MD"/>
              </w:rPr>
              <w:t xml:space="preserve"> 2022/2021</w:t>
            </w:r>
          </w:p>
        </w:tc>
        <w:tc>
          <w:tcPr>
            <w:tcW w:w="184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32C61B66" w14:textId="1B9F64EC" w:rsidR="00DB70CA" w:rsidRPr="00736448" w:rsidRDefault="008A5E25" w:rsidP="008A5E25">
            <w:pPr>
              <w:spacing w:after="0" w:line="240" w:lineRule="auto"/>
              <w:jc w:val="center"/>
              <w:rPr>
                <w:rFonts w:asciiTheme="majorHAnsi" w:eastAsia="Times New Roman" w:hAnsiTheme="majorHAnsi" w:cstheme="majorHAnsi"/>
                <w:b/>
                <w:bCs/>
                <w:color w:val="000000"/>
                <w:sz w:val="16"/>
                <w:szCs w:val="18"/>
                <w:lang w:val="ro-MD"/>
              </w:rPr>
            </w:pPr>
            <w:r>
              <w:rPr>
                <w:rFonts w:asciiTheme="majorHAnsi" w:eastAsia="Times New Roman" w:hAnsiTheme="majorHAnsi" w:cstheme="majorHAnsi"/>
                <w:b/>
                <w:bCs/>
                <w:color w:val="000000"/>
                <w:sz w:val="16"/>
                <w:szCs w:val="18"/>
                <w:lang w:val="ru-RU"/>
              </w:rPr>
              <w:t>Динамика расчетной базы</w:t>
            </w:r>
            <w:r w:rsidR="00DB70CA" w:rsidRPr="00736448">
              <w:rPr>
                <w:rFonts w:asciiTheme="majorHAnsi" w:eastAsia="Times New Roman" w:hAnsiTheme="majorHAnsi" w:cstheme="majorHAnsi"/>
                <w:b/>
                <w:bCs/>
                <w:color w:val="000000"/>
                <w:sz w:val="16"/>
                <w:szCs w:val="18"/>
                <w:lang w:val="ro-MD"/>
              </w:rPr>
              <w:t xml:space="preserve"> 2022/2021</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14:paraId="7515E946" w14:textId="71D6E4DE" w:rsidR="00DB70CA" w:rsidRPr="00736448" w:rsidRDefault="008A5E25" w:rsidP="00B27804">
            <w:pPr>
              <w:spacing w:after="0" w:line="240" w:lineRule="auto"/>
              <w:jc w:val="center"/>
              <w:rPr>
                <w:rFonts w:asciiTheme="majorHAnsi" w:eastAsia="Times New Roman" w:hAnsiTheme="majorHAnsi" w:cstheme="majorHAnsi"/>
                <w:b/>
                <w:bCs/>
                <w:color w:val="000000"/>
                <w:sz w:val="16"/>
                <w:szCs w:val="18"/>
                <w:lang w:val="ro-MD"/>
              </w:rPr>
            </w:pPr>
            <w:r>
              <w:rPr>
                <w:rFonts w:asciiTheme="majorHAnsi" w:eastAsia="Times New Roman" w:hAnsiTheme="majorHAnsi" w:cstheme="majorHAnsi"/>
                <w:b/>
                <w:bCs/>
                <w:color w:val="000000"/>
                <w:sz w:val="16"/>
                <w:szCs w:val="18"/>
                <w:lang w:val="ru-RU"/>
              </w:rPr>
              <w:t>Динамика суммы взносов</w:t>
            </w:r>
            <w:r w:rsidR="00DB70CA" w:rsidRPr="00736448">
              <w:rPr>
                <w:rFonts w:asciiTheme="majorHAnsi" w:eastAsia="Times New Roman" w:hAnsiTheme="majorHAnsi" w:cstheme="majorHAnsi"/>
                <w:b/>
                <w:bCs/>
                <w:color w:val="000000"/>
                <w:sz w:val="16"/>
                <w:szCs w:val="18"/>
                <w:lang w:val="ro-MD"/>
              </w:rPr>
              <w:t xml:space="preserve"> 2022/2021</w:t>
            </w:r>
          </w:p>
        </w:tc>
      </w:tr>
      <w:tr w:rsidR="00DB70CA" w:rsidRPr="00B7675F" w14:paraId="00B025FF" w14:textId="77777777" w:rsidTr="00B27804">
        <w:trPr>
          <w:trHeight w:val="1140"/>
        </w:trPr>
        <w:tc>
          <w:tcPr>
            <w:tcW w:w="22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DEF952" w14:textId="77777777" w:rsidR="00DB70CA" w:rsidRPr="00736448" w:rsidRDefault="00DB70CA" w:rsidP="00B27804">
            <w:pPr>
              <w:spacing w:after="0" w:line="240" w:lineRule="auto"/>
              <w:rPr>
                <w:rFonts w:asciiTheme="majorHAnsi" w:eastAsia="Times New Roman" w:hAnsiTheme="majorHAnsi" w:cstheme="majorHAnsi"/>
                <w:b/>
                <w:bCs/>
                <w:color w:val="333333"/>
                <w:sz w:val="16"/>
                <w:szCs w:val="18"/>
                <w:lang w:val="ro-MD"/>
              </w:rPr>
            </w:pPr>
          </w:p>
        </w:tc>
        <w:tc>
          <w:tcPr>
            <w:tcW w:w="19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0FB5A0" w14:textId="77777777" w:rsidR="00DB70CA" w:rsidRPr="00736448" w:rsidRDefault="00DB70CA" w:rsidP="00B27804">
            <w:pPr>
              <w:spacing w:after="0" w:line="240" w:lineRule="auto"/>
              <w:rPr>
                <w:rFonts w:asciiTheme="majorHAnsi" w:eastAsia="Times New Roman" w:hAnsiTheme="majorHAnsi" w:cstheme="majorHAnsi"/>
                <w:b/>
                <w:bCs/>
                <w:color w:val="333333"/>
                <w:sz w:val="16"/>
                <w:szCs w:val="18"/>
                <w:lang w:val="ro-MD"/>
              </w:rPr>
            </w:pPr>
          </w:p>
        </w:tc>
        <w:tc>
          <w:tcPr>
            <w:tcW w:w="854" w:type="dxa"/>
            <w:tcBorders>
              <w:top w:val="nil"/>
              <w:left w:val="nil"/>
              <w:bottom w:val="single" w:sz="4" w:space="0" w:color="auto"/>
              <w:right w:val="single" w:sz="4" w:space="0" w:color="auto"/>
            </w:tcBorders>
            <w:shd w:val="clear" w:color="auto" w:fill="FFFFFF" w:themeFill="background1"/>
            <w:vAlign w:val="center"/>
            <w:hideMark/>
          </w:tcPr>
          <w:p w14:paraId="26B7981D" w14:textId="66DCB424" w:rsidR="00DB70CA" w:rsidRPr="00736448" w:rsidRDefault="008A5E25" w:rsidP="00B27804">
            <w:pPr>
              <w:spacing w:after="0" w:line="240" w:lineRule="auto"/>
              <w:jc w:val="center"/>
              <w:rPr>
                <w:rFonts w:asciiTheme="majorHAnsi" w:eastAsia="Times New Roman" w:hAnsiTheme="majorHAnsi" w:cstheme="majorHAnsi"/>
                <w:b/>
                <w:bCs/>
                <w:color w:val="000000"/>
                <w:sz w:val="16"/>
                <w:szCs w:val="18"/>
                <w:lang w:val="ro-MD"/>
              </w:rPr>
            </w:pPr>
            <w:r w:rsidRPr="008A5E25">
              <w:rPr>
                <w:rFonts w:asciiTheme="majorHAnsi" w:eastAsia="Times New Roman" w:hAnsiTheme="majorHAnsi" w:cstheme="majorHAnsi"/>
                <w:b/>
                <w:bCs/>
                <w:color w:val="000000"/>
                <w:sz w:val="16"/>
                <w:szCs w:val="18"/>
                <w:lang w:val="ro-MD"/>
              </w:rPr>
              <w:t>Среднее количество плательщиков (работников)</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6C5353F8" w14:textId="205A1D6B" w:rsidR="00DB70CA" w:rsidRPr="00736448" w:rsidRDefault="008A5E25" w:rsidP="00B27804">
            <w:pPr>
              <w:spacing w:after="0" w:line="240" w:lineRule="auto"/>
              <w:jc w:val="center"/>
              <w:rPr>
                <w:rFonts w:asciiTheme="majorHAnsi" w:eastAsia="Times New Roman" w:hAnsiTheme="majorHAnsi" w:cstheme="majorHAnsi"/>
                <w:b/>
                <w:bCs/>
                <w:color w:val="000000"/>
                <w:sz w:val="16"/>
                <w:szCs w:val="18"/>
                <w:lang w:val="ro-MD"/>
              </w:rPr>
            </w:pPr>
            <w:r w:rsidRPr="008A5E25">
              <w:rPr>
                <w:rFonts w:asciiTheme="majorHAnsi" w:eastAsia="Times New Roman" w:hAnsiTheme="majorHAnsi" w:cstheme="majorHAnsi"/>
                <w:b/>
                <w:bCs/>
                <w:color w:val="000000"/>
                <w:sz w:val="16"/>
                <w:szCs w:val="18"/>
                <w:lang w:val="ro-MD"/>
              </w:rPr>
              <w:t>Сумма расчетной базы взносов согласно тарифам, тыс. леев</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53C93D37" w14:textId="162D5F19" w:rsidR="00DB70CA" w:rsidRPr="00736448" w:rsidRDefault="008A5E25" w:rsidP="00B27804">
            <w:pPr>
              <w:spacing w:after="0" w:line="240" w:lineRule="auto"/>
              <w:jc w:val="center"/>
              <w:rPr>
                <w:rFonts w:asciiTheme="majorHAnsi" w:eastAsia="Times New Roman" w:hAnsiTheme="majorHAnsi" w:cstheme="majorHAnsi"/>
                <w:b/>
                <w:bCs/>
                <w:color w:val="000000"/>
                <w:sz w:val="16"/>
                <w:szCs w:val="18"/>
                <w:lang w:val="ro-MD"/>
              </w:rPr>
            </w:pPr>
            <w:r w:rsidRPr="008A5E25">
              <w:rPr>
                <w:rFonts w:asciiTheme="majorHAnsi" w:eastAsia="Times New Roman" w:hAnsiTheme="majorHAnsi" w:cstheme="majorHAnsi"/>
                <w:b/>
                <w:bCs/>
                <w:color w:val="000000"/>
                <w:sz w:val="16"/>
                <w:szCs w:val="18"/>
                <w:lang w:val="ro-MD"/>
              </w:rPr>
              <w:t>Сумма рассчитанных взносов, тыс. леев</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A3E4503" w14:textId="4AD3092B" w:rsidR="00DB70CA" w:rsidRPr="00736448" w:rsidRDefault="008A5E25" w:rsidP="00B27804">
            <w:pPr>
              <w:spacing w:after="0" w:line="240" w:lineRule="auto"/>
              <w:jc w:val="center"/>
              <w:rPr>
                <w:rFonts w:asciiTheme="majorHAnsi" w:eastAsia="Times New Roman" w:hAnsiTheme="majorHAnsi" w:cstheme="majorHAnsi"/>
                <w:b/>
                <w:bCs/>
                <w:color w:val="000000"/>
                <w:sz w:val="16"/>
                <w:szCs w:val="18"/>
                <w:lang w:val="ro-MD"/>
              </w:rPr>
            </w:pPr>
            <w:r w:rsidRPr="008A5E25">
              <w:rPr>
                <w:rFonts w:asciiTheme="majorHAnsi" w:eastAsia="Times New Roman" w:hAnsiTheme="majorHAnsi" w:cstheme="majorHAnsi"/>
                <w:b/>
                <w:bCs/>
                <w:color w:val="000000"/>
                <w:sz w:val="16"/>
                <w:szCs w:val="18"/>
                <w:lang w:val="ro-MD"/>
              </w:rPr>
              <w:t>Среднее количество плательщиков (работников)</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1EA82B7" w14:textId="05A018BA"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 xml:space="preserve">Suma </w:t>
            </w:r>
            <w:r w:rsidR="008A5E25" w:rsidRPr="008A5E25">
              <w:rPr>
                <w:rFonts w:asciiTheme="majorHAnsi" w:eastAsia="Times New Roman" w:hAnsiTheme="majorHAnsi" w:cstheme="majorHAnsi"/>
                <w:b/>
                <w:bCs/>
                <w:color w:val="000000"/>
                <w:sz w:val="16"/>
                <w:szCs w:val="18"/>
                <w:lang w:val="ro-MD"/>
              </w:rPr>
              <w:t>Сумма расчетной базы взносов согласно тарифам, тыс. леев</w:t>
            </w:r>
          </w:p>
        </w:tc>
        <w:tc>
          <w:tcPr>
            <w:tcW w:w="994" w:type="dxa"/>
            <w:tcBorders>
              <w:top w:val="nil"/>
              <w:left w:val="nil"/>
              <w:bottom w:val="single" w:sz="4" w:space="0" w:color="auto"/>
              <w:right w:val="single" w:sz="4" w:space="0" w:color="auto"/>
            </w:tcBorders>
            <w:shd w:val="clear" w:color="auto" w:fill="FFFFFF" w:themeFill="background1"/>
            <w:vAlign w:val="center"/>
            <w:hideMark/>
          </w:tcPr>
          <w:p w14:paraId="4CA5A5A2" w14:textId="3763F516" w:rsidR="00DB70CA" w:rsidRPr="00736448" w:rsidRDefault="008A5E25" w:rsidP="00B27804">
            <w:pPr>
              <w:spacing w:after="0" w:line="240" w:lineRule="auto"/>
              <w:jc w:val="center"/>
              <w:rPr>
                <w:rFonts w:asciiTheme="majorHAnsi" w:eastAsia="Times New Roman" w:hAnsiTheme="majorHAnsi" w:cstheme="majorHAnsi"/>
                <w:b/>
                <w:bCs/>
                <w:color w:val="000000"/>
                <w:sz w:val="16"/>
                <w:szCs w:val="18"/>
                <w:lang w:val="ro-MD"/>
              </w:rPr>
            </w:pPr>
            <w:r w:rsidRPr="008A5E25">
              <w:rPr>
                <w:rFonts w:asciiTheme="majorHAnsi" w:eastAsia="Times New Roman" w:hAnsiTheme="majorHAnsi" w:cstheme="majorHAnsi"/>
                <w:b/>
                <w:bCs/>
                <w:color w:val="000000"/>
                <w:sz w:val="16"/>
                <w:szCs w:val="18"/>
                <w:lang w:val="ro-MD"/>
              </w:rPr>
              <w:t>Сумма рассчитанных взносов, тыс. леев</w:t>
            </w:r>
          </w:p>
        </w:tc>
        <w:tc>
          <w:tcPr>
            <w:tcW w:w="766" w:type="dxa"/>
            <w:tcBorders>
              <w:top w:val="nil"/>
              <w:left w:val="nil"/>
              <w:bottom w:val="single" w:sz="4" w:space="0" w:color="auto"/>
              <w:right w:val="single" w:sz="4" w:space="0" w:color="auto"/>
            </w:tcBorders>
            <w:shd w:val="clear" w:color="auto" w:fill="FFFFFF" w:themeFill="background1"/>
            <w:vAlign w:val="center"/>
            <w:hideMark/>
          </w:tcPr>
          <w:p w14:paraId="09D01B23" w14:textId="51C89155" w:rsidR="00DB70CA" w:rsidRPr="008A5E25" w:rsidRDefault="008A5E25" w:rsidP="00B27804">
            <w:pPr>
              <w:spacing w:after="0" w:line="240" w:lineRule="auto"/>
              <w:jc w:val="center"/>
              <w:rPr>
                <w:rFonts w:asciiTheme="majorHAnsi" w:eastAsia="Times New Roman" w:hAnsiTheme="majorHAnsi" w:cstheme="majorHAnsi"/>
                <w:b/>
                <w:bCs/>
                <w:color w:val="000000"/>
                <w:sz w:val="16"/>
                <w:szCs w:val="18"/>
                <w:lang w:val="ru-RU"/>
              </w:rPr>
            </w:pPr>
            <w:r>
              <w:rPr>
                <w:rFonts w:asciiTheme="majorHAnsi" w:eastAsia="Times New Roman" w:hAnsiTheme="majorHAnsi" w:cstheme="majorHAnsi"/>
                <w:b/>
                <w:bCs/>
                <w:color w:val="000000"/>
                <w:sz w:val="16"/>
                <w:szCs w:val="18"/>
                <w:lang w:val="ru-RU"/>
              </w:rPr>
              <w:t>Кол-во</w:t>
            </w:r>
          </w:p>
        </w:tc>
        <w:tc>
          <w:tcPr>
            <w:tcW w:w="795" w:type="dxa"/>
            <w:tcBorders>
              <w:top w:val="nil"/>
              <w:left w:val="nil"/>
              <w:bottom w:val="single" w:sz="4" w:space="0" w:color="auto"/>
              <w:right w:val="single" w:sz="4" w:space="0" w:color="auto"/>
            </w:tcBorders>
            <w:shd w:val="clear" w:color="auto" w:fill="FFFFFF" w:themeFill="background1"/>
            <w:vAlign w:val="center"/>
            <w:hideMark/>
          </w:tcPr>
          <w:p w14:paraId="0FADB4AE"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5F93C13" w14:textId="1B96A3FE" w:rsidR="00DB70CA" w:rsidRPr="008A5E25" w:rsidRDefault="008A5E25" w:rsidP="00B27804">
            <w:pPr>
              <w:spacing w:after="0" w:line="240" w:lineRule="auto"/>
              <w:jc w:val="center"/>
              <w:rPr>
                <w:rFonts w:asciiTheme="majorHAnsi" w:eastAsia="Times New Roman" w:hAnsiTheme="majorHAnsi" w:cstheme="majorHAnsi"/>
                <w:b/>
                <w:bCs/>
                <w:color w:val="000000"/>
                <w:sz w:val="16"/>
                <w:szCs w:val="18"/>
                <w:lang w:val="ru-RU"/>
              </w:rPr>
            </w:pPr>
            <w:r>
              <w:rPr>
                <w:rFonts w:asciiTheme="majorHAnsi" w:eastAsia="Times New Roman" w:hAnsiTheme="majorHAnsi" w:cstheme="majorHAnsi"/>
                <w:b/>
                <w:bCs/>
                <w:color w:val="000000"/>
                <w:sz w:val="16"/>
                <w:szCs w:val="18"/>
                <w:lang w:val="ru-RU"/>
              </w:rPr>
              <w:t>Сумма</w:t>
            </w:r>
          </w:p>
        </w:tc>
        <w:tc>
          <w:tcPr>
            <w:tcW w:w="853" w:type="dxa"/>
            <w:tcBorders>
              <w:top w:val="nil"/>
              <w:left w:val="nil"/>
              <w:bottom w:val="single" w:sz="4" w:space="0" w:color="auto"/>
              <w:right w:val="single" w:sz="4" w:space="0" w:color="auto"/>
            </w:tcBorders>
            <w:shd w:val="clear" w:color="auto" w:fill="FFFFFF" w:themeFill="background1"/>
            <w:vAlign w:val="center"/>
            <w:hideMark/>
          </w:tcPr>
          <w:p w14:paraId="1582559C"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441AF7B2" w14:textId="04EF3220" w:rsidR="00DB70CA" w:rsidRPr="008A5E25" w:rsidRDefault="008A5E25" w:rsidP="00B27804">
            <w:pPr>
              <w:spacing w:after="0" w:line="240" w:lineRule="auto"/>
              <w:jc w:val="center"/>
              <w:rPr>
                <w:rFonts w:asciiTheme="majorHAnsi" w:eastAsia="Times New Roman" w:hAnsiTheme="majorHAnsi" w:cstheme="majorHAnsi"/>
                <w:b/>
                <w:bCs/>
                <w:color w:val="000000"/>
                <w:sz w:val="16"/>
                <w:szCs w:val="18"/>
                <w:lang w:val="ru-RU"/>
              </w:rPr>
            </w:pPr>
            <w:r>
              <w:rPr>
                <w:rFonts w:asciiTheme="majorHAnsi" w:eastAsia="Times New Roman" w:hAnsiTheme="majorHAnsi" w:cstheme="majorHAnsi"/>
                <w:b/>
                <w:bCs/>
                <w:color w:val="000000"/>
                <w:sz w:val="16"/>
                <w:szCs w:val="18"/>
                <w:lang w:val="ru-RU"/>
              </w:rPr>
              <w:t>Сумма</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99D4014"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w:t>
            </w:r>
          </w:p>
        </w:tc>
      </w:tr>
      <w:tr w:rsidR="00DB70CA" w:rsidRPr="00B7675F" w14:paraId="3BA35E5D" w14:textId="77777777" w:rsidTr="00B27804">
        <w:trPr>
          <w:trHeight w:val="288"/>
        </w:trPr>
        <w:tc>
          <w:tcPr>
            <w:tcW w:w="225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AE5C3E" w14:textId="77777777" w:rsidR="00DB70CA" w:rsidRPr="00736448" w:rsidRDefault="00DB70CA" w:rsidP="00B27804">
            <w:pPr>
              <w:spacing w:after="0" w:line="240" w:lineRule="auto"/>
              <w:jc w:val="center"/>
              <w:rPr>
                <w:rFonts w:asciiTheme="majorHAnsi" w:eastAsia="Times New Roman" w:hAnsiTheme="majorHAnsi" w:cstheme="majorHAnsi"/>
                <w:b/>
                <w:bCs/>
                <w:color w:val="333333"/>
                <w:sz w:val="16"/>
                <w:szCs w:val="18"/>
                <w:lang w:val="ro-MD"/>
              </w:rPr>
            </w:pPr>
            <w:r w:rsidRPr="00736448">
              <w:rPr>
                <w:rFonts w:asciiTheme="majorHAnsi" w:eastAsia="Times New Roman" w:hAnsiTheme="majorHAnsi" w:cstheme="majorHAnsi"/>
                <w:b/>
                <w:bCs/>
                <w:color w:val="333333"/>
                <w:sz w:val="16"/>
                <w:szCs w:val="18"/>
                <w:lang w:val="ro-MD"/>
              </w:rPr>
              <w:t>1</w:t>
            </w:r>
          </w:p>
        </w:tc>
        <w:tc>
          <w:tcPr>
            <w:tcW w:w="1981" w:type="dxa"/>
            <w:tcBorders>
              <w:top w:val="nil"/>
              <w:left w:val="nil"/>
              <w:bottom w:val="single" w:sz="4" w:space="0" w:color="auto"/>
              <w:right w:val="single" w:sz="4" w:space="0" w:color="auto"/>
            </w:tcBorders>
            <w:shd w:val="clear" w:color="auto" w:fill="FFFFFF" w:themeFill="background1"/>
            <w:vAlign w:val="center"/>
            <w:hideMark/>
          </w:tcPr>
          <w:p w14:paraId="3C155745" w14:textId="77777777" w:rsidR="00DB70CA" w:rsidRPr="00736448" w:rsidRDefault="00DB70CA" w:rsidP="00B27804">
            <w:pPr>
              <w:spacing w:after="0" w:line="240" w:lineRule="auto"/>
              <w:jc w:val="center"/>
              <w:rPr>
                <w:rFonts w:asciiTheme="majorHAnsi" w:eastAsia="Times New Roman" w:hAnsiTheme="majorHAnsi" w:cstheme="majorHAnsi"/>
                <w:b/>
                <w:bCs/>
                <w:color w:val="333333"/>
                <w:sz w:val="16"/>
                <w:szCs w:val="18"/>
                <w:lang w:val="ro-MD"/>
              </w:rPr>
            </w:pPr>
            <w:r w:rsidRPr="00736448">
              <w:rPr>
                <w:rFonts w:asciiTheme="majorHAnsi" w:eastAsia="Times New Roman" w:hAnsiTheme="majorHAnsi" w:cstheme="majorHAnsi"/>
                <w:b/>
                <w:bCs/>
                <w:color w:val="333333"/>
                <w:sz w:val="16"/>
                <w:szCs w:val="18"/>
                <w:lang w:val="ro-MD"/>
              </w:rPr>
              <w:t>2</w:t>
            </w:r>
          </w:p>
        </w:tc>
        <w:tc>
          <w:tcPr>
            <w:tcW w:w="854" w:type="dxa"/>
            <w:tcBorders>
              <w:top w:val="nil"/>
              <w:left w:val="nil"/>
              <w:bottom w:val="single" w:sz="4" w:space="0" w:color="auto"/>
              <w:right w:val="single" w:sz="4" w:space="0" w:color="auto"/>
            </w:tcBorders>
            <w:shd w:val="clear" w:color="auto" w:fill="FFFFFF" w:themeFill="background1"/>
            <w:vAlign w:val="center"/>
            <w:hideMark/>
          </w:tcPr>
          <w:p w14:paraId="19C1BF81"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3</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38DC8364"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4</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7EA970C3"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5</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557D616"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6</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5BCDD89"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7</w:t>
            </w:r>
          </w:p>
        </w:tc>
        <w:tc>
          <w:tcPr>
            <w:tcW w:w="994" w:type="dxa"/>
            <w:tcBorders>
              <w:top w:val="nil"/>
              <w:left w:val="nil"/>
              <w:bottom w:val="single" w:sz="4" w:space="0" w:color="auto"/>
              <w:right w:val="single" w:sz="4" w:space="0" w:color="auto"/>
            </w:tcBorders>
            <w:shd w:val="clear" w:color="auto" w:fill="FFFFFF" w:themeFill="background1"/>
            <w:vAlign w:val="center"/>
            <w:hideMark/>
          </w:tcPr>
          <w:p w14:paraId="498BBEEA"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8</w:t>
            </w:r>
          </w:p>
        </w:tc>
        <w:tc>
          <w:tcPr>
            <w:tcW w:w="766" w:type="dxa"/>
            <w:tcBorders>
              <w:top w:val="nil"/>
              <w:left w:val="nil"/>
              <w:bottom w:val="single" w:sz="4" w:space="0" w:color="auto"/>
              <w:right w:val="single" w:sz="4" w:space="0" w:color="auto"/>
            </w:tcBorders>
            <w:shd w:val="clear" w:color="auto" w:fill="FFFFFF" w:themeFill="background1"/>
            <w:vAlign w:val="center"/>
            <w:hideMark/>
          </w:tcPr>
          <w:p w14:paraId="1127F14D"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9=6-3</w:t>
            </w:r>
          </w:p>
        </w:tc>
        <w:tc>
          <w:tcPr>
            <w:tcW w:w="795" w:type="dxa"/>
            <w:tcBorders>
              <w:top w:val="nil"/>
              <w:left w:val="nil"/>
              <w:bottom w:val="single" w:sz="4" w:space="0" w:color="auto"/>
              <w:right w:val="single" w:sz="4" w:space="0" w:color="auto"/>
            </w:tcBorders>
            <w:shd w:val="clear" w:color="auto" w:fill="FFFFFF" w:themeFill="background1"/>
            <w:vAlign w:val="center"/>
            <w:hideMark/>
          </w:tcPr>
          <w:p w14:paraId="4460C5BA"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10=6/3*100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F8E5799" w14:textId="77777777" w:rsidR="00DB70CA" w:rsidRPr="00736448" w:rsidRDefault="00DB70CA" w:rsidP="00B27804">
            <w:pPr>
              <w:spacing w:after="0" w:line="240" w:lineRule="auto"/>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11=7-4</w:t>
            </w:r>
          </w:p>
        </w:tc>
        <w:tc>
          <w:tcPr>
            <w:tcW w:w="853" w:type="dxa"/>
            <w:tcBorders>
              <w:top w:val="nil"/>
              <w:left w:val="nil"/>
              <w:bottom w:val="single" w:sz="4" w:space="0" w:color="auto"/>
              <w:right w:val="single" w:sz="4" w:space="0" w:color="auto"/>
            </w:tcBorders>
            <w:shd w:val="clear" w:color="auto" w:fill="FFFFFF" w:themeFill="background1"/>
            <w:noWrap/>
            <w:vAlign w:val="bottom"/>
            <w:hideMark/>
          </w:tcPr>
          <w:p w14:paraId="22C3590F" w14:textId="77777777" w:rsidR="00DB70CA" w:rsidRPr="00736448" w:rsidRDefault="00DB70CA" w:rsidP="00B27804">
            <w:pPr>
              <w:spacing w:after="0" w:line="240" w:lineRule="auto"/>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12=7/4</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3B3C4B13" w14:textId="77777777" w:rsidR="00DB70CA" w:rsidRPr="00736448" w:rsidRDefault="00DB70CA" w:rsidP="00B27804">
            <w:pPr>
              <w:spacing w:after="0" w:line="240" w:lineRule="auto"/>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13=8-5</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1318DB57" w14:textId="77777777" w:rsidR="00DB70CA" w:rsidRPr="00736448" w:rsidRDefault="00DB70CA" w:rsidP="00B27804">
            <w:pPr>
              <w:spacing w:after="0" w:line="240" w:lineRule="auto"/>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14=8/5</w:t>
            </w:r>
          </w:p>
        </w:tc>
      </w:tr>
      <w:tr w:rsidR="00DB70CA" w:rsidRPr="00B7675F" w14:paraId="1D3CFF6A" w14:textId="77777777" w:rsidTr="00B27804">
        <w:trPr>
          <w:trHeight w:val="1680"/>
        </w:trPr>
        <w:tc>
          <w:tcPr>
            <w:tcW w:w="2258" w:type="dxa"/>
            <w:vMerge w:val="restart"/>
            <w:tcBorders>
              <w:top w:val="nil"/>
              <w:left w:val="single" w:sz="4" w:space="0" w:color="auto"/>
              <w:bottom w:val="single" w:sz="4" w:space="0" w:color="auto"/>
              <w:right w:val="single" w:sz="4" w:space="0" w:color="auto"/>
            </w:tcBorders>
            <w:shd w:val="clear" w:color="auto" w:fill="FFFFFF" w:themeFill="background1"/>
            <w:hideMark/>
          </w:tcPr>
          <w:p w14:paraId="0567F3C0" w14:textId="1A45642C" w:rsidR="00DB70CA" w:rsidRPr="00F909DB" w:rsidRDefault="00DB70CA" w:rsidP="00F909DB">
            <w:pPr>
              <w:spacing w:after="0" w:line="240" w:lineRule="auto"/>
              <w:jc w:val="both"/>
              <w:rPr>
                <w:rFonts w:asciiTheme="majorHAnsi" w:eastAsia="Times New Roman" w:hAnsiTheme="majorHAnsi" w:cstheme="majorHAnsi"/>
                <w:color w:val="333333"/>
                <w:sz w:val="16"/>
                <w:szCs w:val="18"/>
                <w:lang w:val="ru-RU"/>
              </w:rPr>
            </w:pPr>
            <w:r w:rsidRPr="00736448">
              <w:rPr>
                <w:rFonts w:asciiTheme="majorHAnsi" w:eastAsia="Times New Roman" w:hAnsiTheme="majorHAnsi" w:cstheme="majorHAnsi"/>
                <w:color w:val="333333"/>
                <w:sz w:val="16"/>
                <w:szCs w:val="18"/>
                <w:lang w:val="ro-MD"/>
              </w:rPr>
              <w:t xml:space="preserve">1.1. </w:t>
            </w:r>
            <w:r w:rsidR="00F909DB" w:rsidRPr="00F909DB">
              <w:rPr>
                <w:rFonts w:asciiTheme="majorHAnsi" w:eastAsia="Times New Roman" w:hAnsiTheme="majorHAnsi" w:cstheme="majorHAnsi"/>
                <w:color w:val="333333"/>
                <w:sz w:val="16"/>
                <w:szCs w:val="18"/>
                <w:lang w:val="ro-RO"/>
              </w:rPr>
              <w:t>Работодатель, юридическое или физическое лицо, приравненное к работодателю:</w:t>
            </w:r>
            <w:r w:rsidR="00F909DB" w:rsidRPr="00F909DB">
              <w:rPr>
                <w:rFonts w:asciiTheme="majorHAnsi" w:eastAsia="Times New Roman" w:hAnsiTheme="majorHAnsi" w:cstheme="majorHAnsi"/>
                <w:color w:val="333333"/>
                <w:sz w:val="16"/>
                <w:szCs w:val="18"/>
                <w:lang w:val="ro-RO"/>
              </w:rPr>
              <w:br/>
              <w:t>– за лиц, работающих по индивидуальному трудовому договору, лиц, находящихся в служебных отношениях на основании административного акта или работающих по иным гражданским договорам о выполнении работ или оказании услуг, за исключением лиц, указанных в пунктах 1.2–1.5;</w:t>
            </w:r>
            <w:r w:rsidR="00F909DB" w:rsidRPr="00F909DB">
              <w:rPr>
                <w:rFonts w:asciiTheme="majorHAnsi" w:eastAsia="Times New Roman" w:hAnsiTheme="majorHAnsi" w:cstheme="majorHAnsi"/>
                <w:color w:val="333333"/>
                <w:sz w:val="16"/>
                <w:szCs w:val="18"/>
                <w:lang w:val="ro-RO"/>
              </w:rPr>
              <w:br/>
              <w:t>– за работающих и/или других физических лиц на основании гражданских договоров о выполнении работ или оказании услуг, в случае резидентов информационно-технологических парков;</w:t>
            </w:r>
            <w:r w:rsidR="00F909DB" w:rsidRPr="00F909DB">
              <w:rPr>
                <w:rFonts w:asciiTheme="majorHAnsi" w:eastAsia="Times New Roman" w:hAnsiTheme="majorHAnsi" w:cstheme="majorHAnsi"/>
                <w:color w:val="333333"/>
                <w:sz w:val="16"/>
                <w:szCs w:val="18"/>
                <w:lang w:val="ro-RO"/>
              </w:rPr>
              <w:br/>
              <w:t>– за граждан Республики Молдова, работающих по договору в международных проектах,</w:t>
            </w:r>
            <w:r w:rsidRPr="00736448">
              <w:rPr>
                <w:rFonts w:asciiTheme="majorHAnsi" w:eastAsia="Times New Roman" w:hAnsiTheme="majorHAnsi" w:cstheme="majorHAnsi"/>
                <w:color w:val="333333"/>
                <w:sz w:val="16"/>
                <w:szCs w:val="18"/>
                <w:lang w:val="ro-MD"/>
              </w:rPr>
              <w:t xml:space="preserve"> </w:t>
            </w:r>
            <w:r w:rsidR="00F909DB" w:rsidRPr="00F909DB">
              <w:rPr>
                <w:rFonts w:asciiTheme="majorHAnsi" w:eastAsia="Times New Roman" w:hAnsiTheme="majorHAnsi" w:cstheme="majorHAnsi"/>
                <w:color w:val="333333"/>
                <w:sz w:val="16"/>
                <w:szCs w:val="18"/>
                <w:lang w:val="ro-RO"/>
              </w:rPr>
              <w:t>учреждениях и организациях, независимо от источника финансирования деятельности, если международными соглашениями, стороной которых является Республика Молдова, не предусмотрено освобождение от уплаты взносов обязательного государственного социального страхования;</w:t>
            </w:r>
            <w:r w:rsidR="00F909DB" w:rsidRPr="00F909DB">
              <w:rPr>
                <w:rFonts w:asciiTheme="majorHAnsi" w:eastAsia="Times New Roman" w:hAnsiTheme="majorHAnsi" w:cstheme="majorHAnsi"/>
                <w:color w:val="333333"/>
                <w:sz w:val="16"/>
                <w:szCs w:val="18"/>
                <w:lang w:val="ro-RO"/>
              </w:rPr>
              <w:br/>
              <w:t>– за лиц, работающих на выборных должностях или назначенных в органы исполнительной власти;</w:t>
            </w:r>
            <w:r w:rsidR="00F909DB" w:rsidRPr="00F909DB">
              <w:rPr>
                <w:rFonts w:asciiTheme="majorHAnsi" w:eastAsia="Times New Roman" w:hAnsiTheme="majorHAnsi" w:cstheme="majorHAnsi"/>
                <w:color w:val="333333"/>
                <w:sz w:val="16"/>
                <w:szCs w:val="18"/>
                <w:lang w:val="ro-RO"/>
              </w:rPr>
              <w:br/>
              <w:t>– за судей, прокуроров, народных адвокатов</w:t>
            </w:r>
          </w:p>
        </w:tc>
        <w:tc>
          <w:tcPr>
            <w:tcW w:w="1981" w:type="dxa"/>
            <w:tcBorders>
              <w:top w:val="nil"/>
              <w:left w:val="nil"/>
              <w:bottom w:val="single" w:sz="4" w:space="0" w:color="auto"/>
              <w:right w:val="single" w:sz="4" w:space="0" w:color="auto"/>
            </w:tcBorders>
            <w:shd w:val="clear" w:color="auto" w:fill="FFFFFF" w:themeFill="background1"/>
            <w:hideMark/>
          </w:tcPr>
          <w:p w14:paraId="5460C24A" w14:textId="77777777" w:rsidR="0050002D" w:rsidRPr="0050002D" w:rsidRDefault="0050002D" w:rsidP="0050002D">
            <w:pPr>
              <w:spacing w:after="0" w:line="240" w:lineRule="auto"/>
              <w:jc w:val="both"/>
              <w:rPr>
                <w:rFonts w:asciiTheme="majorHAnsi" w:eastAsia="Times New Roman" w:hAnsiTheme="majorHAnsi" w:cstheme="majorHAnsi"/>
                <w:color w:val="333333"/>
                <w:sz w:val="16"/>
                <w:szCs w:val="18"/>
                <w:lang w:val="ro-RO"/>
              </w:rPr>
            </w:pPr>
            <w:r w:rsidRPr="0050002D">
              <w:rPr>
                <w:rFonts w:asciiTheme="majorHAnsi" w:eastAsia="Times New Roman" w:hAnsiTheme="majorHAnsi" w:cstheme="majorHAnsi"/>
                <w:color w:val="333333"/>
                <w:sz w:val="16"/>
                <w:szCs w:val="18"/>
                <w:lang w:val="ro-RO"/>
              </w:rPr>
              <w:t>29 процентов на фонд заработных плат и другие выплаты, ежемесячно начисляемые всем работникам,</w:t>
            </w:r>
          </w:p>
          <w:p w14:paraId="7FFEB7AE" w14:textId="1F0A645B" w:rsidR="00DB70CA" w:rsidRPr="00736448" w:rsidRDefault="0050002D" w:rsidP="0050002D">
            <w:pPr>
              <w:spacing w:after="0" w:line="240" w:lineRule="auto"/>
              <w:jc w:val="both"/>
              <w:rPr>
                <w:rFonts w:asciiTheme="majorHAnsi" w:eastAsia="Times New Roman" w:hAnsiTheme="majorHAnsi" w:cstheme="majorHAnsi"/>
                <w:color w:val="333333"/>
                <w:sz w:val="16"/>
                <w:szCs w:val="18"/>
                <w:lang w:val="ro-MD"/>
              </w:rPr>
            </w:pPr>
            <w:r w:rsidRPr="0050002D">
              <w:rPr>
                <w:rFonts w:asciiTheme="majorHAnsi" w:eastAsia="Times New Roman" w:hAnsiTheme="majorHAnsi" w:cstheme="majorHAnsi"/>
                <w:color w:val="333333"/>
                <w:sz w:val="16"/>
                <w:szCs w:val="18"/>
                <w:lang w:val="ro-RO"/>
              </w:rPr>
              <w:t>– для работодателей бюджетных органов/учреждений и публичных органов/учреждений на самоуправлении, за исключением учреждений высшего образования и медико-санитарных учреждений</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69D9917C"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185235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AAF24E0"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16884940,3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C26959F"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4896628,7</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F46ABFC"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181845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540B75E"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19146426,2</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6EC75C4D"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5552461</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712CD6ED"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-3390</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603E4419"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98,17%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FC7529D"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2261485,9</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2CB94194"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113,39%</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5A159DDC"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655832,3</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0A55EBA0"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113,39%</w:t>
            </w:r>
          </w:p>
        </w:tc>
      </w:tr>
      <w:tr w:rsidR="00DB70CA" w:rsidRPr="00B7675F" w14:paraId="59BBE57D" w14:textId="77777777" w:rsidTr="00B27804">
        <w:trPr>
          <w:trHeight w:val="1200"/>
        </w:trPr>
        <w:tc>
          <w:tcPr>
            <w:tcW w:w="225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1F5861" w14:textId="77777777" w:rsidR="00DB70CA" w:rsidRPr="00736448" w:rsidRDefault="00DB70CA" w:rsidP="00B27804">
            <w:pPr>
              <w:spacing w:after="0" w:line="240" w:lineRule="auto"/>
              <w:rPr>
                <w:rFonts w:asciiTheme="majorHAnsi" w:eastAsia="Times New Roman" w:hAnsiTheme="majorHAnsi" w:cstheme="majorHAnsi"/>
                <w:color w:val="333333"/>
                <w:sz w:val="16"/>
                <w:szCs w:val="18"/>
                <w:lang w:val="ro-MD"/>
              </w:rPr>
            </w:pPr>
          </w:p>
        </w:tc>
        <w:tc>
          <w:tcPr>
            <w:tcW w:w="1981" w:type="dxa"/>
            <w:tcBorders>
              <w:top w:val="nil"/>
              <w:left w:val="nil"/>
              <w:bottom w:val="single" w:sz="4" w:space="0" w:color="auto"/>
              <w:right w:val="single" w:sz="4" w:space="0" w:color="auto"/>
            </w:tcBorders>
            <w:shd w:val="clear" w:color="auto" w:fill="FFFFFF" w:themeFill="background1"/>
            <w:hideMark/>
          </w:tcPr>
          <w:p w14:paraId="153D5FB4" w14:textId="77777777" w:rsidR="0050002D" w:rsidRPr="0050002D" w:rsidRDefault="0050002D" w:rsidP="0050002D">
            <w:pPr>
              <w:spacing w:after="0" w:line="240" w:lineRule="auto"/>
              <w:jc w:val="both"/>
              <w:rPr>
                <w:rFonts w:asciiTheme="majorHAnsi" w:eastAsia="Times New Roman" w:hAnsiTheme="majorHAnsi" w:cstheme="majorHAnsi"/>
                <w:color w:val="333333"/>
                <w:sz w:val="16"/>
                <w:szCs w:val="18"/>
                <w:lang w:val="ro-RO"/>
              </w:rPr>
            </w:pPr>
            <w:r w:rsidRPr="0050002D">
              <w:rPr>
                <w:rFonts w:asciiTheme="majorHAnsi" w:eastAsia="Times New Roman" w:hAnsiTheme="majorHAnsi" w:cstheme="majorHAnsi"/>
                <w:color w:val="333333"/>
                <w:sz w:val="16"/>
                <w:szCs w:val="18"/>
                <w:lang w:val="ro-RO"/>
              </w:rPr>
              <w:t>24 процента на фонд заработных плат и другие выплаты, ежемесячно начисляемые всем работникам,</w:t>
            </w:r>
          </w:p>
          <w:p w14:paraId="758E5707" w14:textId="6E8D3855" w:rsidR="00DB70CA" w:rsidRPr="00736448" w:rsidRDefault="0050002D" w:rsidP="0050002D">
            <w:pPr>
              <w:spacing w:after="0" w:line="240" w:lineRule="auto"/>
              <w:jc w:val="both"/>
              <w:rPr>
                <w:rFonts w:asciiTheme="majorHAnsi" w:eastAsia="Times New Roman" w:hAnsiTheme="majorHAnsi" w:cstheme="majorHAnsi"/>
                <w:color w:val="333333"/>
                <w:sz w:val="16"/>
                <w:szCs w:val="18"/>
                <w:lang w:val="ro-MD"/>
              </w:rPr>
            </w:pPr>
            <w:r w:rsidRPr="0050002D">
              <w:rPr>
                <w:rFonts w:asciiTheme="majorHAnsi" w:eastAsia="Times New Roman" w:hAnsiTheme="majorHAnsi" w:cstheme="majorHAnsi"/>
                <w:color w:val="333333"/>
                <w:sz w:val="16"/>
                <w:szCs w:val="18"/>
                <w:lang w:val="ro-RO"/>
              </w:rPr>
              <w:t>– для работодателей частного сектора, учреждений высшего образования и медико-санитарных учреждений</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70ADA6EB"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550769</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0E97D7B"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45622905,8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87FB81E"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10949624,4</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6C727F9"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552622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1554376"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52378500,8</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1F09F510"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12570863,5</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5C0B2F91"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1853</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342CB5D4"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100,34%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32484BED"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6755595,0</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1A9588A2"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114,81%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75A777E7"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1621239,1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34AFDCF1"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114,81%</w:t>
            </w:r>
          </w:p>
        </w:tc>
      </w:tr>
      <w:tr w:rsidR="00DB70CA" w:rsidRPr="00B7675F" w14:paraId="0946E0B3" w14:textId="77777777" w:rsidTr="00B27804">
        <w:trPr>
          <w:trHeight w:val="1440"/>
        </w:trPr>
        <w:tc>
          <w:tcPr>
            <w:tcW w:w="2258" w:type="dxa"/>
            <w:vMerge w:val="restart"/>
            <w:tcBorders>
              <w:top w:val="nil"/>
              <w:left w:val="single" w:sz="4" w:space="0" w:color="auto"/>
              <w:bottom w:val="single" w:sz="4" w:space="0" w:color="auto"/>
              <w:right w:val="single" w:sz="4" w:space="0" w:color="auto"/>
            </w:tcBorders>
            <w:shd w:val="clear" w:color="auto" w:fill="FFFFFF" w:themeFill="background1"/>
            <w:hideMark/>
          </w:tcPr>
          <w:p w14:paraId="071BB6D5" w14:textId="77777777" w:rsidR="0050002D" w:rsidRPr="0050002D" w:rsidRDefault="00DB70CA" w:rsidP="0050002D">
            <w:pPr>
              <w:spacing w:after="0" w:line="240" w:lineRule="auto"/>
              <w:jc w:val="both"/>
              <w:rPr>
                <w:rFonts w:asciiTheme="majorHAnsi" w:eastAsia="Times New Roman" w:hAnsiTheme="majorHAnsi" w:cstheme="majorHAnsi"/>
                <w:color w:val="333333"/>
                <w:sz w:val="16"/>
                <w:szCs w:val="18"/>
                <w:lang w:val="ro-RO"/>
              </w:rPr>
            </w:pPr>
            <w:r w:rsidRPr="00736448">
              <w:rPr>
                <w:rFonts w:asciiTheme="majorHAnsi" w:eastAsia="Times New Roman" w:hAnsiTheme="majorHAnsi" w:cstheme="majorHAnsi"/>
                <w:color w:val="333333"/>
                <w:sz w:val="16"/>
                <w:szCs w:val="18"/>
                <w:lang w:val="ro-MD"/>
              </w:rPr>
              <w:t xml:space="preserve">1.2. </w:t>
            </w:r>
            <w:r w:rsidR="0050002D" w:rsidRPr="0050002D">
              <w:rPr>
                <w:rFonts w:asciiTheme="majorHAnsi" w:eastAsia="Times New Roman" w:hAnsiTheme="majorHAnsi" w:cstheme="majorHAnsi"/>
                <w:color w:val="333333"/>
                <w:sz w:val="16"/>
                <w:szCs w:val="18"/>
                <w:lang w:val="ro-RO"/>
              </w:rPr>
              <w:t>Работодатель</w:t>
            </w:r>
          </w:p>
          <w:p w14:paraId="185FC162" w14:textId="4D41B9B5" w:rsidR="00DB70CA" w:rsidRPr="00736448" w:rsidRDefault="0050002D" w:rsidP="0050002D">
            <w:pPr>
              <w:spacing w:after="0" w:line="240" w:lineRule="auto"/>
              <w:jc w:val="both"/>
              <w:rPr>
                <w:rFonts w:asciiTheme="majorHAnsi" w:eastAsia="Times New Roman" w:hAnsiTheme="majorHAnsi" w:cstheme="majorHAnsi"/>
                <w:color w:val="333333"/>
                <w:sz w:val="16"/>
                <w:szCs w:val="18"/>
                <w:lang w:val="ro-MD"/>
              </w:rPr>
            </w:pPr>
            <w:r w:rsidRPr="0050002D">
              <w:rPr>
                <w:rFonts w:asciiTheme="majorHAnsi" w:eastAsia="Times New Roman" w:hAnsiTheme="majorHAnsi" w:cstheme="majorHAnsi"/>
                <w:color w:val="333333"/>
                <w:sz w:val="16"/>
                <w:szCs w:val="18"/>
                <w:lang w:val="ro-RO"/>
              </w:rPr>
              <w:t>– за лиц, работающих по индивидуальному трудовому договору или иным договорам о выполнении работ или оказании услуг, работающих в специальных условиях труда, согласно приложению 2</w:t>
            </w:r>
          </w:p>
        </w:tc>
        <w:tc>
          <w:tcPr>
            <w:tcW w:w="1981" w:type="dxa"/>
            <w:tcBorders>
              <w:top w:val="nil"/>
              <w:left w:val="nil"/>
              <w:bottom w:val="single" w:sz="4" w:space="0" w:color="auto"/>
              <w:right w:val="single" w:sz="4" w:space="0" w:color="auto"/>
            </w:tcBorders>
            <w:shd w:val="clear" w:color="auto" w:fill="FFFFFF" w:themeFill="background1"/>
            <w:hideMark/>
          </w:tcPr>
          <w:p w14:paraId="30CD33B9" w14:textId="77777777" w:rsidR="0050002D" w:rsidRPr="0050002D" w:rsidRDefault="0050002D" w:rsidP="0050002D">
            <w:pPr>
              <w:spacing w:after="0" w:line="240" w:lineRule="auto"/>
              <w:jc w:val="both"/>
              <w:rPr>
                <w:rFonts w:asciiTheme="majorHAnsi" w:eastAsia="Times New Roman" w:hAnsiTheme="majorHAnsi" w:cstheme="majorHAnsi"/>
                <w:color w:val="333333"/>
                <w:sz w:val="16"/>
                <w:szCs w:val="18"/>
                <w:lang w:val="ro-RO"/>
              </w:rPr>
            </w:pPr>
            <w:r w:rsidRPr="0050002D">
              <w:rPr>
                <w:rFonts w:asciiTheme="majorHAnsi" w:eastAsia="Times New Roman" w:hAnsiTheme="majorHAnsi" w:cstheme="majorHAnsi"/>
                <w:color w:val="333333"/>
                <w:sz w:val="16"/>
                <w:szCs w:val="18"/>
                <w:lang w:val="ro-RO"/>
              </w:rPr>
              <w:t>39 процентов на фонд заработных плат и другие выплаты, ежемесячно начисляемые всем работникам,</w:t>
            </w:r>
          </w:p>
          <w:p w14:paraId="2C8A7F54" w14:textId="4B461939" w:rsidR="00DB70CA" w:rsidRPr="00736448" w:rsidRDefault="0050002D" w:rsidP="0050002D">
            <w:pPr>
              <w:spacing w:after="0" w:line="240" w:lineRule="auto"/>
              <w:jc w:val="both"/>
              <w:rPr>
                <w:rFonts w:asciiTheme="majorHAnsi" w:eastAsia="Times New Roman" w:hAnsiTheme="majorHAnsi" w:cstheme="majorHAnsi"/>
                <w:color w:val="333333"/>
                <w:sz w:val="16"/>
                <w:szCs w:val="18"/>
                <w:lang w:val="ro-MD"/>
              </w:rPr>
            </w:pPr>
            <w:r w:rsidRPr="0050002D">
              <w:rPr>
                <w:rFonts w:asciiTheme="majorHAnsi" w:eastAsia="Times New Roman" w:hAnsiTheme="majorHAnsi" w:cstheme="majorHAnsi"/>
                <w:color w:val="333333"/>
                <w:sz w:val="16"/>
                <w:szCs w:val="18"/>
                <w:lang w:val="ro-RO"/>
              </w:rPr>
              <w:t>– для работодателей бюджетных органов/учреждений и публичных органов/учреждений на самоуправлении, за исключением работодателей частного сектора</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5843923B"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217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34DBDAC"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3066,5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87239F7"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1196,0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1268156"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D3C9A75"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764,4</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38FE48A8"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298</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0E3619D2"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-215</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4C893706"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0,92%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710C1B0"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-2302,1</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68E354FA"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24,93%</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743FE511"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-898,0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5243ACBE"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24,92%</w:t>
            </w:r>
          </w:p>
        </w:tc>
      </w:tr>
      <w:tr w:rsidR="00DB70CA" w:rsidRPr="00B7675F" w14:paraId="274F2260" w14:textId="77777777" w:rsidTr="00B27804">
        <w:trPr>
          <w:trHeight w:val="720"/>
        </w:trPr>
        <w:tc>
          <w:tcPr>
            <w:tcW w:w="225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F26E72D" w14:textId="77777777" w:rsidR="00DB70CA" w:rsidRPr="00736448" w:rsidRDefault="00DB70CA" w:rsidP="00B27804">
            <w:pPr>
              <w:spacing w:after="0" w:line="240" w:lineRule="auto"/>
              <w:rPr>
                <w:rFonts w:asciiTheme="majorHAnsi" w:eastAsia="Times New Roman" w:hAnsiTheme="majorHAnsi" w:cstheme="majorHAnsi"/>
                <w:color w:val="333333"/>
                <w:sz w:val="16"/>
                <w:szCs w:val="18"/>
                <w:lang w:val="ro-MD"/>
              </w:rPr>
            </w:pPr>
          </w:p>
        </w:tc>
        <w:tc>
          <w:tcPr>
            <w:tcW w:w="1981" w:type="dxa"/>
            <w:tcBorders>
              <w:top w:val="nil"/>
              <w:left w:val="nil"/>
              <w:bottom w:val="single" w:sz="4" w:space="0" w:color="auto"/>
              <w:right w:val="single" w:sz="4" w:space="0" w:color="auto"/>
            </w:tcBorders>
            <w:shd w:val="clear" w:color="auto" w:fill="FFFFFF" w:themeFill="background1"/>
            <w:hideMark/>
          </w:tcPr>
          <w:p w14:paraId="69771F4D" w14:textId="77777777" w:rsidR="0050002D" w:rsidRPr="0050002D" w:rsidRDefault="0050002D" w:rsidP="0050002D">
            <w:pPr>
              <w:spacing w:after="0" w:line="240" w:lineRule="auto"/>
              <w:jc w:val="both"/>
              <w:rPr>
                <w:rFonts w:asciiTheme="majorHAnsi" w:eastAsia="Times New Roman" w:hAnsiTheme="majorHAnsi" w:cstheme="majorHAnsi"/>
                <w:color w:val="333333"/>
                <w:sz w:val="16"/>
                <w:szCs w:val="18"/>
                <w:lang w:val="ro-RO"/>
              </w:rPr>
            </w:pPr>
            <w:r w:rsidRPr="0050002D">
              <w:rPr>
                <w:rFonts w:asciiTheme="majorHAnsi" w:eastAsia="Times New Roman" w:hAnsiTheme="majorHAnsi" w:cstheme="majorHAnsi"/>
                <w:color w:val="333333"/>
                <w:sz w:val="16"/>
                <w:szCs w:val="18"/>
                <w:lang w:val="ro-RO"/>
              </w:rPr>
              <w:t>32 процента на фонд заработных плат и другие выплаты, ежемесячно начисляемые всем работникам,</w:t>
            </w:r>
          </w:p>
          <w:p w14:paraId="127F9360" w14:textId="19F8C084" w:rsidR="00DB70CA" w:rsidRPr="00736448" w:rsidRDefault="0050002D" w:rsidP="0050002D">
            <w:pPr>
              <w:spacing w:after="0" w:line="240" w:lineRule="auto"/>
              <w:jc w:val="both"/>
              <w:rPr>
                <w:rFonts w:asciiTheme="majorHAnsi" w:eastAsia="Times New Roman" w:hAnsiTheme="majorHAnsi" w:cstheme="majorHAnsi"/>
                <w:color w:val="333333"/>
                <w:sz w:val="16"/>
                <w:szCs w:val="18"/>
                <w:lang w:val="ro-MD"/>
              </w:rPr>
            </w:pPr>
            <w:r w:rsidRPr="0050002D">
              <w:rPr>
                <w:rFonts w:asciiTheme="majorHAnsi" w:eastAsia="Times New Roman" w:hAnsiTheme="majorHAnsi" w:cstheme="majorHAnsi"/>
                <w:color w:val="333333"/>
                <w:sz w:val="16"/>
                <w:szCs w:val="18"/>
                <w:lang w:val="ro-RO"/>
              </w:rPr>
              <w:t>– для работодателей частного сектора</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43457E40"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520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C0935D0"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145516,3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68626139"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46564,8</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138C0CB"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607</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948F39B"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244278,6</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1EB63C34"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78169,7</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503067E3"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87</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6C0E56DD"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116,73%</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7D274F99"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98762,3</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68258F66"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167,87%</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03FB2EC6"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31604,9</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563E18ED"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167,87%</w:t>
            </w:r>
          </w:p>
        </w:tc>
      </w:tr>
      <w:tr w:rsidR="00DB70CA" w:rsidRPr="00B7675F" w14:paraId="0A429756" w14:textId="77777777" w:rsidTr="00B27804">
        <w:trPr>
          <w:trHeight w:val="1200"/>
        </w:trPr>
        <w:tc>
          <w:tcPr>
            <w:tcW w:w="2258" w:type="dxa"/>
            <w:tcBorders>
              <w:top w:val="nil"/>
              <w:left w:val="single" w:sz="4" w:space="0" w:color="auto"/>
              <w:bottom w:val="single" w:sz="4" w:space="0" w:color="auto"/>
              <w:right w:val="single" w:sz="4" w:space="0" w:color="auto"/>
            </w:tcBorders>
            <w:shd w:val="clear" w:color="auto" w:fill="FFFFFF" w:themeFill="background1"/>
            <w:hideMark/>
          </w:tcPr>
          <w:p w14:paraId="21E69465" w14:textId="68F99B8C" w:rsidR="00DB70CA" w:rsidRPr="0050002D" w:rsidRDefault="00DB70CA" w:rsidP="00B27804">
            <w:pPr>
              <w:spacing w:after="0" w:line="240" w:lineRule="auto"/>
              <w:jc w:val="both"/>
              <w:rPr>
                <w:rFonts w:asciiTheme="majorHAnsi" w:eastAsia="Times New Roman" w:hAnsiTheme="majorHAnsi" w:cstheme="majorHAnsi"/>
                <w:color w:val="333333"/>
                <w:sz w:val="16"/>
                <w:szCs w:val="18"/>
                <w:lang w:val="ru-RU"/>
              </w:rPr>
            </w:pPr>
            <w:r w:rsidRPr="00736448">
              <w:rPr>
                <w:rFonts w:asciiTheme="majorHAnsi" w:eastAsia="Times New Roman" w:hAnsiTheme="majorHAnsi" w:cstheme="majorHAnsi"/>
                <w:color w:val="333333"/>
                <w:sz w:val="16"/>
                <w:szCs w:val="18"/>
                <w:lang w:val="ro-MD"/>
              </w:rPr>
              <w:t xml:space="preserve">1.3. </w:t>
            </w:r>
            <w:r w:rsidR="0050002D" w:rsidRPr="0050002D">
              <w:rPr>
                <w:rFonts w:asciiTheme="majorHAnsi" w:eastAsia="Times New Roman" w:hAnsiTheme="majorHAnsi" w:cstheme="majorHAnsi"/>
                <w:color w:val="333333"/>
                <w:sz w:val="16"/>
                <w:szCs w:val="18"/>
                <w:lang w:val="ro-RO"/>
              </w:rPr>
              <w:t>Лица, самостоятельно осуществляющие профессиональную врачебную деятельность в одной из форм организации профессиональной деятельности, предусмотренных Законом об охране здоровья № 411/1995</w:t>
            </w:r>
          </w:p>
        </w:tc>
        <w:tc>
          <w:tcPr>
            <w:tcW w:w="1981" w:type="dxa"/>
            <w:tcBorders>
              <w:top w:val="nil"/>
              <w:left w:val="nil"/>
              <w:bottom w:val="single" w:sz="4" w:space="0" w:color="auto"/>
              <w:right w:val="single" w:sz="4" w:space="0" w:color="auto"/>
            </w:tcBorders>
            <w:shd w:val="clear" w:color="auto" w:fill="FFFFFF" w:themeFill="background1"/>
            <w:hideMark/>
          </w:tcPr>
          <w:p w14:paraId="25D7A02A" w14:textId="10B01801" w:rsidR="00DB70CA" w:rsidRPr="0050002D" w:rsidRDefault="0050002D" w:rsidP="00B27804">
            <w:pPr>
              <w:spacing w:after="0" w:line="240" w:lineRule="auto"/>
              <w:jc w:val="both"/>
              <w:rPr>
                <w:rFonts w:asciiTheme="majorHAnsi" w:eastAsia="Times New Roman" w:hAnsiTheme="majorHAnsi" w:cstheme="majorHAnsi"/>
                <w:color w:val="333333"/>
                <w:sz w:val="16"/>
                <w:szCs w:val="18"/>
                <w:lang w:val="ru-RU"/>
              </w:rPr>
            </w:pPr>
            <w:r w:rsidRPr="0050002D">
              <w:rPr>
                <w:rFonts w:asciiTheme="majorHAnsi" w:eastAsia="Times New Roman" w:hAnsiTheme="majorHAnsi" w:cstheme="majorHAnsi"/>
                <w:color w:val="333333"/>
                <w:sz w:val="16"/>
                <w:szCs w:val="18"/>
                <w:lang w:val="ro-RO"/>
              </w:rPr>
              <w:t>24 процента на доход семейного врача–обладателя практики семейного врача, определенный в соответствии с положениями законодательства</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5C282AF2"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45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C046EE4"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13050,4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11EE6AA"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3132,1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983C653"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39</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F5C2B55"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13829,7</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5DF712CD"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3320,2</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6A9921C7"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-6</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0FB1D14C"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86,67%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33B709B5"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779,3</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0FFC27F8"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105,97%</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579605F2"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188,1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316EFF3D"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106,01%</w:t>
            </w:r>
          </w:p>
        </w:tc>
      </w:tr>
      <w:tr w:rsidR="00DB70CA" w:rsidRPr="00B7675F" w14:paraId="33B67B7B" w14:textId="77777777" w:rsidTr="00B27804">
        <w:trPr>
          <w:trHeight w:val="720"/>
        </w:trPr>
        <w:tc>
          <w:tcPr>
            <w:tcW w:w="2258" w:type="dxa"/>
            <w:tcBorders>
              <w:top w:val="nil"/>
              <w:left w:val="single" w:sz="4" w:space="0" w:color="auto"/>
              <w:bottom w:val="single" w:sz="4" w:space="0" w:color="auto"/>
              <w:right w:val="single" w:sz="4" w:space="0" w:color="auto"/>
            </w:tcBorders>
            <w:shd w:val="clear" w:color="auto" w:fill="FFFFFF" w:themeFill="background1"/>
            <w:hideMark/>
          </w:tcPr>
          <w:p w14:paraId="37B47F5B" w14:textId="158B5970" w:rsidR="00DB70CA" w:rsidRPr="00736448" w:rsidRDefault="00DB70CA" w:rsidP="0050002D">
            <w:pPr>
              <w:spacing w:after="0" w:line="240" w:lineRule="auto"/>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 xml:space="preserve">1.4. </w:t>
            </w:r>
            <w:r w:rsidR="0050002D" w:rsidRPr="0050002D">
              <w:rPr>
                <w:rFonts w:asciiTheme="majorHAnsi" w:eastAsia="Times New Roman" w:hAnsiTheme="majorHAnsi" w:cstheme="majorHAnsi"/>
                <w:color w:val="333333"/>
                <w:sz w:val="16"/>
                <w:szCs w:val="18"/>
                <w:lang w:val="ro-RO"/>
              </w:rPr>
              <w:t>Резиденты информационно-технологических парков</w:t>
            </w:r>
          </w:p>
        </w:tc>
        <w:tc>
          <w:tcPr>
            <w:tcW w:w="1981" w:type="dxa"/>
            <w:tcBorders>
              <w:top w:val="nil"/>
              <w:left w:val="nil"/>
              <w:bottom w:val="single" w:sz="4" w:space="0" w:color="auto"/>
              <w:right w:val="single" w:sz="4" w:space="0" w:color="auto"/>
            </w:tcBorders>
            <w:shd w:val="clear" w:color="auto" w:fill="FFFFFF" w:themeFill="background1"/>
            <w:hideMark/>
          </w:tcPr>
          <w:p w14:paraId="47933390" w14:textId="77777777" w:rsidR="0050002D" w:rsidRPr="0050002D" w:rsidRDefault="0050002D" w:rsidP="0050002D">
            <w:pPr>
              <w:spacing w:after="0" w:line="240" w:lineRule="auto"/>
              <w:jc w:val="both"/>
              <w:rPr>
                <w:rFonts w:asciiTheme="majorHAnsi" w:eastAsia="Times New Roman" w:hAnsiTheme="majorHAnsi" w:cstheme="majorHAnsi"/>
                <w:color w:val="333333"/>
                <w:sz w:val="16"/>
                <w:szCs w:val="18"/>
                <w:lang w:val="ro-RO"/>
              </w:rPr>
            </w:pPr>
            <w:r w:rsidRPr="0050002D">
              <w:rPr>
                <w:rFonts w:asciiTheme="majorHAnsi" w:eastAsia="Times New Roman" w:hAnsiTheme="majorHAnsi" w:cstheme="majorHAnsi"/>
                <w:color w:val="333333"/>
                <w:sz w:val="16"/>
                <w:szCs w:val="18"/>
                <w:lang w:val="ro-RO"/>
              </w:rPr>
              <w:t>В соответствии с Законом об информационно-технологических парках</w:t>
            </w:r>
          </w:p>
          <w:p w14:paraId="228699FB" w14:textId="752E08EE" w:rsidR="00DB70CA" w:rsidRPr="00736448" w:rsidRDefault="0050002D" w:rsidP="0050002D">
            <w:pPr>
              <w:spacing w:after="0" w:line="240" w:lineRule="auto"/>
              <w:jc w:val="both"/>
              <w:rPr>
                <w:rFonts w:asciiTheme="majorHAnsi" w:eastAsia="Times New Roman" w:hAnsiTheme="majorHAnsi" w:cstheme="majorHAnsi"/>
                <w:color w:val="333333"/>
                <w:sz w:val="16"/>
                <w:szCs w:val="18"/>
                <w:lang w:val="ro-MD"/>
              </w:rPr>
            </w:pPr>
            <w:r w:rsidRPr="0050002D">
              <w:rPr>
                <w:rFonts w:asciiTheme="majorHAnsi" w:eastAsia="Times New Roman" w:hAnsiTheme="majorHAnsi" w:cstheme="majorHAnsi"/>
                <w:color w:val="333333"/>
                <w:sz w:val="16"/>
                <w:szCs w:val="18"/>
                <w:lang w:val="ro-RO"/>
              </w:rPr>
              <w:t>№ 77/2016</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20CDF672"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18808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1874391A"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DBF4B13"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297370,9</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EAFED51"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18072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E303F53"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4BFA3994"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432271,7</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597FC84B"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-736</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1633C3CF"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96,09%</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5AEB9884"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1B46E243"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0962E3CF"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134900,8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31CA29E8"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145,36%</w:t>
            </w:r>
          </w:p>
        </w:tc>
      </w:tr>
      <w:tr w:rsidR="00DB70CA" w:rsidRPr="00B7675F" w14:paraId="16AB049B" w14:textId="77777777" w:rsidTr="00B27804">
        <w:trPr>
          <w:trHeight w:val="2640"/>
        </w:trPr>
        <w:tc>
          <w:tcPr>
            <w:tcW w:w="2258" w:type="dxa"/>
            <w:tcBorders>
              <w:top w:val="nil"/>
              <w:left w:val="single" w:sz="4" w:space="0" w:color="auto"/>
              <w:bottom w:val="single" w:sz="4" w:space="0" w:color="auto"/>
              <w:right w:val="single" w:sz="4" w:space="0" w:color="auto"/>
            </w:tcBorders>
            <w:shd w:val="clear" w:color="auto" w:fill="FFFFFF" w:themeFill="background1"/>
            <w:hideMark/>
          </w:tcPr>
          <w:p w14:paraId="693C627D" w14:textId="77777777" w:rsidR="00040AFA" w:rsidRPr="00040AFA" w:rsidRDefault="00DB70CA" w:rsidP="00040AFA">
            <w:pPr>
              <w:spacing w:after="0" w:line="240" w:lineRule="auto"/>
              <w:jc w:val="both"/>
              <w:rPr>
                <w:rFonts w:asciiTheme="majorHAnsi" w:eastAsia="Times New Roman" w:hAnsiTheme="majorHAnsi" w:cstheme="majorHAnsi"/>
                <w:color w:val="333333"/>
                <w:sz w:val="16"/>
                <w:szCs w:val="18"/>
                <w:lang w:val="ro-RO"/>
              </w:rPr>
            </w:pPr>
            <w:r w:rsidRPr="00736448">
              <w:rPr>
                <w:rFonts w:asciiTheme="majorHAnsi" w:eastAsia="Times New Roman" w:hAnsiTheme="majorHAnsi" w:cstheme="majorHAnsi"/>
                <w:color w:val="333333"/>
                <w:sz w:val="16"/>
                <w:szCs w:val="18"/>
                <w:lang w:val="ro-MD"/>
              </w:rPr>
              <w:t xml:space="preserve">1.5. </w:t>
            </w:r>
            <w:r w:rsidR="00040AFA" w:rsidRPr="00040AFA">
              <w:rPr>
                <w:rFonts w:asciiTheme="majorHAnsi" w:eastAsia="Times New Roman" w:hAnsiTheme="majorHAnsi" w:cstheme="majorHAnsi"/>
                <w:color w:val="333333"/>
                <w:sz w:val="16"/>
                <w:szCs w:val="18"/>
                <w:lang w:val="ro-RO"/>
              </w:rPr>
              <w:t>Работодатели в сфере сельского хозяйства (физические и юридические лица), осуществляющие в течение отчетного периода не менее 95 процентов видов деятельности, предусмотренных в группах 01.1–01.6 Классификатора видов экономической деятельности Молдовы,</w:t>
            </w:r>
          </w:p>
          <w:p w14:paraId="7AABDB1F" w14:textId="4C9B4B59" w:rsidR="00DB70CA" w:rsidRPr="00736448" w:rsidRDefault="00040AFA" w:rsidP="00040AFA">
            <w:pPr>
              <w:spacing w:after="0" w:line="240" w:lineRule="auto"/>
              <w:jc w:val="both"/>
              <w:rPr>
                <w:rFonts w:asciiTheme="majorHAnsi" w:eastAsia="Times New Roman" w:hAnsiTheme="majorHAnsi" w:cstheme="majorHAnsi"/>
                <w:color w:val="333333"/>
                <w:sz w:val="16"/>
                <w:szCs w:val="18"/>
                <w:lang w:val="ro-MD"/>
              </w:rPr>
            </w:pPr>
            <w:r w:rsidRPr="00040AFA">
              <w:rPr>
                <w:rFonts w:asciiTheme="majorHAnsi" w:eastAsia="Times New Roman" w:hAnsiTheme="majorHAnsi" w:cstheme="majorHAnsi"/>
                <w:color w:val="333333"/>
                <w:sz w:val="16"/>
                <w:szCs w:val="18"/>
                <w:lang w:val="ro-RO"/>
              </w:rPr>
              <w:t>– за лиц, работающих по индивидуальному трудовому договору или иным договорам о выполнении работ или оказании услуг</w:t>
            </w:r>
            <w:r w:rsidR="00DB70CA" w:rsidRPr="00736448">
              <w:rPr>
                <w:rFonts w:asciiTheme="majorHAnsi" w:eastAsia="Times New Roman" w:hAnsiTheme="majorHAnsi" w:cstheme="majorHAnsi"/>
                <w:color w:val="333333"/>
                <w:sz w:val="16"/>
                <w:szCs w:val="18"/>
                <w:lang w:val="ro-MD"/>
              </w:rPr>
              <w:t>:</w:t>
            </w:r>
          </w:p>
        </w:tc>
        <w:tc>
          <w:tcPr>
            <w:tcW w:w="1981" w:type="dxa"/>
            <w:tcBorders>
              <w:top w:val="nil"/>
              <w:left w:val="nil"/>
              <w:bottom w:val="single" w:sz="4" w:space="0" w:color="auto"/>
              <w:right w:val="single" w:sz="4" w:space="0" w:color="auto"/>
            </w:tcBorders>
            <w:shd w:val="clear" w:color="auto" w:fill="FFFFFF" w:themeFill="background1"/>
            <w:hideMark/>
          </w:tcPr>
          <w:p w14:paraId="47308360" w14:textId="77777777" w:rsidR="00626123" w:rsidRDefault="00040AFA" w:rsidP="00B27804">
            <w:pPr>
              <w:spacing w:after="0" w:line="240" w:lineRule="auto"/>
              <w:jc w:val="both"/>
              <w:rPr>
                <w:rFonts w:asciiTheme="majorHAnsi" w:eastAsia="Times New Roman" w:hAnsiTheme="majorHAnsi" w:cstheme="majorHAnsi"/>
                <w:color w:val="333333"/>
                <w:sz w:val="16"/>
                <w:szCs w:val="18"/>
                <w:lang w:val="ro-MD"/>
              </w:rPr>
            </w:pPr>
            <w:r w:rsidRPr="00040AFA">
              <w:rPr>
                <w:rFonts w:asciiTheme="majorHAnsi" w:eastAsia="Times New Roman" w:hAnsiTheme="majorHAnsi" w:cstheme="majorHAnsi"/>
                <w:color w:val="333333"/>
                <w:sz w:val="16"/>
                <w:szCs w:val="18"/>
                <w:lang w:val="ro-RO"/>
              </w:rPr>
              <w:t>24 процента на фонд заработных плат и другие выплаты, ежемесячно начисляемые всем работникам</w:t>
            </w:r>
            <w:r w:rsidRPr="00040AFA">
              <w:rPr>
                <w:rFonts w:asciiTheme="majorHAnsi" w:eastAsia="Times New Roman" w:hAnsiTheme="majorHAnsi" w:cstheme="majorHAnsi"/>
                <w:color w:val="333333"/>
                <w:sz w:val="16"/>
                <w:szCs w:val="18"/>
                <w:lang w:val="ro-MD"/>
              </w:rPr>
              <w:t xml:space="preserve"> </w:t>
            </w:r>
          </w:p>
          <w:p w14:paraId="3B4C40C2" w14:textId="72C93ADC" w:rsidR="00626123" w:rsidRPr="00626123" w:rsidRDefault="00626123" w:rsidP="00626123">
            <w:pPr>
              <w:spacing w:after="0" w:line="240" w:lineRule="auto"/>
              <w:jc w:val="both"/>
              <w:rPr>
                <w:rFonts w:asciiTheme="majorHAnsi" w:eastAsia="Times New Roman" w:hAnsiTheme="majorHAnsi" w:cstheme="majorHAnsi"/>
                <w:color w:val="333333"/>
                <w:sz w:val="16"/>
                <w:szCs w:val="18"/>
                <w:lang w:val="ru-RU"/>
              </w:rPr>
            </w:pPr>
            <w:r w:rsidRPr="00626123">
              <w:rPr>
                <w:rFonts w:asciiTheme="majorHAnsi" w:eastAsia="Times New Roman" w:hAnsiTheme="majorHAnsi" w:cstheme="majorHAnsi"/>
                <w:color w:val="333333"/>
                <w:sz w:val="16"/>
                <w:szCs w:val="18"/>
                <w:lang w:val="ro-RO"/>
              </w:rPr>
              <w:t>18 процентов на фонд заработных плат и другие выплаты, ежемесячно начисляемые всем работникам</w:t>
            </w:r>
            <w:r>
              <w:rPr>
                <w:rFonts w:asciiTheme="majorHAnsi" w:eastAsia="Times New Roman" w:hAnsiTheme="majorHAnsi" w:cstheme="majorHAnsi"/>
                <w:color w:val="333333"/>
                <w:sz w:val="16"/>
                <w:szCs w:val="18"/>
                <w:lang w:val="ru-RU"/>
              </w:rPr>
              <w:t xml:space="preserve"> – из средств работодателя</w:t>
            </w:r>
          </w:p>
          <w:p w14:paraId="2E02325E" w14:textId="63C38A96" w:rsidR="00DB70CA" w:rsidRPr="00626123" w:rsidRDefault="00626123" w:rsidP="00626123">
            <w:pPr>
              <w:spacing w:after="0" w:line="240" w:lineRule="auto"/>
              <w:jc w:val="both"/>
              <w:rPr>
                <w:rFonts w:asciiTheme="majorHAnsi" w:eastAsia="Times New Roman" w:hAnsiTheme="majorHAnsi" w:cstheme="majorHAnsi"/>
                <w:color w:val="333333"/>
                <w:sz w:val="16"/>
                <w:szCs w:val="18"/>
                <w:lang w:val="ru-RU"/>
              </w:rPr>
            </w:pPr>
            <w:r w:rsidRPr="00626123">
              <w:rPr>
                <w:rFonts w:asciiTheme="majorHAnsi" w:eastAsia="Times New Roman" w:hAnsiTheme="majorHAnsi" w:cstheme="majorHAnsi"/>
                <w:color w:val="333333"/>
                <w:sz w:val="16"/>
                <w:szCs w:val="18"/>
                <w:lang w:val="ro-RO"/>
              </w:rPr>
              <w:t>6 процентов на фонд заработных плат и другие выплаты, ежемесячно начисляемые всем работникам</w:t>
            </w:r>
            <w:r w:rsidRPr="00626123">
              <w:rPr>
                <w:rFonts w:asciiTheme="majorHAnsi" w:eastAsia="Times New Roman" w:hAnsiTheme="majorHAnsi" w:cstheme="majorHAnsi"/>
                <w:color w:val="333333"/>
                <w:sz w:val="16"/>
                <w:szCs w:val="18"/>
                <w:lang w:val="ro-MD"/>
              </w:rPr>
              <w:t xml:space="preserve"> </w:t>
            </w:r>
            <w:r>
              <w:rPr>
                <w:rFonts w:asciiTheme="majorHAnsi" w:eastAsia="Times New Roman" w:hAnsiTheme="majorHAnsi" w:cstheme="majorHAnsi"/>
                <w:color w:val="333333"/>
                <w:sz w:val="16"/>
                <w:szCs w:val="18"/>
                <w:lang w:val="ro-MD"/>
              </w:rPr>
              <w:t>–</w:t>
            </w:r>
            <w:r w:rsidR="00DB70CA" w:rsidRPr="00736448">
              <w:rPr>
                <w:rFonts w:asciiTheme="majorHAnsi" w:eastAsia="Times New Roman" w:hAnsiTheme="majorHAnsi" w:cstheme="majorHAnsi"/>
                <w:color w:val="333333"/>
                <w:sz w:val="16"/>
                <w:szCs w:val="18"/>
                <w:lang w:val="ro-MD"/>
              </w:rPr>
              <w:t xml:space="preserve"> </w:t>
            </w:r>
            <w:r>
              <w:rPr>
                <w:rFonts w:asciiTheme="majorHAnsi" w:eastAsia="Times New Roman" w:hAnsiTheme="majorHAnsi" w:cstheme="majorHAnsi"/>
                <w:color w:val="333333"/>
                <w:sz w:val="16"/>
                <w:szCs w:val="18"/>
                <w:lang w:val="ru-RU"/>
              </w:rPr>
              <w:t>из государственного бюджета</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25530E9A"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24041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7E63E43C"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1288672,1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937DE23"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309292,5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F51C6CC"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22344</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F445109"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1446843,3</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4AE58057"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347250,9</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61795AAD"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-1697</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07988D39"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92,94%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26E662E"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158171,2</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6052951A"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112,27%</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5B2EEE99"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37958,4</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3284407F"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112,27%</w:t>
            </w:r>
          </w:p>
        </w:tc>
      </w:tr>
      <w:tr w:rsidR="00626123" w:rsidRPr="00B7675F" w14:paraId="64722C2D" w14:textId="77777777" w:rsidTr="00B27804">
        <w:trPr>
          <w:trHeight w:val="4080"/>
        </w:trPr>
        <w:tc>
          <w:tcPr>
            <w:tcW w:w="2258" w:type="dxa"/>
            <w:tcBorders>
              <w:top w:val="nil"/>
              <w:left w:val="single" w:sz="4" w:space="0" w:color="auto"/>
              <w:bottom w:val="single" w:sz="4" w:space="0" w:color="auto"/>
              <w:right w:val="single" w:sz="4" w:space="0" w:color="auto"/>
            </w:tcBorders>
            <w:shd w:val="clear" w:color="auto" w:fill="FFFFFF" w:themeFill="background1"/>
            <w:hideMark/>
          </w:tcPr>
          <w:p w14:paraId="3AE5C9E9" w14:textId="2E83E32F" w:rsidR="00626123" w:rsidRPr="00EE1579" w:rsidRDefault="00626123" w:rsidP="00626123">
            <w:pPr>
              <w:spacing w:after="0" w:line="240" w:lineRule="auto"/>
              <w:rPr>
                <w:rFonts w:asciiTheme="majorHAnsi" w:eastAsia="Times New Roman" w:hAnsiTheme="majorHAnsi" w:cstheme="majorHAnsi"/>
                <w:sz w:val="16"/>
                <w:szCs w:val="16"/>
                <w:lang w:val="ru-RU" w:eastAsia="ro-RO"/>
              </w:rPr>
            </w:pPr>
            <w:r w:rsidRPr="00EE1579">
              <w:rPr>
                <w:rFonts w:asciiTheme="majorHAnsi" w:eastAsia="Times New Roman" w:hAnsiTheme="majorHAnsi" w:cstheme="majorHAnsi"/>
                <w:sz w:val="16"/>
                <w:szCs w:val="16"/>
                <w:lang w:val="ru-RU" w:eastAsia="ro-RO"/>
              </w:rPr>
              <w:t>1.6. Физические лица, за исключением пенсионеров, лиц с ограниченными возможностями, а также лиц, относящихся к категориям плательщиков, указанным в пунктах 1.1–1.5, находящихся в одном из следующих положений:</w:t>
            </w:r>
            <w:r w:rsidRPr="00EE1579">
              <w:rPr>
                <w:rFonts w:asciiTheme="majorHAnsi" w:eastAsia="Times New Roman" w:hAnsiTheme="majorHAnsi" w:cstheme="majorHAnsi"/>
                <w:sz w:val="16"/>
                <w:szCs w:val="16"/>
                <w:lang w:val="ru-RU" w:eastAsia="ro-RO"/>
              </w:rPr>
              <w:br/>
              <w:t>– учредители индивидуальных предприятий, включая учредителей крестьянских (фермерских) хозяйств;</w:t>
            </w:r>
          </w:p>
          <w:p w14:paraId="39DC7830" w14:textId="5FA97A15" w:rsidR="00626123" w:rsidRPr="00EE1579" w:rsidRDefault="00626123" w:rsidP="003B57EA">
            <w:pPr>
              <w:spacing w:after="0" w:line="240" w:lineRule="auto"/>
              <w:jc w:val="both"/>
              <w:rPr>
                <w:rFonts w:asciiTheme="majorHAnsi" w:eastAsia="Times New Roman" w:hAnsiTheme="majorHAnsi" w:cstheme="majorHAnsi"/>
                <w:sz w:val="16"/>
                <w:szCs w:val="16"/>
                <w:lang w:val="ro-MD"/>
              </w:rPr>
            </w:pPr>
            <w:r w:rsidRPr="00EE1579">
              <w:rPr>
                <w:rFonts w:asciiTheme="majorHAnsi" w:eastAsia="Times New Roman" w:hAnsiTheme="majorHAnsi" w:cstheme="majorHAnsi"/>
                <w:sz w:val="16"/>
                <w:szCs w:val="16"/>
                <w:lang w:val="ru-RU" w:eastAsia="ro-RO"/>
              </w:rPr>
              <w:t>– физические лица, осуществляющие независимую деятельность в сфере розничной торговли, за исключением торговли подакцизными товарами;</w:t>
            </w:r>
            <w:r w:rsidRPr="00EE1579">
              <w:rPr>
                <w:rFonts w:asciiTheme="majorHAnsi" w:eastAsia="Times New Roman" w:hAnsiTheme="majorHAnsi" w:cstheme="majorHAnsi"/>
                <w:sz w:val="16"/>
                <w:szCs w:val="16"/>
                <w:lang w:val="ru-RU" w:eastAsia="ro-RO"/>
              </w:rPr>
              <w:br/>
              <w:t>– физические лица, осуществляющие деятельность в сфере закупок продукции растениеводства и/или садоводства и/или объектов растительного мира</w:t>
            </w:r>
          </w:p>
        </w:tc>
        <w:tc>
          <w:tcPr>
            <w:tcW w:w="1981" w:type="dxa"/>
            <w:tcBorders>
              <w:top w:val="nil"/>
              <w:left w:val="nil"/>
              <w:bottom w:val="single" w:sz="4" w:space="0" w:color="auto"/>
              <w:right w:val="single" w:sz="4" w:space="0" w:color="auto"/>
            </w:tcBorders>
            <w:shd w:val="clear" w:color="auto" w:fill="FFFFFF" w:themeFill="background1"/>
            <w:hideMark/>
          </w:tcPr>
          <w:p w14:paraId="59FBA706" w14:textId="4F994FE8" w:rsidR="00626123" w:rsidRPr="00626123" w:rsidRDefault="00626123" w:rsidP="00626123">
            <w:pPr>
              <w:spacing w:after="0" w:line="240" w:lineRule="auto"/>
              <w:jc w:val="both"/>
              <w:rPr>
                <w:rFonts w:asciiTheme="majorHAnsi" w:eastAsia="Times New Roman" w:hAnsiTheme="majorHAnsi" w:cstheme="majorHAnsi"/>
                <w:color w:val="333333"/>
                <w:sz w:val="16"/>
                <w:szCs w:val="18"/>
                <w:lang w:val="ru-RU"/>
              </w:rPr>
            </w:pPr>
            <w:r w:rsidRPr="00626123">
              <w:rPr>
                <w:rFonts w:asciiTheme="majorHAnsi" w:eastAsia="Times New Roman" w:hAnsiTheme="majorHAnsi" w:cstheme="majorHAnsi"/>
                <w:color w:val="333333"/>
                <w:sz w:val="16"/>
                <w:szCs w:val="18"/>
                <w:lang w:val="ro-RO"/>
              </w:rPr>
              <w:t>Фиксированная сумма в соответствии с ежегодным законом о бюджете государственного социального страхования</w:t>
            </w:r>
            <w:r w:rsidRPr="00626123">
              <w:rPr>
                <w:rFonts w:asciiTheme="majorHAnsi" w:eastAsia="Times New Roman" w:hAnsiTheme="majorHAnsi" w:cstheme="majorHAnsi"/>
                <w:color w:val="333333"/>
                <w:sz w:val="16"/>
                <w:szCs w:val="18"/>
                <w:lang w:val="ro-MD"/>
              </w:rPr>
              <w:t xml:space="preserve"> </w:t>
            </w:r>
            <w:r>
              <w:rPr>
                <w:rFonts w:asciiTheme="majorHAnsi" w:eastAsia="Times New Roman" w:hAnsiTheme="majorHAnsi" w:cstheme="majorHAnsi"/>
                <w:color w:val="333333"/>
                <w:sz w:val="16"/>
                <w:szCs w:val="18"/>
                <w:lang w:val="ro-MD"/>
              </w:rPr>
              <w:t>–</w:t>
            </w:r>
            <w:r w:rsidRPr="00736448">
              <w:rPr>
                <w:rFonts w:asciiTheme="majorHAnsi" w:eastAsia="Times New Roman" w:hAnsiTheme="majorHAnsi" w:cstheme="majorHAnsi"/>
                <w:color w:val="333333"/>
                <w:sz w:val="16"/>
                <w:szCs w:val="18"/>
                <w:lang w:val="ro-MD"/>
              </w:rPr>
              <w:t xml:space="preserve"> 12</w:t>
            </w:r>
            <w:r>
              <w:rPr>
                <w:rFonts w:asciiTheme="majorHAnsi" w:eastAsia="Times New Roman" w:hAnsiTheme="majorHAnsi" w:cstheme="majorHAnsi"/>
                <w:color w:val="333333"/>
                <w:sz w:val="16"/>
                <w:szCs w:val="18"/>
                <w:lang w:val="ro-MD"/>
              </w:rPr>
              <w:t xml:space="preserve"> </w:t>
            </w:r>
            <w:r w:rsidRPr="00736448">
              <w:rPr>
                <w:rFonts w:asciiTheme="majorHAnsi" w:eastAsia="Times New Roman" w:hAnsiTheme="majorHAnsi" w:cstheme="majorHAnsi"/>
                <w:color w:val="333333"/>
                <w:sz w:val="16"/>
                <w:szCs w:val="18"/>
                <w:lang w:val="ro-MD"/>
              </w:rPr>
              <w:t xml:space="preserve">838 </w:t>
            </w:r>
            <w:r>
              <w:rPr>
                <w:rFonts w:asciiTheme="majorHAnsi" w:eastAsia="Times New Roman" w:hAnsiTheme="majorHAnsi" w:cstheme="majorHAnsi"/>
                <w:color w:val="333333"/>
                <w:sz w:val="16"/>
                <w:szCs w:val="18"/>
                <w:lang w:val="ru-RU"/>
              </w:rPr>
              <w:t xml:space="preserve">леев в </w:t>
            </w:r>
            <w:r w:rsidRPr="00736448">
              <w:rPr>
                <w:rFonts w:asciiTheme="majorHAnsi" w:eastAsia="Times New Roman" w:hAnsiTheme="majorHAnsi" w:cstheme="majorHAnsi"/>
                <w:color w:val="333333"/>
                <w:sz w:val="16"/>
                <w:szCs w:val="18"/>
                <w:lang w:val="ro-MD"/>
              </w:rPr>
              <w:t>2022</w:t>
            </w:r>
            <w:r>
              <w:rPr>
                <w:rFonts w:asciiTheme="majorHAnsi" w:eastAsia="Times New Roman" w:hAnsiTheme="majorHAnsi" w:cstheme="majorHAnsi"/>
                <w:color w:val="333333"/>
                <w:sz w:val="16"/>
                <w:szCs w:val="18"/>
                <w:lang w:val="ru-RU"/>
              </w:rPr>
              <w:t xml:space="preserve"> году</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26436600"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13438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2ACD928" w14:textId="77777777" w:rsidR="00626123" w:rsidRPr="00736448" w:rsidRDefault="00626123" w:rsidP="00626123">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C138E20"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69060,6</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5403D1D"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13534</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C756A10" w14:textId="77777777" w:rsidR="00626123" w:rsidRPr="00736448" w:rsidRDefault="00626123" w:rsidP="00626123">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5F72AA33"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79616,5</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4CF83DD1"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96</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6A686C37"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100,71%</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30C6C65" w14:textId="77777777" w:rsidR="00626123" w:rsidRPr="00736448" w:rsidRDefault="00626123" w:rsidP="00626123">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4EA7468B" w14:textId="77777777" w:rsidR="00626123" w:rsidRPr="00736448" w:rsidRDefault="00626123" w:rsidP="00626123">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024A12E6"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10555,9</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6EC3B135"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115,28%</w:t>
            </w:r>
          </w:p>
        </w:tc>
      </w:tr>
      <w:tr w:rsidR="00626123" w:rsidRPr="00B7675F" w14:paraId="1FC61A87" w14:textId="77777777" w:rsidTr="00B27804">
        <w:trPr>
          <w:trHeight w:val="1488"/>
        </w:trPr>
        <w:tc>
          <w:tcPr>
            <w:tcW w:w="2258" w:type="dxa"/>
            <w:tcBorders>
              <w:top w:val="nil"/>
              <w:left w:val="single" w:sz="4" w:space="0" w:color="auto"/>
              <w:bottom w:val="single" w:sz="4" w:space="0" w:color="auto"/>
              <w:right w:val="single" w:sz="4" w:space="0" w:color="auto"/>
            </w:tcBorders>
            <w:shd w:val="clear" w:color="auto" w:fill="FFFFFF" w:themeFill="background1"/>
            <w:hideMark/>
          </w:tcPr>
          <w:p w14:paraId="0B1596BD" w14:textId="20D4D318" w:rsidR="00626123" w:rsidRPr="00626123" w:rsidRDefault="00626123" w:rsidP="003B57EA">
            <w:pPr>
              <w:spacing w:after="0" w:line="240" w:lineRule="auto"/>
              <w:jc w:val="both"/>
              <w:rPr>
                <w:rFonts w:asciiTheme="majorHAnsi" w:eastAsia="Times New Roman" w:hAnsiTheme="majorHAnsi" w:cstheme="majorHAnsi"/>
                <w:color w:val="333333"/>
                <w:sz w:val="16"/>
                <w:szCs w:val="18"/>
                <w:lang w:val="ru-RU"/>
              </w:rPr>
            </w:pPr>
            <w:r w:rsidRPr="00736448">
              <w:rPr>
                <w:rFonts w:asciiTheme="majorHAnsi" w:eastAsia="Times New Roman" w:hAnsiTheme="majorHAnsi" w:cstheme="majorHAnsi"/>
                <w:color w:val="333333"/>
                <w:sz w:val="16"/>
                <w:szCs w:val="18"/>
                <w:lang w:val="ro-MD"/>
              </w:rPr>
              <w:t>1.6</w:t>
            </w:r>
            <w:r w:rsidRPr="00736448">
              <w:rPr>
                <w:rFonts w:asciiTheme="majorHAnsi" w:eastAsia="Times New Roman" w:hAnsiTheme="majorHAnsi" w:cstheme="majorHAnsi"/>
                <w:color w:val="333333"/>
                <w:sz w:val="16"/>
                <w:szCs w:val="18"/>
                <w:vertAlign w:val="superscript"/>
                <w:lang w:val="ro-MD"/>
              </w:rPr>
              <w:t>1</w:t>
            </w:r>
            <w:r w:rsidRPr="00736448">
              <w:rPr>
                <w:rFonts w:asciiTheme="majorHAnsi" w:eastAsia="Times New Roman" w:hAnsiTheme="majorHAnsi" w:cstheme="majorHAnsi"/>
                <w:color w:val="333333"/>
                <w:sz w:val="16"/>
                <w:szCs w:val="18"/>
                <w:lang w:val="ro-MD"/>
              </w:rPr>
              <w:t>. </w:t>
            </w:r>
            <w:r w:rsidRPr="00626123">
              <w:rPr>
                <w:rFonts w:asciiTheme="majorHAnsi" w:eastAsia="Times New Roman" w:hAnsiTheme="majorHAnsi" w:cstheme="majorHAnsi"/>
                <w:color w:val="333333"/>
                <w:sz w:val="16"/>
                <w:szCs w:val="18"/>
                <w:lang w:val="ro-RO"/>
              </w:rPr>
              <w:t>Свободные профессионалы, осуществляющие деятельность в сфере правосудия, за исключением пенсионеров, лиц с ограниченными возможностями, а также лиц, отнесенных к категориям плательщиков, указанным в пунктах 1.1 – 1.6</w:t>
            </w:r>
          </w:p>
        </w:tc>
        <w:tc>
          <w:tcPr>
            <w:tcW w:w="1981" w:type="dxa"/>
            <w:tcBorders>
              <w:top w:val="nil"/>
              <w:left w:val="nil"/>
              <w:bottom w:val="single" w:sz="4" w:space="0" w:color="auto"/>
              <w:right w:val="single" w:sz="4" w:space="0" w:color="auto"/>
            </w:tcBorders>
            <w:shd w:val="clear" w:color="auto" w:fill="FFFFFF" w:themeFill="background1"/>
            <w:hideMark/>
          </w:tcPr>
          <w:p w14:paraId="564482B6" w14:textId="26765293" w:rsidR="00626123" w:rsidRPr="00626123" w:rsidRDefault="00626123" w:rsidP="00626123">
            <w:pPr>
              <w:spacing w:after="0" w:line="240" w:lineRule="auto"/>
              <w:jc w:val="both"/>
              <w:rPr>
                <w:rFonts w:asciiTheme="majorHAnsi" w:eastAsia="Times New Roman" w:hAnsiTheme="majorHAnsi" w:cstheme="majorHAnsi"/>
                <w:color w:val="333333"/>
                <w:sz w:val="16"/>
                <w:szCs w:val="18"/>
                <w:lang w:val="ro-MD"/>
              </w:rPr>
            </w:pPr>
            <w:r w:rsidRPr="00626123">
              <w:rPr>
                <w:rFonts w:asciiTheme="majorHAnsi" w:eastAsia="Times New Roman" w:hAnsiTheme="majorHAnsi" w:cstheme="majorHAnsi"/>
                <w:color w:val="333333"/>
                <w:sz w:val="16"/>
                <w:szCs w:val="18"/>
                <w:lang w:val="ro-RO"/>
              </w:rPr>
              <w:t>Фиксированная сумма в соответствии с ежегодным законом о бюджете государственного социального страхования</w:t>
            </w:r>
            <w:r w:rsidR="003B57EA">
              <w:rPr>
                <w:rFonts w:asciiTheme="majorHAnsi" w:eastAsia="Times New Roman" w:hAnsiTheme="majorHAnsi" w:cstheme="majorHAnsi"/>
                <w:color w:val="333333"/>
                <w:sz w:val="16"/>
                <w:szCs w:val="18"/>
                <w:lang w:val="ru-RU"/>
              </w:rPr>
              <w:t xml:space="preserve"> -</w:t>
            </w:r>
            <w:r w:rsidRPr="00736448">
              <w:rPr>
                <w:rFonts w:asciiTheme="majorHAnsi" w:eastAsia="Times New Roman" w:hAnsiTheme="majorHAnsi" w:cstheme="majorHAnsi"/>
                <w:color w:val="333333"/>
                <w:sz w:val="16"/>
                <w:szCs w:val="18"/>
                <w:lang w:val="ro-MD"/>
              </w:rPr>
              <w:t xml:space="preserve"> 24</w:t>
            </w:r>
            <w:r>
              <w:rPr>
                <w:rFonts w:asciiTheme="majorHAnsi" w:eastAsia="Times New Roman" w:hAnsiTheme="majorHAnsi" w:cstheme="majorHAnsi"/>
                <w:color w:val="333333"/>
                <w:sz w:val="16"/>
                <w:szCs w:val="18"/>
                <w:lang w:val="ro-MD"/>
              </w:rPr>
              <w:t xml:space="preserve"> </w:t>
            </w:r>
            <w:r w:rsidRPr="00736448">
              <w:rPr>
                <w:rFonts w:asciiTheme="majorHAnsi" w:eastAsia="Times New Roman" w:hAnsiTheme="majorHAnsi" w:cstheme="majorHAnsi"/>
                <w:color w:val="333333"/>
                <w:sz w:val="16"/>
                <w:szCs w:val="18"/>
                <w:lang w:val="ro-MD"/>
              </w:rPr>
              <w:t xml:space="preserve">255 </w:t>
            </w:r>
            <w:r w:rsidRPr="00626123">
              <w:rPr>
                <w:rFonts w:asciiTheme="majorHAnsi" w:eastAsia="Times New Roman" w:hAnsiTheme="majorHAnsi" w:cstheme="majorHAnsi"/>
                <w:color w:val="333333"/>
                <w:sz w:val="16"/>
                <w:szCs w:val="18"/>
                <w:lang w:val="ro-MD"/>
              </w:rPr>
              <w:t xml:space="preserve">леев в </w:t>
            </w:r>
            <w:r w:rsidRPr="00736448">
              <w:rPr>
                <w:rFonts w:asciiTheme="majorHAnsi" w:eastAsia="Times New Roman" w:hAnsiTheme="majorHAnsi" w:cstheme="majorHAnsi"/>
                <w:color w:val="333333"/>
                <w:sz w:val="16"/>
                <w:szCs w:val="18"/>
                <w:lang w:val="ro-MD"/>
              </w:rPr>
              <w:t>2022</w:t>
            </w:r>
            <w:r w:rsidRPr="00626123">
              <w:rPr>
                <w:rFonts w:asciiTheme="majorHAnsi" w:eastAsia="Times New Roman" w:hAnsiTheme="majorHAnsi" w:cstheme="majorHAnsi"/>
                <w:color w:val="333333"/>
                <w:sz w:val="16"/>
                <w:szCs w:val="18"/>
                <w:lang w:val="ro-MD"/>
              </w:rPr>
              <w:t xml:space="preserve"> году</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1D5766D9"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1740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D11476F" w14:textId="77777777" w:rsidR="00626123" w:rsidRPr="00736448" w:rsidRDefault="00626123" w:rsidP="00626123">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AEE346E"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36478,7</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F5E4842"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1587</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F07062F" w14:textId="77777777" w:rsidR="00626123" w:rsidRPr="00736448" w:rsidRDefault="00626123" w:rsidP="00626123">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2B851CCE"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34954,1</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2CAEDB9C"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-153</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4B2BC22B"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91,21%</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68C4C4EF" w14:textId="77777777" w:rsidR="00626123" w:rsidRPr="00736448" w:rsidRDefault="00626123" w:rsidP="00626123">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5FC3F271" w14:textId="77777777" w:rsidR="00626123" w:rsidRPr="00736448" w:rsidRDefault="00626123" w:rsidP="00626123">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7B38CF49"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-1524,6</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4D75157C"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95,82%</w:t>
            </w:r>
          </w:p>
        </w:tc>
      </w:tr>
      <w:tr w:rsidR="00626123" w:rsidRPr="00B7675F" w14:paraId="1DB26374" w14:textId="77777777" w:rsidTr="00B27804">
        <w:trPr>
          <w:trHeight w:val="1440"/>
        </w:trPr>
        <w:tc>
          <w:tcPr>
            <w:tcW w:w="2258" w:type="dxa"/>
            <w:tcBorders>
              <w:top w:val="nil"/>
              <w:left w:val="single" w:sz="4" w:space="0" w:color="auto"/>
              <w:bottom w:val="single" w:sz="4" w:space="0" w:color="auto"/>
              <w:right w:val="single" w:sz="4" w:space="0" w:color="auto"/>
            </w:tcBorders>
            <w:shd w:val="clear" w:color="auto" w:fill="FFFFFF" w:themeFill="background1"/>
            <w:hideMark/>
          </w:tcPr>
          <w:p w14:paraId="0DF476C7" w14:textId="572B907D" w:rsidR="00626123" w:rsidRPr="003B57EA" w:rsidRDefault="00626123" w:rsidP="003B57EA">
            <w:pPr>
              <w:spacing w:after="0" w:line="240" w:lineRule="auto"/>
              <w:rPr>
                <w:rFonts w:asciiTheme="majorHAnsi" w:eastAsia="Times New Roman" w:hAnsiTheme="majorHAnsi" w:cstheme="majorHAnsi"/>
                <w:color w:val="333333"/>
                <w:sz w:val="16"/>
                <w:szCs w:val="18"/>
                <w:lang w:val="ru-RU"/>
              </w:rPr>
            </w:pPr>
            <w:r w:rsidRPr="00736448">
              <w:rPr>
                <w:rFonts w:asciiTheme="majorHAnsi" w:eastAsia="Times New Roman" w:hAnsiTheme="majorHAnsi" w:cstheme="majorHAnsi"/>
                <w:color w:val="333333"/>
                <w:sz w:val="16"/>
                <w:szCs w:val="18"/>
                <w:lang w:val="ro-MD"/>
              </w:rPr>
              <w:t xml:space="preserve">1.7. </w:t>
            </w:r>
            <w:r w:rsidR="003B57EA" w:rsidRPr="003B57EA">
              <w:rPr>
                <w:rFonts w:asciiTheme="majorHAnsi" w:eastAsia="Times New Roman" w:hAnsiTheme="majorHAnsi" w:cstheme="majorHAnsi"/>
                <w:color w:val="333333"/>
                <w:sz w:val="16"/>
                <w:szCs w:val="18"/>
                <w:lang w:val="ro-RO"/>
              </w:rPr>
              <w:t>Обладатели предпринимательского патента, за исключением пенсионеров, лиц с ограниченными возможностями, а также лиц, относящихся к категориям плательщиков, указанным в пунктах 1.1–1.6</w:t>
            </w:r>
            <w:r w:rsidR="003B57EA" w:rsidRPr="003B57EA">
              <w:rPr>
                <w:rFonts w:asciiTheme="majorHAnsi" w:eastAsia="Times New Roman" w:hAnsiTheme="majorHAnsi" w:cstheme="majorHAnsi"/>
                <w:color w:val="333333"/>
                <w:sz w:val="16"/>
                <w:szCs w:val="18"/>
                <w:vertAlign w:val="superscript"/>
                <w:lang w:val="ro-RO"/>
              </w:rPr>
              <w:t>1</w:t>
            </w:r>
          </w:p>
        </w:tc>
        <w:tc>
          <w:tcPr>
            <w:tcW w:w="1981" w:type="dxa"/>
            <w:tcBorders>
              <w:top w:val="nil"/>
              <w:left w:val="nil"/>
              <w:bottom w:val="single" w:sz="4" w:space="0" w:color="auto"/>
              <w:right w:val="single" w:sz="4" w:space="0" w:color="auto"/>
            </w:tcBorders>
            <w:shd w:val="clear" w:color="auto" w:fill="FFFFFF" w:themeFill="background1"/>
            <w:hideMark/>
          </w:tcPr>
          <w:p w14:paraId="767D5993" w14:textId="0BC1A079" w:rsidR="00626123" w:rsidRPr="00626123" w:rsidRDefault="00626123" w:rsidP="003B57EA">
            <w:pPr>
              <w:spacing w:after="0" w:line="240" w:lineRule="auto"/>
              <w:jc w:val="both"/>
              <w:rPr>
                <w:rFonts w:asciiTheme="majorHAnsi" w:eastAsia="Times New Roman" w:hAnsiTheme="majorHAnsi" w:cstheme="majorHAnsi"/>
                <w:color w:val="333333"/>
                <w:sz w:val="16"/>
                <w:szCs w:val="18"/>
                <w:lang w:val="ru-RU"/>
              </w:rPr>
            </w:pPr>
            <w:r w:rsidRPr="00626123">
              <w:rPr>
                <w:rFonts w:asciiTheme="majorHAnsi" w:eastAsia="Times New Roman" w:hAnsiTheme="majorHAnsi" w:cstheme="majorHAnsi"/>
                <w:color w:val="333333"/>
                <w:sz w:val="16"/>
                <w:szCs w:val="18"/>
                <w:lang w:val="ro-RO"/>
              </w:rPr>
              <w:t>Фиксированная сумма в соответствии с ежегод</w:t>
            </w:r>
            <w:r w:rsidR="005D3BCA">
              <w:rPr>
                <w:rFonts w:asciiTheme="majorHAnsi" w:eastAsia="Times New Roman" w:hAnsiTheme="majorHAnsi" w:cstheme="majorHAnsi"/>
                <w:color w:val="333333"/>
                <w:sz w:val="16"/>
                <w:szCs w:val="18"/>
                <w:lang w:val="ru-RU"/>
              </w:rPr>
              <w:t xml:space="preserve"> </w:t>
            </w:r>
            <w:r w:rsidRPr="00626123">
              <w:rPr>
                <w:rFonts w:asciiTheme="majorHAnsi" w:eastAsia="Times New Roman" w:hAnsiTheme="majorHAnsi" w:cstheme="majorHAnsi"/>
                <w:color w:val="333333"/>
                <w:sz w:val="16"/>
                <w:szCs w:val="18"/>
                <w:lang w:val="ro-RO"/>
              </w:rPr>
              <w:t>ным законом о бюджете государственного социального страхования, но не менее 1/12 этой суммы в месяц в зависимости от продолжительности деятельности, осуществляемой на основании патента</w:t>
            </w:r>
            <w:r w:rsidR="005D3BCA">
              <w:rPr>
                <w:rFonts w:asciiTheme="majorHAnsi" w:eastAsia="Times New Roman" w:hAnsiTheme="majorHAnsi" w:cstheme="majorHAnsi"/>
                <w:color w:val="333333"/>
                <w:sz w:val="16"/>
                <w:szCs w:val="18"/>
                <w:lang w:val="ru-RU"/>
              </w:rPr>
              <w:t xml:space="preserve"> </w:t>
            </w:r>
            <w:r w:rsidRPr="00736448">
              <w:rPr>
                <w:rFonts w:asciiTheme="majorHAnsi" w:eastAsia="Times New Roman" w:hAnsiTheme="majorHAnsi" w:cstheme="majorHAnsi"/>
                <w:color w:val="333333"/>
                <w:sz w:val="16"/>
                <w:szCs w:val="18"/>
                <w:lang w:val="ro-MD"/>
              </w:rPr>
              <w:t xml:space="preserve">- 12838 </w:t>
            </w:r>
            <w:r>
              <w:rPr>
                <w:rFonts w:asciiTheme="majorHAnsi" w:eastAsia="Times New Roman" w:hAnsiTheme="majorHAnsi" w:cstheme="majorHAnsi"/>
                <w:color w:val="333333"/>
                <w:sz w:val="16"/>
                <w:szCs w:val="18"/>
                <w:lang w:val="ru-RU"/>
              </w:rPr>
              <w:t>леев ежегодно</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41E25FD4"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4571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4831292" w14:textId="77777777" w:rsidR="00626123" w:rsidRPr="00736448" w:rsidRDefault="00626123" w:rsidP="00626123">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36C3A9D"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38273,4</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A116F20"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4719</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9E11384" w14:textId="77777777" w:rsidR="00626123" w:rsidRPr="00736448" w:rsidRDefault="00626123" w:rsidP="00626123">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1AB67038"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39485,6</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63FBCFD6"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148</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4E61271F"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103,24%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026BD10" w14:textId="77777777" w:rsidR="00626123" w:rsidRPr="00736448" w:rsidRDefault="00626123" w:rsidP="00626123">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692FB865" w14:textId="77777777" w:rsidR="00626123" w:rsidRPr="00736448" w:rsidRDefault="00626123" w:rsidP="00626123">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66C1F3A0"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1212,2</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39AC2FCB"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103,17%</w:t>
            </w:r>
          </w:p>
        </w:tc>
      </w:tr>
      <w:tr w:rsidR="00626123" w:rsidRPr="00B7675F" w14:paraId="655365FA" w14:textId="77777777" w:rsidTr="00B27804">
        <w:trPr>
          <w:trHeight w:val="1440"/>
        </w:trPr>
        <w:tc>
          <w:tcPr>
            <w:tcW w:w="2258" w:type="dxa"/>
            <w:tcBorders>
              <w:top w:val="nil"/>
              <w:left w:val="single" w:sz="4" w:space="0" w:color="auto"/>
              <w:bottom w:val="single" w:sz="4" w:space="0" w:color="auto"/>
              <w:right w:val="single" w:sz="4" w:space="0" w:color="auto"/>
            </w:tcBorders>
            <w:shd w:val="clear" w:color="auto" w:fill="FFFFFF" w:themeFill="background1"/>
            <w:hideMark/>
          </w:tcPr>
          <w:p w14:paraId="5F9E1169" w14:textId="087E2E98" w:rsidR="00626123" w:rsidRPr="005D3BCA" w:rsidRDefault="00626123" w:rsidP="00626123">
            <w:pPr>
              <w:spacing w:after="0" w:line="240" w:lineRule="auto"/>
              <w:jc w:val="both"/>
              <w:rPr>
                <w:rFonts w:asciiTheme="majorHAnsi" w:eastAsia="Times New Roman" w:hAnsiTheme="majorHAnsi" w:cstheme="majorHAnsi"/>
                <w:color w:val="333333"/>
                <w:sz w:val="16"/>
                <w:szCs w:val="18"/>
                <w:lang w:val="ru-RU"/>
              </w:rPr>
            </w:pPr>
            <w:r w:rsidRPr="00736448">
              <w:rPr>
                <w:rFonts w:asciiTheme="majorHAnsi" w:eastAsia="Times New Roman" w:hAnsiTheme="majorHAnsi" w:cstheme="majorHAnsi"/>
                <w:color w:val="333333"/>
                <w:sz w:val="16"/>
                <w:szCs w:val="18"/>
                <w:lang w:val="ro-MD"/>
              </w:rPr>
              <w:t xml:space="preserve">1.8. </w:t>
            </w:r>
            <w:r w:rsidR="005D3BCA" w:rsidRPr="005D3BCA">
              <w:rPr>
                <w:rFonts w:asciiTheme="majorHAnsi" w:eastAsia="Times New Roman" w:hAnsiTheme="majorHAnsi" w:cstheme="majorHAnsi"/>
                <w:color w:val="333333"/>
                <w:sz w:val="16"/>
                <w:szCs w:val="18"/>
                <w:lang w:val="ro-RO"/>
              </w:rPr>
              <w:t>Работодатель в области таксомоторных автотранспортных перевозок пассажиров – за лиц, работающих по индивидуальному трудовому договору, осуществляющих таксомоторные автотранспортные перевозки пассажиров</w:t>
            </w:r>
          </w:p>
        </w:tc>
        <w:tc>
          <w:tcPr>
            <w:tcW w:w="1981" w:type="dxa"/>
            <w:tcBorders>
              <w:top w:val="nil"/>
              <w:left w:val="nil"/>
              <w:bottom w:val="single" w:sz="4" w:space="0" w:color="auto"/>
              <w:right w:val="single" w:sz="4" w:space="0" w:color="auto"/>
            </w:tcBorders>
            <w:shd w:val="clear" w:color="auto" w:fill="FFFFFF" w:themeFill="background1"/>
            <w:hideMark/>
          </w:tcPr>
          <w:p w14:paraId="4E0ED2CB" w14:textId="3876E3D1" w:rsidR="00626123" w:rsidRPr="00626123" w:rsidRDefault="00626123" w:rsidP="00626123">
            <w:pPr>
              <w:spacing w:after="0" w:line="240" w:lineRule="auto"/>
              <w:jc w:val="both"/>
              <w:rPr>
                <w:rFonts w:asciiTheme="majorHAnsi" w:eastAsia="Times New Roman" w:hAnsiTheme="majorHAnsi" w:cstheme="majorHAnsi"/>
                <w:color w:val="333333"/>
                <w:sz w:val="16"/>
                <w:szCs w:val="18"/>
                <w:lang w:val="ru-RU"/>
              </w:rPr>
            </w:pPr>
            <w:r w:rsidRPr="00626123">
              <w:rPr>
                <w:rFonts w:asciiTheme="majorHAnsi" w:eastAsia="Times New Roman" w:hAnsiTheme="majorHAnsi" w:cstheme="majorHAnsi"/>
                <w:color w:val="333333"/>
                <w:sz w:val="16"/>
                <w:szCs w:val="18"/>
                <w:lang w:val="ro-RO"/>
              </w:rPr>
              <w:t>Фиксированная сумма в соответствии с ежегодным законом о бюджете государственного социального страхования</w:t>
            </w:r>
            <w:r w:rsidRPr="00736448">
              <w:rPr>
                <w:rFonts w:asciiTheme="majorHAnsi" w:eastAsia="Times New Roman" w:hAnsiTheme="majorHAnsi" w:cstheme="majorHAnsi"/>
                <w:color w:val="333333"/>
                <w:sz w:val="16"/>
                <w:szCs w:val="18"/>
                <w:lang w:val="ro-MD"/>
              </w:rPr>
              <w:t xml:space="preserve"> - 12838 </w:t>
            </w:r>
            <w:r>
              <w:rPr>
                <w:rFonts w:asciiTheme="majorHAnsi" w:eastAsia="Times New Roman" w:hAnsiTheme="majorHAnsi" w:cstheme="majorHAnsi"/>
                <w:color w:val="333333"/>
                <w:sz w:val="16"/>
                <w:szCs w:val="18"/>
                <w:lang w:val="ru-RU"/>
              </w:rPr>
              <w:t>леев</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29B993EF"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4030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F6CF7AA" w14:textId="77777777" w:rsidR="00626123" w:rsidRPr="00736448" w:rsidRDefault="00626123" w:rsidP="00626123">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266054F"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36727,0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EE6654A"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3077</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7C8AD90" w14:textId="77777777" w:rsidR="00626123" w:rsidRPr="00736448" w:rsidRDefault="00626123" w:rsidP="00626123">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58B73372"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35131</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073D76DB"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-953</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5C056C40"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76,35%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5716B209" w14:textId="77777777" w:rsidR="00626123" w:rsidRPr="00736448" w:rsidRDefault="00626123" w:rsidP="00626123">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1CB8D47F" w14:textId="77777777" w:rsidR="00626123" w:rsidRPr="00736448" w:rsidRDefault="00626123" w:rsidP="00626123">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79BCBBB7"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-1596,0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587A426E"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95,65%</w:t>
            </w:r>
          </w:p>
        </w:tc>
      </w:tr>
      <w:tr w:rsidR="00626123" w:rsidRPr="00B7675F" w14:paraId="085CC2BD" w14:textId="77777777" w:rsidTr="00B27804">
        <w:trPr>
          <w:trHeight w:val="2400"/>
        </w:trPr>
        <w:tc>
          <w:tcPr>
            <w:tcW w:w="2258" w:type="dxa"/>
            <w:tcBorders>
              <w:top w:val="nil"/>
              <w:left w:val="single" w:sz="4" w:space="0" w:color="auto"/>
              <w:bottom w:val="single" w:sz="4" w:space="0" w:color="auto"/>
              <w:right w:val="single" w:sz="4" w:space="0" w:color="auto"/>
            </w:tcBorders>
            <w:shd w:val="clear" w:color="auto" w:fill="FFFFFF" w:themeFill="background1"/>
            <w:hideMark/>
          </w:tcPr>
          <w:p w14:paraId="4B7C16DD" w14:textId="7FCA989A" w:rsidR="00626123" w:rsidRPr="005D3BCA" w:rsidRDefault="00626123" w:rsidP="00626123">
            <w:pPr>
              <w:spacing w:after="0" w:line="240" w:lineRule="auto"/>
              <w:jc w:val="both"/>
              <w:rPr>
                <w:rFonts w:asciiTheme="majorHAnsi" w:eastAsia="Times New Roman" w:hAnsiTheme="majorHAnsi" w:cstheme="majorHAnsi"/>
                <w:color w:val="333333"/>
                <w:sz w:val="16"/>
                <w:szCs w:val="18"/>
                <w:lang w:val="ru-RU"/>
              </w:rPr>
            </w:pPr>
            <w:r w:rsidRPr="00736448">
              <w:rPr>
                <w:rFonts w:asciiTheme="majorHAnsi" w:eastAsia="Times New Roman" w:hAnsiTheme="majorHAnsi" w:cstheme="majorHAnsi"/>
                <w:color w:val="333333"/>
                <w:sz w:val="16"/>
                <w:szCs w:val="18"/>
                <w:lang w:val="ro-MD"/>
              </w:rPr>
              <w:t xml:space="preserve">1.9. </w:t>
            </w:r>
            <w:r w:rsidR="005D3BCA" w:rsidRPr="005D3BCA">
              <w:rPr>
                <w:rFonts w:asciiTheme="majorHAnsi" w:eastAsia="Times New Roman" w:hAnsiTheme="majorHAnsi" w:cstheme="majorHAnsi"/>
                <w:color w:val="333333"/>
                <w:sz w:val="16"/>
                <w:szCs w:val="18"/>
                <w:lang w:val="ro-RO"/>
              </w:rPr>
              <w:t>Бенефициары – за физических лиц, осуществляющих деятельность в качестве поденщика, в соответствии с Законом о порядке выполнения поденщиками случайных неквалифицированных работ № 22/2018, за исключением пенсионеров, лиц с ограниченными возможностями, а также лиц, относящихся к категориям плательщиков, указанным в пунктах 1.1–1.8</w:t>
            </w:r>
          </w:p>
        </w:tc>
        <w:tc>
          <w:tcPr>
            <w:tcW w:w="1981" w:type="dxa"/>
            <w:tcBorders>
              <w:top w:val="nil"/>
              <w:left w:val="nil"/>
              <w:bottom w:val="single" w:sz="4" w:space="0" w:color="auto"/>
              <w:right w:val="single" w:sz="4" w:space="0" w:color="auto"/>
            </w:tcBorders>
            <w:shd w:val="clear" w:color="auto" w:fill="FFFFFF" w:themeFill="background1"/>
            <w:hideMark/>
          </w:tcPr>
          <w:p w14:paraId="7285FD77" w14:textId="10FFB6C5" w:rsidR="00626123" w:rsidRPr="00736448" w:rsidRDefault="00626123" w:rsidP="00626123">
            <w:pPr>
              <w:spacing w:after="0" w:line="240" w:lineRule="auto"/>
              <w:jc w:val="both"/>
              <w:rPr>
                <w:rFonts w:asciiTheme="majorHAnsi" w:eastAsia="Times New Roman" w:hAnsiTheme="majorHAnsi" w:cstheme="majorHAnsi"/>
                <w:color w:val="333333"/>
                <w:sz w:val="16"/>
                <w:szCs w:val="18"/>
                <w:lang w:val="ro-MD"/>
              </w:rPr>
            </w:pPr>
            <w:r w:rsidRPr="00626123">
              <w:rPr>
                <w:rFonts w:asciiTheme="majorHAnsi" w:eastAsia="Times New Roman" w:hAnsiTheme="majorHAnsi" w:cstheme="majorHAnsi"/>
                <w:color w:val="333333"/>
                <w:sz w:val="16"/>
                <w:szCs w:val="18"/>
                <w:lang w:val="ro-RO"/>
              </w:rPr>
              <w:t>6 процентов ежедневной оплаты труда</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1959AEA0"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1249</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08CF549" w14:textId="77777777" w:rsidR="00626123" w:rsidRPr="00736448" w:rsidRDefault="00626123" w:rsidP="00626123">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AAABE18"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1995,5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34B90FC"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5808</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505ED75" w14:textId="77777777" w:rsidR="00626123" w:rsidRPr="00736448" w:rsidRDefault="00626123" w:rsidP="00626123">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2F73A082"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1929,1</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01E17080"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4559</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40A586BD"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465,01%</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92EC8E5" w14:textId="77777777" w:rsidR="00626123" w:rsidRPr="00736448" w:rsidRDefault="00626123" w:rsidP="00626123">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02DDC792" w14:textId="77777777" w:rsidR="00626123" w:rsidRPr="00736448" w:rsidRDefault="00626123" w:rsidP="00626123">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113DDF5E"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-66,4</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0DAEDCE4"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96,67%</w:t>
            </w:r>
          </w:p>
        </w:tc>
      </w:tr>
      <w:tr w:rsidR="00626123" w:rsidRPr="00B7675F" w14:paraId="01E7F1BA" w14:textId="77777777" w:rsidTr="00B27804">
        <w:trPr>
          <w:trHeight w:val="720"/>
        </w:trPr>
        <w:tc>
          <w:tcPr>
            <w:tcW w:w="2258" w:type="dxa"/>
            <w:tcBorders>
              <w:top w:val="nil"/>
              <w:left w:val="single" w:sz="4" w:space="0" w:color="auto"/>
              <w:bottom w:val="single" w:sz="4" w:space="0" w:color="auto"/>
              <w:right w:val="single" w:sz="4" w:space="0" w:color="auto"/>
            </w:tcBorders>
            <w:shd w:val="clear" w:color="auto" w:fill="FFFFFF" w:themeFill="background1"/>
            <w:hideMark/>
          </w:tcPr>
          <w:p w14:paraId="69A79111" w14:textId="6CA83D33" w:rsidR="00626123" w:rsidRPr="00736448" w:rsidRDefault="005D3BCA" w:rsidP="005D3BCA">
            <w:pPr>
              <w:spacing w:after="0" w:line="240" w:lineRule="auto"/>
              <w:jc w:val="both"/>
              <w:rPr>
                <w:rFonts w:asciiTheme="majorHAnsi" w:eastAsia="Times New Roman" w:hAnsiTheme="majorHAnsi" w:cstheme="majorHAnsi"/>
                <w:color w:val="333333"/>
                <w:sz w:val="16"/>
                <w:szCs w:val="18"/>
                <w:lang w:val="ro-MD"/>
              </w:rPr>
            </w:pPr>
            <w:r w:rsidRPr="005D3BCA">
              <w:rPr>
                <w:rFonts w:asciiTheme="majorHAnsi" w:eastAsia="Times New Roman" w:hAnsiTheme="majorHAnsi" w:cstheme="majorHAnsi"/>
                <w:color w:val="333333"/>
                <w:sz w:val="16"/>
                <w:szCs w:val="18"/>
                <w:lang w:val="ro-MD"/>
              </w:rPr>
              <w:t xml:space="preserve">Лица, заключившие индивидуальный договор социального страхования в соответствии с </w:t>
            </w:r>
            <w:r>
              <w:rPr>
                <w:rFonts w:asciiTheme="majorHAnsi" w:eastAsia="Times New Roman" w:hAnsiTheme="majorHAnsi" w:cstheme="majorHAnsi"/>
                <w:color w:val="333333"/>
                <w:sz w:val="16"/>
                <w:szCs w:val="18"/>
                <w:lang w:val="ru-RU"/>
              </w:rPr>
              <w:t>З</w:t>
            </w:r>
            <w:r w:rsidRPr="005D3BCA">
              <w:rPr>
                <w:rFonts w:asciiTheme="majorHAnsi" w:eastAsia="Times New Roman" w:hAnsiTheme="majorHAnsi" w:cstheme="majorHAnsi"/>
                <w:color w:val="333333"/>
                <w:sz w:val="16"/>
                <w:szCs w:val="18"/>
                <w:lang w:val="ro-MD"/>
              </w:rPr>
              <w:t xml:space="preserve">аконом </w:t>
            </w:r>
            <w:r>
              <w:rPr>
                <w:rFonts w:asciiTheme="majorHAnsi" w:eastAsia="Times New Roman" w:hAnsiTheme="majorHAnsi" w:cstheme="majorHAnsi"/>
                <w:color w:val="333333"/>
                <w:sz w:val="16"/>
                <w:szCs w:val="18"/>
                <w:lang w:val="ru-RU"/>
              </w:rPr>
              <w:t>о БГСС</w:t>
            </w:r>
          </w:p>
        </w:tc>
        <w:tc>
          <w:tcPr>
            <w:tcW w:w="1981" w:type="dxa"/>
            <w:tcBorders>
              <w:top w:val="nil"/>
              <w:left w:val="nil"/>
              <w:bottom w:val="single" w:sz="4" w:space="0" w:color="auto"/>
              <w:right w:val="single" w:sz="4" w:space="0" w:color="auto"/>
            </w:tcBorders>
            <w:shd w:val="clear" w:color="auto" w:fill="FFFFFF" w:themeFill="background1"/>
            <w:hideMark/>
          </w:tcPr>
          <w:p w14:paraId="5C753328" w14:textId="0E739DE1" w:rsidR="00626123" w:rsidRPr="005D3BCA" w:rsidRDefault="005D3BCA" w:rsidP="005D3BCA">
            <w:pPr>
              <w:spacing w:after="0" w:line="240" w:lineRule="auto"/>
              <w:jc w:val="both"/>
              <w:rPr>
                <w:rFonts w:asciiTheme="majorHAnsi" w:eastAsia="Times New Roman" w:hAnsiTheme="majorHAnsi" w:cstheme="majorHAnsi"/>
                <w:color w:val="333333"/>
                <w:sz w:val="16"/>
                <w:szCs w:val="18"/>
                <w:lang w:val="ru-RU"/>
              </w:rPr>
            </w:pPr>
            <w:r w:rsidRPr="00626123">
              <w:rPr>
                <w:rFonts w:asciiTheme="majorHAnsi" w:eastAsia="Times New Roman" w:hAnsiTheme="majorHAnsi" w:cstheme="majorHAnsi"/>
                <w:color w:val="333333"/>
                <w:sz w:val="16"/>
                <w:szCs w:val="18"/>
                <w:lang w:val="ro-RO"/>
              </w:rPr>
              <w:t>Фиксированная сумма в соответствии с ежегод</w:t>
            </w:r>
            <w:r>
              <w:rPr>
                <w:rFonts w:asciiTheme="majorHAnsi" w:eastAsia="Times New Roman" w:hAnsiTheme="majorHAnsi" w:cstheme="majorHAnsi"/>
                <w:color w:val="333333"/>
                <w:sz w:val="16"/>
                <w:szCs w:val="18"/>
                <w:lang w:val="ru-RU"/>
              </w:rPr>
              <w:t xml:space="preserve"> </w:t>
            </w:r>
            <w:r w:rsidRPr="00626123">
              <w:rPr>
                <w:rFonts w:asciiTheme="majorHAnsi" w:eastAsia="Times New Roman" w:hAnsiTheme="majorHAnsi" w:cstheme="majorHAnsi"/>
                <w:color w:val="333333"/>
                <w:sz w:val="16"/>
                <w:szCs w:val="18"/>
                <w:lang w:val="ro-RO"/>
              </w:rPr>
              <w:t>ным законом о бюджете государственного социального страхования</w:t>
            </w:r>
            <w:r w:rsidR="00626123" w:rsidRPr="00736448">
              <w:rPr>
                <w:rFonts w:asciiTheme="majorHAnsi" w:eastAsia="Times New Roman" w:hAnsiTheme="majorHAnsi" w:cstheme="majorHAnsi"/>
                <w:color w:val="333333"/>
                <w:sz w:val="16"/>
                <w:szCs w:val="18"/>
                <w:lang w:val="ro-MD"/>
              </w:rPr>
              <w:t xml:space="preserve"> - 12838 </w:t>
            </w:r>
            <w:r>
              <w:rPr>
                <w:rFonts w:asciiTheme="majorHAnsi" w:eastAsia="Times New Roman" w:hAnsiTheme="majorHAnsi" w:cstheme="majorHAnsi"/>
                <w:color w:val="333333"/>
                <w:sz w:val="16"/>
                <w:szCs w:val="18"/>
                <w:lang w:val="ru-RU"/>
              </w:rPr>
              <w:t>леев</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17387AA6"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265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6CC5E21B" w14:textId="77777777" w:rsidR="00626123" w:rsidRPr="00736448" w:rsidRDefault="00626123" w:rsidP="00626123">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7E8021A9"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2281,6</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4985A57"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164</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3CE7E84" w14:textId="77777777" w:rsidR="00626123" w:rsidRPr="00736448" w:rsidRDefault="00626123" w:rsidP="00626123">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13D86FAA"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1528,3</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71407AD6"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-101</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51B558C8"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61,89%</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351BC002" w14:textId="77777777" w:rsidR="00626123" w:rsidRPr="00736448" w:rsidRDefault="00626123" w:rsidP="00626123">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04A1CDEB" w14:textId="77777777" w:rsidR="00626123" w:rsidRPr="00736448" w:rsidRDefault="00626123" w:rsidP="00626123">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4E6564E5"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-753,3</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22DC8BB2" w14:textId="77777777" w:rsidR="00626123" w:rsidRPr="00736448" w:rsidRDefault="00626123" w:rsidP="00626123">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66,98%</w:t>
            </w:r>
          </w:p>
        </w:tc>
      </w:tr>
      <w:tr w:rsidR="00626123" w:rsidRPr="00B7675F" w14:paraId="0063CAB9" w14:textId="77777777" w:rsidTr="00B27804">
        <w:trPr>
          <w:trHeight w:val="288"/>
        </w:trPr>
        <w:tc>
          <w:tcPr>
            <w:tcW w:w="423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3119AE" w14:textId="58BABE1A" w:rsidR="00626123" w:rsidRPr="00626123" w:rsidRDefault="00626123" w:rsidP="00626123">
            <w:pPr>
              <w:spacing w:after="0" w:line="240" w:lineRule="auto"/>
              <w:jc w:val="center"/>
              <w:rPr>
                <w:rFonts w:asciiTheme="majorHAnsi" w:eastAsia="Times New Roman" w:hAnsiTheme="majorHAnsi" w:cstheme="majorHAnsi"/>
                <w:b/>
                <w:bCs/>
                <w:color w:val="000000"/>
                <w:sz w:val="16"/>
                <w:szCs w:val="18"/>
                <w:lang w:val="ru-RU"/>
              </w:rPr>
            </w:pPr>
            <w:r>
              <w:rPr>
                <w:rFonts w:asciiTheme="majorHAnsi" w:eastAsia="Times New Roman" w:hAnsiTheme="majorHAnsi" w:cstheme="majorHAnsi"/>
                <w:b/>
                <w:bCs/>
                <w:color w:val="000000"/>
                <w:sz w:val="16"/>
                <w:szCs w:val="18"/>
                <w:lang w:val="ru-RU"/>
              </w:rPr>
              <w:t>Всего</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08B2E908" w14:textId="77777777" w:rsidR="00626123" w:rsidRPr="00736448" w:rsidRDefault="00626123" w:rsidP="00626123">
            <w:pPr>
              <w:spacing w:after="0" w:line="240" w:lineRule="auto"/>
              <w:jc w:val="right"/>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804928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2A28097" w14:textId="77777777" w:rsidR="00626123" w:rsidRPr="00736448" w:rsidRDefault="00626123" w:rsidP="00626123">
            <w:pPr>
              <w:spacing w:after="0" w:line="240" w:lineRule="auto"/>
              <w:jc w:val="right"/>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x</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F2C12E6" w14:textId="77777777" w:rsidR="00626123" w:rsidRPr="00736448" w:rsidRDefault="00626123" w:rsidP="00626123">
            <w:pPr>
              <w:spacing w:after="0" w:line="240" w:lineRule="auto"/>
              <w:jc w:val="right"/>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16688626,2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8DDC691" w14:textId="77777777" w:rsidR="00626123" w:rsidRPr="00736448" w:rsidRDefault="00626123" w:rsidP="00626123">
            <w:pPr>
              <w:spacing w:after="0" w:line="240" w:lineRule="auto"/>
              <w:jc w:val="right"/>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804420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F176752" w14:textId="77777777" w:rsidR="00626123" w:rsidRPr="00736448" w:rsidRDefault="00626123" w:rsidP="00626123">
            <w:pPr>
              <w:spacing w:after="0" w:line="240" w:lineRule="auto"/>
              <w:jc w:val="right"/>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73230643,0</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0FE36293" w14:textId="77777777" w:rsidR="00626123" w:rsidRPr="00736448" w:rsidRDefault="00626123" w:rsidP="00626123">
            <w:pPr>
              <w:spacing w:after="0" w:line="240" w:lineRule="auto"/>
              <w:jc w:val="right"/>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19177279,6</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21495435" w14:textId="77777777" w:rsidR="00626123" w:rsidRPr="00736448" w:rsidRDefault="00626123" w:rsidP="00626123">
            <w:pPr>
              <w:spacing w:after="0" w:line="240" w:lineRule="auto"/>
              <w:jc w:val="right"/>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-508</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15302E94" w14:textId="77777777" w:rsidR="00626123" w:rsidRPr="00736448" w:rsidRDefault="00626123" w:rsidP="00626123">
            <w:pPr>
              <w:spacing w:after="0" w:line="240" w:lineRule="auto"/>
              <w:jc w:val="right"/>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99,94%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4779584" w14:textId="77777777" w:rsidR="00626123" w:rsidRPr="00736448" w:rsidRDefault="00626123" w:rsidP="00626123">
            <w:pPr>
              <w:spacing w:after="0" w:line="240" w:lineRule="auto"/>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 </w:t>
            </w:r>
          </w:p>
        </w:tc>
        <w:tc>
          <w:tcPr>
            <w:tcW w:w="853" w:type="dxa"/>
            <w:tcBorders>
              <w:top w:val="nil"/>
              <w:left w:val="nil"/>
              <w:bottom w:val="single" w:sz="4" w:space="0" w:color="auto"/>
              <w:right w:val="single" w:sz="4" w:space="0" w:color="auto"/>
            </w:tcBorders>
            <w:shd w:val="clear" w:color="auto" w:fill="FFFFFF" w:themeFill="background1"/>
            <w:noWrap/>
            <w:vAlign w:val="bottom"/>
            <w:hideMark/>
          </w:tcPr>
          <w:p w14:paraId="2AAFDA2C" w14:textId="77777777" w:rsidR="00626123" w:rsidRPr="00736448" w:rsidRDefault="00626123" w:rsidP="00626123">
            <w:pPr>
              <w:spacing w:after="0" w:line="240" w:lineRule="auto"/>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 </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37518F25" w14:textId="77777777" w:rsidR="00626123" w:rsidRPr="00736448" w:rsidRDefault="00626123" w:rsidP="00626123">
            <w:pPr>
              <w:spacing w:after="0" w:line="240" w:lineRule="auto"/>
              <w:jc w:val="right"/>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2488653,4</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4EED4B04" w14:textId="77777777" w:rsidR="00626123" w:rsidRPr="00736448" w:rsidRDefault="00626123" w:rsidP="00626123">
            <w:pPr>
              <w:spacing w:after="0" w:line="240" w:lineRule="auto"/>
              <w:jc w:val="right"/>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114,91%</w:t>
            </w:r>
          </w:p>
        </w:tc>
      </w:tr>
    </w:tbl>
    <w:p w14:paraId="0F64CEC3" w14:textId="77777777" w:rsidR="00DB70CA" w:rsidRPr="00736448" w:rsidRDefault="00DB70CA" w:rsidP="00B27804">
      <w:pPr>
        <w:rPr>
          <w:rFonts w:cstheme="majorHAnsi"/>
          <w:b/>
          <w:bCs/>
          <w:color w:val="000000" w:themeColor="text1"/>
          <w:sz w:val="24"/>
          <w:szCs w:val="24"/>
          <w:lang w:val="ro-MD"/>
        </w:rPr>
      </w:pPr>
    </w:p>
    <w:p w14:paraId="295CC11F" w14:textId="4C37F6EA" w:rsidR="004C228A" w:rsidRPr="00736448" w:rsidRDefault="004C228A" w:rsidP="00B27804">
      <w:pPr>
        <w:rPr>
          <w:rFonts w:cstheme="majorHAnsi"/>
          <w:b/>
          <w:bCs/>
          <w:color w:val="000000" w:themeColor="text1"/>
          <w:sz w:val="24"/>
          <w:szCs w:val="24"/>
          <w:lang w:val="ro-MD"/>
        </w:rPr>
      </w:pPr>
      <w:r w:rsidRPr="00736448">
        <w:rPr>
          <w:rFonts w:cstheme="majorHAnsi"/>
          <w:b/>
          <w:bCs/>
          <w:color w:val="000000" w:themeColor="text1"/>
          <w:sz w:val="24"/>
          <w:szCs w:val="24"/>
          <w:lang w:val="ro-MD"/>
        </w:rPr>
        <w:br w:type="page"/>
      </w:r>
    </w:p>
    <w:p w14:paraId="1A085669" w14:textId="35AA780D" w:rsidR="00DB70CA" w:rsidRPr="00736448" w:rsidRDefault="00FC62B3" w:rsidP="004C228A">
      <w:pPr>
        <w:pStyle w:val="2"/>
        <w:jc w:val="right"/>
        <w:rPr>
          <w:rFonts w:cstheme="majorHAnsi"/>
          <w:b/>
          <w:bCs/>
          <w:color w:val="000000" w:themeColor="text1"/>
          <w:sz w:val="24"/>
          <w:szCs w:val="24"/>
          <w:lang w:val="ro-MD"/>
        </w:rPr>
      </w:pPr>
      <w:r>
        <w:rPr>
          <w:rFonts w:cstheme="majorHAnsi"/>
          <w:b/>
          <w:bCs/>
          <w:color w:val="000000" w:themeColor="text1"/>
          <w:sz w:val="24"/>
          <w:szCs w:val="24"/>
          <w:lang w:val="ro-MD"/>
        </w:rPr>
        <w:t>Приложение №</w:t>
      </w:r>
      <w:r w:rsidR="004C228A" w:rsidRPr="00736448">
        <w:rPr>
          <w:rFonts w:cstheme="majorHAnsi"/>
          <w:b/>
          <w:bCs/>
          <w:color w:val="000000" w:themeColor="text1"/>
          <w:sz w:val="24"/>
          <w:szCs w:val="24"/>
          <w:lang w:val="ro-MD"/>
        </w:rPr>
        <w:t>4</w:t>
      </w:r>
    </w:p>
    <w:p w14:paraId="074689E9" w14:textId="527699E9" w:rsidR="004C228A" w:rsidRPr="00736448" w:rsidRDefault="00920D31" w:rsidP="004C228A">
      <w:pPr>
        <w:jc w:val="center"/>
        <w:rPr>
          <w:rFonts w:asciiTheme="majorHAnsi" w:hAnsiTheme="majorHAnsi"/>
          <w:b/>
          <w:sz w:val="24"/>
          <w:lang w:val="ro-MD"/>
        </w:rPr>
      </w:pPr>
      <w:r w:rsidRPr="00920D31">
        <w:rPr>
          <w:rFonts w:asciiTheme="majorHAnsi" w:hAnsiTheme="majorHAnsi"/>
          <w:b/>
          <w:sz w:val="24"/>
          <w:lang w:val="ro-MD"/>
        </w:rPr>
        <w:t>Информация о сотрудниках в области ИТ, получающих социальные пособия</w:t>
      </w:r>
    </w:p>
    <w:tbl>
      <w:tblPr>
        <w:tblStyle w:val="af1"/>
        <w:tblW w:w="14032" w:type="dxa"/>
        <w:shd w:val="clear" w:color="auto" w:fill="FFFFFF" w:themeFill="background1"/>
        <w:tblLook w:val="04A0" w:firstRow="1" w:lastRow="0" w:firstColumn="1" w:lastColumn="0" w:noHBand="0" w:noVBand="1"/>
      </w:tblPr>
      <w:tblGrid>
        <w:gridCol w:w="520"/>
        <w:gridCol w:w="2723"/>
        <w:gridCol w:w="1984"/>
        <w:gridCol w:w="1381"/>
        <w:gridCol w:w="1384"/>
        <w:gridCol w:w="6040"/>
      </w:tblGrid>
      <w:tr w:rsidR="00DB70CA" w:rsidRPr="00B7675F" w14:paraId="437F86B8" w14:textId="77777777" w:rsidTr="00B27804">
        <w:tc>
          <w:tcPr>
            <w:tcW w:w="520" w:type="dxa"/>
            <w:shd w:val="clear" w:color="auto" w:fill="FFFFFF" w:themeFill="background1"/>
            <w:vAlign w:val="center"/>
          </w:tcPr>
          <w:p w14:paraId="66697F88" w14:textId="2EC1E6BC" w:rsidR="00DB70CA" w:rsidRPr="00920D31" w:rsidRDefault="00920D31" w:rsidP="00490517">
            <w:pPr>
              <w:pStyle w:val="Default"/>
              <w:jc w:val="center"/>
              <w:rPr>
                <w:rFonts w:asciiTheme="majorHAnsi" w:hAnsiTheme="majorHAnsi" w:cstheme="majorHAnsi"/>
                <w:b/>
                <w:color w:val="auto"/>
                <w:sz w:val="20"/>
                <w:szCs w:val="20"/>
                <w:lang w:val="ru-RU"/>
              </w:rPr>
            </w:pPr>
            <w:r>
              <w:rPr>
                <w:rFonts w:asciiTheme="majorHAnsi" w:hAnsiTheme="majorHAnsi" w:cstheme="majorHAnsi"/>
                <w:b/>
                <w:color w:val="auto"/>
                <w:sz w:val="20"/>
                <w:szCs w:val="20"/>
                <w:lang w:val="ru-RU"/>
              </w:rPr>
              <w:t>№ п/п</w:t>
            </w:r>
          </w:p>
        </w:tc>
        <w:tc>
          <w:tcPr>
            <w:tcW w:w="2736" w:type="dxa"/>
            <w:shd w:val="clear" w:color="auto" w:fill="FFFFFF" w:themeFill="background1"/>
            <w:vAlign w:val="center"/>
          </w:tcPr>
          <w:p w14:paraId="784E7C70" w14:textId="3A4D9661" w:rsidR="00DB70CA" w:rsidRPr="00920D31" w:rsidRDefault="00920D31" w:rsidP="00490517">
            <w:pPr>
              <w:pStyle w:val="Default"/>
              <w:jc w:val="center"/>
              <w:rPr>
                <w:rFonts w:asciiTheme="majorHAnsi" w:hAnsiTheme="majorHAnsi" w:cstheme="majorHAnsi"/>
                <w:b/>
                <w:color w:val="auto"/>
                <w:sz w:val="20"/>
                <w:szCs w:val="20"/>
                <w:lang w:val="ru-RU"/>
              </w:rPr>
            </w:pPr>
            <w:r>
              <w:rPr>
                <w:rFonts w:asciiTheme="majorHAnsi" w:hAnsiTheme="majorHAnsi" w:cstheme="majorHAnsi"/>
                <w:b/>
                <w:color w:val="auto"/>
                <w:sz w:val="20"/>
                <w:szCs w:val="20"/>
                <w:lang w:val="ru-RU"/>
              </w:rPr>
              <w:t>Фамилия, имя</w:t>
            </w:r>
          </w:p>
        </w:tc>
        <w:tc>
          <w:tcPr>
            <w:tcW w:w="1984" w:type="dxa"/>
            <w:shd w:val="clear" w:color="auto" w:fill="FFFFFF" w:themeFill="background1"/>
            <w:vAlign w:val="center"/>
          </w:tcPr>
          <w:p w14:paraId="7608D470" w14:textId="3A2AE354" w:rsidR="00DB70CA" w:rsidRPr="00920D31" w:rsidRDefault="00920D31" w:rsidP="00490517">
            <w:pPr>
              <w:pStyle w:val="Default"/>
              <w:jc w:val="center"/>
              <w:rPr>
                <w:rFonts w:asciiTheme="majorHAnsi" w:hAnsiTheme="majorHAnsi" w:cstheme="majorHAnsi"/>
                <w:b/>
                <w:color w:val="auto"/>
                <w:sz w:val="20"/>
                <w:szCs w:val="20"/>
                <w:lang w:val="ru-RU"/>
              </w:rPr>
            </w:pPr>
            <w:r>
              <w:rPr>
                <w:rFonts w:asciiTheme="majorHAnsi" w:hAnsiTheme="majorHAnsi" w:cstheme="majorHAnsi"/>
                <w:b/>
                <w:color w:val="auto"/>
                <w:sz w:val="20"/>
                <w:szCs w:val="20"/>
                <w:lang w:val="ru-RU"/>
              </w:rPr>
              <w:t>Вид пособия</w:t>
            </w:r>
          </w:p>
        </w:tc>
        <w:tc>
          <w:tcPr>
            <w:tcW w:w="1381" w:type="dxa"/>
            <w:shd w:val="clear" w:color="auto" w:fill="FFFFFF" w:themeFill="background1"/>
          </w:tcPr>
          <w:p w14:paraId="4BCAC15A" w14:textId="31D8077E" w:rsidR="00DB70CA" w:rsidRPr="00920D31" w:rsidRDefault="00920D31" w:rsidP="00490517">
            <w:pPr>
              <w:pStyle w:val="Default"/>
              <w:jc w:val="center"/>
              <w:rPr>
                <w:rFonts w:asciiTheme="majorHAnsi" w:hAnsiTheme="majorHAnsi" w:cstheme="majorHAnsi"/>
                <w:b/>
                <w:color w:val="auto"/>
                <w:sz w:val="20"/>
                <w:szCs w:val="20"/>
                <w:lang w:val="ru-RU"/>
              </w:rPr>
            </w:pPr>
            <w:r>
              <w:rPr>
                <w:rFonts w:asciiTheme="majorHAnsi" w:hAnsiTheme="majorHAnsi" w:cstheme="majorHAnsi"/>
                <w:b/>
                <w:color w:val="auto"/>
                <w:sz w:val="20"/>
                <w:szCs w:val="20"/>
                <w:lang w:val="ru-RU"/>
              </w:rPr>
              <w:t>Дата установления</w:t>
            </w:r>
          </w:p>
        </w:tc>
        <w:tc>
          <w:tcPr>
            <w:tcW w:w="1334" w:type="dxa"/>
            <w:shd w:val="clear" w:color="auto" w:fill="FFFFFF" w:themeFill="background1"/>
            <w:vAlign w:val="center"/>
          </w:tcPr>
          <w:p w14:paraId="3C686C7E" w14:textId="7A49545A" w:rsidR="00DB70CA" w:rsidRPr="00736448" w:rsidRDefault="00FF6049" w:rsidP="00FF6049">
            <w:pPr>
              <w:pStyle w:val="Default"/>
              <w:jc w:val="center"/>
              <w:rPr>
                <w:rFonts w:asciiTheme="majorHAnsi" w:hAnsiTheme="majorHAnsi" w:cstheme="majorHAnsi"/>
                <w:b/>
                <w:color w:val="auto"/>
                <w:sz w:val="20"/>
                <w:szCs w:val="20"/>
                <w:lang w:val="ro-MD"/>
              </w:rPr>
            </w:pPr>
            <w:r>
              <w:rPr>
                <w:rFonts w:asciiTheme="majorHAnsi" w:hAnsiTheme="majorHAnsi" w:cstheme="majorHAnsi"/>
                <w:b/>
                <w:color w:val="auto"/>
                <w:sz w:val="20"/>
                <w:szCs w:val="20"/>
                <w:lang w:val="ru-RU"/>
              </w:rPr>
              <w:t>Сумма выплаты</w:t>
            </w:r>
            <w:r w:rsidR="00DB70CA" w:rsidRPr="00736448">
              <w:rPr>
                <w:rFonts w:asciiTheme="majorHAnsi" w:hAnsiTheme="majorHAnsi" w:cstheme="majorHAnsi"/>
                <w:b/>
                <w:color w:val="auto"/>
                <w:sz w:val="20"/>
                <w:szCs w:val="20"/>
                <w:lang w:val="ro-MD"/>
              </w:rPr>
              <w:t>,</w:t>
            </w:r>
            <w:r>
              <w:rPr>
                <w:rFonts w:asciiTheme="majorHAnsi" w:hAnsiTheme="majorHAnsi" w:cstheme="majorHAnsi"/>
                <w:b/>
                <w:color w:val="auto"/>
                <w:sz w:val="20"/>
                <w:szCs w:val="20"/>
                <w:lang w:val="ru-RU"/>
              </w:rPr>
              <w:t>леев</w:t>
            </w:r>
          </w:p>
        </w:tc>
        <w:tc>
          <w:tcPr>
            <w:tcW w:w="6077" w:type="dxa"/>
            <w:shd w:val="clear" w:color="auto" w:fill="FFFFFF" w:themeFill="background1"/>
            <w:vAlign w:val="center"/>
          </w:tcPr>
          <w:p w14:paraId="0D16EC9A" w14:textId="4E80E308" w:rsidR="00DB70CA" w:rsidRPr="00920D31" w:rsidRDefault="00920D31" w:rsidP="00490517">
            <w:pPr>
              <w:pStyle w:val="Default"/>
              <w:jc w:val="center"/>
              <w:rPr>
                <w:rFonts w:asciiTheme="majorHAnsi" w:hAnsiTheme="majorHAnsi" w:cstheme="majorHAnsi"/>
                <w:b/>
                <w:color w:val="auto"/>
                <w:sz w:val="20"/>
                <w:szCs w:val="20"/>
                <w:lang w:val="ru-RU"/>
              </w:rPr>
            </w:pPr>
            <w:r>
              <w:rPr>
                <w:rFonts w:asciiTheme="majorHAnsi" w:hAnsiTheme="majorHAnsi" w:cstheme="majorHAnsi"/>
                <w:b/>
                <w:color w:val="auto"/>
                <w:sz w:val="20"/>
                <w:szCs w:val="20"/>
                <w:lang w:val="ru-RU"/>
              </w:rPr>
              <w:t>Коментарии аудитора</w:t>
            </w:r>
          </w:p>
        </w:tc>
      </w:tr>
      <w:tr w:rsidR="00DB70CA" w:rsidRPr="002C203D" w14:paraId="25ABC1A0" w14:textId="77777777" w:rsidTr="00B27804">
        <w:tc>
          <w:tcPr>
            <w:tcW w:w="520" w:type="dxa"/>
            <w:shd w:val="clear" w:color="auto" w:fill="FFFFFF" w:themeFill="background1"/>
          </w:tcPr>
          <w:p w14:paraId="0E601238"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1</w:t>
            </w:r>
          </w:p>
        </w:tc>
        <w:tc>
          <w:tcPr>
            <w:tcW w:w="2736" w:type="dxa"/>
            <w:shd w:val="clear" w:color="auto" w:fill="FFFFFF" w:themeFill="background1"/>
          </w:tcPr>
          <w:p w14:paraId="16A7ABDD" w14:textId="41619450" w:rsidR="00DB70CA" w:rsidRPr="00736448" w:rsidRDefault="007459E2" w:rsidP="00490517">
            <w:pPr>
              <w:pStyle w:val="Default"/>
              <w:jc w:val="both"/>
              <w:rPr>
                <w:rFonts w:asciiTheme="majorHAnsi" w:hAnsiTheme="majorHAnsi" w:cstheme="majorHAnsi"/>
                <w:color w:val="auto"/>
                <w:sz w:val="20"/>
                <w:szCs w:val="20"/>
                <w:lang w:val="ro-MD"/>
              </w:rPr>
            </w:pPr>
            <w:r>
              <w:rPr>
                <w:rFonts w:asciiTheme="majorHAnsi" w:hAnsiTheme="majorHAnsi" w:cstheme="majorHAnsi"/>
                <w:color w:val="auto"/>
                <w:sz w:val="20"/>
                <w:szCs w:val="20"/>
                <w:lang w:val="ro-MD"/>
              </w:rPr>
              <w:t>Бенефициар</w:t>
            </w:r>
            <w:r w:rsidR="00DB70CA" w:rsidRPr="00736448">
              <w:rPr>
                <w:rFonts w:asciiTheme="majorHAnsi" w:hAnsiTheme="majorHAnsi" w:cstheme="majorHAnsi"/>
                <w:color w:val="auto"/>
                <w:sz w:val="20"/>
                <w:szCs w:val="20"/>
                <w:lang w:val="ro-MD"/>
              </w:rPr>
              <w:t xml:space="preserve"> 1</w:t>
            </w:r>
          </w:p>
        </w:tc>
        <w:tc>
          <w:tcPr>
            <w:tcW w:w="1984" w:type="dxa"/>
            <w:shd w:val="clear" w:color="auto" w:fill="FFFFFF" w:themeFill="background1"/>
          </w:tcPr>
          <w:p w14:paraId="3978F5A2" w14:textId="4D35A964" w:rsidR="00DB70CA" w:rsidRPr="00736448" w:rsidRDefault="007459E2" w:rsidP="00490517">
            <w:pPr>
              <w:pStyle w:val="Default"/>
              <w:jc w:val="both"/>
              <w:rPr>
                <w:rFonts w:asciiTheme="majorHAnsi" w:hAnsiTheme="majorHAnsi" w:cstheme="majorHAnsi"/>
                <w:color w:val="auto"/>
                <w:sz w:val="20"/>
                <w:szCs w:val="20"/>
                <w:lang w:val="ro-MD"/>
              </w:rPr>
            </w:pPr>
            <w:r w:rsidRPr="007459E2">
              <w:rPr>
                <w:rFonts w:asciiTheme="majorHAnsi" w:hAnsiTheme="majorHAnsi" w:cstheme="majorHAnsi"/>
                <w:color w:val="auto"/>
                <w:sz w:val="20"/>
                <w:szCs w:val="20"/>
                <w:lang w:val="ro-MD"/>
              </w:rPr>
              <w:t>Пособие по материнству</w:t>
            </w:r>
          </w:p>
        </w:tc>
        <w:tc>
          <w:tcPr>
            <w:tcW w:w="1381" w:type="dxa"/>
            <w:shd w:val="clear" w:color="auto" w:fill="FFFFFF" w:themeFill="background1"/>
          </w:tcPr>
          <w:p w14:paraId="7074121A"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13.06.2022</w:t>
            </w:r>
          </w:p>
        </w:tc>
        <w:tc>
          <w:tcPr>
            <w:tcW w:w="1334" w:type="dxa"/>
            <w:shd w:val="clear" w:color="auto" w:fill="FFFFFF" w:themeFill="background1"/>
          </w:tcPr>
          <w:p w14:paraId="2FE76FE0"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25 776.64</w:t>
            </w:r>
          </w:p>
        </w:tc>
        <w:tc>
          <w:tcPr>
            <w:tcW w:w="6077" w:type="dxa"/>
            <w:shd w:val="clear" w:color="auto" w:fill="FFFFFF" w:themeFill="background1"/>
          </w:tcPr>
          <w:p w14:paraId="5CBBA4BD" w14:textId="089A57BB" w:rsidR="00DB70CA" w:rsidRPr="00736448" w:rsidRDefault="007459E2" w:rsidP="00490517">
            <w:pPr>
              <w:pStyle w:val="Default"/>
              <w:jc w:val="both"/>
              <w:rPr>
                <w:rFonts w:asciiTheme="majorHAnsi" w:hAnsiTheme="majorHAnsi" w:cstheme="majorHAnsi"/>
                <w:color w:val="auto"/>
                <w:sz w:val="20"/>
                <w:szCs w:val="20"/>
                <w:lang w:val="ro-MD"/>
              </w:rPr>
            </w:pPr>
            <w:r>
              <w:rPr>
                <w:rFonts w:asciiTheme="majorHAnsi" w:hAnsiTheme="majorHAnsi" w:cstheme="majorHAnsi"/>
                <w:color w:val="auto"/>
                <w:sz w:val="20"/>
                <w:szCs w:val="20"/>
                <w:lang w:val="ru-RU"/>
              </w:rPr>
              <w:t>С</w:t>
            </w:r>
            <w:r w:rsidRPr="007459E2">
              <w:rPr>
                <w:rFonts w:asciiTheme="majorHAnsi" w:hAnsiTheme="majorHAnsi" w:cstheme="majorHAnsi"/>
                <w:color w:val="auto"/>
                <w:sz w:val="20"/>
                <w:szCs w:val="20"/>
                <w:lang w:val="ro-MD"/>
              </w:rPr>
              <w:t xml:space="preserve">реднемесячный </w:t>
            </w:r>
            <w:r>
              <w:rPr>
                <w:rFonts w:asciiTheme="majorHAnsi" w:hAnsiTheme="majorHAnsi" w:cstheme="majorHAnsi"/>
                <w:color w:val="auto"/>
                <w:sz w:val="20"/>
                <w:szCs w:val="20"/>
                <w:lang w:val="ru-RU"/>
              </w:rPr>
              <w:t>с</w:t>
            </w:r>
            <w:r w:rsidRPr="007459E2">
              <w:rPr>
                <w:rFonts w:asciiTheme="majorHAnsi" w:hAnsiTheme="majorHAnsi" w:cstheme="majorHAnsi"/>
                <w:color w:val="auto"/>
                <w:sz w:val="20"/>
                <w:szCs w:val="20"/>
                <w:lang w:val="ro-MD"/>
              </w:rPr>
              <w:t xml:space="preserve">траховой доход составляет </w:t>
            </w:r>
            <w:r w:rsidR="00DB70CA" w:rsidRPr="00736448">
              <w:rPr>
                <w:rFonts w:asciiTheme="majorHAnsi" w:hAnsiTheme="majorHAnsi" w:cstheme="majorHAnsi"/>
                <w:color w:val="auto"/>
                <w:sz w:val="20"/>
                <w:szCs w:val="20"/>
                <w:lang w:val="ro-MD"/>
              </w:rPr>
              <w:t xml:space="preserve">6 262.35 </w:t>
            </w:r>
            <w:r>
              <w:rPr>
                <w:rFonts w:asciiTheme="majorHAnsi" w:hAnsiTheme="majorHAnsi" w:cstheme="majorHAnsi"/>
                <w:color w:val="auto"/>
                <w:sz w:val="20"/>
                <w:szCs w:val="20"/>
                <w:lang w:val="ro-MD"/>
              </w:rPr>
              <w:t>леев</w:t>
            </w:r>
          </w:p>
        </w:tc>
      </w:tr>
      <w:tr w:rsidR="00DB70CA" w:rsidRPr="002C203D" w14:paraId="175999C1" w14:textId="77777777" w:rsidTr="00B27804">
        <w:tc>
          <w:tcPr>
            <w:tcW w:w="520" w:type="dxa"/>
            <w:shd w:val="clear" w:color="auto" w:fill="FFFFFF" w:themeFill="background1"/>
          </w:tcPr>
          <w:p w14:paraId="492FDE3B"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2</w:t>
            </w:r>
          </w:p>
        </w:tc>
        <w:tc>
          <w:tcPr>
            <w:tcW w:w="2736" w:type="dxa"/>
            <w:shd w:val="clear" w:color="auto" w:fill="FFFFFF" w:themeFill="background1"/>
          </w:tcPr>
          <w:p w14:paraId="4C6D65BC" w14:textId="097B3740" w:rsidR="00DB70CA" w:rsidRPr="00736448" w:rsidRDefault="007459E2" w:rsidP="00490517">
            <w:pPr>
              <w:pStyle w:val="Default"/>
              <w:jc w:val="both"/>
              <w:rPr>
                <w:rFonts w:asciiTheme="majorHAnsi" w:hAnsiTheme="majorHAnsi" w:cstheme="majorHAnsi"/>
                <w:color w:val="auto"/>
                <w:sz w:val="20"/>
                <w:szCs w:val="20"/>
                <w:lang w:val="ro-MD"/>
              </w:rPr>
            </w:pPr>
            <w:r>
              <w:rPr>
                <w:rFonts w:asciiTheme="majorHAnsi" w:hAnsiTheme="majorHAnsi" w:cstheme="majorHAnsi"/>
                <w:color w:val="auto"/>
                <w:sz w:val="20"/>
                <w:szCs w:val="20"/>
                <w:lang w:val="ro-MD"/>
              </w:rPr>
              <w:t>Бенефициар</w:t>
            </w:r>
            <w:r w:rsidR="00DB70CA" w:rsidRPr="00736448">
              <w:rPr>
                <w:rFonts w:asciiTheme="majorHAnsi" w:hAnsiTheme="majorHAnsi" w:cstheme="majorHAnsi"/>
                <w:color w:val="auto"/>
                <w:sz w:val="20"/>
                <w:szCs w:val="20"/>
                <w:lang w:val="ro-MD"/>
              </w:rPr>
              <w:t xml:space="preserve"> 2</w:t>
            </w:r>
          </w:p>
        </w:tc>
        <w:tc>
          <w:tcPr>
            <w:tcW w:w="1984" w:type="dxa"/>
            <w:shd w:val="clear" w:color="auto" w:fill="FFFFFF" w:themeFill="background1"/>
          </w:tcPr>
          <w:p w14:paraId="1BE4B125" w14:textId="53F0E779" w:rsidR="00DB70CA" w:rsidRPr="00736448" w:rsidRDefault="007459E2" w:rsidP="00490517">
            <w:pPr>
              <w:pStyle w:val="Default"/>
              <w:jc w:val="both"/>
              <w:rPr>
                <w:rFonts w:asciiTheme="majorHAnsi" w:hAnsiTheme="majorHAnsi" w:cstheme="majorHAnsi"/>
                <w:color w:val="auto"/>
                <w:sz w:val="20"/>
                <w:szCs w:val="20"/>
                <w:lang w:val="ro-MD"/>
              </w:rPr>
            </w:pPr>
            <w:r w:rsidRPr="007459E2">
              <w:rPr>
                <w:rFonts w:asciiTheme="majorHAnsi" w:hAnsiTheme="majorHAnsi" w:cstheme="majorHAnsi"/>
                <w:color w:val="auto"/>
                <w:sz w:val="20"/>
                <w:szCs w:val="20"/>
                <w:lang w:val="ro-MD"/>
              </w:rPr>
              <w:t>Пособие по материнству</w:t>
            </w:r>
          </w:p>
        </w:tc>
        <w:tc>
          <w:tcPr>
            <w:tcW w:w="1381" w:type="dxa"/>
            <w:shd w:val="clear" w:color="auto" w:fill="FFFFFF" w:themeFill="background1"/>
          </w:tcPr>
          <w:p w14:paraId="2F6C95BC"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16.08.2022</w:t>
            </w:r>
          </w:p>
        </w:tc>
        <w:tc>
          <w:tcPr>
            <w:tcW w:w="1334" w:type="dxa"/>
            <w:shd w:val="clear" w:color="auto" w:fill="FFFFFF" w:themeFill="background1"/>
          </w:tcPr>
          <w:p w14:paraId="73B91719"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26 411.48</w:t>
            </w:r>
          </w:p>
        </w:tc>
        <w:tc>
          <w:tcPr>
            <w:tcW w:w="6077" w:type="dxa"/>
            <w:shd w:val="clear" w:color="auto" w:fill="FFFFFF" w:themeFill="background1"/>
          </w:tcPr>
          <w:p w14:paraId="1EB81711" w14:textId="3B16B972" w:rsidR="00DB70CA" w:rsidRPr="00736448" w:rsidRDefault="007459E2" w:rsidP="007459E2">
            <w:pPr>
              <w:pStyle w:val="Default"/>
              <w:jc w:val="both"/>
              <w:rPr>
                <w:rFonts w:asciiTheme="majorHAnsi" w:hAnsiTheme="majorHAnsi" w:cstheme="majorHAnsi"/>
                <w:color w:val="auto"/>
                <w:sz w:val="20"/>
                <w:szCs w:val="20"/>
                <w:lang w:val="ro-MD"/>
              </w:rPr>
            </w:pPr>
            <w:r>
              <w:rPr>
                <w:rFonts w:asciiTheme="majorHAnsi" w:hAnsiTheme="majorHAnsi" w:cstheme="majorHAnsi"/>
                <w:color w:val="auto"/>
                <w:sz w:val="20"/>
                <w:szCs w:val="20"/>
                <w:lang w:val="ru-RU"/>
              </w:rPr>
              <w:t>С</w:t>
            </w:r>
            <w:r w:rsidRPr="007459E2">
              <w:rPr>
                <w:rFonts w:asciiTheme="majorHAnsi" w:hAnsiTheme="majorHAnsi" w:cstheme="majorHAnsi"/>
                <w:color w:val="auto"/>
                <w:sz w:val="20"/>
                <w:szCs w:val="20"/>
                <w:lang w:val="ro-MD"/>
              </w:rPr>
              <w:t xml:space="preserve">реднемесячный </w:t>
            </w:r>
            <w:r>
              <w:rPr>
                <w:rFonts w:asciiTheme="majorHAnsi" w:hAnsiTheme="majorHAnsi" w:cstheme="majorHAnsi"/>
                <w:color w:val="auto"/>
                <w:sz w:val="20"/>
                <w:szCs w:val="20"/>
                <w:lang w:val="ru-RU"/>
              </w:rPr>
              <w:t>с</w:t>
            </w:r>
            <w:r w:rsidRPr="007459E2">
              <w:rPr>
                <w:rFonts w:asciiTheme="majorHAnsi" w:hAnsiTheme="majorHAnsi" w:cstheme="majorHAnsi"/>
                <w:color w:val="auto"/>
                <w:sz w:val="20"/>
                <w:szCs w:val="20"/>
                <w:lang w:val="ro-MD"/>
              </w:rPr>
              <w:t>траховой доход составляет</w:t>
            </w:r>
            <w:r w:rsidR="00DB70CA" w:rsidRPr="00736448">
              <w:rPr>
                <w:rFonts w:asciiTheme="majorHAnsi" w:hAnsiTheme="majorHAnsi" w:cstheme="majorHAnsi"/>
                <w:color w:val="auto"/>
                <w:sz w:val="20"/>
                <w:szCs w:val="20"/>
                <w:lang w:val="ro-MD"/>
              </w:rPr>
              <w:t xml:space="preserve"> 6 396.53 </w:t>
            </w:r>
            <w:r>
              <w:rPr>
                <w:rFonts w:asciiTheme="majorHAnsi" w:hAnsiTheme="majorHAnsi" w:cstheme="majorHAnsi"/>
                <w:color w:val="auto"/>
                <w:sz w:val="20"/>
                <w:szCs w:val="20"/>
                <w:lang w:val="ro-MD"/>
              </w:rPr>
              <w:t>леев</w:t>
            </w:r>
          </w:p>
        </w:tc>
      </w:tr>
      <w:tr w:rsidR="00DB70CA" w:rsidRPr="002C203D" w14:paraId="670DB4EB" w14:textId="77777777" w:rsidTr="00B27804">
        <w:tc>
          <w:tcPr>
            <w:tcW w:w="520" w:type="dxa"/>
            <w:shd w:val="clear" w:color="auto" w:fill="FFFFFF" w:themeFill="background1"/>
          </w:tcPr>
          <w:p w14:paraId="636C4BE4"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3</w:t>
            </w:r>
          </w:p>
        </w:tc>
        <w:tc>
          <w:tcPr>
            <w:tcW w:w="2736" w:type="dxa"/>
            <w:shd w:val="clear" w:color="auto" w:fill="FFFFFF" w:themeFill="background1"/>
          </w:tcPr>
          <w:p w14:paraId="4CA84E4E" w14:textId="40638616" w:rsidR="00DB70CA" w:rsidRPr="00736448" w:rsidRDefault="007459E2" w:rsidP="00490517">
            <w:pPr>
              <w:pStyle w:val="Default"/>
              <w:jc w:val="both"/>
              <w:rPr>
                <w:rFonts w:asciiTheme="majorHAnsi" w:hAnsiTheme="majorHAnsi" w:cstheme="majorHAnsi"/>
                <w:color w:val="auto"/>
                <w:sz w:val="20"/>
                <w:szCs w:val="20"/>
                <w:lang w:val="ro-MD"/>
              </w:rPr>
            </w:pPr>
            <w:r>
              <w:rPr>
                <w:rFonts w:asciiTheme="majorHAnsi" w:hAnsiTheme="majorHAnsi" w:cstheme="majorHAnsi"/>
                <w:color w:val="auto"/>
                <w:sz w:val="20"/>
                <w:szCs w:val="20"/>
                <w:lang w:val="ro-MD"/>
              </w:rPr>
              <w:t>Бенефициар</w:t>
            </w:r>
            <w:r w:rsidR="00DB70CA" w:rsidRPr="00736448">
              <w:rPr>
                <w:rFonts w:asciiTheme="majorHAnsi" w:hAnsiTheme="majorHAnsi" w:cstheme="majorHAnsi"/>
                <w:color w:val="auto"/>
                <w:sz w:val="20"/>
                <w:szCs w:val="20"/>
                <w:lang w:val="ro-MD"/>
              </w:rPr>
              <w:t xml:space="preserve"> 3</w:t>
            </w:r>
          </w:p>
        </w:tc>
        <w:tc>
          <w:tcPr>
            <w:tcW w:w="1984" w:type="dxa"/>
            <w:shd w:val="clear" w:color="auto" w:fill="FFFFFF" w:themeFill="background1"/>
          </w:tcPr>
          <w:p w14:paraId="6FD0F66D" w14:textId="2B04BA90" w:rsidR="00DB70CA" w:rsidRPr="00736448" w:rsidRDefault="007459E2" w:rsidP="00490517">
            <w:pPr>
              <w:pStyle w:val="Default"/>
              <w:jc w:val="both"/>
              <w:rPr>
                <w:rFonts w:asciiTheme="majorHAnsi" w:hAnsiTheme="majorHAnsi" w:cstheme="majorHAnsi"/>
                <w:color w:val="auto"/>
                <w:sz w:val="20"/>
                <w:szCs w:val="20"/>
                <w:lang w:val="ro-MD"/>
              </w:rPr>
            </w:pPr>
            <w:r w:rsidRPr="007459E2">
              <w:rPr>
                <w:rFonts w:asciiTheme="majorHAnsi" w:hAnsiTheme="majorHAnsi" w:cstheme="majorHAnsi"/>
                <w:color w:val="auto"/>
                <w:sz w:val="20"/>
                <w:szCs w:val="20"/>
                <w:lang w:val="ro-MD"/>
              </w:rPr>
              <w:t>Пособие по материнству</w:t>
            </w:r>
          </w:p>
        </w:tc>
        <w:tc>
          <w:tcPr>
            <w:tcW w:w="1381" w:type="dxa"/>
            <w:shd w:val="clear" w:color="auto" w:fill="FFFFFF" w:themeFill="background1"/>
          </w:tcPr>
          <w:p w14:paraId="3E8AA99C"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30.05.2022</w:t>
            </w:r>
          </w:p>
        </w:tc>
        <w:tc>
          <w:tcPr>
            <w:tcW w:w="1334" w:type="dxa"/>
            <w:shd w:val="clear" w:color="auto" w:fill="FFFFFF" w:themeFill="background1"/>
          </w:tcPr>
          <w:p w14:paraId="6899A2CE"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25 580.39</w:t>
            </w:r>
          </w:p>
        </w:tc>
        <w:tc>
          <w:tcPr>
            <w:tcW w:w="6077" w:type="dxa"/>
            <w:shd w:val="clear" w:color="auto" w:fill="FFFFFF" w:themeFill="background1"/>
          </w:tcPr>
          <w:p w14:paraId="6907B092" w14:textId="1A6AB9F5" w:rsidR="00DB70CA" w:rsidRPr="00736448" w:rsidRDefault="007459E2" w:rsidP="00490517">
            <w:pPr>
              <w:pStyle w:val="Default"/>
              <w:jc w:val="both"/>
              <w:rPr>
                <w:rFonts w:asciiTheme="majorHAnsi" w:hAnsiTheme="majorHAnsi" w:cstheme="majorHAnsi"/>
                <w:color w:val="auto"/>
                <w:sz w:val="20"/>
                <w:szCs w:val="20"/>
                <w:lang w:val="ro-MD"/>
              </w:rPr>
            </w:pPr>
            <w:r>
              <w:rPr>
                <w:rFonts w:asciiTheme="majorHAnsi" w:hAnsiTheme="majorHAnsi" w:cstheme="majorHAnsi"/>
                <w:color w:val="auto"/>
                <w:sz w:val="20"/>
                <w:szCs w:val="20"/>
                <w:lang w:val="ru-RU"/>
              </w:rPr>
              <w:t>С</w:t>
            </w:r>
            <w:r w:rsidRPr="007459E2">
              <w:rPr>
                <w:rFonts w:asciiTheme="majorHAnsi" w:hAnsiTheme="majorHAnsi" w:cstheme="majorHAnsi"/>
                <w:color w:val="auto"/>
                <w:sz w:val="20"/>
                <w:szCs w:val="20"/>
                <w:lang w:val="ro-MD"/>
              </w:rPr>
              <w:t xml:space="preserve">реднемесячный </w:t>
            </w:r>
            <w:r>
              <w:rPr>
                <w:rFonts w:asciiTheme="majorHAnsi" w:hAnsiTheme="majorHAnsi" w:cstheme="majorHAnsi"/>
                <w:color w:val="auto"/>
                <w:sz w:val="20"/>
                <w:szCs w:val="20"/>
                <w:lang w:val="ru-RU"/>
              </w:rPr>
              <w:t>с</w:t>
            </w:r>
            <w:r w:rsidRPr="007459E2">
              <w:rPr>
                <w:rFonts w:asciiTheme="majorHAnsi" w:hAnsiTheme="majorHAnsi" w:cstheme="majorHAnsi"/>
                <w:color w:val="auto"/>
                <w:sz w:val="20"/>
                <w:szCs w:val="20"/>
                <w:lang w:val="ro-MD"/>
              </w:rPr>
              <w:t>траховой доход составляет</w:t>
            </w:r>
            <w:r w:rsidR="00DB70CA" w:rsidRPr="00736448">
              <w:rPr>
                <w:rFonts w:asciiTheme="majorHAnsi" w:hAnsiTheme="majorHAnsi" w:cstheme="majorHAnsi"/>
                <w:color w:val="auto"/>
                <w:sz w:val="20"/>
                <w:szCs w:val="20"/>
                <w:lang w:val="ro-MD"/>
              </w:rPr>
              <w:t xml:space="preserve"> 6 195.25 </w:t>
            </w:r>
            <w:r>
              <w:rPr>
                <w:rFonts w:asciiTheme="majorHAnsi" w:hAnsiTheme="majorHAnsi" w:cstheme="majorHAnsi"/>
                <w:color w:val="auto"/>
                <w:sz w:val="20"/>
                <w:szCs w:val="20"/>
                <w:lang w:val="ro-MD"/>
              </w:rPr>
              <w:t>леев</w:t>
            </w:r>
          </w:p>
        </w:tc>
      </w:tr>
      <w:tr w:rsidR="00DB70CA" w:rsidRPr="00207D59" w14:paraId="5017C50A" w14:textId="77777777" w:rsidTr="00B27804">
        <w:tc>
          <w:tcPr>
            <w:tcW w:w="520" w:type="dxa"/>
            <w:shd w:val="clear" w:color="auto" w:fill="FFFFFF" w:themeFill="background1"/>
          </w:tcPr>
          <w:p w14:paraId="13E27A15"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4</w:t>
            </w:r>
          </w:p>
        </w:tc>
        <w:tc>
          <w:tcPr>
            <w:tcW w:w="2736" w:type="dxa"/>
            <w:shd w:val="clear" w:color="auto" w:fill="FFFFFF" w:themeFill="background1"/>
          </w:tcPr>
          <w:p w14:paraId="727241E1" w14:textId="30556236" w:rsidR="00DB70CA" w:rsidRPr="00736448" w:rsidRDefault="007459E2" w:rsidP="00490517">
            <w:pPr>
              <w:pStyle w:val="Default"/>
              <w:jc w:val="both"/>
              <w:rPr>
                <w:rFonts w:asciiTheme="majorHAnsi" w:hAnsiTheme="majorHAnsi" w:cstheme="majorHAnsi"/>
                <w:color w:val="auto"/>
                <w:sz w:val="20"/>
                <w:szCs w:val="20"/>
                <w:lang w:val="ro-MD"/>
              </w:rPr>
            </w:pPr>
            <w:r>
              <w:rPr>
                <w:rFonts w:asciiTheme="majorHAnsi" w:hAnsiTheme="majorHAnsi" w:cstheme="majorHAnsi"/>
                <w:color w:val="auto"/>
                <w:sz w:val="20"/>
                <w:szCs w:val="20"/>
                <w:lang w:val="ro-MD"/>
              </w:rPr>
              <w:t>Бенефициар</w:t>
            </w:r>
            <w:r w:rsidR="00DB70CA" w:rsidRPr="00736448">
              <w:rPr>
                <w:rFonts w:asciiTheme="majorHAnsi" w:hAnsiTheme="majorHAnsi" w:cstheme="majorHAnsi"/>
                <w:color w:val="auto"/>
                <w:sz w:val="20"/>
                <w:szCs w:val="20"/>
                <w:lang w:val="ro-MD"/>
              </w:rPr>
              <w:t xml:space="preserve"> 4</w:t>
            </w:r>
          </w:p>
        </w:tc>
        <w:tc>
          <w:tcPr>
            <w:tcW w:w="1984" w:type="dxa"/>
            <w:shd w:val="clear" w:color="auto" w:fill="FFFFFF" w:themeFill="background1"/>
          </w:tcPr>
          <w:p w14:paraId="2456552B" w14:textId="70D03634" w:rsidR="00DB70CA" w:rsidRPr="00736448" w:rsidRDefault="007459E2" w:rsidP="007459E2">
            <w:pPr>
              <w:pStyle w:val="Default"/>
              <w:jc w:val="both"/>
              <w:rPr>
                <w:rFonts w:asciiTheme="majorHAnsi" w:hAnsiTheme="majorHAnsi" w:cstheme="majorHAnsi"/>
                <w:color w:val="auto"/>
                <w:sz w:val="20"/>
                <w:szCs w:val="20"/>
                <w:lang w:val="ro-MD"/>
              </w:rPr>
            </w:pPr>
            <w:r w:rsidRPr="007459E2">
              <w:rPr>
                <w:rFonts w:asciiTheme="majorHAnsi" w:hAnsiTheme="majorHAnsi" w:cstheme="majorHAnsi"/>
                <w:color w:val="auto"/>
                <w:sz w:val="20"/>
                <w:szCs w:val="20"/>
                <w:lang w:val="ro-MD"/>
              </w:rPr>
              <w:t xml:space="preserve">Пособие по </w:t>
            </w:r>
            <w:r>
              <w:rPr>
                <w:rFonts w:asciiTheme="majorHAnsi" w:hAnsiTheme="majorHAnsi" w:cstheme="majorHAnsi"/>
                <w:color w:val="auto"/>
                <w:sz w:val="20"/>
                <w:szCs w:val="20"/>
                <w:lang w:val="ru-RU"/>
              </w:rPr>
              <w:t>отцов</w:t>
            </w:r>
            <w:r w:rsidRPr="007459E2">
              <w:rPr>
                <w:rFonts w:asciiTheme="majorHAnsi" w:hAnsiTheme="majorHAnsi" w:cstheme="majorHAnsi"/>
                <w:color w:val="auto"/>
                <w:sz w:val="20"/>
                <w:szCs w:val="20"/>
                <w:lang w:val="ro-MD"/>
              </w:rPr>
              <w:t>ству</w:t>
            </w:r>
          </w:p>
        </w:tc>
        <w:tc>
          <w:tcPr>
            <w:tcW w:w="1381" w:type="dxa"/>
            <w:shd w:val="clear" w:color="auto" w:fill="FFFFFF" w:themeFill="background1"/>
          </w:tcPr>
          <w:p w14:paraId="1F0E12FD"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28.03.2022</w:t>
            </w:r>
          </w:p>
        </w:tc>
        <w:tc>
          <w:tcPr>
            <w:tcW w:w="1334" w:type="dxa"/>
            <w:shd w:val="clear" w:color="auto" w:fill="FFFFFF" w:themeFill="background1"/>
          </w:tcPr>
          <w:p w14:paraId="79FB2882"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2 864.47</w:t>
            </w:r>
          </w:p>
        </w:tc>
        <w:tc>
          <w:tcPr>
            <w:tcW w:w="6077" w:type="dxa"/>
            <w:shd w:val="clear" w:color="auto" w:fill="FFFFFF" w:themeFill="background1"/>
          </w:tcPr>
          <w:p w14:paraId="334DF0B3" w14:textId="7E30FF58" w:rsidR="00DB70CA" w:rsidRPr="00736448" w:rsidRDefault="007459E2" w:rsidP="00490517">
            <w:pPr>
              <w:pStyle w:val="Default"/>
              <w:jc w:val="both"/>
              <w:rPr>
                <w:rFonts w:asciiTheme="majorHAnsi" w:hAnsiTheme="majorHAnsi" w:cstheme="majorHAnsi"/>
                <w:color w:val="auto"/>
                <w:sz w:val="20"/>
                <w:szCs w:val="20"/>
                <w:lang w:val="ro-MD"/>
              </w:rPr>
            </w:pPr>
            <w:r w:rsidRPr="007459E2">
              <w:rPr>
                <w:rFonts w:asciiTheme="majorHAnsi" w:hAnsiTheme="majorHAnsi" w:cstheme="majorHAnsi"/>
                <w:color w:val="auto"/>
                <w:sz w:val="20"/>
                <w:szCs w:val="20"/>
                <w:lang w:val="ro-MD"/>
              </w:rPr>
              <w:t>Расчетная база составляет</w:t>
            </w:r>
            <w:r w:rsidR="00DB70CA" w:rsidRPr="00736448">
              <w:rPr>
                <w:rFonts w:asciiTheme="majorHAnsi" w:hAnsiTheme="majorHAnsi" w:cstheme="majorHAnsi"/>
                <w:color w:val="auto"/>
                <w:sz w:val="20"/>
                <w:szCs w:val="20"/>
                <w:lang w:val="ro-MD"/>
              </w:rPr>
              <w:t xml:space="preserve"> 6 195.25 </w:t>
            </w:r>
            <w:r>
              <w:rPr>
                <w:rFonts w:asciiTheme="majorHAnsi" w:hAnsiTheme="majorHAnsi" w:cstheme="majorHAnsi"/>
                <w:color w:val="auto"/>
                <w:sz w:val="20"/>
                <w:szCs w:val="20"/>
                <w:lang w:val="ro-MD"/>
              </w:rPr>
              <w:t>леев</w:t>
            </w:r>
          </w:p>
        </w:tc>
      </w:tr>
      <w:tr w:rsidR="00DB70CA" w:rsidRPr="00207D59" w14:paraId="0F2DA07B" w14:textId="77777777" w:rsidTr="00B27804">
        <w:tc>
          <w:tcPr>
            <w:tcW w:w="520" w:type="dxa"/>
            <w:shd w:val="clear" w:color="auto" w:fill="FFFFFF" w:themeFill="background1"/>
          </w:tcPr>
          <w:p w14:paraId="3AEEEB72"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5</w:t>
            </w:r>
          </w:p>
        </w:tc>
        <w:tc>
          <w:tcPr>
            <w:tcW w:w="2736" w:type="dxa"/>
            <w:shd w:val="clear" w:color="auto" w:fill="FFFFFF" w:themeFill="background1"/>
          </w:tcPr>
          <w:p w14:paraId="7ACB53F2" w14:textId="0516F024" w:rsidR="00DB70CA" w:rsidRPr="00736448" w:rsidRDefault="007459E2" w:rsidP="00490517">
            <w:pPr>
              <w:pStyle w:val="Default"/>
              <w:jc w:val="both"/>
              <w:rPr>
                <w:rFonts w:asciiTheme="majorHAnsi" w:hAnsiTheme="majorHAnsi" w:cstheme="majorHAnsi"/>
                <w:color w:val="auto"/>
                <w:sz w:val="20"/>
                <w:szCs w:val="20"/>
                <w:lang w:val="ro-MD"/>
              </w:rPr>
            </w:pPr>
            <w:r>
              <w:rPr>
                <w:rFonts w:asciiTheme="majorHAnsi" w:hAnsiTheme="majorHAnsi" w:cstheme="majorHAnsi"/>
                <w:color w:val="auto"/>
                <w:sz w:val="20"/>
                <w:szCs w:val="20"/>
                <w:lang w:val="ro-MD"/>
              </w:rPr>
              <w:t>Бенефициар</w:t>
            </w:r>
            <w:r w:rsidR="00DB70CA" w:rsidRPr="00736448">
              <w:rPr>
                <w:rFonts w:asciiTheme="majorHAnsi" w:hAnsiTheme="majorHAnsi" w:cstheme="majorHAnsi"/>
                <w:color w:val="auto"/>
                <w:sz w:val="20"/>
                <w:szCs w:val="20"/>
                <w:lang w:val="ro-MD"/>
              </w:rPr>
              <w:t xml:space="preserve"> 5</w:t>
            </w:r>
          </w:p>
        </w:tc>
        <w:tc>
          <w:tcPr>
            <w:tcW w:w="1984" w:type="dxa"/>
            <w:shd w:val="clear" w:color="auto" w:fill="FFFFFF" w:themeFill="background1"/>
          </w:tcPr>
          <w:p w14:paraId="65605B74" w14:textId="76470C27" w:rsidR="00DB70CA" w:rsidRPr="00736448" w:rsidRDefault="007459E2" w:rsidP="00490517">
            <w:pPr>
              <w:pStyle w:val="Default"/>
              <w:jc w:val="both"/>
              <w:rPr>
                <w:rFonts w:asciiTheme="majorHAnsi" w:hAnsiTheme="majorHAnsi" w:cstheme="majorHAnsi"/>
                <w:color w:val="auto"/>
                <w:sz w:val="20"/>
                <w:szCs w:val="20"/>
                <w:lang w:val="ro-MD"/>
              </w:rPr>
            </w:pPr>
            <w:r w:rsidRPr="007459E2">
              <w:rPr>
                <w:rFonts w:asciiTheme="majorHAnsi" w:hAnsiTheme="majorHAnsi" w:cstheme="majorHAnsi"/>
                <w:color w:val="auto"/>
                <w:sz w:val="20"/>
                <w:szCs w:val="20"/>
                <w:lang w:val="ro-MD"/>
              </w:rPr>
              <w:t xml:space="preserve">Пособие по </w:t>
            </w:r>
            <w:r>
              <w:rPr>
                <w:rFonts w:asciiTheme="majorHAnsi" w:hAnsiTheme="majorHAnsi" w:cstheme="majorHAnsi"/>
                <w:color w:val="auto"/>
                <w:sz w:val="20"/>
                <w:szCs w:val="20"/>
                <w:lang w:val="ru-RU"/>
              </w:rPr>
              <w:t>отцов</w:t>
            </w:r>
            <w:r w:rsidRPr="007459E2">
              <w:rPr>
                <w:rFonts w:asciiTheme="majorHAnsi" w:hAnsiTheme="majorHAnsi" w:cstheme="majorHAnsi"/>
                <w:color w:val="auto"/>
                <w:sz w:val="20"/>
                <w:szCs w:val="20"/>
                <w:lang w:val="ro-MD"/>
              </w:rPr>
              <w:t>ству</w:t>
            </w:r>
          </w:p>
        </w:tc>
        <w:tc>
          <w:tcPr>
            <w:tcW w:w="1381" w:type="dxa"/>
            <w:shd w:val="clear" w:color="auto" w:fill="FFFFFF" w:themeFill="background1"/>
          </w:tcPr>
          <w:p w14:paraId="3CA16AC0"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17.09.2022</w:t>
            </w:r>
          </w:p>
        </w:tc>
        <w:tc>
          <w:tcPr>
            <w:tcW w:w="1334" w:type="dxa"/>
            <w:shd w:val="clear" w:color="auto" w:fill="FFFFFF" w:themeFill="background1"/>
          </w:tcPr>
          <w:p w14:paraId="17891A06"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3 141.6</w:t>
            </w:r>
          </w:p>
        </w:tc>
        <w:tc>
          <w:tcPr>
            <w:tcW w:w="6077" w:type="dxa"/>
            <w:shd w:val="clear" w:color="auto" w:fill="FFFFFF" w:themeFill="background1"/>
          </w:tcPr>
          <w:p w14:paraId="01B81C98" w14:textId="16007CC3" w:rsidR="00DB70CA" w:rsidRPr="00736448" w:rsidRDefault="007459E2" w:rsidP="00490517">
            <w:pPr>
              <w:pStyle w:val="Default"/>
              <w:jc w:val="both"/>
              <w:rPr>
                <w:rFonts w:asciiTheme="majorHAnsi" w:hAnsiTheme="majorHAnsi" w:cstheme="majorHAnsi"/>
                <w:color w:val="auto"/>
                <w:sz w:val="20"/>
                <w:szCs w:val="20"/>
                <w:lang w:val="ro-MD"/>
              </w:rPr>
            </w:pPr>
            <w:r w:rsidRPr="007459E2">
              <w:rPr>
                <w:rFonts w:asciiTheme="majorHAnsi" w:hAnsiTheme="majorHAnsi" w:cstheme="majorHAnsi"/>
                <w:color w:val="auto"/>
                <w:sz w:val="20"/>
                <w:szCs w:val="20"/>
                <w:lang w:val="ro-MD"/>
              </w:rPr>
              <w:t xml:space="preserve">Расчетная база составляет </w:t>
            </w:r>
            <w:r w:rsidR="00DB70CA" w:rsidRPr="00736448">
              <w:rPr>
                <w:rFonts w:asciiTheme="majorHAnsi" w:hAnsiTheme="majorHAnsi" w:cstheme="majorHAnsi"/>
                <w:color w:val="auto"/>
                <w:sz w:val="20"/>
                <w:szCs w:val="20"/>
                <w:lang w:val="ro-MD"/>
              </w:rPr>
              <w:t xml:space="preserve">6732 </w:t>
            </w:r>
            <w:r>
              <w:rPr>
                <w:rFonts w:asciiTheme="majorHAnsi" w:hAnsiTheme="majorHAnsi" w:cstheme="majorHAnsi"/>
                <w:color w:val="auto"/>
                <w:sz w:val="20"/>
                <w:szCs w:val="20"/>
                <w:lang w:val="ro-MD"/>
              </w:rPr>
              <w:t>леев</w:t>
            </w:r>
          </w:p>
        </w:tc>
      </w:tr>
      <w:tr w:rsidR="00DB70CA" w:rsidRPr="002C203D" w14:paraId="74F35DB4" w14:textId="77777777" w:rsidTr="00B27804">
        <w:tc>
          <w:tcPr>
            <w:tcW w:w="520" w:type="dxa"/>
            <w:shd w:val="clear" w:color="auto" w:fill="FFFFFF" w:themeFill="background1"/>
          </w:tcPr>
          <w:p w14:paraId="64723712"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6</w:t>
            </w:r>
          </w:p>
        </w:tc>
        <w:tc>
          <w:tcPr>
            <w:tcW w:w="2736" w:type="dxa"/>
            <w:shd w:val="clear" w:color="auto" w:fill="FFFFFF" w:themeFill="background1"/>
          </w:tcPr>
          <w:p w14:paraId="0CB79AB7" w14:textId="5D93602A" w:rsidR="00DB70CA" w:rsidRPr="00736448" w:rsidRDefault="007459E2" w:rsidP="00490517">
            <w:pPr>
              <w:pStyle w:val="Default"/>
              <w:jc w:val="both"/>
              <w:rPr>
                <w:rFonts w:asciiTheme="majorHAnsi" w:hAnsiTheme="majorHAnsi" w:cstheme="majorHAnsi"/>
                <w:color w:val="auto"/>
                <w:sz w:val="20"/>
                <w:szCs w:val="20"/>
                <w:lang w:val="ro-MD"/>
              </w:rPr>
            </w:pPr>
            <w:r>
              <w:rPr>
                <w:rFonts w:asciiTheme="majorHAnsi" w:hAnsiTheme="majorHAnsi" w:cstheme="majorHAnsi"/>
                <w:color w:val="auto"/>
                <w:sz w:val="20"/>
                <w:szCs w:val="20"/>
                <w:lang w:val="ro-MD"/>
              </w:rPr>
              <w:t>Бенефициар</w:t>
            </w:r>
            <w:r w:rsidR="00DB70CA" w:rsidRPr="00736448">
              <w:rPr>
                <w:rFonts w:asciiTheme="majorHAnsi" w:hAnsiTheme="majorHAnsi" w:cstheme="majorHAnsi"/>
                <w:color w:val="auto"/>
                <w:sz w:val="20"/>
                <w:szCs w:val="20"/>
                <w:lang w:val="ro-MD"/>
              </w:rPr>
              <w:t xml:space="preserve"> 6</w:t>
            </w:r>
          </w:p>
        </w:tc>
        <w:tc>
          <w:tcPr>
            <w:tcW w:w="1984" w:type="dxa"/>
            <w:shd w:val="clear" w:color="auto" w:fill="FFFFFF" w:themeFill="background1"/>
          </w:tcPr>
          <w:p w14:paraId="7AB7048A" w14:textId="170CE41B" w:rsidR="00DB70CA" w:rsidRPr="0038225D" w:rsidRDefault="007459E2" w:rsidP="00490517">
            <w:pPr>
              <w:pStyle w:val="Default"/>
              <w:jc w:val="both"/>
              <w:rPr>
                <w:rFonts w:asciiTheme="majorHAnsi" w:hAnsiTheme="majorHAnsi" w:cstheme="majorHAnsi"/>
                <w:color w:val="auto"/>
                <w:sz w:val="20"/>
                <w:szCs w:val="20"/>
                <w:lang w:val="ro-MD"/>
              </w:rPr>
            </w:pPr>
            <w:r w:rsidRPr="007459E2">
              <w:rPr>
                <w:rFonts w:asciiTheme="majorHAnsi" w:hAnsiTheme="majorHAnsi" w:cstheme="majorHAnsi"/>
                <w:color w:val="auto"/>
                <w:sz w:val="20"/>
                <w:szCs w:val="20"/>
                <w:lang w:val="ro-MD"/>
              </w:rPr>
              <w:t>Ежемесячное пособие по уходу за ребенком на 12-месячный период</w:t>
            </w:r>
          </w:p>
        </w:tc>
        <w:tc>
          <w:tcPr>
            <w:tcW w:w="1381" w:type="dxa"/>
            <w:shd w:val="clear" w:color="auto" w:fill="FFFFFF" w:themeFill="background1"/>
          </w:tcPr>
          <w:p w14:paraId="5A362CD3" w14:textId="77777777" w:rsidR="00DB70CA" w:rsidRPr="00E15964" w:rsidRDefault="00DB70CA" w:rsidP="00490517">
            <w:pPr>
              <w:pStyle w:val="Default"/>
              <w:jc w:val="both"/>
              <w:rPr>
                <w:rFonts w:asciiTheme="majorHAnsi" w:hAnsiTheme="majorHAnsi" w:cstheme="majorHAnsi"/>
                <w:color w:val="auto"/>
                <w:sz w:val="20"/>
                <w:szCs w:val="20"/>
                <w:lang w:val="ro-MD"/>
              </w:rPr>
            </w:pPr>
            <w:r w:rsidRPr="00E15964">
              <w:rPr>
                <w:rFonts w:asciiTheme="majorHAnsi" w:hAnsiTheme="majorHAnsi" w:cstheme="majorHAnsi"/>
                <w:color w:val="auto"/>
                <w:sz w:val="20"/>
                <w:szCs w:val="20"/>
                <w:lang w:val="ro-MD"/>
              </w:rPr>
              <w:t>20.12.2022</w:t>
            </w:r>
          </w:p>
        </w:tc>
        <w:tc>
          <w:tcPr>
            <w:tcW w:w="1334" w:type="dxa"/>
            <w:shd w:val="clear" w:color="auto" w:fill="FFFFFF" w:themeFill="background1"/>
          </w:tcPr>
          <w:p w14:paraId="6B627CE2"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5 756.88</w:t>
            </w:r>
          </w:p>
        </w:tc>
        <w:tc>
          <w:tcPr>
            <w:tcW w:w="6077" w:type="dxa"/>
            <w:shd w:val="clear" w:color="auto" w:fill="FFFFFF" w:themeFill="background1"/>
          </w:tcPr>
          <w:p w14:paraId="3C5DC8F6" w14:textId="0EF1313D" w:rsidR="00DB70CA" w:rsidRPr="00736448" w:rsidRDefault="007459E2" w:rsidP="007459E2">
            <w:pPr>
              <w:pStyle w:val="Default"/>
              <w:jc w:val="both"/>
              <w:rPr>
                <w:rFonts w:asciiTheme="majorHAnsi" w:hAnsiTheme="majorHAnsi" w:cstheme="majorHAnsi"/>
                <w:color w:val="auto"/>
                <w:sz w:val="20"/>
                <w:szCs w:val="20"/>
                <w:lang w:val="ro-MD"/>
              </w:rPr>
            </w:pPr>
            <w:r w:rsidRPr="007459E2">
              <w:rPr>
                <w:rFonts w:asciiTheme="majorHAnsi" w:hAnsiTheme="majorHAnsi" w:cstheme="majorHAnsi"/>
                <w:color w:val="auto"/>
                <w:sz w:val="20"/>
                <w:szCs w:val="20"/>
                <w:lang w:val="ro-MD"/>
              </w:rPr>
              <w:t>Бенефициар подал заявку на пособие по уходу за ребенком на 12-месячный период, что составляет 90% от средне</w:t>
            </w:r>
            <w:r>
              <w:rPr>
                <w:rFonts w:asciiTheme="majorHAnsi" w:hAnsiTheme="majorHAnsi" w:cstheme="majorHAnsi"/>
                <w:color w:val="auto"/>
                <w:sz w:val="20"/>
                <w:szCs w:val="20"/>
                <w:lang w:val="ru-RU"/>
              </w:rPr>
              <w:t>месячного</w:t>
            </w:r>
            <w:r w:rsidRPr="007459E2">
              <w:rPr>
                <w:rFonts w:asciiTheme="majorHAnsi" w:hAnsiTheme="majorHAnsi" w:cstheme="majorHAnsi"/>
                <w:color w:val="auto"/>
                <w:sz w:val="20"/>
                <w:szCs w:val="20"/>
                <w:lang w:val="ro-MD"/>
              </w:rPr>
              <w:t>го страхового дохода, который составлял</w:t>
            </w:r>
            <w:r w:rsidR="00DB70CA" w:rsidRPr="00736448">
              <w:rPr>
                <w:rFonts w:asciiTheme="majorHAnsi" w:hAnsiTheme="majorHAnsi" w:cstheme="majorHAnsi"/>
                <w:color w:val="auto"/>
                <w:sz w:val="20"/>
                <w:szCs w:val="20"/>
                <w:lang w:val="ro-MD"/>
              </w:rPr>
              <w:t xml:space="preserve"> 6 396.53 </w:t>
            </w:r>
            <w:r>
              <w:rPr>
                <w:rFonts w:asciiTheme="majorHAnsi" w:hAnsiTheme="majorHAnsi" w:cstheme="majorHAnsi"/>
                <w:color w:val="auto"/>
                <w:sz w:val="20"/>
                <w:szCs w:val="20"/>
                <w:lang w:val="ro-MD"/>
              </w:rPr>
              <w:t>леев</w:t>
            </w:r>
          </w:p>
        </w:tc>
      </w:tr>
      <w:tr w:rsidR="00DB70CA" w:rsidRPr="002C203D" w14:paraId="65196121" w14:textId="77777777" w:rsidTr="00B27804">
        <w:tc>
          <w:tcPr>
            <w:tcW w:w="520" w:type="dxa"/>
            <w:shd w:val="clear" w:color="auto" w:fill="FFFFFF" w:themeFill="background1"/>
          </w:tcPr>
          <w:p w14:paraId="375EC883"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7</w:t>
            </w:r>
          </w:p>
        </w:tc>
        <w:tc>
          <w:tcPr>
            <w:tcW w:w="2736" w:type="dxa"/>
            <w:shd w:val="clear" w:color="auto" w:fill="FFFFFF" w:themeFill="background1"/>
          </w:tcPr>
          <w:p w14:paraId="4A3F28D3" w14:textId="494C5B8A" w:rsidR="00DB70CA" w:rsidRPr="00736448" w:rsidRDefault="007459E2" w:rsidP="00490517">
            <w:pPr>
              <w:pStyle w:val="Default"/>
              <w:jc w:val="both"/>
              <w:rPr>
                <w:rFonts w:asciiTheme="majorHAnsi" w:hAnsiTheme="majorHAnsi" w:cstheme="majorHAnsi"/>
                <w:color w:val="auto"/>
                <w:sz w:val="20"/>
                <w:szCs w:val="20"/>
                <w:lang w:val="ro-MD"/>
              </w:rPr>
            </w:pPr>
            <w:r>
              <w:rPr>
                <w:rFonts w:asciiTheme="majorHAnsi" w:hAnsiTheme="majorHAnsi" w:cstheme="majorHAnsi"/>
                <w:color w:val="auto"/>
                <w:sz w:val="20"/>
                <w:szCs w:val="20"/>
                <w:lang w:val="ro-MD"/>
              </w:rPr>
              <w:t>Бенефициар</w:t>
            </w:r>
            <w:r w:rsidR="00DB70CA" w:rsidRPr="00736448">
              <w:rPr>
                <w:rFonts w:asciiTheme="majorHAnsi" w:hAnsiTheme="majorHAnsi" w:cstheme="majorHAnsi"/>
                <w:color w:val="auto"/>
                <w:sz w:val="20"/>
                <w:szCs w:val="20"/>
                <w:lang w:val="ro-MD"/>
              </w:rPr>
              <w:t xml:space="preserve"> 7</w:t>
            </w:r>
          </w:p>
        </w:tc>
        <w:tc>
          <w:tcPr>
            <w:tcW w:w="1984" w:type="dxa"/>
            <w:shd w:val="clear" w:color="auto" w:fill="FFFFFF" w:themeFill="background1"/>
          </w:tcPr>
          <w:p w14:paraId="740DFB52" w14:textId="379D9655" w:rsidR="00DB70CA" w:rsidRPr="00736448" w:rsidRDefault="007459E2" w:rsidP="00490517">
            <w:pPr>
              <w:pStyle w:val="Default"/>
              <w:jc w:val="both"/>
              <w:rPr>
                <w:rFonts w:asciiTheme="majorHAnsi" w:hAnsiTheme="majorHAnsi" w:cstheme="majorHAnsi"/>
                <w:color w:val="auto"/>
                <w:sz w:val="20"/>
                <w:szCs w:val="20"/>
                <w:lang w:val="ro-MD"/>
              </w:rPr>
            </w:pPr>
            <w:r w:rsidRPr="007459E2">
              <w:rPr>
                <w:rFonts w:asciiTheme="majorHAnsi" w:hAnsiTheme="majorHAnsi" w:cstheme="majorHAnsi"/>
                <w:color w:val="auto"/>
                <w:sz w:val="20"/>
                <w:szCs w:val="20"/>
                <w:lang w:val="ro-MD"/>
              </w:rPr>
              <w:t>Ежемесячное пособие на воспитание ребенка до 2 лет и 2 месяцев</w:t>
            </w:r>
          </w:p>
        </w:tc>
        <w:tc>
          <w:tcPr>
            <w:tcW w:w="1381" w:type="dxa"/>
            <w:shd w:val="clear" w:color="auto" w:fill="FFFFFF" w:themeFill="background1"/>
          </w:tcPr>
          <w:p w14:paraId="576F5C5E"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28.04.2022</w:t>
            </w:r>
          </w:p>
        </w:tc>
        <w:tc>
          <w:tcPr>
            <w:tcW w:w="1334" w:type="dxa"/>
            <w:shd w:val="clear" w:color="auto" w:fill="FFFFFF" w:themeFill="background1"/>
          </w:tcPr>
          <w:p w14:paraId="66376B6C"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3 596.38</w:t>
            </w:r>
          </w:p>
          <w:p w14:paraId="7720EFF0"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1 798.19</w:t>
            </w:r>
          </w:p>
          <w:p w14:paraId="45A1C4FF" w14:textId="77777777" w:rsidR="00DB70CA" w:rsidRPr="00736448" w:rsidRDefault="00DB70CA" w:rsidP="00490517">
            <w:pPr>
              <w:pStyle w:val="Default"/>
              <w:jc w:val="both"/>
              <w:rPr>
                <w:rFonts w:asciiTheme="majorHAnsi" w:hAnsiTheme="majorHAnsi" w:cstheme="majorHAnsi"/>
                <w:color w:val="auto"/>
                <w:sz w:val="20"/>
                <w:szCs w:val="20"/>
                <w:lang w:val="ro-MD"/>
              </w:rPr>
            </w:pPr>
          </w:p>
        </w:tc>
        <w:tc>
          <w:tcPr>
            <w:tcW w:w="6077" w:type="dxa"/>
            <w:shd w:val="clear" w:color="auto" w:fill="FFFFFF" w:themeFill="background1"/>
          </w:tcPr>
          <w:p w14:paraId="6A0F3962" w14:textId="230841B3" w:rsidR="00DB70CA" w:rsidRPr="00736448" w:rsidRDefault="007459E2" w:rsidP="002D2A2D">
            <w:pPr>
              <w:pStyle w:val="Default"/>
              <w:jc w:val="both"/>
              <w:rPr>
                <w:rFonts w:asciiTheme="majorHAnsi" w:hAnsiTheme="majorHAnsi" w:cstheme="majorHAnsi"/>
                <w:color w:val="auto"/>
                <w:sz w:val="20"/>
                <w:szCs w:val="20"/>
                <w:shd w:val="clear" w:color="auto" w:fill="FFFFFF"/>
                <w:lang w:val="ro-MD"/>
              </w:rPr>
            </w:pPr>
            <w:r w:rsidRPr="007459E2">
              <w:rPr>
                <w:rFonts w:asciiTheme="majorHAnsi" w:hAnsiTheme="majorHAnsi" w:cstheme="majorHAnsi"/>
                <w:color w:val="auto"/>
                <w:sz w:val="20"/>
                <w:szCs w:val="20"/>
                <w:lang w:val="ro-MD"/>
              </w:rPr>
              <w:t xml:space="preserve">Бенефициар подал заявку на пособие по уходу за ребенком до 2 лет и 2 месяцев, в этом случае до достижения ребенком возраста 1 года ежемесячное пособие будет установлено в размере 60% от расчетной базы, со следующего дня достижения им возраста 1 года до достижения ребенком возраста 2 лет и 2 месяцев, пособие будет установлено в размере 30% от расчетной базы, составляющей </w:t>
            </w:r>
            <w:r w:rsidR="00DB70CA" w:rsidRPr="00736448">
              <w:rPr>
                <w:rFonts w:asciiTheme="majorHAnsi" w:hAnsiTheme="majorHAnsi" w:cstheme="majorHAnsi"/>
                <w:color w:val="auto"/>
                <w:sz w:val="20"/>
                <w:szCs w:val="20"/>
                <w:lang w:val="ro-MD"/>
              </w:rPr>
              <w:t xml:space="preserve"> 5 993.97 </w:t>
            </w:r>
            <w:r>
              <w:rPr>
                <w:rFonts w:asciiTheme="majorHAnsi" w:hAnsiTheme="majorHAnsi" w:cstheme="majorHAnsi"/>
                <w:color w:val="auto"/>
                <w:sz w:val="20"/>
                <w:szCs w:val="20"/>
                <w:lang w:val="ro-MD"/>
              </w:rPr>
              <w:t>леев</w:t>
            </w:r>
          </w:p>
        </w:tc>
      </w:tr>
      <w:tr w:rsidR="00DB70CA" w:rsidRPr="002C203D" w14:paraId="0223CAF2" w14:textId="77777777" w:rsidTr="00B27804">
        <w:tc>
          <w:tcPr>
            <w:tcW w:w="520" w:type="dxa"/>
            <w:shd w:val="clear" w:color="auto" w:fill="FFFFFF" w:themeFill="background1"/>
          </w:tcPr>
          <w:p w14:paraId="19B02AD9"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8</w:t>
            </w:r>
          </w:p>
        </w:tc>
        <w:tc>
          <w:tcPr>
            <w:tcW w:w="2736" w:type="dxa"/>
            <w:shd w:val="clear" w:color="auto" w:fill="FFFFFF" w:themeFill="background1"/>
          </w:tcPr>
          <w:p w14:paraId="166883FA" w14:textId="5C8C02B7" w:rsidR="00DB70CA" w:rsidRPr="00736448" w:rsidRDefault="007459E2" w:rsidP="00490517">
            <w:pPr>
              <w:pStyle w:val="Default"/>
              <w:jc w:val="both"/>
              <w:rPr>
                <w:rFonts w:asciiTheme="majorHAnsi" w:hAnsiTheme="majorHAnsi" w:cstheme="majorHAnsi"/>
                <w:color w:val="auto"/>
                <w:sz w:val="20"/>
                <w:szCs w:val="20"/>
                <w:lang w:val="ro-MD"/>
              </w:rPr>
            </w:pPr>
            <w:r>
              <w:rPr>
                <w:rFonts w:asciiTheme="majorHAnsi" w:hAnsiTheme="majorHAnsi" w:cstheme="majorHAnsi"/>
                <w:color w:val="auto"/>
                <w:sz w:val="20"/>
                <w:szCs w:val="20"/>
                <w:lang w:val="ro-MD"/>
              </w:rPr>
              <w:t>Бенефициар</w:t>
            </w:r>
            <w:r w:rsidR="00DB70CA" w:rsidRPr="00736448">
              <w:rPr>
                <w:rFonts w:asciiTheme="majorHAnsi" w:hAnsiTheme="majorHAnsi" w:cstheme="majorHAnsi"/>
                <w:color w:val="auto"/>
                <w:sz w:val="20"/>
                <w:szCs w:val="20"/>
                <w:lang w:val="ro-MD"/>
              </w:rPr>
              <w:t xml:space="preserve"> 8</w:t>
            </w:r>
          </w:p>
        </w:tc>
        <w:tc>
          <w:tcPr>
            <w:tcW w:w="1984" w:type="dxa"/>
            <w:shd w:val="clear" w:color="auto" w:fill="FFFFFF" w:themeFill="background1"/>
          </w:tcPr>
          <w:p w14:paraId="429BC9B0" w14:textId="2A2D6B5D" w:rsidR="00DB70CA" w:rsidRPr="00B7675F" w:rsidRDefault="007459E2" w:rsidP="00490517">
            <w:pPr>
              <w:pStyle w:val="Default"/>
              <w:jc w:val="both"/>
              <w:rPr>
                <w:rFonts w:asciiTheme="majorHAnsi" w:hAnsiTheme="majorHAnsi" w:cstheme="majorHAnsi"/>
                <w:color w:val="auto"/>
                <w:sz w:val="20"/>
                <w:szCs w:val="20"/>
                <w:lang w:val="ro-MD"/>
              </w:rPr>
            </w:pPr>
            <w:r w:rsidRPr="007459E2">
              <w:rPr>
                <w:rFonts w:asciiTheme="majorHAnsi" w:hAnsiTheme="majorHAnsi" w:cstheme="majorHAnsi"/>
                <w:color w:val="auto"/>
                <w:sz w:val="20"/>
                <w:szCs w:val="20"/>
                <w:lang w:val="ro-MD"/>
              </w:rPr>
              <w:t>Пособие по временной нетрудоспособности</w:t>
            </w:r>
          </w:p>
        </w:tc>
        <w:tc>
          <w:tcPr>
            <w:tcW w:w="1381" w:type="dxa"/>
            <w:shd w:val="clear" w:color="auto" w:fill="FFFFFF" w:themeFill="background1"/>
          </w:tcPr>
          <w:p w14:paraId="6D9543CB" w14:textId="77777777" w:rsidR="00DB70CA" w:rsidRPr="0038225D" w:rsidRDefault="00DB70CA" w:rsidP="00490517">
            <w:pPr>
              <w:pStyle w:val="Default"/>
              <w:jc w:val="both"/>
              <w:rPr>
                <w:rFonts w:asciiTheme="majorHAnsi" w:hAnsiTheme="majorHAnsi" w:cstheme="majorHAnsi"/>
                <w:color w:val="auto"/>
                <w:sz w:val="20"/>
                <w:szCs w:val="20"/>
                <w:lang w:val="ro-MD"/>
              </w:rPr>
            </w:pPr>
            <w:r w:rsidRPr="0038225D">
              <w:rPr>
                <w:rFonts w:asciiTheme="majorHAnsi" w:hAnsiTheme="majorHAnsi" w:cstheme="majorHAnsi"/>
                <w:color w:val="auto"/>
                <w:sz w:val="20"/>
                <w:szCs w:val="20"/>
                <w:lang w:val="ro-MD"/>
              </w:rPr>
              <w:t>26.06.2022-27.06.2022</w:t>
            </w:r>
          </w:p>
        </w:tc>
        <w:tc>
          <w:tcPr>
            <w:tcW w:w="1334" w:type="dxa"/>
            <w:shd w:val="clear" w:color="auto" w:fill="FFFFFF" w:themeFill="background1"/>
          </w:tcPr>
          <w:p w14:paraId="1256C14E"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375.74</w:t>
            </w:r>
          </w:p>
        </w:tc>
        <w:tc>
          <w:tcPr>
            <w:tcW w:w="6077" w:type="dxa"/>
            <w:shd w:val="clear" w:color="auto" w:fill="FFFFFF" w:themeFill="background1"/>
          </w:tcPr>
          <w:p w14:paraId="254278DF" w14:textId="0C597323" w:rsidR="00DB70CA" w:rsidRPr="00736448" w:rsidRDefault="00CE15F8" w:rsidP="00CE15F8">
            <w:pPr>
              <w:pStyle w:val="Default"/>
              <w:jc w:val="both"/>
              <w:rPr>
                <w:rFonts w:asciiTheme="majorHAnsi" w:hAnsiTheme="majorHAnsi" w:cstheme="majorHAnsi"/>
                <w:color w:val="auto"/>
                <w:sz w:val="20"/>
                <w:szCs w:val="20"/>
                <w:lang w:val="ro-MD"/>
              </w:rPr>
            </w:pPr>
            <w:r>
              <w:rPr>
                <w:rFonts w:asciiTheme="majorHAnsi" w:hAnsiTheme="majorHAnsi" w:cstheme="majorHAnsi"/>
                <w:color w:val="auto"/>
                <w:sz w:val="20"/>
                <w:szCs w:val="20"/>
                <w:lang w:val="ru-RU"/>
              </w:rPr>
              <w:t>С</w:t>
            </w:r>
            <w:r w:rsidRPr="007459E2">
              <w:rPr>
                <w:rFonts w:asciiTheme="majorHAnsi" w:hAnsiTheme="majorHAnsi" w:cstheme="majorHAnsi"/>
                <w:color w:val="auto"/>
                <w:sz w:val="20"/>
                <w:szCs w:val="20"/>
                <w:lang w:val="ro-MD"/>
              </w:rPr>
              <w:t xml:space="preserve">реднемесячный </w:t>
            </w:r>
            <w:r>
              <w:rPr>
                <w:rFonts w:asciiTheme="majorHAnsi" w:hAnsiTheme="majorHAnsi" w:cstheme="majorHAnsi"/>
                <w:color w:val="auto"/>
                <w:sz w:val="20"/>
                <w:szCs w:val="20"/>
                <w:lang w:val="ru-RU"/>
              </w:rPr>
              <w:t>с</w:t>
            </w:r>
            <w:r w:rsidRPr="007459E2">
              <w:rPr>
                <w:rFonts w:asciiTheme="majorHAnsi" w:hAnsiTheme="majorHAnsi" w:cstheme="majorHAnsi"/>
                <w:color w:val="auto"/>
                <w:sz w:val="20"/>
                <w:szCs w:val="20"/>
                <w:lang w:val="ro-MD"/>
              </w:rPr>
              <w:t xml:space="preserve">траховой </w:t>
            </w:r>
            <w:r w:rsidR="007459E2" w:rsidRPr="007459E2">
              <w:rPr>
                <w:rFonts w:asciiTheme="majorHAnsi" w:hAnsiTheme="majorHAnsi" w:cstheme="majorHAnsi"/>
                <w:color w:val="auto"/>
                <w:sz w:val="20"/>
                <w:szCs w:val="20"/>
                <w:lang w:val="ro-MD"/>
              </w:rPr>
              <w:t>доход составляет</w:t>
            </w:r>
            <w:r w:rsidR="00DB70CA" w:rsidRPr="00736448">
              <w:rPr>
                <w:rFonts w:asciiTheme="majorHAnsi" w:hAnsiTheme="majorHAnsi" w:cstheme="majorHAnsi"/>
                <w:color w:val="auto"/>
                <w:sz w:val="20"/>
                <w:szCs w:val="20"/>
                <w:lang w:val="ro-MD"/>
              </w:rPr>
              <w:t xml:space="preserve"> 6262.35 </w:t>
            </w:r>
            <w:r w:rsidR="007459E2">
              <w:rPr>
                <w:rFonts w:asciiTheme="majorHAnsi" w:hAnsiTheme="majorHAnsi" w:cstheme="majorHAnsi"/>
                <w:color w:val="auto"/>
                <w:sz w:val="20"/>
                <w:szCs w:val="20"/>
                <w:lang w:val="ro-MD"/>
              </w:rPr>
              <w:t>леев</w:t>
            </w:r>
            <w:r w:rsidR="00DB70CA" w:rsidRPr="00736448">
              <w:rPr>
                <w:rFonts w:asciiTheme="majorHAnsi" w:hAnsiTheme="majorHAnsi" w:cstheme="majorHAnsi"/>
                <w:color w:val="auto"/>
                <w:sz w:val="20"/>
                <w:szCs w:val="20"/>
                <w:lang w:val="ro-MD"/>
              </w:rPr>
              <w:t xml:space="preserve"> (90%</w:t>
            </w:r>
            <w:r w:rsidR="002D2A2D">
              <w:rPr>
                <w:rFonts w:asciiTheme="majorHAnsi" w:hAnsiTheme="majorHAnsi" w:cstheme="majorHAnsi"/>
                <w:color w:val="auto"/>
                <w:sz w:val="20"/>
                <w:szCs w:val="20"/>
                <w:lang w:val="ro-MD"/>
              </w:rPr>
              <w:t>,</w:t>
            </w:r>
            <w:r w:rsidR="00DB70CA" w:rsidRPr="00736448">
              <w:rPr>
                <w:rFonts w:asciiTheme="majorHAnsi" w:hAnsiTheme="majorHAnsi" w:cstheme="majorHAnsi"/>
                <w:color w:val="auto"/>
                <w:sz w:val="20"/>
                <w:szCs w:val="20"/>
                <w:lang w:val="ro-MD"/>
              </w:rPr>
              <w:t xml:space="preserve"> </w:t>
            </w:r>
            <w:r>
              <w:rPr>
                <w:rFonts w:asciiTheme="majorHAnsi" w:hAnsiTheme="majorHAnsi" w:cstheme="majorHAnsi"/>
                <w:color w:val="auto"/>
                <w:sz w:val="20"/>
                <w:szCs w:val="20"/>
                <w:lang w:val="ru-RU"/>
              </w:rPr>
              <w:t xml:space="preserve">поскольку страховой стаж составляет </w:t>
            </w:r>
            <w:r w:rsidR="00DB70CA" w:rsidRPr="00736448">
              <w:rPr>
                <w:rFonts w:asciiTheme="majorHAnsi" w:hAnsiTheme="majorHAnsi" w:cstheme="majorHAnsi"/>
                <w:color w:val="auto"/>
                <w:sz w:val="20"/>
                <w:szCs w:val="20"/>
                <w:lang w:val="ro-MD"/>
              </w:rPr>
              <w:t xml:space="preserve"> 8 </w:t>
            </w:r>
            <w:r>
              <w:rPr>
                <w:rFonts w:asciiTheme="majorHAnsi" w:hAnsiTheme="majorHAnsi" w:cstheme="majorHAnsi"/>
                <w:color w:val="auto"/>
                <w:sz w:val="20"/>
                <w:szCs w:val="20"/>
                <w:lang w:val="ru-RU"/>
              </w:rPr>
              <w:t>лет и</w:t>
            </w:r>
            <w:r w:rsidR="00DB70CA" w:rsidRPr="00736448">
              <w:rPr>
                <w:rFonts w:asciiTheme="majorHAnsi" w:hAnsiTheme="majorHAnsi" w:cstheme="majorHAnsi"/>
                <w:color w:val="auto"/>
                <w:sz w:val="20"/>
                <w:szCs w:val="20"/>
                <w:lang w:val="ro-MD"/>
              </w:rPr>
              <w:t xml:space="preserve"> 8 </w:t>
            </w:r>
            <w:r>
              <w:rPr>
                <w:rFonts w:asciiTheme="majorHAnsi" w:hAnsiTheme="majorHAnsi" w:cstheme="majorHAnsi"/>
                <w:color w:val="auto"/>
                <w:sz w:val="20"/>
                <w:szCs w:val="20"/>
                <w:lang w:val="ru-RU"/>
              </w:rPr>
              <w:t>месяцев</w:t>
            </w:r>
            <w:r w:rsidR="00DB70CA" w:rsidRPr="00736448">
              <w:rPr>
                <w:rFonts w:asciiTheme="majorHAnsi" w:hAnsiTheme="majorHAnsi" w:cstheme="majorHAnsi"/>
                <w:color w:val="auto"/>
                <w:sz w:val="20"/>
                <w:szCs w:val="20"/>
                <w:lang w:val="ro-MD"/>
              </w:rPr>
              <w:t>)</w:t>
            </w:r>
          </w:p>
        </w:tc>
      </w:tr>
      <w:tr w:rsidR="00DB70CA" w:rsidRPr="002C203D" w14:paraId="4E4866F3" w14:textId="77777777" w:rsidTr="00B27804">
        <w:tc>
          <w:tcPr>
            <w:tcW w:w="520" w:type="dxa"/>
            <w:shd w:val="clear" w:color="auto" w:fill="FFFFFF" w:themeFill="background1"/>
          </w:tcPr>
          <w:p w14:paraId="322D67C7"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9</w:t>
            </w:r>
          </w:p>
        </w:tc>
        <w:tc>
          <w:tcPr>
            <w:tcW w:w="2736" w:type="dxa"/>
            <w:shd w:val="clear" w:color="auto" w:fill="FFFFFF" w:themeFill="background1"/>
          </w:tcPr>
          <w:p w14:paraId="12F30A2D" w14:textId="0009AD04" w:rsidR="00DB70CA" w:rsidRPr="00736448" w:rsidRDefault="007459E2" w:rsidP="00490517">
            <w:pPr>
              <w:pStyle w:val="Default"/>
              <w:jc w:val="both"/>
              <w:rPr>
                <w:rFonts w:asciiTheme="majorHAnsi" w:hAnsiTheme="majorHAnsi" w:cstheme="majorHAnsi"/>
                <w:color w:val="auto"/>
                <w:sz w:val="20"/>
                <w:szCs w:val="20"/>
                <w:lang w:val="ro-MD"/>
              </w:rPr>
            </w:pPr>
            <w:r>
              <w:rPr>
                <w:rFonts w:asciiTheme="majorHAnsi" w:hAnsiTheme="majorHAnsi" w:cstheme="majorHAnsi"/>
                <w:color w:val="auto"/>
                <w:sz w:val="20"/>
                <w:szCs w:val="20"/>
                <w:lang w:val="ro-MD"/>
              </w:rPr>
              <w:t>Бенефициар</w:t>
            </w:r>
            <w:r w:rsidR="00DB70CA" w:rsidRPr="00736448">
              <w:rPr>
                <w:rFonts w:asciiTheme="majorHAnsi" w:hAnsiTheme="majorHAnsi" w:cstheme="majorHAnsi"/>
                <w:color w:val="auto"/>
                <w:sz w:val="20"/>
                <w:szCs w:val="20"/>
                <w:lang w:val="ro-MD"/>
              </w:rPr>
              <w:t xml:space="preserve"> 9</w:t>
            </w:r>
          </w:p>
        </w:tc>
        <w:tc>
          <w:tcPr>
            <w:tcW w:w="1984" w:type="dxa"/>
            <w:shd w:val="clear" w:color="auto" w:fill="FFFFFF" w:themeFill="background1"/>
          </w:tcPr>
          <w:p w14:paraId="10DA1267" w14:textId="1CA67958" w:rsidR="00DB70CA" w:rsidRPr="0038225D" w:rsidRDefault="007459E2" w:rsidP="00490517">
            <w:pPr>
              <w:pStyle w:val="Default"/>
              <w:jc w:val="both"/>
              <w:rPr>
                <w:rFonts w:asciiTheme="majorHAnsi" w:hAnsiTheme="majorHAnsi" w:cstheme="majorHAnsi"/>
                <w:color w:val="auto"/>
                <w:sz w:val="20"/>
                <w:szCs w:val="20"/>
                <w:lang w:val="ro-MD"/>
              </w:rPr>
            </w:pPr>
            <w:r w:rsidRPr="007459E2">
              <w:rPr>
                <w:rFonts w:asciiTheme="majorHAnsi" w:hAnsiTheme="majorHAnsi" w:cstheme="majorHAnsi"/>
                <w:color w:val="auto"/>
                <w:sz w:val="20"/>
                <w:szCs w:val="20"/>
                <w:lang w:val="ro-MD"/>
              </w:rPr>
              <w:t>Пособие по временной нетрудоспособности</w:t>
            </w:r>
          </w:p>
        </w:tc>
        <w:tc>
          <w:tcPr>
            <w:tcW w:w="1381" w:type="dxa"/>
            <w:shd w:val="clear" w:color="auto" w:fill="FFFFFF" w:themeFill="background1"/>
          </w:tcPr>
          <w:p w14:paraId="1900B9C9"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14.01.2022-24.01.2022</w:t>
            </w:r>
          </w:p>
        </w:tc>
        <w:tc>
          <w:tcPr>
            <w:tcW w:w="1334" w:type="dxa"/>
            <w:shd w:val="clear" w:color="auto" w:fill="FFFFFF" w:themeFill="background1"/>
          </w:tcPr>
          <w:p w14:paraId="4BE4089E"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1 472.16</w:t>
            </w:r>
          </w:p>
        </w:tc>
        <w:tc>
          <w:tcPr>
            <w:tcW w:w="6077" w:type="dxa"/>
            <w:shd w:val="clear" w:color="auto" w:fill="FFFFFF" w:themeFill="background1"/>
          </w:tcPr>
          <w:p w14:paraId="062B82DF" w14:textId="31DAA882" w:rsidR="00DB70CA" w:rsidRPr="00736448" w:rsidRDefault="00CE15F8" w:rsidP="00CE15F8">
            <w:pPr>
              <w:pStyle w:val="Default"/>
              <w:jc w:val="both"/>
              <w:rPr>
                <w:rFonts w:asciiTheme="majorHAnsi" w:hAnsiTheme="majorHAnsi" w:cstheme="majorHAnsi"/>
                <w:color w:val="auto"/>
                <w:sz w:val="20"/>
                <w:szCs w:val="20"/>
                <w:lang w:val="ro-MD"/>
              </w:rPr>
            </w:pPr>
            <w:r w:rsidRPr="00CE15F8">
              <w:rPr>
                <w:rFonts w:asciiTheme="majorHAnsi" w:hAnsiTheme="majorHAnsi" w:cstheme="majorHAnsi"/>
                <w:color w:val="auto"/>
                <w:sz w:val="20"/>
                <w:szCs w:val="20"/>
                <w:lang w:val="ro-MD"/>
              </w:rPr>
              <w:t>С</w:t>
            </w:r>
            <w:r w:rsidRPr="007459E2">
              <w:rPr>
                <w:rFonts w:asciiTheme="majorHAnsi" w:hAnsiTheme="majorHAnsi" w:cstheme="majorHAnsi"/>
                <w:color w:val="auto"/>
                <w:sz w:val="20"/>
                <w:szCs w:val="20"/>
                <w:lang w:val="ro-MD"/>
              </w:rPr>
              <w:t xml:space="preserve">реднемесячный </w:t>
            </w:r>
            <w:r w:rsidRPr="00CE15F8">
              <w:rPr>
                <w:rFonts w:asciiTheme="majorHAnsi" w:hAnsiTheme="majorHAnsi" w:cstheme="majorHAnsi"/>
                <w:color w:val="auto"/>
                <w:sz w:val="20"/>
                <w:szCs w:val="20"/>
                <w:lang w:val="ro-MD"/>
              </w:rPr>
              <w:t>с</w:t>
            </w:r>
            <w:r w:rsidRPr="007459E2">
              <w:rPr>
                <w:rFonts w:asciiTheme="majorHAnsi" w:hAnsiTheme="majorHAnsi" w:cstheme="majorHAnsi"/>
                <w:color w:val="auto"/>
                <w:sz w:val="20"/>
                <w:szCs w:val="20"/>
                <w:lang w:val="ro-MD"/>
              </w:rPr>
              <w:t>траховой доход составляет</w:t>
            </w:r>
            <w:r w:rsidR="00DB70CA" w:rsidRPr="00736448">
              <w:rPr>
                <w:rFonts w:asciiTheme="majorHAnsi" w:hAnsiTheme="majorHAnsi" w:cstheme="majorHAnsi"/>
                <w:color w:val="auto"/>
                <w:sz w:val="20"/>
                <w:szCs w:val="20"/>
                <w:lang w:val="ro-MD"/>
              </w:rPr>
              <w:t xml:space="preserve"> 5 926.88 </w:t>
            </w:r>
            <w:r w:rsidR="007459E2">
              <w:rPr>
                <w:rFonts w:asciiTheme="majorHAnsi" w:hAnsiTheme="majorHAnsi" w:cstheme="majorHAnsi"/>
                <w:color w:val="auto"/>
                <w:sz w:val="20"/>
                <w:szCs w:val="20"/>
                <w:lang w:val="ro-MD"/>
              </w:rPr>
              <w:t>леев</w:t>
            </w:r>
            <w:r w:rsidR="00DB70CA" w:rsidRPr="00736448">
              <w:rPr>
                <w:rFonts w:asciiTheme="majorHAnsi" w:hAnsiTheme="majorHAnsi" w:cstheme="majorHAnsi"/>
                <w:color w:val="auto"/>
                <w:sz w:val="20"/>
                <w:szCs w:val="20"/>
                <w:lang w:val="ro-MD"/>
              </w:rPr>
              <w:t xml:space="preserve"> (70%</w:t>
            </w:r>
            <w:r w:rsidR="002D2A2D">
              <w:rPr>
                <w:rFonts w:asciiTheme="majorHAnsi" w:hAnsiTheme="majorHAnsi" w:cstheme="majorHAnsi"/>
                <w:color w:val="auto"/>
                <w:sz w:val="20"/>
                <w:szCs w:val="20"/>
                <w:lang w:val="ro-MD"/>
              </w:rPr>
              <w:t>,</w:t>
            </w:r>
            <w:r w:rsidR="00DB70CA" w:rsidRPr="00736448">
              <w:rPr>
                <w:rFonts w:asciiTheme="majorHAnsi" w:hAnsiTheme="majorHAnsi" w:cstheme="majorHAnsi"/>
                <w:color w:val="auto"/>
                <w:sz w:val="20"/>
                <w:szCs w:val="20"/>
                <w:lang w:val="ro-MD"/>
              </w:rPr>
              <w:t xml:space="preserve"> </w:t>
            </w:r>
            <w:r>
              <w:rPr>
                <w:rFonts w:asciiTheme="majorHAnsi" w:hAnsiTheme="majorHAnsi" w:cstheme="majorHAnsi"/>
                <w:color w:val="auto"/>
                <w:sz w:val="20"/>
                <w:szCs w:val="20"/>
                <w:lang w:val="ru-RU"/>
              </w:rPr>
              <w:t xml:space="preserve">поскольку страховой стаж составляет </w:t>
            </w:r>
            <w:r w:rsidRPr="00736448">
              <w:rPr>
                <w:rFonts w:asciiTheme="majorHAnsi" w:hAnsiTheme="majorHAnsi" w:cstheme="majorHAnsi"/>
                <w:color w:val="auto"/>
                <w:sz w:val="20"/>
                <w:szCs w:val="20"/>
                <w:lang w:val="ro-MD"/>
              </w:rPr>
              <w:t xml:space="preserve"> </w:t>
            </w:r>
            <w:r w:rsidR="00DB70CA" w:rsidRPr="00736448">
              <w:rPr>
                <w:rFonts w:asciiTheme="majorHAnsi" w:hAnsiTheme="majorHAnsi" w:cstheme="majorHAnsi"/>
                <w:color w:val="auto"/>
                <w:sz w:val="20"/>
                <w:szCs w:val="20"/>
                <w:lang w:val="ro-MD"/>
              </w:rPr>
              <w:t xml:space="preserve">6 </w:t>
            </w:r>
            <w:r>
              <w:rPr>
                <w:rFonts w:asciiTheme="majorHAnsi" w:hAnsiTheme="majorHAnsi" w:cstheme="majorHAnsi"/>
                <w:color w:val="auto"/>
                <w:sz w:val="20"/>
                <w:szCs w:val="20"/>
                <w:lang w:val="ru-RU"/>
              </w:rPr>
              <w:t>лет и</w:t>
            </w:r>
            <w:r w:rsidR="00DB70CA" w:rsidRPr="00736448">
              <w:rPr>
                <w:rFonts w:asciiTheme="majorHAnsi" w:hAnsiTheme="majorHAnsi" w:cstheme="majorHAnsi"/>
                <w:color w:val="auto"/>
                <w:sz w:val="20"/>
                <w:szCs w:val="20"/>
                <w:lang w:val="ro-MD"/>
              </w:rPr>
              <w:t xml:space="preserve"> 1 </w:t>
            </w:r>
            <w:r>
              <w:rPr>
                <w:rFonts w:asciiTheme="majorHAnsi" w:hAnsiTheme="majorHAnsi" w:cstheme="majorHAnsi"/>
                <w:color w:val="auto"/>
                <w:sz w:val="20"/>
                <w:szCs w:val="20"/>
                <w:lang w:val="ru-RU"/>
              </w:rPr>
              <w:t>месяц</w:t>
            </w:r>
            <w:r w:rsidR="00DB70CA" w:rsidRPr="00736448">
              <w:rPr>
                <w:rFonts w:asciiTheme="majorHAnsi" w:hAnsiTheme="majorHAnsi" w:cstheme="majorHAnsi"/>
                <w:color w:val="auto"/>
                <w:sz w:val="20"/>
                <w:szCs w:val="20"/>
                <w:lang w:val="ro-MD"/>
              </w:rPr>
              <w:t>)</w:t>
            </w:r>
          </w:p>
        </w:tc>
      </w:tr>
    </w:tbl>
    <w:p w14:paraId="6C49D8BD" w14:textId="77777777" w:rsidR="004C228A" w:rsidRPr="00736448" w:rsidRDefault="004C228A" w:rsidP="00DB70CA">
      <w:pPr>
        <w:rPr>
          <w:rFonts w:cstheme="majorHAnsi"/>
          <w:b/>
          <w:bCs/>
          <w:color w:val="000000" w:themeColor="text1"/>
          <w:sz w:val="24"/>
          <w:szCs w:val="24"/>
          <w:lang w:val="ro-MD"/>
        </w:rPr>
        <w:sectPr w:rsidR="004C228A" w:rsidRPr="00736448" w:rsidSect="004C228A">
          <w:pgSz w:w="15840" w:h="12240" w:orient="landscape"/>
          <w:pgMar w:top="1355" w:right="1140" w:bottom="851" w:left="1140" w:header="720" w:footer="720" w:gutter="0"/>
          <w:cols w:space="720"/>
          <w:titlePg/>
          <w:docGrid w:linePitch="360"/>
        </w:sectPr>
      </w:pPr>
    </w:p>
    <w:p w14:paraId="023BD9ED" w14:textId="78BC3A2B" w:rsidR="004C228A" w:rsidRPr="00736448" w:rsidRDefault="00FC62B3" w:rsidP="00444516">
      <w:pPr>
        <w:pStyle w:val="2"/>
        <w:jc w:val="right"/>
        <w:rPr>
          <w:b/>
          <w:color w:val="000000" w:themeColor="text1"/>
          <w:sz w:val="24"/>
          <w:lang w:val="ro-MD"/>
        </w:rPr>
      </w:pPr>
      <w:r>
        <w:rPr>
          <w:b/>
          <w:color w:val="000000" w:themeColor="text1"/>
          <w:sz w:val="24"/>
          <w:lang w:val="ro-MD"/>
        </w:rPr>
        <w:t>Приложение №</w:t>
      </w:r>
      <w:r w:rsidR="004C228A" w:rsidRPr="00736448">
        <w:rPr>
          <w:b/>
          <w:color w:val="000000" w:themeColor="text1"/>
          <w:sz w:val="24"/>
          <w:lang w:val="ro-MD"/>
        </w:rPr>
        <w:t>5</w:t>
      </w:r>
    </w:p>
    <w:p w14:paraId="3ED8B10F" w14:textId="37E814E1" w:rsidR="00DC25E0" w:rsidRPr="00736448" w:rsidRDefault="00FA677A" w:rsidP="004C228A">
      <w:pPr>
        <w:jc w:val="center"/>
        <w:rPr>
          <w:rFonts w:asciiTheme="majorHAnsi" w:hAnsiTheme="majorHAnsi"/>
          <w:b/>
          <w:sz w:val="24"/>
          <w:lang w:val="ro-MD"/>
        </w:rPr>
      </w:pPr>
      <w:r w:rsidRPr="00FA677A">
        <w:rPr>
          <w:rFonts w:asciiTheme="majorHAnsi" w:hAnsiTheme="majorHAnsi"/>
          <w:b/>
          <w:sz w:val="24"/>
          <w:lang w:val="ro-MD"/>
        </w:rPr>
        <w:t>Информация об адвокатских кабинетах, которые не декларировали и не платили взносы в БГСС</w:t>
      </w:r>
    </w:p>
    <w:tbl>
      <w:tblPr>
        <w:tblW w:w="10723" w:type="dxa"/>
        <w:tblInd w:w="-545" w:type="dxa"/>
        <w:tblLook w:val="04A0" w:firstRow="1" w:lastRow="0" w:firstColumn="1" w:lastColumn="0" w:noHBand="0" w:noVBand="1"/>
      </w:tblPr>
      <w:tblGrid>
        <w:gridCol w:w="560"/>
        <w:gridCol w:w="1420"/>
        <w:gridCol w:w="1364"/>
        <w:gridCol w:w="1682"/>
        <w:gridCol w:w="1330"/>
        <w:gridCol w:w="1800"/>
        <w:gridCol w:w="1350"/>
        <w:gridCol w:w="1530"/>
      </w:tblGrid>
      <w:tr w:rsidR="00DC25E0" w:rsidRPr="002C203D" w14:paraId="4E6C4492" w14:textId="77777777" w:rsidTr="00911B93">
        <w:trPr>
          <w:trHeight w:val="20"/>
        </w:trPr>
        <w:tc>
          <w:tcPr>
            <w:tcW w:w="560" w:type="dxa"/>
            <w:vMerge w:val="restart"/>
            <w:tcBorders>
              <w:top w:val="single" w:sz="4" w:space="0" w:color="auto"/>
              <w:left w:val="single" w:sz="4" w:space="0" w:color="auto"/>
              <w:right w:val="single" w:sz="4" w:space="0" w:color="auto"/>
            </w:tcBorders>
            <w:shd w:val="clear" w:color="auto" w:fill="auto"/>
            <w:vAlign w:val="center"/>
            <w:hideMark/>
          </w:tcPr>
          <w:p w14:paraId="1A0D5655" w14:textId="029A83BD" w:rsidR="00DC25E0" w:rsidRPr="00736448" w:rsidRDefault="00C0319C" w:rsidP="00E15964">
            <w:pPr>
              <w:spacing w:after="0" w:line="240" w:lineRule="auto"/>
              <w:jc w:val="center"/>
              <w:rPr>
                <w:rFonts w:asciiTheme="majorHAnsi" w:eastAsia="Times New Roman" w:hAnsiTheme="majorHAnsi" w:cs="Calibri"/>
                <w:b/>
                <w:bCs/>
                <w:color w:val="000000"/>
                <w:sz w:val="20"/>
                <w:szCs w:val="20"/>
                <w:lang w:val="ro-MD"/>
              </w:rPr>
            </w:pPr>
            <w:r>
              <w:rPr>
                <w:rFonts w:asciiTheme="majorHAnsi" w:eastAsia="Times New Roman" w:hAnsiTheme="majorHAnsi" w:cs="Calibri"/>
                <w:b/>
                <w:bCs/>
                <w:color w:val="000000"/>
                <w:sz w:val="20"/>
                <w:szCs w:val="20"/>
                <w:lang w:val="ro-MD"/>
              </w:rPr>
              <w:t>№ п/п</w:t>
            </w:r>
          </w:p>
        </w:tc>
        <w:tc>
          <w:tcPr>
            <w:tcW w:w="1420" w:type="dxa"/>
            <w:vMerge w:val="restart"/>
            <w:tcBorders>
              <w:top w:val="single" w:sz="4" w:space="0" w:color="auto"/>
              <w:left w:val="single" w:sz="4" w:space="0" w:color="auto"/>
              <w:right w:val="single" w:sz="4" w:space="0" w:color="auto"/>
            </w:tcBorders>
            <w:shd w:val="clear" w:color="auto" w:fill="auto"/>
            <w:vAlign w:val="center"/>
            <w:hideMark/>
          </w:tcPr>
          <w:p w14:paraId="0CB5B21B" w14:textId="5BA888C6" w:rsidR="00DC25E0" w:rsidRPr="00736448" w:rsidRDefault="00FA677A" w:rsidP="00FA677A">
            <w:pPr>
              <w:spacing w:after="0" w:line="240" w:lineRule="auto"/>
              <w:jc w:val="center"/>
              <w:rPr>
                <w:rFonts w:asciiTheme="majorHAnsi" w:eastAsia="Times New Roman" w:hAnsiTheme="majorHAnsi" w:cs="Calibri"/>
                <w:b/>
                <w:bCs/>
                <w:color w:val="000000"/>
                <w:sz w:val="20"/>
                <w:szCs w:val="20"/>
                <w:lang w:val="ro-MD"/>
              </w:rPr>
            </w:pPr>
            <w:r>
              <w:rPr>
                <w:rFonts w:asciiTheme="majorHAnsi" w:eastAsia="Times New Roman" w:hAnsiTheme="majorHAnsi" w:cs="Calibri"/>
                <w:b/>
                <w:bCs/>
                <w:color w:val="000000"/>
                <w:sz w:val="20"/>
                <w:szCs w:val="20"/>
                <w:lang w:val="ru-RU"/>
              </w:rPr>
              <w:t>Адвокатский кабинет</w:t>
            </w:r>
          </w:p>
        </w:tc>
        <w:tc>
          <w:tcPr>
            <w:tcW w:w="1273" w:type="dxa"/>
            <w:vMerge w:val="restart"/>
            <w:tcBorders>
              <w:top w:val="single" w:sz="4" w:space="0" w:color="auto"/>
              <w:left w:val="single" w:sz="4" w:space="0" w:color="auto"/>
              <w:right w:val="single" w:sz="4" w:space="0" w:color="auto"/>
            </w:tcBorders>
            <w:shd w:val="clear" w:color="auto" w:fill="auto"/>
            <w:vAlign w:val="center"/>
            <w:hideMark/>
          </w:tcPr>
          <w:p w14:paraId="317E6444" w14:textId="799AF9F3" w:rsidR="00DC25E0" w:rsidRPr="00736448" w:rsidRDefault="00FA677A" w:rsidP="00911B93">
            <w:pPr>
              <w:spacing w:after="0" w:line="240" w:lineRule="auto"/>
              <w:jc w:val="center"/>
              <w:rPr>
                <w:rFonts w:asciiTheme="majorHAnsi" w:eastAsia="Times New Roman" w:hAnsiTheme="majorHAnsi" w:cs="Calibri"/>
                <w:b/>
                <w:bCs/>
                <w:color w:val="000000"/>
                <w:sz w:val="20"/>
                <w:szCs w:val="20"/>
                <w:lang w:val="ro-MD"/>
              </w:rPr>
            </w:pPr>
            <w:r w:rsidRPr="00FA677A">
              <w:rPr>
                <w:rFonts w:asciiTheme="majorHAnsi" w:eastAsia="Times New Roman" w:hAnsiTheme="majorHAnsi" w:cs="Calibri"/>
                <w:b/>
                <w:bCs/>
                <w:color w:val="000000"/>
                <w:sz w:val="20"/>
                <w:szCs w:val="20"/>
                <w:lang w:val="ro-MD"/>
              </w:rPr>
              <w:t>Дата регистрации деятельности</w:t>
            </w:r>
          </w:p>
        </w:tc>
        <w:tc>
          <w:tcPr>
            <w:tcW w:w="2790" w:type="dxa"/>
            <w:gridSpan w:val="2"/>
            <w:tcBorders>
              <w:top w:val="single" w:sz="4" w:space="0" w:color="auto"/>
              <w:left w:val="nil"/>
              <w:bottom w:val="single" w:sz="4" w:space="0" w:color="auto"/>
              <w:right w:val="single" w:sz="4" w:space="0" w:color="auto"/>
            </w:tcBorders>
            <w:shd w:val="clear" w:color="auto" w:fill="auto"/>
            <w:vAlign w:val="center"/>
          </w:tcPr>
          <w:p w14:paraId="58D94FDB" w14:textId="65E42B9B" w:rsidR="00DC25E0" w:rsidRPr="00FA677A" w:rsidRDefault="00DC25E0" w:rsidP="00911B93">
            <w:pPr>
              <w:spacing w:after="0" w:line="240" w:lineRule="auto"/>
              <w:jc w:val="center"/>
              <w:rPr>
                <w:rFonts w:asciiTheme="majorHAnsi" w:eastAsia="Times New Roman" w:hAnsiTheme="majorHAnsi" w:cs="Calibri"/>
                <w:b/>
                <w:bCs/>
                <w:color w:val="000000"/>
                <w:sz w:val="20"/>
                <w:szCs w:val="20"/>
                <w:lang w:val="ru-RU"/>
              </w:rPr>
            </w:pPr>
            <w:r w:rsidRPr="00736448">
              <w:rPr>
                <w:rFonts w:asciiTheme="majorHAnsi" w:eastAsia="Times New Roman" w:hAnsiTheme="majorHAnsi" w:cs="Calibri"/>
                <w:b/>
                <w:bCs/>
                <w:color w:val="000000"/>
                <w:sz w:val="20"/>
                <w:szCs w:val="20"/>
                <w:lang w:val="ro-MD"/>
              </w:rPr>
              <w:t>2021</w:t>
            </w:r>
            <w:r w:rsidR="00FA677A">
              <w:rPr>
                <w:rFonts w:asciiTheme="majorHAnsi" w:eastAsia="Times New Roman" w:hAnsiTheme="majorHAnsi" w:cs="Calibri"/>
                <w:b/>
                <w:bCs/>
                <w:color w:val="000000"/>
                <w:sz w:val="20"/>
                <w:szCs w:val="20"/>
                <w:lang w:val="ru-RU"/>
              </w:rPr>
              <w:t xml:space="preserve"> год</w:t>
            </w:r>
          </w:p>
        </w:tc>
        <w:tc>
          <w:tcPr>
            <w:tcW w:w="3150" w:type="dxa"/>
            <w:gridSpan w:val="2"/>
            <w:tcBorders>
              <w:top w:val="single" w:sz="4" w:space="0" w:color="auto"/>
              <w:left w:val="nil"/>
              <w:bottom w:val="single" w:sz="4" w:space="0" w:color="auto"/>
              <w:right w:val="single" w:sz="4" w:space="0" w:color="auto"/>
            </w:tcBorders>
            <w:shd w:val="clear" w:color="auto" w:fill="auto"/>
            <w:vAlign w:val="center"/>
          </w:tcPr>
          <w:p w14:paraId="23D96585" w14:textId="18454CA7" w:rsidR="00DC25E0" w:rsidRPr="00FA677A" w:rsidRDefault="00DC25E0" w:rsidP="00911B93">
            <w:pPr>
              <w:spacing w:after="0" w:line="240" w:lineRule="auto"/>
              <w:jc w:val="center"/>
              <w:rPr>
                <w:rFonts w:asciiTheme="majorHAnsi" w:eastAsia="Times New Roman" w:hAnsiTheme="majorHAnsi" w:cs="Calibri"/>
                <w:b/>
                <w:bCs/>
                <w:color w:val="000000"/>
                <w:sz w:val="20"/>
                <w:szCs w:val="20"/>
                <w:lang w:val="ru-RU"/>
              </w:rPr>
            </w:pPr>
            <w:r w:rsidRPr="00736448">
              <w:rPr>
                <w:rFonts w:asciiTheme="majorHAnsi" w:eastAsia="Times New Roman" w:hAnsiTheme="majorHAnsi" w:cs="Calibri"/>
                <w:b/>
                <w:bCs/>
                <w:color w:val="000000"/>
                <w:sz w:val="20"/>
                <w:szCs w:val="20"/>
                <w:lang w:val="ro-MD"/>
              </w:rPr>
              <w:t>2022</w:t>
            </w:r>
            <w:r w:rsidR="00FA677A">
              <w:rPr>
                <w:rFonts w:asciiTheme="majorHAnsi" w:eastAsia="Times New Roman" w:hAnsiTheme="majorHAnsi" w:cs="Calibri"/>
                <w:b/>
                <w:bCs/>
                <w:color w:val="000000"/>
                <w:sz w:val="20"/>
                <w:szCs w:val="20"/>
                <w:lang w:val="ru-RU"/>
              </w:rPr>
              <w:t xml:space="preserve"> год</w:t>
            </w:r>
          </w:p>
        </w:tc>
        <w:tc>
          <w:tcPr>
            <w:tcW w:w="1530" w:type="dxa"/>
            <w:vMerge w:val="restart"/>
            <w:tcBorders>
              <w:top w:val="single" w:sz="4" w:space="0" w:color="auto"/>
              <w:left w:val="single" w:sz="4" w:space="0" w:color="auto"/>
              <w:right w:val="single" w:sz="4" w:space="0" w:color="auto"/>
            </w:tcBorders>
            <w:shd w:val="clear" w:color="auto" w:fill="auto"/>
            <w:vAlign w:val="center"/>
            <w:hideMark/>
          </w:tcPr>
          <w:p w14:paraId="66185470" w14:textId="7D48370A" w:rsidR="00DC25E0" w:rsidRPr="00736448" w:rsidRDefault="00FA677A" w:rsidP="00911B93">
            <w:pPr>
              <w:spacing w:after="0" w:line="240" w:lineRule="auto"/>
              <w:jc w:val="center"/>
              <w:rPr>
                <w:rFonts w:asciiTheme="majorHAnsi" w:eastAsia="Times New Roman" w:hAnsiTheme="majorHAnsi" w:cs="Calibri"/>
                <w:b/>
                <w:bCs/>
                <w:color w:val="000000"/>
                <w:sz w:val="20"/>
                <w:szCs w:val="20"/>
                <w:lang w:val="ro-MD"/>
              </w:rPr>
            </w:pPr>
            <w:r w:rsidRPr="00FA677A">
              <w:rPr>
                <w:rFonts w:asciiTheme="majorHAnsi" w:eastAsia="Times New Roman" w:hAnsiTheme="majorHAnsi" w:cs="Calibri"/>
                <w:b/>
                <w:bCs/>
                <w:color w:val="000000"/>
                <w:sz w:val="20"/>
                <w:szCs w:val="20"/>
                <w:lang w:val="ro-MD"/>
              </w:rPr>
              <w:t xml:space="preserve">Общая сумма задолженности по взносам социального страхования </w:t>
            </w:r>
            <w:r w:rsidR="00DC25E0" w:rsidRPr="00736448">
              <w:rPr>
                <w:rFonts w:asciiTheme="majorHAnsi" w:eastAsia="Times New Roman" w:hAnsiTheme="majorHAnsi" w:cs="Calibri"/>
                <w:b/>
                <w:bCs/>
                <w:color w:val="000000"/>
                <w:sz w:val="20"/>
                <w:szCs w:val="20"/>
                <w:lang w:val="ro-MD"/>
              </w:rPr>
              <w:t>(</w:t>
            </w:r>
            <w:r w:rsidR="007459E2">
              <w:rPr>
                <w:rFonts w:asciiTheme="majorHAnsi" w:eastAsia="Times New Roman" w:hAnsiTheme="majorHAnsi" w:cs="Calibri"/>
                <w:b/>
                <w:bCs/>
                <w:color w:val="000000"/>
                <w:sz w:val="20"/>
                <w:szCs w:val="20"/>
                <w:lang w:val="ro-MD"/>
              </w:rPr>
              <w:t>леев</w:t>
            </w:r>
            <w:r w:rsidR="00DC25E0" w:rsidRPr="00736448">
              <w:rPr>
                <w:rFonts w:asciiTheme="majorHAnsi" w:eastAsia="Times New Roman" w:hAnsiTheme="majorHAnsi" w:cs="Calibri"/>
                <w:b/>
                <w:bCs/>
                <w:color w:val="000000"/>
                <w:sz w:val="20"/>
                <w:szCs w:val="20"/>
                <w:lang w:val="ro-MD"/>
              </w:rPr>
              <w:t>)</w:t>
            </w:r>
          </w:p>
        </w:tc>
      </w:tr>
      <w:tr w:rsidR="00DC25E0" w:rsidRPr="002C203D" w14:paraId="7725973B" w14:textId="77777777" w:rsidTr="00911B93">
        <w:trPr>
          <w:trHeight w:val="244"/>
        </w:trPr>
        <w:tc>
          <w:tcPr>
            <w:tcW w:w="560" w:type="dxa"/>
            <w:vMerge/>
            <w:tcBorders>
              <w:left w:val="single" w:sz="4" w:space="0" w:color="auto"/>
              <w:bottom w:val="nil"/>
              <w:right w:val="single" w:sz="4" w:space="0" w:color="auto"/>
            </w:tcBorders>
            <w:shd w:val="clear" w:color="auto" w:fill="auto"/>
            <w:vAlign w:val="center"/>
          </w:tcPr>
          <w:p w14:paraId="2A8F86DB"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p>
        </w:tc>
        <w:tc>
          <w:tcPr>
            <w:tcW w:w="1420" w:type="dxa"/>
            <w:vMerge/>
            <w:tcBorders>
              <w:left w:val="single" w:sz="4" w:space="0" w:color="auto"/>
              <w:right w:val="single" w:sz="4" w:space="0" w:color="auto"/>
            </w:tcBorders>
            <w:shd w:val="clear" w:color="auto" w:fill="auto"/>
            <w:vAlign w:val="center"/>
          </w:tcPr>
          <w:p w14:paraId="5F355606"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p>
        </w:tc>
        <w:tc>
          <w:tcPr>
            <w:tcW w:w="1273" w:type="dxa"/>
            <w:vMerge/>
            <w:tcBorders>
              <w:left w:val="single" w:sz="4" w:space="0" w:color="auto"/>
              <w:right w:val="single" w:sz="4" w:space="0" w:color="auto"/>
            </w:tcBorders>
            <w:shd w:val="clear" w:color="auto" w:fill="auto"/>
            <w:vAlign w:val="center"/>
          </w:tcPr>
          <w:p w14:paraId="1C32158C"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p>
        </w:tc>
        <w:tc>
          <w:tcPr>
            <w:tcW w:w="1682" w:type="dxa"/>
            <w:vMerge w:val="restart"/>
            <w:tcBorders>
              <w:top w:val="single" w:sz="4" w:space="0" w:color="auto"/>
              <w:left w:val="nil"/>
              <w:right w:val="single" w:sz="4" w:space="0" w:color="auto"/>
            </w:tcBorders>
            <w:shd w:val="clear" w:color="auto" w:fill="auto"/>
            <w:vAlign w:val="center"/>
          </w:tcPr>
          <w:p w14:paraId="48716EE1" w14:textId="4B448CAF" w:rsidR="00DC25E0" w:rsidRPr="00736448" w:rsidRDefault="00FA677A" w:rsidP="00911B93">
            <w:pPr>
              <w:spacing w:after="0" w:line="240" w:lineRule="auto"/>
              <w:jc w:val="center"/>
              <w:rPr>
                <w:rFonts w:asciiTheme="majorHAnsi" w:eastAsia="Times New Roman" w:hAnsiTheme="majorHAnsi" w:cs="Calibri"/>
                <w:b/>
                <w:bCs/>
                <w:color w:val="000000"/>
                <w:sz w:val="20"/>
                <w:szCs w:val="20"/>
                <w:lang w:val="ro-MD"/>
              </w:rPr>
            </w:pPr>
            <w:r w:rsidRPr="00FA677A">
              <w:rPr>
                <w:rFonts w:asciiTheme="majorHAnsi" w:eastAsia="Times New Roman" w:hAnsiTheme="majorHAnsi" w:cs="Calibri"/>
                <w:b/>
                <w:bCs/>
                <w:color w:val="000000"/>
                <w:sz w:val="20"/>
                <w:szCs w:val="20"/>
                <w:lang w:val="ro-MD"/>
              </w:rPr>
              <w:t>не представленные (месяц) отчеты (IPC21)</w:t>
            </w:r>
          </w:p>
        </w:tc>
        <w:tc>
          <w:tcPr>
            <w:tcW w:w="1108" w:type="dxa"/>
            <w:vMerge w:val="restart"/>
            <w:tcBorders>
              <w:top w:val="single" w:sz="4" w:space="0" w:color="auto"/>
              <w:left w:val="nil"/>
              <w:right w:val="single" w:sz="4" w:space="0" w:color="auto"/>
            </w:tcBorders>
            <w:shd w:val="clear" w:color="auto" w:fill="auto"/>
            <w:vAlign w:val="center"/>
          </w:tcPr>
          <w:p w14:paraId="42B79178" w14:textId="77F97DC3" w:rsidR="00DC25E0" w:rsidRPr="00736448" w:rsidRDefault="00FA677A" w:rsidP="00911B93">
            <w:pPr>
              <w:spacing w:after="0" w:line="240" w:lineRule="auto"/>
              <w:jc w:val="center"/>
              <w:rPr>
                <w:rFonts w:asciiTheme="majorHAnsi" w:eastAsia="Times New Roman" w:hAnsiTheme="majorHAnsi" w:cs="Calibri"/>
                <w:b/>
                <w:bCs/>
                <w:color w:val="000000"/>
                <w:sz w:val="20"/>
                <w:szCs w:val="20"/>
                <w:lang w:val="ro-MD"/>
              </w:rPr>
            </w:pPr>
            <w:r w:rsidRPr="00FA677A">
              <w:rPr>
                <w:rFonts w:asciiTheme="majorHAnsi" w:eastAsia="Times New Roman" w:hAnsiTheme="majorHAnsi" w:cs="Calibri"/>
                <w:b/>
                <w:bCs/>
                <w:color w:val="000000"/>
                <w:sz w:val="20"/>
                <w:szCs w:val="20"/>
                <w:lang w:val="ro-MD"/>
              </w:rPr>
              <w:t xml:space="preserve">Подлежащие взносы социального страхования </w:t>
            </w:r>
            <w:r w:rsidR="00DC25E0" w:rsidRPr="00736448">
              <w:rPr>
                <w:rFonts w:asciiTheme="majorHAnsi" w:eastAsia="Times New Roman" w:hAnsiTheme="majorHAnsi" w:cs="Calibri"/>
                <w:b/>
                <w:bCs/>
                <w:color w:val="000000"/>
                <w:sz w:val="20"/>
                <w:szCs w:val="20"/>
                <w:lang w:val="ro-MD"/>
              </w:rPr>
              <w:t>(</w:t>
            </w:r>
            <w:r w:rsidR="007459E2">
              <w:rPr>
                <w:rFonts w:asciiTheme="majorHAnsi" w:eastAsia="Times New Roman" w:hAnsiTheme="majorHAnsi" w:cs="Calibri"/>
                <w:b/>
                <w:bCs/>
                <w:color w:val="000000"/>
                <w:sz w:val="20"/>
                <w:szCs w:val="20"/>
                <w:lang w:val="ro-MD"/>
              </w:rPr>
              <w:t>леев</w:t>
            </w:r>
            <w:r w:rsidR="00DC25E0" w:rsidRPr="00736448">
              <w:rPr>
                <w:rFonts w:asciiTheme="majorHAnsi" w:eastAsia="Times New Roman" w:hAnsiTheme="majorHAnsi" w:cs="Calibri"/>
                <w:b/>
                <w:bCs/>
                <w:color w:val="000000"/>
                <w:sz w:val="20"/>
                <w:szCs w:val="20"/>
                <w:lang w:val="ro-MD"/>
              </w:rPr>
              <w:t>)</w:t>
            </w:r>
          </w:p>
        </w:tc>
        <w:tc>
          <w:tcPr>
            <w:tcW w:w="1800" w:type="dxa"/>
            <w:vMerge w:val="restart"/>
            <w:tcBorders>
              <w:top w:val="single" w:sz="4" w:space="0" w:color="auto"/>
              <w:left w:val="nil"/>
              <w:right w:val="single" w:sz="4" w:space="0" w:color="auto"/>
            </w:tcBorders>
            <w:shd w:val="clear" w:color="auto" w:fill="auto"/>
            <w:vAlign w:val="center"/>
          </w:tcPr>
          <w:p w14:paraId="1754795F" w14:textId="7DABD4F1" w:rsidR="00DC25E0" w:rsidRPr="00736448" w:rsidRDefault="00FA677A" w:rsidP="00911B93">
            <w:pPr>
              <w:spacing w:after="0" w:line="240" w:lineRule="auto"/>
              <w:jc w:val="center"/>
              <w:rPr>
                <w:rFonts w:asciiTheme="majorHAnsi" w:eastAsia="Times New Roman" w:hAnsiTheme="majorHAnsi" w:cs="Calibri"/>
                <w:b/>
                <w:bCs/>
                <w:color w:val="000000"/>
                <w:sz w:val="20"/>
                <w:szCs w:val="20"/>
                <w:lang w:val="ro-MD"/>
              </w:rPr>
            </w:pPr>
            <w:r w:rsidRPr="00FA677A">
              <w:rPr>
                <w:rFonts w:asciiTheme="majorHAnsi" w:eastAsia="Times New Roman" w:hAnsiTheme="majorHAnsi" w:cs="Calibri"/>
                <w:b/>
                <w:bCs/>
                <w:color w:val="000000"/>
                <w:sz w:val="20"/>
                <w:szCs w:val="20"/>
                <w:lang w:val="ro-MD"/>
              </w:rPr>
              <w:t>не представленные (месяц) отчеты (IPC21)</w:t>
            </w:r>
          </w:p>
        </w:tc>
        <w:tc>
          <w:tcPr>
            <w:tcW w:w="1350" w:type="dxa"/>
            <w:vMerge w:val="restart"/>
            <w:tcBorders>
              <w:top w:val="single" w:sz="4" w:space="0" w:color="auto"/>
              <w:left w:val="nil"/>
              <w:right w:val="single" w:sz="4" w:space="0" w:color="auto"/>
            </w:tcBorders>
            <w:shd w:val="clear" w:color="auto" w:fill="auto"/>
            <w:vAlign w:val="center"/>
          </w:tcPr>
          <w:p w14:paraId="1EC0DDA6" w14:textId="448D5A85" w:rsidR="00DC25E0" w:rsidRPr="00736448" w:rsidRDefault="00FA677A" w:rsidP="00911B93">
            <w:pPr>
              <w:spacing w:after="0" w:line="240" w:lineRule="auto"/>
              <w:jc w:val="center"/>
              <w:rPr>
                <w:rFonts w:asciiTheme="majorHAnsi" w:eastAsia="Times New Roman" w:hAnsiTheme="majorHAnsi" w:cs="Calibri"/>
                <w:b/>
                <w:bCs/>
                <w:color w:val="000000"/>
                <w:sz w:val="20"/>
                <w:szCs w:val="20"/>
                <w:lang w:val="ro-MD"/>
              </w:rPr>
            </w:pPr>
            <w:r w:rsidRPr="00FA677A">
              <w:rPr>
                <w:rFonts w:asciiTheme="majorHAnsi" w:eastAsia="Times New Roman" w:hAnsiTheme="majorHAnsi" w:cs="Calibri"/>
                <w:b/>
                <w:bCs/>
                <w:color w:val="000000"/>
                <w:sz w:val="20"/>
                <w:szCs w:val="20"/>
                <w:lang w:val="ro-MD"/>
              </w:rPr>
              <w:t>Подлежащие взносы социального страхования</w:t>
            </w:r>
            <w:r w:rsidR="00DC25E0" w:rsidRPr="00736448">
              <w:rPr>
                <w:rFonts w:asciiTheme="majorHAnsi" w:eastAsia="Times New Roman" w:hAnsiTheme="majorHAnsi" w:cs="Calibri"/>
                <w:b/>
                <w:bCs/>
                <w:color w:val="000000"/>
                <w:sz w:val="20"/>
                <w:szCs w:val="20"/>
                <w:lang w:val="ro-MD"/>
              </w:rPr>
              <w:t xml:space="preserve"> (</w:t>
            </w:r>
            <w:r w:rsidR="007459E2">
              <w:rPr>
                <w:rFonts w:asciiTheme="majorHAnsi" w:eastAsia="Times New Roman" w:hAnsiTheme="majorHAnsi" w:cs="Calibri"/>
                <w:b/>
                <w:bCs/>
                <w:color w:val="000000"/>
                <w:sz w:val="20"/>
                <w:szCs w:val="20"/>
                <w:lang w:val="ro-MD"/>
              </w:rPr>
              <w:t>леев</w:t>
            </w:r>
            <w:r w:rsidR="00DC25E0" w:rsidRPr="00736448">
              <w:rPr>
                <w:rFonts w:asciiTheme="majorHAnsi" w:eastAsia="Times New Roman" w:hAnsiTheme="majorHAnsi" w:cs="Calibri"/>
                <w:b/>
                <w:bCs/>
                <w:color w:val="000000"/>
                <w:sz w:val="20"/>
                <w:szCs w:val="20"/>
                <w:lang w:val="ro-MD"/>
              </w:rPr>
              <w:t>)</w:t>
            </w:r>
          </w:p>
        </w:tc>
        <w:tc>
          <w:tcPr>
            <w:tcW w:w="1530" w:type="dxa"/>
            <w:vMerge/>
            <w:tcBorders>
              <w:left w:val="single" w:sz="4" w:space="0" w:color="auto"/>
              <w:right w:val="single" w:sz="4" w:space="0" w:color="auto"/>
            </w:tcBorders>
            <w:shd w:val="clear" w:color="auto" w:fill="auto"/>
            <w:vAlign w:val="center"/>
          </w:tcPr>
          <w:p w14:paraId="6803DC41"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p>
        </w:tc>
      </w:tr>
      <w:tr w:rsidR="00DC25E0" w:rsidRPr="002C203D" w14:paraId="3E5772D3"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827A8AB"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r w:rsidRPr="00736448">
              <w:rPr>
                <w:rFonts w:asciiTheme="majorHAnsi" w:eastAsia="Times New Roman" w:hAnsiTheme="majorHAnsi" w:cs="Calibri"/>
                <w:b/>
                <w:bCs/>
                <w:color w:val="000000"/>
                <w:sz w:val="20"/>
                <w:szCs w:val="20"/>
                <w:lang w:val="ro-MD"/>
              </w:rPr>
              <w:t> </w:t>
            </w:r>
          </w:p>
        </w:tc>
        <w:tc>
          <w:tcPr>
            <w:tcW w:w="1420" w:type="dxa"/>
            <w:vMerge/>
            <w:tcBorders>
              <w:left w:val="single" w:sz="4" w:space="0" w:color="auto"/>
              <w:bottom w:val="single" w:sz="4" w:space="0" w:color="000000"/>
              <w:right w:val="single" w:sz="4" w:space="0" w:color="auto"/>
            </w:tcBorders>
            <w:shd w:val="clear" w:color="auto" w:fill="auto"/>
            <w:vAlign w:val="center"/>
            <w:hideMark/>
          </w:tcPr>
          <w:p w14:paraId="247E9A3D" w14:textId="77777777" w:rsidR="00DC25E0" w:rsidRPr="00736448" w:rsidRDefault="00DC25E0" w:rsidP="00911B93">
            <w:pPr>
              <w:spacing w:after="0" w:line="240" w:lineRule="auto"/>
              <w:rPr>
                <w:rFonts w:asciiTheme="majorHAnsi" w:eastAsia="Times New Roman" w:hAnsiTheme="majorHAnsi" w:cs="Calibri"/>
                <w:color w:val="000000"/>
                <w:sz w:val="20"/>
                <w:szCs w:val="20"/>
                <w:lang w:val="ro-MD"/>
              </w:rPr>
            </w:pPr>
          </w:p>
        </w:tc>
        <w:tc>
          <w:tcPr>
            <w:tcW w:w="1273" w:type="dxa"/>
            <w:vMerge/>
            <w:tcBorders>
              <w:left w:val="single" w:sz="4" w:space="0" w:color="auto"/>
              <w:bottom w:val="single" w:sz="4" w:space="0" w:color="000000"/>
              <w:right w:val="single" w:sz="4" w:space="0" w:color="auto"/>
            </w:tcBorders>
            <w:shd w:val="clear" w:color="auto" w:fill="auto"/>
            <w:vAlign w:val="center"/>
            <w:hideMark/>
          </w:tcPr>
          <w:p w14:paraId="27EFE237" w14:textId="77777777" w:rsidR="00DC25E0" w:rsidRPr="00736448" w:rsidRDefault="00DC25E0" w:rsidP="00911B93">
            <w:pPr>
              <w:spacing w:after="0" w:line="240" w:lineRule="auto"/>
              <w:rPr>
                <w:rFonts w:asciiTheme="majorHAnsi" w:eastAsia="Times New Roman" w:hAnsiTheme="majorHAnsi" w:cs="Calibri"/>
                <w:color w:val="000000"/>
                <w:sz w:val="20"/>
                <w:szCs w:val="20"/>
                <w:lang w:val="ro-MD"/>
              </w:rPr>
            </w:pPr>
          </w:p>
        </w:tc>
        <w:tc>
          <w:tcPr>
            <w:tcW w:w="1682" w:type="dxa"/>
            <w:vMerge/>
            <w:tcBorders>
              <w:left w:val="nil"/>
              <w:bottom w:val="single" w:sz="4" w:space="0" w:color="auto"/>
              <w:right w:val="single" w:sz="4" w:space="0" w:color="auto"/>
            </w:tcBorders>
            <w:shd w:val="clear" w:color="auto" w:fill="auto"/>
            <w:vAlign w:val="bottom"/>
            <w:hideMark/>
          </w:tcPr>
          <w:p w14:paraId="38C61978"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p>
        </w:tc>
        <w:tc>
          <w:tcPr>
            <w:tcW w:w="1108" w:type="dxa"/>
            <w:vMerge/>
            <w:tcBorders>
              <w:left w:val="single" w:sz="4" w:space="0" w:color="auto"/>
              <w:bottom w:val="single" w:sz="4" w:space="0" w:color="auto"/>
              <w:right w:val="single" w:sz="4" w:space="0" w:color="auto"/>
            </w:tcBorders>
            <w:shd w:val="clear" w:color="auto" w:fill="auto"/>
            <w:vAlign w:val="bottom"/>
          </w:tcPr>
          <w:p w14:paraId="22CBE0FE"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p>
        </w:tc>
        <w:tc>
          <w:tcPr>
            <w:tcW w:w="1800" w:type="dxa"/>
            <w:vMerge/>
            <w:tcBorders>
              <w:left w:val="single" w:sz="4" w:space="0" w:color="auto"/>
              <w:bottom w:val="single" w:sz="4" w:space="0" w:color="auto"/>
              <w:right w:val="single" w:sz="4" w:space="0" w:color="auto"/>
            </w:tcBorders>
            <w:shd w:val="clear" w:color="auto" w:fill="auto"/>
            <w:vAlign w:val="bottom"/>
            <w:hideMark/>
          </w:tcPr>
          <w:p w14:paraId="0283464C"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p>
        </w:tc>
        <w:tc>
          <w:tcPr>
            <w:tcW w:w="1350" w:type="dxa"/>
            <w:vMerge/>
            <w:tcBorders>
              <w:left w:val="single" w:sz="4" w:space="0" w:color="auto"/>
              <w:bottom w:val="single" w:sz="4" w:space="0" w:color="auto"/>
              <w:right w:val="single" w:sz="4" w:space="0" w:color="auto"/>
            </w:tcBorders>
            <w:shd w:val="clear" w:color="auto" w:fill="auto"/>
            <w:vAlign w:val="bottom"/>
          </w:tcPr>
          <w:p w14:paraId="012C72CF"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p>
        </w:tc>
        <w:tc>
          <w:tcPr>
            <w:tcW w:w="1530" w:type="dxa"/>
            <w:vMerge/>
            <w:tcBorders>
              <w:left w:val="single" w:sz="4" w:space="0" w:color="auto"/>
              <w:bottom w:val="single" w:sz="4" w:space="0" w:color="000000"/>
              <w:right w:val="single" w:sz="4" w:space="0" w:color="auto"/>
            </w:tcBorders>
            <w:shd w:val="clear" w:color="auto" w:fill="auto"/>
            <w:vAlign w:val="center"/>
            <w:hideMark/>
          </w:tcPr>
          <w:p w14:paraId="213D0E39" w14:textId="77777777" w:rsidR="00DC25E0" w:rsidRPr="00736448" w:rsidRDefault="00DC25E0" w:rsidP="00911B93">
            <w:pPr>
              <w:spacing w:after="0" w:line="240" w:lineRule="auto"/>
              <w:rPr>
                <w:rFonts w:asciiTheme="majorHAnsi" w:eastAsia="Times New Roman" w:hAnsiTheme="majorHAnsi" w:cs="Calibri"/>
                <w:color w:val="000000"/>
                <w:sz w:val="20"/>
                <w:szCs w:val="20"/>
                <w:lang w:val="ro-MD"/>
              </w:rPr>
            </w:pPr>
          </w:p>
        </w:tc>
      </w:tr>
      <w:tr w:rsidR="00DC25E0" w:rsidRPr="00B7675F" w14:paraId="0B251DA6"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3BDCD258"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1</w:t>
            </w:r>
          </w:p>
        </w:tc>
        <w:tc>
          <w:tcPr>
            <w:tcW w:w="1420" w:type="dxa"/>
            <w:tcBorders>
              <w:top w:val="nil"/>
              <w:left w:val="nil"/>
              <w:bottom w:val="single" w:sz="4" w:space="0" w:color="auto"/>
              <w:right w:val="single" w:sz="4" w:space="0" w:color="auto"/>
            </w:tcBorders>
            <w:shd w:val="clear" w:color="auto" w:fill="auto"/>
            <w:vAlign w:val="bottom"/>
            <w:hideMark/>
          </w:tcPr>
          <w:p w14:paraId="217E5948" w14:textId="6F4DF86E" w:rsidR="00DC25E0" w:rsidRPr="00736448" w:rsidRDefault="0040684B" w:rsidP="00911B93">
            <w:pPr>
              <w:spacing w:after="0" w:line="240" w:lineRule="auto"/>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АК №</w:t>
            </w:r>
            <w:r w:rsidR="00DC25E0" w:rsidRPr="00736448">
              <w:rPr>
                <w:rFonts w:asciiTheme="majorHAnsi" w:eastAsia="Times New Roman" w:hAnsiTheme="majorHAnsi" w:cs="Times New Roman"/>
                <w:color w:val="000000"/>
                <w:sz w:val="20"/>
                <w:szCs w:val="20"/>
                <w:lang w:val="ro-MD"/>
              </w:rPr>
              <w:t xml:space="preserve"> 1</w:t>
            </w:r>
          </w:p>
        </w:tc>
        <w:tc>
          <w:tcPr>
            <w:tcW w:w="1273" w:type="dxa"/>
            <w:tcBorders>
              <w:top w:val="nil"/>
              <w:left w:val="nil"/>
              <w:bottom w:val="single" w:sz="4" w:space="0" w:color="auto"/>
              <w:right w:val="single" w:sz="4" w:space="0" w:color="auto"/>
            </w:tcBorders>
            <w:shd w:val="clear" w:color="auto" w:fill="auto"/>
            <w:vAlign w:val="bottom"/>
            <w:hideMark/>
          </w:tcPr>
          <w:p w14:paraId="0733D46F"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3/2/2021</w:t>
            </w:r>
          </w:p>
        </w:tc>
        <w:tc>
          <w:tcPr>
            <w:tcW w:w="1682" w:type="dxa"/>
            <w:tcBorders>
              <w:top w:val="nil"/>
              <w:left w:val="nil"/>
              <w:bottom w:val="single" w:sz="4" w:space="0" w:color="auto"/>
              <w:right w:val="single" w:sz="4" w:space="0" w:color="auto"/>
            </w:tcBorders>
            <w:shd w:val="clear" w:color="auto" w:fill="auto"/>
            <w:vAlign w:val="bottom"/>
            <w:hideMark/>
          </w:tcPr>
          <w:p w14:paraId="6A695F6B" w14:textId="02F8FF7E" w:rsidR="00DC25E0" w:rsidRPr="00736448" w:rsidRDefault="0040684B" w:rsidP="00911B93">
            <w:pPr>
              <w:spacing w:after="0" w:line="240" w:lineRule="auto"/>
              <w:jc w:val="center"/>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март-декабрь</w:t>
            </w:r>
          </w:p>
        </w:tc>
        <w:tc>
          <w:tcPr>
            <w:tcW w:w="1108" w:type="dxa"/>
            <w:tcBorders>
              <w:top w:val="nil"/>
              <w:left w:val="nil"/>
              <w:bottom w:val="single" w:sz="4" w:space="0" w:color="auto"/>
              <w:right w:val="single" w:sz="4" w:space="0" w:color="auto"/>
            </w:tcBorders>
            <w:shd w:val="clear" w:color="auto" w:fill="auto"/>
            <w:noWrap/>
            <w:vAlign w:val="bottom"/>
            <w:hideMark/>
          </w:tcPr>
          <w:p w14:paraId="677E7571"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20212.5</w:t>
            </w:r>
          </w:p>
        </w:tc>
        <w:tc>
          <w:tcPr>
            <w:tcW w:w="1800" w:type="dxa"/>
            <w:tcBorders>
              <w:top w:val="nil"/>
              <w:left w:val="nil"/>
              <w:bottom w:val="single" w:sz="4" w:space="0" w:color="auto"/>
              <w:right w:val="single" w:sz="4" w:space="0" w:color="auto"/>
            </w:tcBorders>
            <w:shd w:val="clear" w:color="auto" w:fill="auto"/>
            <w:noWrap/>
            <w:vAlign w:val="bottom"/>
            <w:hideMark/>
          </w:tcPr>
          <w:p w14:paraId="796C6DA1" w14:textId="30607A8A" w:rsidR="00DC25E0" w:rsidRPr="00736448" w:rsidRDefault="003968C1" w:rsidP="00911B93">
            <w:pPr>
              <w:spacing w:after="0" w:line="240" w:lineRule="auto"/>
              <w:jc w:val="center"/>
              <w:rPr>
                <w:rFonts w:asciiTheme="majorHAnsi" w:eastAsia="Times New Roman" w:hAnsiTheme="majorHAnsi" w:cs="Calibri"/>
                <w:color w:val="000000"/>
                <w:sz w:val="20"/>
                <w:szCs w:val="20"/>
                <w:lang w:val="ro-MD"/>
              </w:rPr>
            </w:pPr>
            <w:r>
              <w:rPr>
                <w:rFonts w:asciiTheme="majorHAnsi" w:eastAsia="Times New Roman" w:hAnsiTheme="majorHAnsi" w:cs="Calibri"/>
                <w:color w:val="000000"/>
                <w:sz w:val="20"/>
                <w:szCs w:val="20"/>
                <w:lang w:val="ro-MD"/>
              </w:rPr>
              <w:t>январь</w:t>
            </w:r>
            <w:r w:rsidR="00DC25E0" w:rsidRPr="00736448">
              <w:rPr>
                <w:rFonts w:asciiTheme="majorHAnsi" w:eastAsia="Times New Roman" w:hAnsiTheme="majorHAnsi" w:cs="Calibri"/>
                <w:color w:val="000000"/>
                <w:sz w:val="20"/>
                <w:szCs w:val="20"/>
                <w:lang w:val="ro-MD"/>
              </w:rPr>
              <w:t>-</w:t>
            </w:r>
            <w:r>
              <w:rPr>
                <w:rFonts w:asciiTheme="majorHAnsi" w:eastAsia="Times New Roman" w:hAnsiTheme="majorHAnsi" w:cs="Calibri"/>
                <w:color w:val="000000"/>
                <w:sz w:val="20"/>
                <w:szCs w:val="20"/>
                <w:lang w:val="ro-MD"/>
              </w:rPr>
              <w:t>декабрь</w:t>
            </w:r>
          </w:p>
        </w:tc>
        <w:tc>
          <w:tcPr>
            <w:tcW w:w="1350" w:type="dxa"/>
            <w:tcBorders>
              <w:top w:val="nil"/>
              <w:left w:val="nil"/>
              <w:bottom w:val="single" w:sz="4" w:space="0" w:color="auto"/>
              <w:right w:val="single" w:sz="4" w:space="0" w:color="auto"/>
            </w:tcBorders>
            <w:shd w:val="clear" w:color="auto" w:fill="auto"/>
            <w:noWrap/>
            <w:vAlign w:val="bottom"/>
            <w:hideMark/>
          </w:tcPr>
          <w:p w14:paraId="4FB6A3D0"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24255.0</w:t>
            </w:r>
          </w:p>
        </w:tc>
        <w:tc>
          <w:tcPr>
            <w:tcW w:w="1530" w:type="dxa"/>
            <w:tcBorders>
              <w:top w:val="nil"/>
              <w:left w:val="nil"/>
              <w:bottom w:val="single" w:sz="4" w:space="0" w:color="auto"/>
              <w:right w:val="single" w:sz="4" w:space="0" w:color="auto"/>
            </w:tcBorders>
            <w:shd w:val="clear" w:color="auto" w:fill="auto"/>
            <w:noWrap/>
            <w:vAlign w:val="bottom"/>
            <w:hideMark/>
          </w:tcPr>
          <w:p w14:paraId="2CB732D0"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44467.5</w:t>
            </w:r>
          </w:p>
        </w:tc>
      </w:tr>
      <w:tr w:rsidR="00DC25E0" w:rsidRPr="00B7675F" w14:paraId="13DE040A"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29EF12BE"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2</w:t>
            </w:r>
          </w:p>
        </w:tc>
        <w:tc>
          <w:tcPr>
            <w:tcW w:w="1420" w:type="dxa"/>
            <w:tcBorders>
              <w:top w:val="nil"/>
              <w:left w:val="nil"/>
              <w:bottom w:val="single" w:sz="4" w:space="0" w:color="auto"/>
              <w:right w:val="single" w:sz="4" w:space="0" w:color="auto"/>
            </w:tcBorders>
            <w:shd w:val="clear" w:color="auto" w:fill="auto"/>
            <w:vAlign w:val="bottom"/>
            <w:hideMark/>
          </w:tcPr>
          <w:p w14:paraId="53AEC7A8" w14:textId="51C57BF6" w:rsidR="00DC25E0" w:rsidRPr="00736448" w:rsidRDefault="0040684B" w:rsidP="00911B93">
            <w:pPr>
              <w:spacing w:after="0" w:line="240" w:lineRule="auto"/>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АК №</w:t>
            </w:r>
            <w:r w:rsidR="00DC25E0" w:rsidRPr="00736448">
              <w:rPr>
                <w:rFonts w:asciiTheme="majorHAnsi" w:eastAsia="Times New Roman" w:hAnsiTheme="majorHAnsi" w:cs="Times New Roman"/>
                <w:color w:val="000000"/>
                <w:sz w:val="20"/>
                <w:szCs w:val="20"/>
                <w:lang w:val="ro-MD"/>
              </w:rPr>
              <w:t xml:space="preserve"> 2</w:t>
            </w:r>
          </w:p>
        </w:tc>
        <w:tc>
          <w:tcPr>
            <w:tcW w:w="1273" w:type="dxa"/>
            <w:tcBorders>
              <w:top w:val="nil"/>
              <w:left w:val="nil"/>
              <w:bottom w:val="single" w:sz="4" w:space="0" w:color="auto"/>
              <w:right w:val="single" w:sz="4" w:space="0" w:color="auto"/>
            </w:tcBorders>
            <w:shd w:val="clear" w:color="auto" w:fill="auto"/>
            <w:vAlign w:val="bottom"/>
            <w:hideMark/>
          </w:tcPr>
          <w:p w14:paraId="732E608E"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3/4/2021</w:t>
            </w:r>
          </w:p>
        </w:tc>
        <w:tc>
          <w:tcPr>
            <w:tcW w:w="1682" w:type="dxa"/>
            <w:tcBorders>
              <w:top w:val="nil"/>
              <w:left w:val="nil"/>
              <w:bottom w:val="single" w:sz="4" w:space="0" w:color="auto"/>
              <w:right w:val="single" w:sz="4" w:space="0" w:color="auto"/>
            </w:tcBorders>
            <w:shd w:val="clear" w:color="auto" w:fill="auto"/>
            <w:vAlign w:val="bottom"/>
            <w:hideMark/>
          </w:tcPr>
          <w:p w14:paraId="553B1056"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x</w:t>
            </w:r>
          </w:p>
        </w:tc>
        <w:tc>
          <w:tcPr>
            <w:tcW w:w="1108" w:type="dxa"/>
            <w:tcBorders>
              <w:top w:val="nil"/>
              <w:left w:val="nil"/>
              <w:bottom w:val="single" w:sz="4" w:space="0" w:color="auto"/>
              <w:right w:val="single" w:sz="4" w:space="0" w:color="auto"/>
            </w:tcBorders>
            <w:shd w:val="clear" w:color="auto" w:fill="auto"/>
            <w:noWrap/>
            <w:vAlign w:val="bottom"/>
            <w:hideMark/>
          </w:tcPr>
          <w:p w14:paraId="55EE8AAF"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800" w:type="dxa"/>
            <w:tcBorders>
              <w:top w:val="nil"/>
              <w:left w:val="nil"/>
              <w:bottom w:val="single" w:sz="4" w:space="0" w:color="auto"/>
              <w:right w:val="single" w:sz="4" w:space="0" w:color="auto"/>
            </w:tcBorders>
            <w:shd w:val="clear" w:color="auto" w:fill="auto"/>
            <w:noWrap/>
            <w:vAlign w:val="bottom"/>
            <w:hideMark/>
          </w:tcPr>
          <w:p w14:paraId="3B4B3471" w14:textId="06AD67DC" w:rsidR="00DC25E0" w:rsidRPr="00736448" w:rsidRDefault="003968C1" w:rsidP="00911B93">
            <w:pPr>
              <w:spacing w:after="0" w:line="240" w:lineRule="auto"/>
              <w:jc w:val="center"/>
              <w:rPr>
                <w:rFonts w:asciiTheme="majorHAnsi" w:eastAsia="Times New Roman" w:hAnsiTheme="majorHAnsi" w:cs="Calibri"/>
                <w:color w:val="000000"/>
                <w:sz w:val="20"/>
                <w:szCs w:val="20"/>
                <w:lang w:val="ro-MD"/>
              </w:rPr>
            </w:pPr>
            <w:r>
              <w:rPr>
                <w:rFonts w:asciiTheme="majorHAnsi" w:eastAsia="Times New Roman" w:hAnsiTheme="majorHAnsi" w:cs="Calibri"/>
                <w:color w:val="000000"/>
                <w:sz w:val="20"/>
                <w:szCs w:val="20"/>
                <w:lang w:val="ro-MD"/>
              </w:rPr>
              <w:t>октябрь</w:t>
            </w:r>
            <w:r w:rsidR="00DC25E0" w:rsidRPr="00736448">
              <w:rPr>
                <w:rFonts w:asciiTheme="majorHAnsi" w:eastAsia="Times New Roman" w:hAnsiTheme="majorHAnsi" w:cs="Calibri"/>
                <w:color w:val="000000"/>
                <w:sz w:val="20"/>
                <w:szCs w:val="20"/>
                <w:lang w:val="ro-MD"/>
              </w:rPr>
              <w:t>-</w:t>
            </w:r>
            <w:r>
              <w:rPr>
                <w:rFonts w:asciiTheme="majorHAnsi" w:eastAsia="Times New Roman" w:hAnsiTheme="majorHAnsi" w:cs="Calibri"/>
                <w:color w:val="000000"/>
                <w:sz w:val="20"/>
                <w:szCs w:val="20"/>
                <w:lang w:val="ro-MD"/>
              </w:rPr>
              <w:t>декабрь</w:t>
            </w:r>
          </w:p>
        </w:tc>
        <w:tc>
          <w:tcPr>
            <w:tcW w:w="1350" w:type="dxa"/>
            <w:tcBorders>
              <w:top w:val="nil"/>
              <w:left w:val="nil"/>
              <w:bottom w:val="single" w:sz="4" w:space="0" w:color="auto"/>
              <w:right w:val="single" w:sz="4" w:space="0" w:color="auto"/>
            </w:tcBorders>
            <w:shd w:val="clear" w:color="auto" w:fill="auto"/>
            <w:noWrap/>
            <w:vAlign w:val="bottom"/>
            <w:hideMark/>
          </w:tcPr>
          <w:p w14:paraId="4F2796DC"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6063.8</w:t>
            </w:r>
          </w:p>
        </w:tc>
        <w:tc>
          <w:tcPr>
            <w:tcW w:w="1530" w:type="dxa"/>
            <w:tcBorders>
              <w:top w:val="nil"/>
              <w:left w:val="nil"/>
              <w:bottom w:val="single" w:sz="4" w:space="0" w:color="auto"/>
              <w:right w:val="single" w:sz="4" w:space="0" w:color="auto"/>
            </w:tcBorders>
            <w:shd w:val="clear" w:color="auto" w:fill="auto"/>
            <w:noWrap/>
            <w:vAlign w:val="bottom"/>
            <w:hideMark/>
          </w:tcPr>
          <w:p w14:paraId="3CD35E86"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6063.75</w:t>
            </w:r>
          </w:p>
        </w:tc>
      </w:tr>
      <w:tr w:rsidR="00DC25E0" w:rsidRPr="00B7675F" w14:paraId="4F509907"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474DA071"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3</w:t>
            </w:r>
          </w:p>
        </w:tc>
        <w:tc>
          <w:tcPr>
            <w:tcW w:w="1420" w:type="dxa"/>
            <w:tcBorders>
              <w:top w:val="nil"/>
              <w:left w:val="nil"/>
              <w:bottom w:val="single" w:sz="4" w:space="0" w:color="auto"/>
              <w:right w:val="single" w:sz="4" w:space="0" w:color="auto"/>
            </w:tcBorders>
            <w:shd w:val="clear" w:color="auto" w:fill="auto"/>
            <w:vAlign w:val="bottom"/>
            <w:hideMark/>
          </w:tcPr>
          <w:p w14:paraId="0810DA5C" w14:textId="3F03FDDD" w:rsidR="00DC25E0" w:rsidRPr="00736448" w:rsidRDefault="0040684B" w:rsidP="00911B93">
            <w:pPr>
              <w:spacing w:after="0" w:line="240" w:lineRule="auto"/>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АК №</w:t>
            </w:r>
            <w:r w:rsidR="00DC25E0" w:rsidRPr="00736448">
              <w:rPr>
                <w:rFonts w:asciiTheme="majorHAnsi" w:eastAsia="Times New Roman" w:hAnsiTheme="majorHAnsi" w:cs="Times New Roman"/>
                <w:color w:val="000000"/>
                <w:sz w:val="20"/>
                <w:szCs w:val="20"/>
                <w:lang w:val="ro-MD"/>
              </w:rPr>
              <w:t xml:space="preserve"> 3</w:t>
            </w:r>
          </w:p>
        </w:tc>
        <w:tc>
          <w:tcPr>
            <w:tcW w:w="1273" w:type="dxa"/>
            <w:tcBorders>
              <w:top w:val="nil"/>
              <w:left w:val="nil"/>
              <w:bottom w:val="single" w:sz="4" w:space="0" w:color="auto"/>
              <w:right w:val="single" w:sz="4" w:space="0" w:color="auto"/>
            </w:tcBorders>
            <w:shd w:val="clear" w:color="auto" w:fill="auto"/>
            <w:vAlign w:val="bottom"/>
            <w:hideMark/>
          </w:tcPr>
          <w:p w14:paraId="09959D98"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3/9/2021</w:t>
            </w:r>
          </w:p>
        </w:tc>
        <w:tc>
          <w:tcPr>
            <w:tcW w:w="1682" w:type="dxa"/>
            <w:tcBorders>
              <w:top w:val="nil"/>
              <w:left w:val="nil"/>
              <w:bottom w:val="single" w:sz="4" w:space="0" w:color="auto"/>
              <w:right w:val="single" w:sz="4" w:space="0" w:color="auto"/>
            </w:tcBorders>
            <w:shd w:val="clear" w:color="auto" w:fill="auto"/>
            <w:vAlign w:val="bottom"/>
            <w:hideMark/>
          </w:tcPr>
          <w:p w14:paraId="4BCB7D1A" w14:textId="389018E8" w:rsidR="00DC25E0" w:rsidRPr="00736448" w:rsidRDefault="0040684B" w:rsidP="00911B93">
            <w:pPr>
              <w:spacing w:after="0" w:line="240" w:lineRule="auto"/>
              <w:jc w:val="center"/>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март-декабрь</w:t>
            </w:r>
          </w:p>
        </w:tc>
        <w:tc>
          <w:tcPr>
            <w:tcW w:w="1108" w:type="dxa"/>
            <w:tcBorders>
              <w:top w:val="nil"/>
              <w:left w:val="nil"/>
              <w:bottom w:val="single" w:sz="4" w:space="0" w:color="auto"/>
              <w:right w:val="single" w:sz="4" w:space="0" w:color="auto"/>
            </w:tcBorders>
            <w:shd w:val="clear" w:color="auto" w:fill="auto"/>
            <w:noWrap/>
            <w:vAlign w:val="bottom"/>
            <w:hideMark/>
          </w:tcPr>
          <w:p w14:paraId="588B20B7"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20212.5</w:t>
            </w:r>
          </w:p>
        </w:tc>
        <w:tc>
          <w:tcPr>
            <w:tcW w:w="1800" w:type="dxa"/>
            <w:tcBorders>
              <w:top w:val="nil"/>
              <w:left w:val="nil"/>
              <w:bottom w:val="single" w:sz="4" w:space="0" w:color="auto"/>
              <w:right w:val="single" w:sz="4" w:space="0" w:color="auto"/>
            </w:tcBorders>
            <w:shd w:val="clear" w:color="auto" w:fill="auto"/>
            <w:noWrap/>
            <w:vAlign w:val="bottom"/>
            <w:hideMark/>
          </w:tcPr>
          <w:p w14:paraId="6C72F740" w14:textId="36B41DF2" w:rsidR="00DC25E0" w:rsidRPr="003968C1" w:rsidRDefault="003968C1" w:rsidP="003968C1">
            <w:pPr>
              <w:spacing w:after="0" w:line="240" w:lineRule="auto"/>
              <w:jc w:val="center"/>
              <w:rPr>
                <w:rFonts w:asciiTheme="majorHAnsi" w:eastAsia="Times New Roman" w:hAnsiTheme="majorHAnsi" w:cs="Calibri"/>
                <w:color w:val="000000"/>
                <w:sz w:val="20"/>
                <w:szCs w:val="20"/>
                <w:lang w:val="ru-RU"/>
              </w:rPr>
            </w:pPr>
            <w:r>
              <w:rPr>
                <w:rFonts w:asciiTheme="majorHAnsi" w:eastAsia="Times New Roman" w:hAnsiTheme="majorHAnsi" w:cs="Calibri"/>
                <w:color w:val="000000"/>
                <w:sz w:val="20"/>
                <w:szCs w:val="20"/>
                <w:lang w:val="ro-MD"/>
              </w:rPr>
              <w:t>январь</w:t>
            </w:r>
            <w:r w:rsidR="00DC25E0" w:rsidRPr="00736448">
              <w:rPr>
                <w:rFonts w:asciiTheme="majorHAnsi" w:eastAsia="Times New Roman" w:hAnsiTheme="majorHAnsi" w:cs="Calibri"/>
                <w:color w:val="000000"/>
                <w:sz w:val="20"/>
                <w:szCs w:val="20"/>
                <w:lang w:val="ro-MD"/>
              </w:rPr>
              <w:t>-</w:t>
            </w:r>
            <w:r>
              <w:rPr>
                <w:rFonts w:asciiTheme="majorHAnsi" w:eastAsia="Times New Roman" w:hAnsiTheme="majorHAnsi" w:cs="Calibri"/>
                <w:color w:val="000000"/>
                <w:sz w:val="20"/>
                <w:szCs w:val="20"/>
                <w:lang w:val="ru-RU"/>
              </w:rPr>
              <w:t>август</w:t>
            </w:r>
          </w:p>
        </w:tc>
        <w:tc>
          <w:tcPr>
            <w:tcW w:w="1350" w:type="dxa"/>
            <w:tcBorders>
              <w:top w:val="nil"/>
              <w:left w:val="nil"/>
              <w:bottom w:val="single" w:sz="4" w:space="0" w:color="auto"/>
              <w:right w:val="single" w:sz="4" w:space="0" w:color="auto"/>
            </w:tcBorders>
            <w:shd w:val="clear" w:color="auto" w:fill="auto"/>
            <w:noWrap/>
            <w:vAlign w:val="bottom"/>
            <w:hideMark/>
          </w:tcPr>
          <w:p w14:paraId="11844C3D"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16170.0</w:t>
            </w:r>
          </w:p>
        </w:tc>
        <w:tc>
          <w:tcPr>
            <w:tcW w:w="1530" w:type="dxa"/>
            <w:tcBorders>
              <w:top w:val="nil"/>
              <w:left w:val="nil"/>
              <w:bottom w:val="single" w:sz="4" w:space="0" w:color="auto"/>
              <w:right w:val="single" w:sz="4" w:space="0" w:color="auto"/>
            </w:tcBorders>
            <w:shd w:val="clear" w:color="auto" w:fill="auto"/>
            <w:noWrap/>
            <w:vAlign w:val="bottom"/>
            <w:hideMark/>
          </w:tcPr>
          <w:p w14:paraId="1B6D688D"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36382.5</w:t>
            </w:r>
          </w:p>
        </w:tc>
      </w:tr>
      <w:tr w:rsidR="00DC25E0" w:rsidRPr="00B7675F" w14:paraId="4DCA3FB0"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20B7709"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4</w:t>
            </w:r>
          </w:p>
        </w:tc>
        <w:tc>
          <w:tcPr>
            <w:tcW w:w="1420" w:type="dxa"/>
            <w:tcBorders>
              <w:top w:val="nil"/>
              <w:left w:val="nil"/>
              <w:bottom w:val="single" w:sz="4" w:space="0" w:color="auto"/>
              <w:right w:val="single" w:sz="4" w:space="0" w:color="auto"/>
            </w:tcBorders>
            <w:shd w:val="clear" w:color="auto" w:fill="auto"/>
            <w:vAlign w:val="bottom"/>
            <w:hideMark/>
          </w:tcPr>
          <w:p w14:paraId="6CE277C6" w14:textId="7A6F9F69" w:rsidR="00DC25E0" w:rsidRPr="00736448" w:rsidRDefault="0040684B" w:rsidP="00911B93">
            <w:pPr>
              <w:spacing w:after="0" w:line="240" w:lineRule="auto"/>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АК №</w:t>
            </w:r>
            <w:r w:rsidR="00DC25E0" w:rsidRPr="00736448">
              <w:rPr>
                <w:rFonts w:asciiTheme="majorHAnsi" w:eastAsia="Times New Roman" w:hAnsiTheme="majorHAnsi" w:cs="Times New Roman"/>
                <w:color w:val="000000"/>
                <w:sz w:val="20"/>
                <w:szCs w:val="20"/>
                <w:lang w:val="ro-MD"/>
              </w:rPr>
              <w:t xml:space="preserve"> 4</w:t>
            </w:r>
          </w:p>
        </w:tc>
        <w:tc>
          <w:tcPr>
            <w:tcW w:w="1273" w:type="dxa"/>
            <w:tcBorders>
              <w:top w:val="nil"/>
              <w:left w:val="nil"/>
              <w:bottom w:val="single" w:sz="4" w:space="0" w:color="auto"/>
              <w:right w:val="single" w:sz="4" w:space="0" w:color="auto"/>
            </w:tcBorders>
            <w:shd w:val="clear" w:color="auto" w:fill="auto"/>
            <w:vAlign w:val="bottom"/>
            <w:hideMark/>
          </w:tcPr>
          <w:p w14:paraId="4719C929"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3/9/2021</w:t>
            </w:r>
          </w:p>
        </w:tc>
        <w:tc>
          <w:tcPr>
            <w:tcW w:w="1682" w:type="dxa"/>
            <w:tcBorders>
              <w:top w:val="nil"/>
              <w:left w:val="nil"/>
              <w:bottom w:val="single" w:sz="4" w:space="0" w:color="auto"/>
              <w:right w:val="single" w:sz="4" w:space="0" w:color="auto"/>
            </w:tcBorders>
            <w:shd w:val="clear" w:color="auto" w:fill="auto"/>
            <w:vAlign w:val="bottom"/>
            <w:hideMark/>
          </w:tcPr>
          <w:p w14:paraId="434708D4" w14:textId="3F188EB5" w:rsidR="00DC25E0" w:rsidRPr="00736448" w:rsidRDefault="003968C1" w:rsidP="00911B93">
            <w:pPr>
              <w:spacing w:after="0" w:line="240" w:lineRule="auto"/>
              <w:jc w:val="center"/>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март-июнь</w:t>
            </w:r>
          </w:p>
        </w:tc>
        <w:tc>
          <w:tcPr>
            <w:tcW w:w="1108" w:type="dxa"/>
            <w:tcBorders>
              <w:top w:val="nil"/>
              <w:left w:val="nil"/>
              <w:bottom w:val="single" w:sz="4" w:space="0" w:color="auto"/>
              <w:right w:val="single" w:sz="4" w:space="0" w:color="auto"/>
            </w:tcBorders>
            <w:shd w:val="clear" w:color="auto" w:fill="auto"/>
            <w:noWrap/>
            <w:vAlign w:val="bottom"/>
            <w:hideMark/>
          </w:tcPr>
          <w:p w14:paraId="172A8C2D"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8085.0</w:t>
            </w:r>
          </w:p>
        </w:tc>
        <w:tc>
          <w:tcPr>
            <w:tcW w:w="1800" w:type="dxa"/>
            <w:tcBorders>
              <w:top w:val="nil"/>
              <w:left w:val="nil"/>
              <w:bottom w:val="single" w:sz="4" w:space="0" w:color="auto"/>
              <w:right w:val="single" w:sz="4" w:space="0" w:color="auto"/>
            </w:tcBorders>
            <w:shd w:val="clear" w:color="auto" w:fill="auto"/>
            <w:noWrap/>
            <w:vAlign w:val="bottom"/>
            <w:hideMark/>
          </w:tcPr>
          <w:p w14:paraId="5650680C"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350" w:type="dxa"/>
            <w:tcBorders>
              <w:top w:val="nil"/>
              <w:left w:val="nil"/>
              <w:bottom w:val="single" w:sz="4" w:space="0" w:color="auto"/>
              <w:right w:val="single" w:sz="4" w:space="0" w:color="auto"/>
            </w:tcBorders>
            <w:shd w:val="clear" w:color="auto" w:fill="auto"/>
            <w:noWrap/>
            <w:vAlign w:val="bottom"/>
            <w:hideMark/>
          </w:tcPr>
          <w:p w14:paraId="65B47C0F"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530" w:type="dxa"/>
            <w:tcBorders>
              <w:top w:val="nil"/>
              <w:left w:val="nil"/>
              <w:bottom w:val="single" w:sz="4" w:space="0" w:color="auto"/>
              <w:right w:val="single" w:sz="4" w:space="0" w:color="auto"/>
            </w:tcBorders>
            <w:shd w:val="clear" w:color="auto" w:fill="auto"/>
            <w:noWrap/>
            <w:vAlign w:val="bottom"/>
            <w:hideMark/>
          </w:tcPr>
          <w:p w14:paraId="58083446"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8085.0</w:t>
            </w:r>
          </w:p>
        </w:tc>
      </w:tr>
      <w:tr w:rsidR="00DC25E0" w:rsidRPr="00B7675F" w14:paraId="5D6D5D6A"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2FA301B"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5</w:t>
            </w:r>
          </w:p>
        </w:tc>
        <w:tc>
          <w:tcPr>
            <w:tcW w:w="1420" w:type="dxa"/>
            <w:tcBorders>
              <w:top w:val="nil"/>
              <w:left w:val="nil"/>
              <w:bottom w:val="single" w:sz="4" w:space="0" w:color="auto"/>
              <w:right w:val="single" w:sz="4" w:space="0" w:color="auto"/>
            </w:tcBorders>
            <w:shd w:val="clear" w:color="auto" w:fill="auto"/>
            <w:vAlign w:val="bottom"/>
            <w:hideMark/>
          </w:tcPr>
          <w:p w14:paraId="33146E9A" w14:textId="24A7662D" w:rsidR="00DC25E0" w:rsidRPr="00736448" w:rsidRDefault="0040684B" w:rsidP="00911B93">
            <w:pPr>
              <w:spacing w:after="0" w:line="240" w:lineRule="auto"/>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АК №</w:t>
            </w:r>
            <w:r w:rsidR="00DC25E0" w:rsidRPr="00736448">
              <w:rPr>
                <w:rFonts w:asciiTheme="majorHAnsi" w:eastAsia="Times New Roman" w:hAnsiTheme="majorHAnsi" w:cs="Times New Roman"/>
                <w:color w:val="000000"/>
                <w:sz w:val="20"/>
                <w:szCs w:val="20"/>
                <w:lang w:val="ro-MD"/>
              </w:rPr>
              <w:t xml:space="preserve"> 5</w:t>
            </w:r>
          </w:p>
        </w:tc>
        <w:tc>
          <w:tcPr>
            <w:tcW w:w="1273" w:type="dxa"/>
            <w:tcBorders>
              <w:top w:val="nil"/>
              <w:left w:val="nil"/>
              <w:bottom w:val="single" w:sz="4" w:space="0" w:color="auto"/>
              <w:right w:val="single" w:sz="4" w:space="0" w:color="auto"/>
            </w:tcBorders>
            <w:shd w:val="clear" w:color="auto" w:fill="auto"/>
            <w:vAlign w:val="bottom"/>
            <w:hideMark/>
          </w:tcPr>
          <w:p w14:paraId="31E3C7EA"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3/11/2021</w:t>
            </w:r>
          </w:p>
        </w:tc>
        <w:tc>
          <w:tcPr>
            <w:tcW w:w="1682" w:type="dxa"/>
            <w:tcBorders>
              <w:top w:val="nil"/>
              <w:left w:val="nil"/>
              <w:bottom w:val="single" w:sz="4" w:space="0" w:color="auto"/>
              <w:right w:val="single" w:sz="4" w:space="0" w:color="auto"/>
            </w:tcBorders>
            <w:shd w:val="clear" w:color="auto" w:fill="auto"/>
            <w:vAlign w:val="bottom"/>
            <w:hideMark/>
          </w:tcPr>
          <w:p w14:paraId="0A7917CE" w14:textId="4D876363" w:rsidR="00DC25E0" w:rsidRPr="00736448" w:rsidRDefault="0040684B" w:rsidP="00911B93">
            <w:pPr>
              <w:spacing w:after="0" w:line="240" w:lineRule="auto"/>
              <w:jc w:val="center"/>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март-декабрь</w:t>
            </w:r>
          </w:p>
        </w:tc>
        <w:tc>
          <w:tcPr>
            <w:tcW w:w="1108" w:type="dxa"/>
            <w:tcBorders>
              <w:top w:val="nil"/>
              <w:left w:val="nil"/>
              <w:bottom w:val="single" w:sz="4" w:space="0" w:color="auto"/>
              <w:right w:val="single" w:sz="4" w:space="0" w:color="auto"/>
            </w:tcBorders>
            <w:shd w:val="clear" w:color="auto" w:fill="auto"/>
            <w:noWrap/>
            <w:vAlign w:val="bottom"/>
            <w:hideMark/>
          </w:tcPr>
          <w:p w14:paraId="6292EB5D"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20212.5</w:t>
            </w:r>
          </w:p>
        </w:tc>
        <w:tc>
          <w:tcPr>
            <w:tcW w:w="1800" w:type="dxa"/>
            <w:tcBorders>
              <w:top w:val="nil"/>
              <w:left w:val="nil"/>
              <w:bottom w:val="single" w:sz="4" w:space="0" w:color="auto"/>
              <w:right w:val="single" w:sz="4" w:space="0" w:color="auto"/>
            </w:tcBorders>
            <w:shd w:val="clear" w:color="auto" w:fill="auto"/>
            <w:noWrap/>
            <w:vAlign w:val="bottom"/>
            <w:hideMark/>
          </w:tcPr>
          <w:p w14:paraId="395C2B19" w14:textId="54DFE1E1" w:rsidR="00DC25E0" w:rsidRPr="00736448" w:rsidRDefault="003968C1" w:rsidP="00911B93">
            <w:pPr>
              <w:spacing w:after="0" w:line="240" w:lineRule="auto"/>
              <w:jc w:val="center"/>
              <w:rPr>
                <w:rFonts w:asciiTheme="majorHAnsi" w:eastAsia="Times New Roman" w:hAnsiTheme="majorHAnsi" w:cs="Calibri"/>
                <w:color w:val="000000"/>
                <w:sz w:val="20"/>
                <w:szCs w:val="20"/>
                <w:lang w:val="ro-MD"/>
              </w:rPr>
            </w:pPr>
            <w:r>
              <w:rPr>
                <w:rFonts w:asciiTheme="majorHAnsi" w:eastAsia="Times New Roman" w:hAnsiTheme="majorHAnsi" w:cs="Calibri"/>
                <w:color w:val="000000"/>
                <w:sz w:val="20"/>
                <w:szCs w:val="20"/>
                <w:lang w:val="ro-MD"/>
              </w:rPr>
              <w:t>январь</w:t>
            </w:r>
            <w:r w:rsidR="00DC25E0" w:rsidRPr="00736448">
              <w:rPr>
                <w:rFonts w:asciiTheme="majorHAnsi" w:eastAsia="Times New Roman" w:hAnsiTheme="majorHAnsi" w:cs="Calibri"/>
                <w:color w:val="000000"/>
                <w:sz w:val="20"/>
                <w:szCs w:val="20"/>
                <w:lang w:val="ro-MD"/>
              </w:rPr>
              <w:t>-</w:t>
            </w:r>
            <w:r>
              <w:rPr>
                <w:rFonts w:asciiTheme="majorHAnsi" w:eastAsia="Times New Roman" w:hAnsiTheme="majorHAnsi" w:cs="Calibri"/>
                <w:color w:val="000000"/>
                <w:sz w:val="20"/>
                <w:szCs w:val="20"/>
                <w:lang w:val="ro-MD"/>
              </w:rPr>
              <w:t>декабрь</w:t>
            </w:r>
          </w:p>
        </w:tc>
        <w:tc>
          <w:tcPr>
            <w:tcW w:w="1350" w:type="dxa"/>
            <w:tcBorders>
              <w:top w:val="nil"/>
              <w:left w:val="nil"/>
              <w:bottom w:val="single" w:sz="4" w:space="0" w:color="auto"/>
              <w:right w:val="single" w:sz="4" w:space="0" w:color="auto"/>
            </w:tcBorders>
            <w:shd w:val="clear" w:color="auto" w:fill="auto"/>
            <w:noWrap/>
            <w:vAlign w:val="bottom"/>
            <w:hideMark/>
          </w:tcPr>
          <w:p w14:paraId="1FEE2F88"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24255.0</w:t>
            </w:r>
          </w:p>
        </w:tc>
        <w:tc>
          <w:tcPr>
            <w:tcW w:w="1530" w:type="dxa"/>
            <w:tcBorders>
              <w:top w:val="nil"/>
              <w:left w:val="nil"/>
              <w:bottom w:val="single" w:sz="4" w:space="0" w:color="auto"/>
              <w:right w:val="single" w:sz="4" w:space="0" w:color="auto"/>
            </w:tcBorders>
            <w:shd w:val="clear" w:color="auto" w:fill="auto"/>
            <w:noWrap/>
            <w:vAlign w:val="bottom"/>
            <w:hideMark/>
          </w:tcPr>
          <w:p w14:paraId="0FA238E5"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44467.5</w:t>
            </w:r>
          </w:p>
        </w:tc>
      </w:tr>
      <w:tr w:rsidR="00DC25E0" w:rsidRPr="00B7675F" w14:paraId="30B918ED"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47A59C80"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6</w:t>
            </w:r>
          </w:p>
        </w:tc>
        <w:tc>
          <w:tcPr>
            <w:tcW w:w="1420" w:type="dxa"/>
            <w:tcBorders>
              <w:top w:val="nil"/>
              <w:left w:val="nil"/>
              <w:bottom w:val="single" w:sz="4" w:space="0" w:color="auto"/>
              <w:right w:val="single" w:sz="4" w:space="0" w:color="auto"/>
            </w:tcBorders>
            <w:shd w:val="clear" w:color="auto" w:fill="auto"/>
            <w:vAlign w:val="bottom"/>
            <w:hideMark/>
          </w:tcPr>
          <w:p w14:paraId="3771B10B" w14:textId="45D1D34A" w:rsidR="00DC25E0" w:rsidRPr="00736448" w:rsidRDefault="0040684B" w:rsidP="00911B93">
            <w:pPr>
              <w:spacing w:after="0" w:line="240" w:lineRule="auto"/>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АК №</w:t>
            </w:r>
            <w:r w:rsidR="00DC25E0" w:rsidRPr="00736448">
              <w:rPr>
                <w:rFonts w:asciiTheme="majorHAnsi" w:eastAsia="Times New Roman" w:hAnsiTheme="majorHAnsi" w:cs="Times New Roman"/>
                <w:color w:val="000000"/>
                <w:sz w:val="20"/>
                <w:szCs w:val="20"/>
                <w:lang w:val="ro-MD"/>
              </w:rPr>
              <w:t xml:space="preserve"> 6</w:t>
            </w:r>
          </w:p>
        </w:tc>
        <w:tc>
          <w:tcPr>
            <w:tcW w:w="1273" w:type="dxa"/>
            <w:tcBorders>
              <w:top w:val="nil"/>
              <w:left w:val="nil"/>
              <w:bottom w:val="single" w:sz="4" w:space="0" w:color="auto"/>
              <w:right w:val="single" w:sz="4" w:space="0" w:color="auto"/>
            </w:tcBorders>
            <w:shd w:val="clear" w:color="auto" w:fill="auto"/>
            <w:vAlign w:val="bottom"/>
            <w:hideMark/>
          </w:tcPr>
          <w:p w14:paraId="1FA1C4F8"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3/25/2021</w:t>
            </w:r>
          </w:p>
        </w:tc>
        <w:tc>
          <w:tcPr>
            <w:tcW w:w="1682" w:type="dxa"/>
            <w:tcBorders>
              <w:top w:val="nil"/>
              <w:left w:val="nil"/>
              <w:bottom w:val="single" w:sz="4" w:space="0" w:color="auto"/>
              <w:right w:val="single" w:sz="4" w:space="0" w:color="auto"/>
            </w:tcBorders>
            <w:shd w:val="clear" w:color="auto" w:fill="auto"/>
            <w:vAlign w:val="bottom"/>
            <w:hideMark/>
          </w:tcPr>
          <w:p w14:paraId="1C0E2CFF" w14:textId="48387430" w:rsidR="00DC25E0" w:rsidRPr="00736448" w:rsidRDefault="0040684B" w:rsidP="00911B93">
            <w:pPr>
              <w:spacing w:after="0" w:line="240" w:lineRule="auto"/>
              <w:jc w:val="center"/>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март-декабрь</w:t>
            </w:r>
          </w:p>
        </w:tc>
        <w:tc>
          <w:tcPr>
            <w:tcW w:w="1108" w:type="dxa"/>
            <w:tcBorders>
              <w:top w:val="nil"/>
              <w:left w:val="nil"/>
              <w:bottom w:val="single" w:sz="4" w:space="0" w:color="auto"/>
              <w:right w:val="single" w:sz="4" w:space="0" w:color="auto"/>
            </w:tcBorders>
            <w:shd w:val="clear" w:color="auto" w:fill="auto"/>
            <w:noWrap/>
            <w:vAlign w:val="bottom"/>
            <w:hideMark/>
          </w:tcPr>
          <w:p w14:paraId="66E0F060"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18191.25</w:t>
            </w:r>
          </w:p>
        </w:tc>
        <w:tc>
          <w:tcPr>
            <w:tcW w:w="1800" w:type="dxa"/>
            <w:tcBorders>
              <w:top w:val="nil"/>
              <w:left w:val="nil"/>
              <w:bottom w:val="single" w:sz="4" w:space="0" w:color="auto"/>
              <w:right w:val="single" w:sz="4" w:space="0" w:color="auto"/>
            </w:tcBorders>
            <w:shd w:val="clear" w:color="auto" w:fill="auto"/>
            <w:noWrap/>
            <w:vAlign w:val="bottom"/>
            <w:hideMark/>
          </w:tcPr>
          <w:p w14:paraId="5E72867D" w14:textId="3AFD66A3" w:rsidR="00DC25E0" w:rsidRPr="00736448" w:rsidRDefault="003968C1" w:rsidP="00911B93">
            <w:pPr>
              <w:spacing w:after="0" w:line="240" w:lineRule="auto"/>
              <w:jc w:val="center"/>
              <w:rPr>
                <w:rFonts w:asciiTheme="majorHAnsi" w:eastAsia="Times New Roman" w:hAnsiTheme="majorHAnsi" w:cs="Calibri"/>
                <w:color w:val="000000"/>
                <w:sz w:val="20"/>
                <w:szCs w:val="20"/>
                <w:lang w:val="ro-MD"/>
              </w:rPr>
            </w:pPr>
            <w:r>
              <w:rPr>
                <w:rFonts w:asciiTheme="majorHAnsi" w:eastAsia="Times New Roman" w:hAnsiTheme="majorHAnsi" w:cs="Calibri"/>
                <w:color w:val="000000"/>
                <w:sz w:val="20"/>
                <w:szCs w:val="20"/>
                <w:lang w:val="ro-MD"/>
              </w:rPr>
              <w:t>январь</w:t>
            </w:r>
            <w:r w:rsidR="00DC25E0" w:rsidRPr="00736448">
              <w:rPr>
                <w:rFonts w:asciiTheme="majorHAnsi" w:eastAsia="Times New Roman" w:hAnsiTheme="majorHAnsi" w:cs="Calibri"/>
                <w:color w:val="000000"/>
                <w:sz w:val="20"/>
                <w:szCs w:val="20"/>
                <w:lang w:val="ro-MD"/>
              </w:rPr>
              <w:t>-</w:t>
            </w:r>
            <w:r>
              <w:rPr>
                <w:rFonts w:asciiTheme="majorHAnsi" w:eastAsia="Times New Roman" w:hAnsiTheme="majorHAnsi" w:cs="Calibri"/>
                <w:color w:val="000000"/>
                <w:sz w:val="20"/>
                <w:szCs w:val="20"/>
                <w:lang w:val="ro-MD"/>
              </w:rPr>
              <w:t>октябрь</w:t>
            </w:r>
          </w:p>
        </w:tc>
        <w:tc>
          <w:tcPr>
            <w:tcW w:w="1350" w:type="dxa"/>
            <w:tcBorders>
              <w:top w:val="nil"/>
              <w:left w:val="nil"/>
              <w:bottom w:val="single" w:sz="4" w:space="0" w:color="auto"/>
              <w:right w:val="single" w:sz="4" w:space="0" w:color="auto"/>
            </w:tcBorders>
            <w:shd w:val="clear" w:color="auto" w:fill="auto"/>
            <w:noWrap/>
            <w:vAlign w:val="bottom"/>
            <w:hideMark/>
          </w:tcPr>
          <w:p w14:paraId="6A9E4DA9"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20212.5</w:t>
            </w:r>
          </w:p>
        </w:tc>
        <w:tc>
          <w:tcPr>
            <w:tcW w:w="1530" w:type="dxa"/>
            <w:tcBorders>
              <w:top w:val="nil"/>
              <w:left w:val="nil"/>
              <w:bottom w:val="single" w:sz="4" w:space="0" w:color="auto"/>
              <w:right w:val="single" w:sz="4" w:space="0" w:color="auto"/>
            </w:tcBorders>
            <w:shd w:val="clear" w:color="auto" w:fill="auto"/>
            <w:noWrap/>
            <w:vAlign w:val="bottom"/>
            <w:hideMark/>
          </w:tcPr>
          <w:p w14:paraId="56164DF2"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38403.8</w:t>
            </w:r>
          </w:p>
        </w:tc>
      </w:tr>
      <w:tr w:rsidR="00DC25E0" w:rsidRPr="00B7675F" w14:paraId="3A58759C"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47FE1809"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7</w:t>
            </w:r>
          </w:p>
        </w:tc>
        <w:tc>
          <w:tcPr>
            <w:tcW w:w="1420" w:type="dxa"/>
            <w:tcBorders>
              <w:top w:val="nil"/>
              <w:left w:val="nil"/>
              <w:bottom w:val="single" w:sz="4" w:space="0" w:color="auto"/>
              <w:right w:val="single" w:sz="4" w:space="0" w:color="auto"/>
            </w:tcBorders>
            <w:shd w:val="clear" w:color="auto" w:fill="auto"/>
            <w:vAlign w:val="bottom"/>
            <w:hideMark/>
          </w:tcPr>
          <w:p w14:paraId="79ECE63C" w14:textId="7B033EAF" w:rsidR="00DC25E0" w:rsidRPr="00736448" w:rsidRDefault="0040684B" w:rsidP="00911B93">
            <w:pPr>
              <w:spacing w:after="0" w:line="240" w:lineRule="auto"/>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АК №</w:t>
            </w:r>
            <w:r w:rsidR="00DC25E0" w:rsidRPr="00736448">
              <w:rPr>
                <w:rFonts w:asciiTheme="majorHAnsi" w:eastAsia="Times New Roman" w:hAnsiTheme="majorHAnsi" w:cs="Times New Roman"/>
                <w:color w:val="000000"/>
                <w:sz w:val="20"/>
                <w:szCs w:val="20"/>
                <w:lang w:val="ro-MD"/>
              </w:rPr>
              <w:t xml:space="preserve"> 7</w:t>
            </w:r>
          </w:p>
        </w:tc>
        <w:tc>
          <w:tcPr>
            <w:tcW w:w="1273" w:type="dxa"/>
            <w:tcBorders>
              <w:top w:val="nil"/>
              <w:left w:val="nil"/>
              <w:bottom w:val="single" w:sz="4" w:space="0" w:color="auto"/>
              <w:right w:val="single" w:sz="4" w:space="0" w:color="auto"/>
            </w:tcBorders>
            <w:shd w:val="clear" w:color="auto" w:fill="auto"/>
            <w:vAlign w:val="bottom"/>
            <w:hideMark/>
          </w:tcPr>
          <w:p w14:paraId="10498B41"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4/6/2021</w:t>
            </w:r>
          </w:p>
        </w:tc>
        <w:tc>
          <w:tcPr>
            <w:tcW w:w="1682" w:type="dxa"/>
            <w:tcBorders>
              <w:top w:val="nil"/>
              <w:left w:val="nil"/>
              <w:bottom w:val="single" w:sz="4" w:space="0" w:color="auto"/>
              <w:right w:val="single" w:sz="4" w:space="0" w:color="auto"/>
            </w:tcBorders>
            <w:shd w:val="clear" w:color="auto" w:fill="auto"/>
            <w:vAlign w:val="bottom"/>
            <w:hideMark/>
          </w:tcPr>
          <w:p w14:paraId="706FEF0A"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x</w:t>
            </w:r>
          </w:p>
        </w:tc>
        <w:tc>
          <w:tcPr>
            <w:tcW w:w="1108" w:type="dxa"/>
            <w:tcBorders>
              <w:top w:val="nil"/>
              <w:left w:val="nil"/>
              <w:bottom w:val="single" w:sz="4" w:space="0" w:color="auto"/>
              <w:right w:val="single" w:sz="4" w:space="0" w:color="auto"/>
            </w:tcBorders>
            <w:shd w:val="clear" w:color="auto" w:fill="auto"/>
            <w:noWrap/>
            <w:vAlign w:val="bottom"/>
            <w:hideMark/>
          </w:tcPr>
          <w:p w14:paraId="113235D7"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800" w:type="dxa"/>
            <w:tcBorders>
              <w:top w:val="nil"/>
              <w:left w:val="nil"/>
              <w:bottom w:val="single" w:sz="4" w:space="0" w:color="auto"/>
              <w:right w:val="single" w:sz="4" w:space="0" w:color="auto"/>
            </w:tcBorders>
            <w:shd w:val="clear" w:color="auto" w:fill="auto"/>
            <w:noWrap/>
            <w:vAlign w:val="bottom"/>
            <w:hideMark/>
          </w:tcPr>
          <w:p w14:paraId="4E483F76" w14:textId="0DEC8A7A" w:rsidR="00DC25E0" w:rsidRPr="00736448" w:rsidRDefault="003968C1" w:rsidP="00911B93">
            <w:pPr>
              <w:spacing w:after="0" w:line="240" w:lineRule="auto"/>
              <w:jc w:val="center"/>
              <w:rPr>
                <w:rFonts w:asciiTheme="majorHAnsi" w:eastAsia="Times New Roman" w:hAnsiTheme="majorHAnsi" w:cs="Calibri"/>
                <w:color w:val="000000"/>
                <w:sz w:val="20"/>
                <w:szCs w:val="20"/>
                <w:lang w:val="ro-MD"/>
              </w:rPr>
            </w:pPr>
            <w:r>
              <w:rPr>
                <w:rFonts w:asciiTheme="majorHAnsi" w:eastAsia="Times New Roman" w:hAnsiTheme="majorHAnsi" w:cs="Calibri"/>
                <w:color w:val="000000"/>
                <w:sz w:val="20"/>
                <w:szCs w:val="20"/>
                <w:lang w:val="ru-RU"/>
              </w:rPr>
              <w:t>июнь</w:t>
            </w:r>
            <w:r w:rsidR="00DC25E0" w:rsidRPr="00736448">
              <w:rPr>
                <w:rFonts w:asciiTheme="majorHAnsi" w:eastAsia="Times New Roman" w:hAnsiTheme="majorHAnsi" w:cs="Calibri"/>
                <w:color w:val="000000"/>
                <w:sz w:val="20"/>
                <w:szCs w:val="20"/>
                <w:lang w:val="ro-MD"/>
              </w:rPr>
              <w:t>-</w:t>
            </w:r>
            <w:r>
              <w:rPr>
                <w:rFonts w:asciiTheme="majorHAnsi" w:eastAsia="Times New Roman" w:hAnsiTheme="majorHAnsi" w:cs="Calibri"/>
                <w:color w:val="000000"/>
                <w:sz w:val="20"/>
                <w:szCs w:val="20"/>
                <w:lang w:val="ro-MD"/>
              </w:rPr>
              <w:t>декабрь</w:t>
            </w:r>
          </w:p>
        </w:tc>
        <w:tc>
          <w:tcPr>
            <w:tcW w:w="1350" w:type="dxa"/>
            <w:tcBorders>
              <w:top w:val="nil"/>
              <w:left w:val="nil"/>
              <w:bottom w:val="single" w:sz="4" w:space="0" w:color="auto"/>
              <w:right w:val="single" w:sz="4" w:space="0" w:color="auto"/>
            </w:tcBorders>
            <w:shd w:val="clear" w:color="auto" w:fill="auto"/>
            <w:noWrap/>
            <w:vAlign w:val="bottom"/>
            <w:hideMark/>
          </w:tcPr>
          <w:p w14:paraId="44B78136"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14148.75</w:t>
            </w:r>
          </w:p>
        </w:tc>
        <w:tc>
          <w:tcPr>
            <w:tcW w:w="1530" w:type="dxa"/>
            <w:tcBorders>
              <w:top w:val="nil"/>
              <w:left w:val="nil"/>
              <w:bottom w:val="single" w:sz="4" w:space="0" w:color="auto"/>
              <w:right w:val="single" w:sz="4" w:space="0" w:color="auto"/>
            </w:tcBorders>
            <w:shd w:val="clear" w:color="auto" w:fill="auto"/>
            <w:noWrap/>
            <w:vAlign w:val="bottom"/>
            <w:hideMark/>
          </w:tcPr>
          <w:p w14:paraId="4EE4CB4F"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14148.75</w:t>
            </w:r>
          </w:p>
        </w:tc>
      </w:tr>
      <w:tr w:rsidR="00DC25E0" w:rsidRPr="00B7675F" w14:paraId="0B748605"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EA4A854"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8</w:t>
            </w:r>
          </w:p>
        </w:tc>
        <w:tc>
          <w:tcPr>
            <w:tcW w:w="1420" w:type="dxa"/>
            <w:tcBorders>
              <w:top w:val="nil"/>
              <w:left w:val="nil"/>
              <w:bottom w:val="single" w:sz="4" w:space="0" w:color="auto"/>
              <w:right w:val="single" w:sz="4" w:space="0" w:color="auto"/>
            </w:tcBorders>
            <w:shd w:val="clear" w:color="auto" w:fill="auto"/>
            <w:vAlign w:val="bottom"/>
            <w:hideMark/>
          </w:tcPr>
          <w:p w14:paraId="3DDA835F" w14:textId="2D40F5D5" w:rsidR="00DC25E0" w:rsidRPr="00736448" w:rsidRDefault="0040684B" w:rsidP="00911B93">
            <w:pPr>
              <w:spacing w:after="0" w:line="240" w:lineRule="auto"/>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АК №</w:t>
            </w:r>
            <w:r w:rsidR="00DC25E0" w:rsidRPr="00736448">
              <w:rPr>
                <w:rFonts w:asciiTheme="majorHAnsi" w:eastAsia="Times New Roman" w:hAnsiTheme="majorHAnsi" w:cs="Times New Roman"/>
                <w:color w:val="000000"/>
                <w:sz w:val="20"/>
                <w:szCs w:val="20"/>
                <w:lang w:val="ro-MD"/>
              </w:rPr>
              <w:t xml:space="preserve"> 8</w:t>
            </w:r>
          </w:p>
        </w:tc>
        <w:tc>
          <w:tcPr>
            <w:tcW w:w="1273" w:type="dxa"/>
            <w:tcBorders>
              <w:top w:val="nil"/>
              <w:left w:val="nil"/>
              <w:bottom w:val="single" w:sz="4" w:space="0" w:color="auto"/>
              <w:right w:val="single" w:sz="4" w:space="0" w:color="auto"/>
            </w:tcBorders>
            <w:shd w:val="clear" w:color="auto" w:fill="auto"/>
            <w:vAlign w:val="bottom"/>
            <w:hideMark/>
          </w:tcPr>
          <w:p w14:paraId="02EE99E0"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4/16/2021</w:t>
            </w:r>
          </w:p>
        </w:tc>
        <w:tc>
          <w:tcPr>
            <w:tcW w:w="1682" w:type="dxa"/>
            <w:tcBorders>
              <w:top w:val="nil"/>
              <w:left w:val="nil"/>
              <w:bottom w:val="single" w:sz="4" w:space="0" w:color="auto"/>
              <w:right w:val="single" w:sz="4" w:space="0" w:color="auto"/>
            </w:tcBorders>
            <w:shd w:val="clear" w:color="auto" w:fill="auto"/>
            <w:vAlign w:val="bottom"/>
            <w:hideMark/>
          </w:tcPr>
          <w:p w14:paraId="1691C8FF" w14:textId="5CF6AD53" w:rsidR="00DC25E0" w:rsidRPr="00736448" w:rsidRDefault="003968C1" w:rsidP="00911B93">
            <w:pPr>
              <w:spacing w:after="0" w:line="240" w:lineRule="auto"/>
              <w:jc w:val="center"/>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апрель-декабрь</w:t>
            </w:r>
          </w:p>
        </w:tc>
        <w:tc>
          <w:tcPr>
            <w:tcW w:w="1108" w:type="dxa"/>
            <w:tcBorders>
              <w:top w:val="nil"/>
              <w:left w:val="nil"/>
              <w:bottom w:val="single" w:sz="4" w:space="0" w:color="auto"/>
              <w:right w:val="single" w:sz="4" w:space="0" w:color="auto"/>
            </w:tcBorders>
            <w:shd w:val="clear" w:color="auto" w:fill="auto"/>
            <w:noWrap/>
            <w:vAlign w:val="bottom"/>
            <w:hideMark/>
          </w:tcPr>
          <w:p w14:paraId="71D88EF7"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17113.25</w:t>
            </w:r>
          </w:p>
        </w:tc>
        <w:tc>
          <w:tcPr>
            <w:tcW w:w="1800" w:type="dxa"/>
            <w:tcBorders>
              <w:top w:val="nil"/>
              <w:left w:val="nil"/>
              <w:bottom w:val="single" w:sz="4" w:space="0" w:color="auto"/>
              <w:right w:val="single" w:sz="4" w:space="0" w:color="auto"/>
            </w:tcBorders>
            <w:shd w:val="clear" w:color="auto" w:fill="auto"/>
            <w:noWrap/>
            <w:vAlign w:val="bottom"/>
            <w:hideMark/>
          </w:tcPr>
          <w:p w14:paraId="1BF190A5" w14:textId="0BE8695D" w:rsidR="00DC25E0" w:rsidRPr="003968C1" w:rsidRDefault="003968C1" w:rsidP="003968C1">
            <w:pPr>
              <w:spacing w:after="0" w:line="240" w:lineRule="auto"/>
              <w:jc w:val="center"/>
              <w:rPr>
                <w:rFonts w:asciiTheme="majorHAnsi" w:eastAsia="Times New Roman" w:hAnsiTheme="majorHAnsi" w:cs="Calibri"/>
                <w:color w:val="000000"/>
                <w:sz w:val="20"/>
                <w:szCs w:val="20"/>
                <w:lang w:val="ru-RU"/>
              </w:rPr>
            </w:pPr>
            <w:r>
              <w:rPr>
                <w:rFonts w:asciiTheme="majorHAnsi" w:eastAsia="Times New Roman" w:hAnsiTheme="majorHAnsi" w:cs="Calibri"/>
                <w:color w:val="000000"/>
                <w:sz w:val="20"/>
                <w:szCs w:val="20"/>
                <w:lang w:val="ro-MD"/>
              </w:rPr>
              <w:t>январь</w:t>
            </w:r>
            <w:r w:rsidR="00DC25E0" w:rsidRPr="00736448">
              <w:rPr>
                <w:rFonts w:asciiTheme="majorHAnsi" w:eastAsia="Times New Roman" w:hAnsiTheme="majorHAnsi" w:cs="Calibri"/>
                <w:color w:val="000000"/>
                <w:sz w:val="20"/>
                <w:szCs w:val="20"/>
                <w:lang w:val="ro-MD"/>
              </w:rPr>
              <w:t>-</w:t>
            </w:r>
            <w:r>
              <w:rPr>
                <w:rFonts w:asciiTheme="majorHAnsi" w:eastAsia="Times New Roman" w:hAnsiTheme="majorHAnsi" w:cs="Calibri"/>
                <w:color w:val="000000"/>
                <w:sz w:val="20"/>
                <w:szCs w:val="20"/>
                <w:lang w:val="ru-RU"/>
              </w:rPr>
              <w:t>март</w:t>
            </w:r>
          </w:p>
        </w:tc>
        <w:tc>
          <w:tcPr>
            <w:tcW w:w="1350" w:type="dxa"/>
            <w:tcBorders>
              <w:top w:val="nil"/>
              <w:left w:val="nil"/>
              <w:bottom w:val="single" w:sz="4" w:space="0" w:color="auto"/>
              <w:right w:val="single" w:sz="4" w:space="0" w:color="auto"/>
            </w:tcBorders>
            <w:shd w:val="clear" w:color="auto" w:fill="auto"/>
            <w:noWrap/>
            <w:vAlign w:val="bottom"/>
            <w:hideMark/>
          </w:tcPr>
          <w:p w14:paraId="1D46C79C"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6063.8</w:t>
            </w:r>
          </w:p>
        </w:tc>
        <w:tc>
          <w:tcPr>
            <w:tcW w:w="1530" w:type="dxa"/>
            <w:tcBorders>
              <w:top w:val="nil"/>
              <w:left w:val="nil"/>
              <w:bottom w:val="single" w:sz="4" w:space="0" w:color="auto"/>
              <w:right w:val="single" w:sz="4" w:space="0" w:color="auto"/>
            </w:tcBorders>
            <w:shd w:val="clear" w:color="auto" w:fill="auto"/>
            <w:noWrap/>
            <w:vAlign w:val="bottom"/>
            <w:hideMark/>
          </w:tcPr>
          <w:p w14:paraId="3F6471F4"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23177.0</w:t>
            </w:r>
          </w:p>
        </w:tc>
      </w:tr>
      <w:tr w:rsidR="00DC25E0" w:rsidRPr="00B7675F" w14:paraId="4BD42DC7"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0462245"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9</w:t>
            </w:r>
          </w:p>
        </w:tc>
        <w:tc>
          <w:tcPr>
            <w:tcW w:w="1420" w:type="dxa"/>
            <w:tcBorders>
              <w:top w:val="nil"/>
              <w:left w:val="nil"/>
              <w:bottom w:val="single" w:sz="4" w:space="0" w:color="auto"/>
              <w:right w:val="single" w:sz="4" w:space="0" w:color="auto"/>
            </w:tcBorders>
            <w:shd w:val="clear" w:color="auto" w:fill="auto"/>
            <w:vAlign w:val="bottom"/>
            <w:hideMark/>
          </w:tcPr>
          <w:p w14:paraId="6D9D6A3C" w14:textId="01ED7B2F" w:rsidR="00DC25E0" w:rsidRPr="00736448" w:rsidRDefault="0040684B" w:rsidP="00911B93">
            <w:pPr>
              <w:spacing w:after="0" w:line="240" w:lineRule="auto"/>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АК №</w:t>
            </w:r>
            <w:r w:rsidR="00DC25E0" w:rsidRPr="00736448">
              <w:rPr>
                <w:rFonts w:asciiTheme="majorHAnsi" w:eastAsia="Times New Roman" w:hAnsiTheme="majorHAnsi" w:cs="Times New Roman"/>
                <w:color w:val="000000"/>
                <w:sz w:val="20"/>
                <w:szCs w:val="20"/>
                <w:lang w:val="ro-MD"/>
              </w:rPr>
              <w:t xml:space="preserve"> 9</w:t>
            </w:r>
          </w:p>
        </w:tc>
        <w:tc>
          <w:tcPr>
            <w:tcW w:w="1273" w:type="dxa"/>
            <w:tcBorders>
              <w:top w:val="nil"/>
              <w:left w:val="nil"/>
              <w:bottom w:val="single" w:sz="4" w:space="0" w:color="auto"/>
              <w:right w:val="single" w:sz="4" w:space="0" w:color="auto"/>
            </w:tcBorders>
            <w:shd w:val="clear" w:color="auto" w:fill="auto"/>
            <w:vAlign w:val="bottom"/>
            <w:hideMark/>
          </w:tcPr>
          <w:p w14:paraId="4B017057"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4/26/2021</w:t>
            </w:r>
          </w:p>
        </w:tc>
        <w:tc>
          <w:tcPr>
            <w:tcW w:w="1682" w:type="dxa"/>
            <w:tcBorders>
              <w:top w:val="nil"/>
              <w:left w:val="nil"/>
              <w:bottom w:val="single" w:sz="4" w:space="0" w:color="auto"/>
              <w:right w:val="single" w:sz="4" w:space="0" w:color="auto"/>
            </w:tcBorders>
            <w:shd w:val="clear" w:color="auto" w:fill="auto"/>
            <w:vAlign w:val="bottom"/>
            <w:hideMark/>
          </w:tcPr>
          <w:p w14:paraId="113F8CDB" w14:textId="1B8B1E34" w:rsidR="00DC25E0" w:rsidRPr="00736448" w:rsidRDefault="003968C1" w:rsidP="00911B93">
            <w:pPr>
              <w:spacing w:after="0" w:line="240" w:lineRule="auto"/>
              <w:jc w:val="center"/>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май-август</w:t>
            </w:r>
          </w:p>
        </w:tc>
        <w:tc>
          <w:tcPr>
            <w:tcW w:w="1108" w:type="dxa"/>
            <w:tcBorders>
              <w:top w:val="nil"/>
              <w:left w:val="nil"/>
              <w:bottom w:val="single" w:sz="4" w:space="0" w:color="auto"/>
              <w:right w:val="single" w:sz="4" w:space="0" w:color="auto"/>
            </w:tcBorders>
            <w:shd w:val="clear" w:color="auto" w:fill="auto"/>
            <w:noWrap/>
            <w:vAlign w:val="bottom"/>
            <w:hideMark/>
          </w:tcPr>
          <w:p w14:paraId="4E0B5977"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8085.0</w:t>
            </w:r>
          </w:p>
        </w:tc>
        <w:tc>
          <w:tcPr>
            <w:tcW w:w="1800" w:type="dxa"/>
            <w:tcBorders>
              <w:top w:val="nil"/>
              <w:left w:val="nil"/>
              <w:bottom w:val="single" w:sz="4" w:space="0" w:color="auto"/>
              <w:right w:val="single" w:sz="4" w:space="0" w:color="auto"/>
            </w:tcBorders>
            <w:shd w:val="clear" w:color="auto" w:fill="auto"/>
            <w:noWrap/>
            <w:vAlign w:val="bottom"/>
            <w:hideMark/>
          </w:tcPr>
          <w:p w14:paraId="24741501"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350" w:type="dxa"/>
            <w:tcBorders>
              <w:top w:val="nil"/>
              <w:left w:val="nil"/>
              <w:bottom w:val="single" w:sz="4" w:space="0" w:color="auto"/>
              <w:right w:val="single" w:sz="4" w:space="0" w:color="auto"/>
            </w:tcBorders>
            <w:shd w:val="clear" w:color="auto" w:fill="auto"/>
            <w:noWrap/>
            <w:vAlign w:val="bottom"/>
            <w:hideMark/>
          </w:tcPr>
          <w:p w14:paraId="14569AFC"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530" w:type="dxa"/>
            <w:tcBorders>
              <w:top w:val="nil"/>
              <w:left w:val="nil"/>
              <w:bottom w:val="single" w:sz="4" w:space="0" w:color="auto"/>
              <w:right w:val="single" w:sz="4" w:space="0" w:color="auto"/>
            </w:tcBorders>
            <w:shd w:val="clear" w:color="auto" w:fill="auto"/>
            <w:noWrap/>
            <w:vAlign w:val="bottom"/>
            <w:hideMark/>
          </w:tcPr>
          <w:p w14:paraId="5984844C"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8085.0</w:t>
            </w:r>
          </w:p>
        </w:tc>
      </w:tr>
      <w:tr w:rsidR="00DC25E0" w:rsidRPr="00B7675F" w14:paraId="26359E89"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25ED00CA"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10</w:t>
            </w:r>
          </w:p>
        </w:tc>
        <w:tc>
          <w:tcPr>
            <w:tcW w:w="1420" w:type="dxa"/>
            <w:tcBorders>
              <w:top w:val="nil"/>
              <w:left w:val="nil"/>
              <w:bottom w:val="single" w:sz="4" w:space="0" w:color="auto"/>
              <w:right w:val="single" w:sz="4" w:space="0" w:color="auto"/>
            </w:tcBorders>
            <w:shd w:val="clear" w:color="auto" w:fill="auto"/>
            <w:vAlign w:val="bottom"/>
            <w:hideMark/>
          </w:tcPr>
          <w:p w14:paraId="10440287" w14:textId="1D702F7F" w:rsidR="00DC25E0" w:rsidRPr="00736448" w:rsidRDefault="0040684B" w:rsidP="00911B93">
            <w:pPr>
              <w:spacing w:after="0" w:line="240" w:lineRule="auto"/>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АК №</w:t>
            </w:r>
            <w:r w:rsidR="00DC25E0" w:rsidRPr="00736448">
              <w:rPr>
                <w:rFonts w:asciiTheme="majorHAnsi" w:eastAsia="Times New Roman" w:hAnsiTheme="majorHAnsi" w:cs="Times New Roman"/>
                <w:color w:val="000000"/>
                <w:sz w:val="20"/>
                <w:szCs w:val="20"/>
                <w:lang w:val="ro-MD"/>
              </w:rPr>
              <w:t xml:space="preserve"> 10</w:t>
            </w:r>
          </w:p>
        </w:tc>
        <w:tc>
          <w:tcPr>
            <w:tcW w:w="1273" w:type="dxa"/>
            <w:tcBorders>
              <w:top w:val="nil"/>
              <w:left w:val="nil"/>
              <w:bottom w:val="single" w:sz="4" w:space="0" w:color="auto"/>
              <w:right w:val="single" w:sz="4" w:space="0" w:color="auto"/>
            </w:tcBorders>
            <w:shd w:val="clear" w:color="auto" w:fill="auto"/>
            <w:vAlign w:val="bottom"/>
            <w:hideMark/>
          </w:tcPr>
          <w:p w14:paraId="1C21B0EA"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5/17/2021</w:t>
            </w:r>
          </w:p>
        </w:tc>
        <w:tc>
          <w:tcPr>
            <w:tcW w:w="1682" w:type="dxa"/>
            <w:tcBorders>
              <w:top w:val="nil"/>
              <w:left w:val="nil"/>
              <w:bottom w:val="single" w:sz="4" w:space="0" w:color="auto"/>
              <w:right w:val="single" w:sz="4" w:space="0" w:color="auto"/>
            </w:tcBorders>
            <w:shd w:val="clear" w:color="auto" w:fill="auto"/>
            <w:vAlign w:val="bottom"/>
            <w:hideMark/>
          </w:tcPr>
          <w:p w14:paraId="538CB981"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x</w:t>
            </w:r>
          </w:p>
        </w:tc>
        <w:tc>
          <w:tcPr>
            <w:tcW w:w="1108" w:type="dxa"/>
            <w:tcBorders>
              <w:top w:val="nil"/>
              <w:left w:val="nil"/>
              <w:bottom w:val="single" w:sz="4" w:space="0" w:color="auto"/>
              <w:right w:val="single" w:sz="4" w:space="0" w:color="auto"/>
            </w:tcBorders>
            <w:shd w:val="clear" w:color="auto" w:fill="auto"/>
            <w:noWrap/>
            <w:vAlign w:val="bottom"/>
            <w:hideMark/>
          </w:tcPr>
          <w:p w14:paraId="58B5620D"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800" w:type="dxa"/>
            <w:tcBorders>
              <w:top w:val="nil"/>
              <w:left w:val="nil"/>
              <w:bottom w:val="single" w:sz="4" w:space="0" w:color="auto"/>
              <w:right w:val="single" w:sz="4" w:space="0" w:color="auto"/>
            </w:tcBorders>
            <w:shd w:val="clear" w:color="auto" w:fill="auto"/>
            <w:vAlign w:val="bottom"/>
            <w:hideMark/>
          </w:tcPr>
          <w:p w14:paraId="417F84E8" w14:textId="54B031B5" w:rsidR="00DC25E0" w:rsidRPr="00736448" w:rsidRDefault="003968C1" w:rsidP="003968C1">
            <w:pPr>
              <w:spacing w:after="0" w:line="240" w:lineRule="auto"/>
              <w:jc w:val="center"/>
              <w:rPr>
                <w:rFonts w:asciiTheme="majorHAnsi" w:eastAsia="Times New Roman" w:hAnsiTheme="majorHAnsi" w:cs="Calibri"/>
                <w:color w:val="000000"/>
                <w:sz w:val="20"/>
                <w:szCs w:val="20"/>
                <w:lang w:val="ro-MD"/>
              </w:rPr>
            </w:pPr>
            <w:r>
              <w:rPr>
                <w:rFonts w:asciiTheme="majorHAnsi" w:eastAsia="Times New Roman" w:hAnsiTheme="majorHAnsi" w:cs="Calibri"/>
                <w:color w:val="000000"/>
                <w:sz w:val="20"/>
                <w:szCs w:val="20"/>
                <w:lang w:val="ro-MD"/>
              </w:rPr>
              <w:t>январь</w:t>
            </w:r>
            <w:r w:rsidR="00DC25E0" w:rsidRPr="00736448">
              <w:rPr>
                <w:rFonts w:asciiTheme="majorHAnsi" w:eastAsia="Times New Roman" w:hAnsiTheme="majorHAnsi" w:cs="Calibri"/>
                <w:color w:val="000000"/>
                <w:sz w:val="20"/>
                <w:szCs w:val="20"/>
                <w:lang w:val="ro-MD"/>
              </w:rPr>
              <w:t xml:space="preserve">, </w:t>
            </w:r>
            <w:r>
              <w:rPr>
                <w:rFonts w:asciiTheme="majorHAnsi" w:eastAsia="Times New Roman" w:hAnsiTheme="majorHAnsi" w:cs="Calibri"/>
                <w:color w:val="000000"/>
                <w:sz w:val="20"/>
                <w:szCs w:val="20"/>
                <w:lang w:val="ru-RU"/>
              </w:rPr>
              <w:t>февраль</w:t>
            </w:r>
            <w:r w:rsidR="00DC25E0" w:rsidRPr="00736448">
              <w:rPr>
                <w:rFonts w:asciiTheme="majorHAnsi" w:eastAsia="Times New Roman" w:hAnsiTheme="majorHAnsi" w:cs="Calibri"/>
                <w:color w:val="000000"/>
                <w:sz w:val="20"/>
                <w:szCs w:val="20"/>
                <w:lang w:val="ro-MD"/>
              </w:rPr>
              <w:t xml:space="preserve">, </w:t>
            </w:r>
            <w:r>
              <w:rPr>
                <w:rFonts w:asciiTheme="majorHAnsi" w:eastAsia="Times New Roman" w:hAnsiTheme="majorHAnsi" w:cs="Calibri"/>
                <w:color w:val="000000"/>
                <w:sz w:val="20"/>
                <w:szCs w:val="20"/>
                <w:lang w:val="ru-RU"/>
              </w:rPr>
              <w:t>март</w:t>
            </w:r>
            <w:r w:rsidR="00DC25E0" w:rsidRPr="00736448">
              <w:rPr>
                <w:rFonts w:asciiTheme="majorHAnsi" w:eastAsia="Times New Roman" w:hAnsiTheme="majorHAnsi" w:cs="Calibri"/>
                <w:color w:val="000000"/>
                <w:sz w:val="20"/>
                <w:szCs w:val="20"/>
                <w:lang w:val="ro-MD"/>
              </w:rPr>
              <w:t xml:space="preserve">, </w:t>
            </w:r>
            <w:r>
              <w:rPr>
                <w:rFonts w:asciiTheme="majorHAnsi" w:eastAsia="Times New Roman" w:hAnsiTheme="majorHAnsi" w:cs="Calibri"/>
                <w:color w:val="000000"/>
                <w:sz w:val="20"/>
                <w:szCs w:val="20"/>
                <w:lang w:val="ro-MD"/>
              </w:rPr>
              <w:t>октябрь</w:t>
            </w:r>
          </w:p>
        </w:tc>
        <w:tc>
          <w:tcPr>
            <w:tcW w:w="1350" w:type="dxa"/>
            <w:tcBorders>
              <w:top w:val="nil"/>
              <w:left w:val="nil"/>
              <w:bottom w:val="single" w:sz="4" w:space="0" w:color="auto"/>
              <w:right w:val="single" w:sz="4" w:space="0" w:color="auto"/>
            </w:tcBorders>
            <w:shd w:val="clear" w:color="auto" w:fill="auto"/>
            <w:noWrap/>
            <w:vAlign w:val="bottom"/>
            <w:hideMark/>
          </w:tcPr>
          <w:p w14:paraId="541A9F9B"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8085.0</w:t>
            </w:r>
          </w:p>
        </w:tc>
        <w:tc>
          <w:tcPr>
            <w:tcW w:w="1530" w:type="dxa"/>
            <w:tcBorders>
              <w:top w:val="nil"/>
              <w:left w:val="nil"/>
              <w:bottom w:val="single" w:sz="4" w:space="0" w:color="auto"/>
              <w:right w:val="single" w:sz="4" w:space="0" w:color="auto"/>
            </w:tcBorders>
            <w:shd w:val="clear" w:color="auto" w:fill="auto"/>
            <w:noWrap/>
            <w:vAlign w:val="bottom"/>
            <w:hideMark/>
          </w:tcPr>
          <w:p w14:paraId="1C69E9A8"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8085.0</w:t>
            </w:r>
          </w:p>
        </w:tc>
      </w:tr>
      <w:tr w:rsidR="00DC25E0" w:rsidRPr="00B7675F" w14:paraId="31781BF7"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720FB2B3"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11</w:t>
            </w:r>
          </w:p>
        </w:tc>
        <w:tc>
          <w:tcPr>
            <w:tcW w:w="1420" w:type="dxa"/>
            <w:tcBorders>
              <w:top w:val="nil"/>
              <w:left w:val="nil"/>
              <w:bottom w:val="single" w:sz="4" w:space="0" w:color="auto"/>
              <w:right w:val="single" w:sz="4" w:space="0" w:color="auto"/>
            </w:tcBorders>
            <w:shd w:val="clear" w:color="auto" w:fill="auto"/>
            <w:vAlign w:val="bottom"/>
            <w:hideMark/>
          </w:tcPr>
          <w:p w14:paraId="5F47816D" w14:textId="7D307BC3" w:rsidR="00DC25E0" w:rsidRPr="00736448" w:rsidRDefault="0040684B" w:rsidP="00911B93">
            <w:pPr>
              <w:spacing w:after="0" w:line="240" w:lineRule="auto"/>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АК №</w:t>
            </w:r>
            <w:r w:rsidR="00DC25E0" w:rsidRPr="00736448">
              <w:rPr>
                <w:rFonts w:asciiTheme="majorHAnsi" w:eastAsia="Times New Roman" w:hAnsiTheme="majorHAnsi" w:cs="Times New Roman"/>
                <w:color w:val="000000"/>
                <w:sz w:val="20"/>
                <w:szCs w:val="20"/>
                <w:lang w:val="ro-MD"/>
              </w:rPr>
              <w:t xml:space="preserve"> 11</w:t>
            </w:r>
          </w:p>
        </w:tc>
        <w:tc>
          <w:tcPr>
            <w:tcW w:w="1273" w:type="dxa"/>
            <w:tcBorders>
              <w:top w:val="nil"/>
              <w:left w:val="nil"/>
              <w:bottom w:val="single" w:sz="4" w:space="0" w:color="auto"/>
              <w:right w:val="single" w:sz="4" w:space="0" w:color="auto"/>
            </w:tcBorders>
            <w:shd w:val="clear" w:color="auto" w:fill="auto"/>
            <w:vAlign w:val="bottom"/>
            <w:hideMark/>
          </w:tcPr>
          <w:p w14:paraId="553D0AF0"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5/27/2021</w:t>
            </w:r>
          </w:p>
        </w:tc>
        <w:tc>
          <w:tcPr>
            <w:tcW w:w="1682" w:type="dxa"/>
            <w:tcBorders>
              <w:top w:val="nil"/>
              <w:left w:val="nil"/>
              <w:bottom w:val="single" w:sz="4" w:space="0" w:color="auto"/>
              <w:right w:val="single" w:sz="4" w:space="0" w:color="auto"/>
            </w:tcBorders>
            <w:shd w:val="clear" w:color="auto" w:fill="auto"/>
            <w:vAlign w:val="bottom"/>
            <w:hideMark/>
          </w:tcPr>
          <w:p w14:paraId="21D978F3" w14:textId="6B38D05D" w:rsidR="00DC25E0" w:rsidRPr="003968C1" w:rsidRDefault="003968C1" w:rsidP="003968C1">
            <w:pPr>
              <w:spacing w:after="0" w:line="240" w:lineRule="auto"/>
              <w:jc w:val="center"/>
              <w:rPr>
                <w:rFonts w:asciiTheme="majorHAnsi" w:eastAsia="Times New Roman" w:hAnsiTheme="majorHAnsi" w:cs="Times New Roman"/>
                <w:color w:val="000000"/>
                <w:sz w:val="20"/>
                <w:szCs w:val="20"/>
                <w:lang w:val="ru-RU"/>
              </w:rPr>
            </w:pPr>
            <w:r>
              <w:rPr>
                <w:rFonts w:asciiTheme="majorHAnsi" w:eastAsia="Times New Roman" w:hAnsiTheme="majorHAnsi" w:cs="Times New Roman"/>
                <w:color w:val="000000"/>
                <w:sz w:val="20"/>
                <w:szCs w:val="20"/>
                <w:lang w:val="ro-MD"/>
              </w:rPr>
              <w:t>июнь</w:t>
            </w:r>
            <w:r w:rsidR="00DC25E0" w:rsidRPr="00736448">
              <w:rPr>
                <w:rFonts w:asciiTheme="majorHAnsi" w:eastAsia="Times New Roman" w:hAnsiTheme="majorHAnsi" w:cs="Times New Roman"/>
                <w:color w:val="000000"/>
                <w:sz w:val="20"/>
                <w:szCs w:val="20"/>
                <w:lang w:val="ro-MD"/>
              </w:rPr>
              <w:t>-</w:t>
            </w:r>
            <w:r>
              <w:rPr>
                <w:rFonts w:asciiTheme="majorHAnsi" w:eastAsia="Times New Roman" w:hAnsiTheme="majorHAnsi" w:cs="Times New Roman"/>
                <w:color w:val="000000"/>
                <w:sz w:val="20"/>
                <w:szCs w:val="20"/>
                <w:lang w:val="ru-RU"/>
              </w:rPr>
              <w:t>сентябрь</w:t>
            </w:r>
          </w:p>
        </w:tc>
        <w:tc>
          <w:tcPr>
            <w:tcW w:w="1108" w:type="dxa"/>
            <w:tcBorders>
              <w:top w:val="nil"/>
              <w:left w:val="nil"/>
              <w:bottom w:val="single" w:sz="4" w:space="0" w:color="auto"/>
              <w:right w:val="single" w:sz="4" w:space="0" w:color="auto"/>
            </w:tcBorders>
            <w:shd w:val="clear" w:color="auto" w:fill="auto"/>
            <w:noWrap/>
            <w:vAlign w:val="bottom"/>
            <w:hideMark/>
          </w:tcPr>
          <w:p w14:paraId="2F01BB00"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8085.0</w:t>
            </w:r>
          </w:p>
        </w:tc>
        <w:tc>
          <w:tcPr>
            <w:tcW w:w="1800" w:type="dxa"/>
            <w:tcBorders>
              <w:top w:val="nil"/>
              <w:left w:val="nil"/>
              <w:bottom w:val="single" w:sz="4" w:space="0" w:color="auto"/>
              <w:right w:val="single" w:sz="4" w:space="0" w:color="auto"/>
            </w:tcBorders>
            <w:shd w:val="clear" w:color="auto" w:fill="auto"/>
            <w:noWrap/>
            <w:vAlign w:val="bottom"/>
            <w:hideMark/>
          </w:tcPr>
          <w:p w14:paraId="706FB5BB"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350" w:type="dxa"/>
            <w:tcBorders>
              <w:top w:val="nil"/>
              <w:left w:val="nil"/>
              <w:bottom w:val="single" w:sz="4" w:space="0" w:color="auto"/>
              <w:right w:val="single" w:sz="4" w:space="0" w:color="auto"/>
            </w:tcBorders>
            <w:shd w:val="clear" w:color="auto" w:fill="auto"/>
            <w:noWrap/>
            <w:vAlign w:val="bottom"/>
            <w:hideMark/>
          </w:tcPr>
          <w:p w14:paraId="089BB2C2"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530" w:type="dxa"/>
            <w:tcBorders>
              <w:top w:val="nil"/>
              <w:left w:val="nil"/>
              <w:bottom w:val="single" w:sz="4" w:space="0" w:color="auto"/>
              <w:right w:val="single" w:sz="4" w:space="0" w:color="auto"/>
            </w:tcBorders>
            <w:shd w:val="clear" w:color="auto" w:fill="auto"/>
            <w:noWrap/>
            <w:vAlign w:val="bottom"/>
            <w:hideMark/>
          </w:tcPr>
          <w:p w14:paraId="58257EA3"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8085.0</w:t>
            </w:r>
          </w:p>
        </w:tc>
      </w:tr>
      <w:tr w:rsidR="00DC25E0" w:rsidRPr="00B7675F" w14:paraId="78BF4751"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7D5AA05"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12</w:t>
            </w:r>
          </w:p>
        </w:tc>
        <w:tc>
          <w:tcPr>
            <w:tcW w:w="1420" w:type="dxa"/>
            <w:tcBorders>
              <w:top w:val="nil"/>
              <w:left w:val="nil"/>
              <w:bottom w:val="single" w:sz="4" w:space="0" w:color="auto"/>
              <w:right w:val="single" w:sz="4" w:space="0" w:color="auto"/>
            </w:tcBorders>
            <w:shd w:val="clear" w:color="auto" w:fill="auto"/>
            <w:vAlign w:val="bottom"/>
            <w:hideMark/>
          </w:tcPr>
          <w:p w14:paraId="0AE8731D" w14:textId="3A94B6A0" w:rsidR="00DC25E0" w:rsidRPr="00736448" w:rsidRDefault="0040684B" w:rsidP="00911B93">
            <w:pPr>
              <w:spacing w:after="0" w:line="240" w:lineRule="auto"/>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АК №</w:t>
            </w:r>
            <w:r w:rsidR="00DC25E0" w:rsidRPr="00736448">
              <w:rPr>
                <w:rFonts w:asciiTheme="majorHAnsi" w:eastAsia="Times New Roman" w:hAnsiTheme="majorHAnsi" w:cs="Times New Roman"/>
                <w:color w:val="000000"/>
                <w:sz w:val="20"/>
                <w:szCs w:val="20"/>
                <w:lang w:val="ro-MD"/>
              </w:rPr>
              <w:t xml:space="preserve"> 12</w:t>
            </w:r>
          </w:p>
        </w:tc>
        <w:tc>
          <w:tcPr>
            <w:tcW w:w="1273" w:type="dxa"/>
            <w:tcBorders>
              <w:top w:val="nil"/>
              <w:left w:val="nil"/>
              <w:bottom w:val="single" w:sz="4" w:space="0" w:color="auto"/>
              <w:right w:val="single" w:sz="4" w:space="0" w:color="auto"/>
            </w:tcBorders>
            <w:shd w:val="clear" w:color="auto" w:fill="auto"/>
            <w:vAlign w:val="bottom"/>
            <w:hideMark/>
          </w:tcPr>
          <w:p w14:paraId="1294C53A"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6/15/2021</w:t>
            </w:r>
          </w:p>
        </w:tc>
        <w:tc>
          <w:tcPr>
            <w:tcW w:w="1682" w:type="dxa"/>
            <w:tcBorders>
              <w:top w:val="nil"/>
              <w:left w:val="nil"/>
              <w:bottom w:val="single" w:sz="4" w:space="0" w:color="auto"/>
              <w:right w:val="single" w:sz="4" w:space="0" w:color="auto"/>
            </w:tcBorders>
            <w:shd w:val="clear" w:color="auto" w:fill="auto"/>
            <w:vAlign w:val="bottom"/>
            <w:hideMark/>
          </w:tcPr>
          <w:p w14:paraId="705F038E"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x</w:t>
            </w:r>
          </w:p>
        </w:tc>
        <w:tc>
          <w:tcPr>
            <w:tcW w:w="1108" w:type="dxa"/>
            <w:tcBorders>
              <w:top w:val="nil"/>
              <w:left w:val="nil"/>
              <w:bottom w:val="single" w:sz="4" w:space="0" w:color="auto"/>
              <w:right w:val="single" w:sz="4" w:space="0" w:color="auto"/>
            </w:tcBorders>
            <w:shd w:val="clear" w:color="auto" w:fill="auto"/>
            <w:noWrap/>
            <w:vAlign w:val="bottom"/>
            <w:hideMark/>
          </w:tcPr>
          <w:p w14:paraId="0818555A"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800" w:type="dxa"/>
            <w:tcBorders>
              <w:top w:val="nil"/>
              <w:left w:val="nil"/>
              <w:bottom w:val="single" w:sz="4" w:space="0" w:color="auto"/>
              <w:right w:val="single" w:sz="4" w:space="0" w:color="auto"/>
            </w:tcBorders>
            <w:shd w:val="clear" w:color="auto" w:fill="auto"/>
            <w:vAlign w:val="bottom"/>
            <w:hideMark/>
          </w:tcPr>
          <w:p w14:paraId="288F0D6D" w14:textId="54CF3DAA" w:rsidR="00DC25E0" w:rsidRPr="00736448" w:rsidRDefault="003968C1" w:rsidP="003968C1">
            <w:pPr>
              <w:spacing w:after="0" w:line="240" w:lineRule="auto"/>
              <w:jc w:val="center"/>
              <w:rPr>
                <w:rFonts w:asciiTheme="majorHAnsi" w:eastAsia="Times New Roman" w:hAnsiTheme="majorHAnsi" w:cs="Calibri"/>
                <w:color w:val="000000"/>
                <w:sz w:val="20"/>
                <w:szCs w:val="20"/>
                <w:lang w:val="ro-MD"/>
              </w:rPr>
            </w:pPr>
            <w:r>
              <w:rPr>
                <w:rFonts w:asciiTheme="majorHAnsi" w:eastAsia="Times New Roman" w:hAnsiTheme="majorHAnsi" w:cs="Calibri"/>
                <w:color w:val="000000"/>
                <w:sz w:val="20"/>
                <w:szCs w:val="20"/>
                <w:lang w:val="ro-MD"/>
              </w:rPr>
              <w:t>июнь</w:t>
            </w:r>
            <w:r w:rsidR="00DC25E0" w:rsidRPr="00736448">
              <w:rPr>
                <w:rFonts w:asciiTheme="majorHAnsi" w:eastAsia="Times New Roman" w:hAnsiTheme="majorHAnsi" w:cs="Calibri"/>
                <w:color w:val="000000"/>
                <w:sz w:val="20"/>
                <w:szCs w:val="20"/>
                <w:lang w:val="ro-MD"/>
              </w:rPr>
              <w:t>,</w:t>
            </w:r>
            <w:r w:rsidR="00E15964">
              <w:rPr>
                <w:rFonts w:asciiTheme="majorHAnsi" w:eastAsia="Times New Roman" w:hAnsiTheme="majorHAnsi" w:cs="Calibri"/>
                <w:color w:val="000000"/>
                <w:sz w:val="20"/>
                <w:szCs w:val="20"/>
                <w:lang w:val="ro-MD"/>
              </w:rPr>
              <w:t xml:space="preserve"> </w:t>
            </w:r>
            <w:r>
              <w:rPr>
                <w:rFonts w:asciiTheme="majorHAnsi" w:eastAsia="Times New Roman" w:hAnsiTheme="majorHAnsi" w:cs="Calibri"/>
                <w:color w:val="000000"/>
                <w:sz w:val="20"/>
                <w:szCs w:val="20"/>
                <w:lang w:val="ru-RU"/>
              </w:rPr>
              <w:t>июль</w:t>
            </w:r>
            <w:r w:rsidR="00DC25E0" w:rsidRPr="00736448">
              <w:rPr>
                <w:rFonts w:asciiTheme="majorHAnsi" w:eastAsia="Times New Roman" w:hAnsiTheme="majorHAnsi" w:cs="Calibri"/>
                <w:color w:val="000000"/>
                <w:sz w:val="20"/>
                <w:szCs w:val="20"/>
                <w:lang w:val="ro-MD"/>
              </w:rPr>
              <w:t xml:space="preserve">, </w:t>
            </w:r>
            <w:r>
              <w:rPr>
                <w:rFonts w:asciiTheme="majorHAnsi" w:eastAsia="Times New Roman" w:hAnsiTheme="majorHAnsi" w:cs="Calibri"/>
                <w:color w:val="000000"/>
                <w:sz w:val="20"/>
                <w:szCs w:val="20"/>
                <w:lang w:val="ru-RU"/>
              </w:rPr>
              <w:t>сентябрь</w:t>
            </w:r>
            <w:r w:rsidR="00DC25E0" w:rsidRPr="00736448">
              <w:rPr>
                <w:rFonts w:asciiTheme="majorHAnsi" w:eastAsia="Times New Roman" w:hAnsiTheme="majorHAnsi" w:cs="Calibri"/>
                <w:color w:val="000000"/>
                <w:sz w:val="20"/>
                <w:szCs w:val="20"/>
                <w:lang w:val="ro-MD"/>
              </w:rPr>
              <w:t xml:space="preserve">, </w:t>
            </w:r>
            <w:r>
              <w:rPr>
                <w:rFonts w:asciiTheme="majorHAnsi" w:eastAsia="Times New Roman" w:hAnsiTheme="majorHAnsi" w:cs="Calibri"/>
                <w:color w:val="000000"/>
                <w:sz w:val="20"/>
                <w:szCs w:val="20"/>
                <w:lang w:val="ro-MD"/>
              </w:rPr>
              <w:t>октябрь</w:t>
            </w:r>
            <w:r w:rsidR="00DC25E0" w:rsidRPr="00736448">
              <w:rPr>
                <w:rFonts w:asciiTheme="majorHAnsi" w:eastAsia="Times New Roman" w:hAnsiTheme="majorHAnsi" w:cs="Calibri"/>
                <w:color w:val="000000"/>
                <w:sz w:val="20"/>
                <w:szCs w:val="20"/>
                <w:lang w:val="ro-MD"/>
              </w:rPr>
              <w:t xml:space="preserve">, </w:t>
            </w:r>
            <w:r>
              <w:rPr>
                <w:rFonts w:asciiTheme="majorHAnsi" w:eastAsia="Times New Roman" w:hAnsiTheme="majorHAnsi" w:cs="Calibri"/>
                <w:color w:val="000000"/>
                <w:sz w:val="20"/>
                <w:szCs w:val="20"/>
                <w:lang w:val="ro-MD"/>
              </w:rPr>
              <w:t>ноябрь</w:t>
            </w:r>
            <w:r>
              <w:rPr>
                <w:rFonts w:asciiTheme="majorHAnsi" w:eastAsia="Times New Roman" w:hAnsiTheme="majorHAnsi" w:cs="Calibri"/>
                <w:color w:val="000000"/>
                <w:sz w:val="20"/>
                <w:szCs w:val="20"/>
                <w:lang w:val="ru-RU"/>
              </w:rPr>
              <w:t>,</w:t>
            </w:r>
            <w:r w:rsidR="00DC25E0" w:rsidRPr="00736448">
              <w:rPr>
                <w:rFonts w:asciiTheme="majorHAnsi" w:eastAsia="Times New Roman" w:hAnsiTheme="majorHAnsi" w:cs="Calibri"/>
                <w:color w:val="000000"/>
                <w:sz w:val="20"/>
                <w:szCs w:val="20"/>
                <w:lang w:val="ro-MD"/>
              </w:rPr>
              <w:t xml:space="preserve"> </w:t>
            </w:r>
            <w:r>
              <w:rPr>
                <w:rFonts w:asciiTheme="majorHAnsi" w:eastAsia="Times New Roman" w:hAnsiTheme="majorHAnsi" w:cs="Calibri"/>
                <w:color w:val="000000"/>
                <w:sz w:val="20"/>
                <w:szCs w:val="20"/>
                <w:lang w:val="ro-MD"/>
              </w:rPr>
              <w:t>декабрь</w:t>
            </w:r>
          </w:p>
        </w:tc>
        <w:tc>
          <w:tcPr>
            <w:tcW w:w="1350" w:type="dxa"/>
            <w:tcBorders>
              <w:top w:val="nil"/>
              <w:left w:val="nil"/>
              <w:bottom w:val="single" w:sz="4" w:space="0" w:color="auto"/>
              <w:right w:val="single" w:sz="4" w:space="0" w:color="auto"/>
            </w:tcBorders>
            <w:shd w:val="clear" w:color="auto" w:fill="auto"/>
            <w:noWrap/>
            <w:vAlign w:val="bottom"/>
            <w:hideMark/>
          </w:tcPr>
          <w:p w14:paraId="1302DD20"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12127.5</w:t>
            </w:r>
          </w:p>
        </w:tc>
        <w:tc>
          <w:tcPr>
            <w:tcW w:w="1530" w:type="dxa"/>
            <w:tcBorders>
              <w:top w:val="nil"/>
              <w:left w:val="nil"/>
              <w:bottom w:val="single" w:sz="4" w:space="0" w:color="auto"/>
              <w:right w:val="single" w:sz="4" w:space="0" w:color="auto"/>
            </w:tcBorders>
            <w:shd w:val="clear" w:color="auto" w:fill="auto"/>
            <w:noWrap/>
            <w:vAlign w:val="bottom"/>
            <w:hideMark/>
          </w:tcPr>
          <w:p w14:paraId="6FE9D5E3"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12127.5</w:t>
            </w:r>
          </w:p>
        </w:tc>
      </w:tr>
      <w:tr w:rsidR="00DC25E0" w:rsidRPr="00B7675F" w14:paraId="3A9E3CE4"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5D1FF751"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13</w:t>
            </w:r>
          </w:p>
        </w:tc>
        <w:tc>
          <w:tcPr>
            <w:tcW w:w="1420" w:type="dxa"/>
            <w:tcBorders>
              <w:top w:val="nil"/>
              <w:left w:val="nil"/>
              <w:bottom w:val="single" w:sz="4" w:space="0" w:color="auto"/>
              <w:right w:val="single" w:sz="4" w:space="0" w:color="auto"/>
            </w:tcBorders>
            <w:shd w:val="clear" w:color="auto" w:fill="auto"/>
            <w:vAlign w:val="bottom"/>
            <w:hideMark/>
          </w:tcPr>
          <w:p w14:paraId="2E5FD93C" w14:textId="2EB9EDD8" w:rsidR="00DC25E0" w:rsidRPr="00736448" w:rsidRDefault="0040684B" w:rsidP="00911B93">
            <w:pPr>
              <w:spacing w:after="0" w:line="240" w:lineRule="auto"/>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АК №</w:t>
            </w:r>
            <w:r w:rsidR="00DC25E0" w:rsidRPr="00736448">
              <w:rPr>
                <w:rFonts w:asciiTheme="majorHAnsi" w:eastAsia="Times New Roman" w:hAnsiTheme="majorHAnsi" w:cs="Times New Roman"/>
                <w:color w:val="000000"/>
                <w:sz w:val="20"/>
                <w:szCs w:val="20"/>
                <w:lang w:val="ro-MD"/>
              </w:rPr>
              <w:t xml:space="preserve"> 13</w:t>
            </w:r>
          </w:p>
        </w:tc>
        <w:tc>
          <w:tcPr>
            <w:tcW w:w="1273" w:type="dxa"/>
            <w:tcBorders>
              <w:top w:val="nil"/>
              <w:left w:val="nil"/>
              <w:bottom w:val="single" w:sz="4" w:space="0" w:color="auto"/>
              <w:right w:val="single" w:sz="4" w:space="0" w:color="auto"/>
            </w:tcBorders>
            <w:shd w:val="clear" w:color="auto" w:fill="auto"/>
            <w:vAlign w:val="bottom"/>
            <w:hideMark/>
          </w:tcPr>
          <w:p w14:paraId="2E1DA179"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9/22/2021</w:t>
            </w:r>
          </w:p>
        </w:tc>
        <w:tc>
          <w:tcPr>
            <w:tcW w:w="1682" w:type="dxa"/>
            <w:tcBorders>
              <w:top w:val="nil"/>
              <w:left w:val="nil"/>
              <w:bottom w:val="single" w:sz="4" w:space="0" w:color="auto"/>
              <w:right w:val="single" w:sz="4" w:space="0" w:color="auto"/>
            </w:tcBorders>
            <w:shd w:val="clear" w:color="auto" w:fill="auto"/>
            <w:vAlign w:val="bottom"/>
            <w:hideMark/>
          </w:tcPr>
          <w:p w14:paraId="41C86E28" w14:textId="49E5048A" w:rsidR="00DC25E0" w:rsidRPr="00736448" w:rsidRDefault="003968C1" w:rsidP="00911B93">
            <w:pPr>
              <w:spacing w:after="0" w:line="240" w:lineRule="auto"/>
              <w:jc w:val="center"/>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октябрь</w:t>
            </w:r>
            <w:r w:rsidR="00DC25E0" w:rsidRPr="00736448">
              <w:rPr>
                <w:rFonts w:asciiTheme="majorHAnsi" w:eastAsia="Times New Roman" w:hAnsiTheme="majorHAnsi" w:cs="Times New Roman"/>
                <w:color w:val="000000"/>
                <w:sz w:val="20"/>
                <w:szCs w:val="20"/>
                <w:lang w:val="ro-MD"/>
              </w:rPr>
              <w:t>-</w:t>
            </w:r>
            <w:r>
              <w:rPr>
                <w:rFonts w:asciiTheme="majorHAnsi" w:eastAsia="Times New Roman" w:hAnsiTheme="majorHAnsi" w:cs="Times New Roman"/>
                <w:color w:val="000000"/>
                <w:sz w:val="20"/>
                <w:szCs w:val="20"/>
                <w:lang w:val="ro-MD"/>
              </w:rPr>
              <w:t>ноябрь</w:t>
            </w:r>
          </w:p>
        </w:tc>
        <w:tc>
          <w:tcPr>
            <w:tcW w:w="1108" w:type="dxa"/>
            <w:tcBorders>
              <w:top w:val="nil"/>
              <w:left w:val="nil"/>
              <w:bottom w:val="single" w:sz="4" w:space="0" w:color="auto"/>
              <w:right w:val="single" w:sz="4" w:space="0" w:color="auto"/>
            </w:tcBorders>
            <w:shd w:val="clear" w:color="auto" w:fill="auto"/>
            <w:noWrap/>
            <w:vAlign w:val="bottom"/>
            <w:hideMark/>
          </w:tcPr>
          <w:p w14:paraId="4136CE25"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4042.5</w:t>
            </w:r>
          </w:p>
        </w:tc>
        <w:tc>
          <w:tcPr>
            <w:tcW w:w="1800" w:type="dxa"/>
            <w:tcBorders>
              <w:top w:val="nil"/>
              <w:left w:val="nil"/>
              <w:bottom w:val="single" w:sz="4" w:space="0" w:color="auto"/>
              <w:right w:val="single" w:sz="4" w:space="0" w:color="auto"/>
            </w:tcBorders>
            <w:shd w:val="clear" w:color="auto" w:fill="auto"/>
            <w:noWrap/>
            <w:vAlign w:val="bottom"/>
            <w:hideMark/>
          </w:tcPr>
          <w:p w14:paraId="6E8F4492"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350" w:type="dxa"/>
            <w:tcBorders>
              <w:top w:val="nil"/>
              <w:left w:val="nil"/>
              <w:bottom w:val="single" w:sz="4" w:space="0" w:color="auto"/>
              <w:right w:val="single" w:sz="4" w:space="0" w:color="auto"/>
            </w:tcBorders>
            <w:shd w:val="clear" w:color="auto" w:fill="auto"/>
            <w:noWrap/>
            <w:vAlign w:val="bottom"/>
            <w:hideMark/>
          </w:tcPr>
          <w:p w14:paraId="09467ACC"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530" w:type="dxa"/>
            <w:tcBorders>
              <w:top w:val="nil"/>
              <w:left w:val="nil"/>
              <w:bottom w:val="single" w:sz="4" w:space="0" w:color="auto"/>
              <w:right w:val="single" w:sz="4" w:space="0" w:color="auto"/>
            </w:tcBorders>
            <w:shd w:val="clear" w:color="auto" w:fill="auto"/>
            <w:noWrap/>
            <w:vAlign w:val="bottom"/>
            <w:hideMark/>
          </w:tcPr>
          <w:p w14:paraId="6FE18AFF"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4042.5</w:t>
            </w:r>
          </w:p>
        </w:tc>
      </w:tr>
      <w:tr w:rsidR="00DC25E0" w:rsidRPr="00B7675F" w14:paraId="71B20FDA"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392D22A"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14</w:t>
            </w:r>
          </w:p>
        </w:tc>
        <w:tc>
          <w:tcPr>
            <w:tcW w:w="1420" w:type="dxa"/>
            <w:tcBorders>
              <w:top w:val="nil"/>
              <w:left w:val="nil"/>
              <w:bottom w:val="single" w:sz="4" w:space="0" w:color="auto"/>
              <w:right w:val="single" w:sz="4" w:space="0" w:color="auto"/>
            </w:tcBorders>
            <w:shd w:val="clear" w:color="auto" w:fill="auto"/>
            <w:vAlign w:val="bottom"/>
            <w:hideMark/>
          </w:tcPr>
          <w:p w14:paraId="12957F36" w14:textId="429C95E0" w:rsidR="00DC25E0" w:rsidRPr="00736448" w:rsidRDefault="0040684B" w:rsidP="00911B93">
            <w:pPr>
              <w:spacing w:after="0" w:line="240" w:lineRule="auto"/>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АК №</w:t>
            </w:r>
            <w:r w:rsidR="00DC25E0" w:rsidRPr="00736448">
              <w:rPr>
                <w:rFonts w:asciiTheme="majorHAnsi" w:eastAsia="Times New Roman" w:hAnsiTheme="majorHAnsi" w:cs="Times New Roman"/>
                <w:color w:val="000000"/>
                <w:sz w:val="20"/>
                <w:szCs w:val="20"/>
                <w:lang w:val="ro-MD"/>
              </w:rPr>
              <w:t xml:space="preserve"> 14</w:t>
            </w:r>
          </w:p>
        </w:tc>
        <w:tc>
          <w:tcPr>
            <w:tcW w:w="1273" w:type="dxa"/>
            <w:tcBorders>
              <w:top w:val="nil"/>
              <w:left w:val="nil"/>
              <w:bottom w:val="single" w:sz="4" w:space="0" w:color="auto"/>
              <w:right w:val="single" w:sz="4" w:space="0" w:color="auto"/>
            </w:tcBorders>
            <w:shd w:val="clear" w:color="auto" w:fill="auto"/>
            <w:vAlign w:val="bottom"/>
            <w:hideMark/>
          </w:tcPr>
          <w:p w14:paraId="0C3DE7F4"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9/23/2021</w:t>
            </w:r>
          </w:p>
        </w:tc>
        <w:tc>
          <w:tcPr>
            <w:tcW w:w="1682" w:type="dxa"/>
            <w:tcBorders>
              <w:top w:val="nil"/>
              <w:left w:val="nil"/>
              <w:bottom w:val="single" w:sz="4" w:space="0" w:color="auto"/>
              <w:right w:val="single" w:sz="4" w:space="0" w:color="auto"/>
            </w:tcBorders>
            <w:shd w:val="clear" w:color="auto" w:fill="auto"/>
            <w:vAlign w:val="bottom"/>
            <w:hideMark/>
          </w:tcPr>
          <w:p w14:paraId="3DF82AFF" w14:textId="469B62A2" w:rsidR="00DC25E0" w:rsidRPr="00736448" w:rsidRDefault="003968C1" w:rsidP="00911B93">
            <w:pPr>
              <w:spacing w:after="0" w:line="240" w:lineRule="auto"/>
              <w:jc w:val="center"/>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октябрь</w:t>
            </w:r>
            <w:r w:rsidR="00DC25E0" w:rsidRPr="00736448">
              <w:rPr>
                <w:rFonts w:asciiTheme="majorHAnsi" w:eastAsia="Times New Roman" w:hAnsiTheme="majorHAnsi" w:cs="Times New Roman"/>
                <w:color w:val="000000"/>
                <w:sz w:val="20"/>
                <w:szCs w:val="20"/>
                <w:lang w:val="ro-MD"/>
              </w:rPr>
              <w:t>-</w:t>
            </w:r>
            <w:r>
              <w:rPr>
                <w:rFonts w:asciiTheme="majorHAnsi" w:eastAsia="Times New Roman" w:hAnsiTheme="majorHAnsi" w:cs="Times New Roman"/>
                <w:color w:val="000000"/>
                <w:sz w:val="20"/>
                <w:szCs w:val="20"/>
                <w:lang w:val="ro-MD"/>
              </w:rPr>
              <w:t>декабрь</w:t>
            </w:r>
          </w:p>
        </w:tc>
        <w:tc>
          <w:tcPr>
            <w:tcW w:w="1108" w:type="dxa"/>
            <w:tcBorders>
              <w:top w:val="nil"/>
              <w:left w:val="nil"/>
              <w:bottom w:val="single" w:sz="4" w:space="0" w:color="auto"/>
              <w:right w:val="single" w:sz="4" w:space="0" w:color="auto"/>
            </w:tcBorders>
            <w:shd w:val="clear" w:color="auto" w:fill="auto"/>
            <w:noWrap/>
            <w:vAlign w:val="bottom"/>
            <w:hideMark/>
          </w:tcPr>
          <w:p w14:paraId="74964AAE"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6063.75</w:t>
            </w:r>
          </w:p>
        </w:tc>
        <w:tc>
          <w:tcPr>
            <w:tcW w:w="1800" w:type="dxa"/>
            <w:tcBorders>
              <w:top w:val="nil"/>
              <w:left w:val="nil"/>
              <w:bottom w:val="single" w:sz="4" w:space="0" w:color="auto"/>
              <w:right w:val="single" w:sz="4" w:space="0" w:color="auto"/>
            </w:tcBorders>
            <w:shd w:val="clear" w:color="auto" w:fill="auto"/>
            <w:noWrap/>
            <w:vAlign w:val="bottom"/>
            <w:hideMark/>
          </w:tcPr>
          <w:p w14:paraId="44BBF171"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350" w:type="dxa"/>
            <w:tcBorders>
              <w:top w:val="nil"/>
              <w:left w:val="nil"/>
              <w:bottom w:val="single" w:sz="4" w:space="0" w:color="auto"/>
              <w:right w:val="single" w:sz="4" w:space="0" w:color="auto"/>
            </w:tcBorders>
            <w:shd w:val="clear" w:color="auto" w:fill="auto"/>
            <w:noWrap/>
            <w:vAlign w:val="bottom"/>
            <w:hideMark/>
          </w:tcPr>
          <w:p w14:paraId="792A5C2E"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530" w:type="dxa"/>
            <w:tcBorders>
              <w:top w:val="nil"/>
              <w:left w:val="nil"/>
              <w:bottom w:val="single" w:sz="4" w:space="0" w:color="auto"/>
              <w:right w:val="single" w:sz="4" w:space="0" w:color="auto"/>
            </w:tcBorders>
            <w:shd w:val="clear" w:color="auto" w:fill="auto"/>
            <w:noWrap/>
            <w:vAlign w:val="bottom"/>
            <w:hideMark/>
          </w:tcPr>
          <w:p w14:paraId="691F52A2"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6063.75</w:t>
            </w:r>
          </w:p>
        </w:tc>
      </w:tr>
      <w:tr w:rsidR="00DC25E0" w:rsidRPr="00B7675F" w14:paraId="1954A600"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571719D3"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15</w:t>
            </w:r>
          </w:p>
        </w:tc>
        <w:tc>
          <w:tcPr>
            <w:tcW w:w="1420" w:type="dxa"/>
            <w:tcBorders>
              <w:top w:val="nil"/>
              <w:left w:val="nil"/>
              <w:bottom w:val="single" w:sz="4" w:space="0" w:color="auto"/>
              <w:right w:val="single" w:sz="4" w:space="0" w:color="auto"/>
            </w:tcBorders>
            <w:shd w:val="clear" w:color="auto" w:fill="auto"/>
            <w:vAlign w:val="bottom"/>
            <w:hideMark/>
          </w:tcPr>
          <w:p w14:paraId="2C46A8C4" w14:textId="239A0887" w:rsidR="00DC25E0" w:rsidRPr="00736448" w:rsidRDefault="0040684B" w:rsidP="00911B93">
            <w:pPr>
              <w:spacing w:after="0" w:line="240" w:lineRule="auto"/>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АК №</w:t>
            </w:r>
            <w:r w:rsidR="00DC25E0" w:rsidRPr="00736448">
              <w:rPr>
                <w:rFonts w:asciiTheme="majorHAnsi" w:eastAsia="Times New Roman" w:hAnsiTheme="majorHAnsi" w:cs="Times New Roman"/>
                <w:color w:val="000000"/>
                <w:sz w:val="20"/>
                <w:szCs w:val="20"/>
                <w:lang w:val="ro-MD"/>
              </w:rPr>
              <w:t xml:space="preserve"> 15</w:t>
            </w:r>
          </w:p>
        </w:tc>
        <w:tc>
          <w:tcPr>
            <w:tcW w:w="1273" w:type="dxa"/>
            <w:tcBorders>
              <w:top w:val="nil"/>
              <w:left w:val="nil"/>
              <w:bottom w:val="single" w:sz="4" w:space="0" w:color="auto"/>
              <w:right w:val="single" w:sz="4" w:space="0" w:color="auto"/>
            </w:tcBorders>
            <w:shd w:val="clear" w:color="auto" w:fill="auto"/>
            <w:vAlign w:val="bottom"/>
            <w:hideMark/>
          </w:tcPr>
          <w:p w14:paraId="2DC53D5F"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10/26/2021</w:t>
            </w:r>
          </w:p>
        </w:tc>
        <w:tc>
          <w:tcPr>
            <w:tcW w:w="1682" w:type="dxa"/>
            <w:tcBorders>
              <w:top w:val="nil"/>
              <w:left w:val="nil"/>
              <w:bottom w:val="single" w:sz="4" w:space="0" w:color="auto"/>
              <w:right w:val="single" w:sz="4" w:space="0" w:color="auto"/>
            </w:tcBorders>
            <w:shd w:val="clear" w:color="auto" w:fill="auto"/>
            <w:vAlign w:val="bottom"/>
            <w:hideMark/>
          </w:tcPr>
          <w:p w14:paraId="02D03B02" w14:textId="7CF168DA" w:rsidR="00DC25E0" w:rsidRPr="00736448" w:rsidRDefault="003968C1" w:rsidP="00911B93">
            <w:pPr>
              <w:spacing w:after="0" w:line="240" w:lineRule="auto"/>
              <w:jc w:val="center"/>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ноябрь</w:t>
            </w:r>
            <w:r w:rsidR="00DC25E0" w:rsidRPr="00736448">
              <w:rPr>
                <w:rFonts w:asciiTheme="majorHAnsi" w:eastAsia="Times New Roman" w:hAnsiTheme="majorHAnsi" w:cs="Times New Roman"/>
                <w:color w:val="000000"/>
                <w:sz w:val="20"/>
                <w:szCs w:val="20"/>
                <w:lang w:val="ro-MD"/>
              </w:rPr>
              <w:t>-</w:t>
            </w:r>
            <w:r>
              <w:rPr>
                <w:rFonts w:asciiTheme="majorHAnsi" w:eastAsia="Times New Roman" w:hAnsiTheme="majorHAnsi" w:cs="Times New Roman"/>
                <w:color w:val="000000"/>
                <w:sz w:val="20"/>
                <w:szCs w:val="20"/>
                <w:lang w:val="ro-MD"/>
              </w:rPr>
              <w:t>декабрь</w:t>
            </w:r>
          </w:p>
        </w:tc>
        <w:tc>
          <w:tcPr>
            <w:tcW w:w="1108" w:type="dxa"/>
            <w:tcBorders>
              <w:top w:val="nil"/>
              <w:left w:val="nil"/>
              <w:bottom w:val="single" w:sz="4" w:space="0" w:color="auto"/>
              <w:right w:val="single" w:sz="4" w:space="0" w:color="auto"/>
            </w:tcBorders>
            <w:shd w:val="clear" w:color="auto" w:fill="auto"/>
            <w:noWrap/>
            <w:vAlign w:val="bottom"/>
            <w:hideMark/>
          </w:tcPr>
          <w:p w14:paraId="097478DF"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4042.5</w:t>
            </w:r>
          </w:p>
        </w:tc>
        <w:tc>
          <w:tcPr>
            <w:tcW w:w="1800" w:type="dxa"/>
            <w:tcBorders>
              <w:top w:val="nil"/>
              <w:left w:val="nil"/>
              <w:bottom w:val="single" w:sz="4" w:space="0" w:color="auto"/>
              <w:right w:val="single" w:sz="4" w:space="0" w:color="auto"/>
            </w:tcBorders>
            <w:shd w:val="clear" w:color="auto" w:fill="auto"/>
            <w:noWrap/>
            <w:vAlign w:val="bottom"/>
            <w:hideMark/>
          </w:tcPr>
          <w:p w14:paraId="544DBEE1" w14:textId="6FC9AB2C" w:rsidR="00DC25E0" w:rsidRPr="003968C1" w:rsidRDefault="003968C1" w:rsidP="003968C1">
            <w:pPr>
              <w:spacing w:after="0" w:line="240" w:lineRule="auto"/>
              <w:jc w:val="center"/>
              <w:rPr>
                <w:rFonts w:asciiTheme="majorHAnsi" w:eastAsia="Times New Roman" w:hAnsiTheme="majorHAnsi" w:cs="Calibri"/>
                <w:color w:val="000000"/>
                <w:sz w:val="20"/>
                <w:szCs w:val="20"/>
                <w:lang w:val="ru-RU"/>
              </w:rPr>
            </w:pPr>
            <w:r>
              <w:rPr>
                <w:rFonts w:asciiTheme="majorHAnsi" w:eastAsia="Times New Roman" w:hAnsiTheme="majorHAnsi" w:cs="Calibri"/>
                <w:color w:val="000000"/>
                <w:sz w:val="20"/>
                <w:szCs w:val="20"/>
                <w:lang w:val="ro-MD"/>
              </w:rPr>
              <w:t>январь</w:t>
            </w:r>
            <w:r w:rsidR="00DC25E0" w:rsidRPr="00736448">
              <w:rPr>
                <w:rFonts w:asciiTheme="majorHAnsi" w:eastAsia="Times New Roman" w:hAnsiTheme="majorHAnsi" w:cs="Calibri"/>
                <w:color w:val="000000"/>
                <w:sz w:val="20"/>
                <w:szCs w:val="20"/>
                <w:lang w:val="ro-MD"/>
              </w:rPr>
              <w:t xml:space="preserve">, </w:t>
            </w:r>
            <w:r>
              <w:rPr>
                <w:rFonts w:asciiTheme="majorHAnsi" w:eastAsia="Times New Roman" w:hAnsiTheme="majorHAnsi" w:cs="Calibri"/>
                <w:color w:val="000000"/>
                <w:sz w:val="20"/>
                <w:szCs w:val="20"/>
                <w:lang w:val="ru-RU"/>
              </w:rPr>
              <w:t>март</w:t>
            </w:r>
          </w:p>
        </w:tc>
        <w:tc>
          <w:tcPr>
            <w:tcW w:w="1350" w:type="dxa"/>
            <w:tcBorders>
              <w:top w:val="nil"/>
              <w:left w:val="nil"/>
              <w:bottom w:val="single" w:sz="4" w:space="0" w:color="auto"/>
              <w:right w:val="single" w:sz="4" w:space="0" w:color="auto"/>
            </w:tcBorders>
            <w:shd w:val="clear" w:color="auto" w:fill="auto"/>
            <w:noWrap/>
            <w:vAlign w:val="bottom"/>
            <w:hideMark/>
          </w:tcPr>
          <w:p w14:paraId="45A0B397"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4042.5</w:t>
            </w:r>
          </w:p>
        </w:tc>
        <w:tc>
          <w:tcPr>
            <w:tcW w:w="1530" w:type="dxa"/>
            <w:tcBorders>
              <w:top w:val="nil"/>
              <w:left w:val="nil"/>
              <w:bottom w:val="single" w:sz="4" w:space="0" w:color="auto"/>
              <w:right w:val="single" w:sz="4" w:space="0" w:color="auto"/>
            </w:tcBorders>
            <w:shd w:val="clear" w:color="auto" w:fill="auto"/>
            <w:noWrap/>
            <w:vAlign w:val="bottom"/>
            <w:hideMark/>
          </w:tcPr>
          <w:p w14:paraId="41168E0F"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8085.0</w:t>
            </w:r>
          </w:p>
        </w:tc>
      </w:tr>
      <w:tr w:rsidR="00DC25E0" w:rsidRPr="00B7675F" w14:paraId="6FC2D0DB"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5F710B97"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16</w:t>
            </w:r>
          </w:p>
        </w:tc>
        <w:tc>
          <w:tcPr>
            <w:tcW w:w="1420" w:type="dxa"/>
            <w:tcBorders>
              <w:top w:val="nil"/>
              <w:left w:val="nil"/>
              <w:bottom w:val="single" w:sz="4" w:space="0" w:color="auto"/>
              <w:right w:val="single" w:sz="4" w:space="0" w:color="auto"/>
            </w:tcBorders>
            <w:shd w:val="clear" w:color="auto" w:fill="auto"/>
            <w:vAlign w:val="bottom"/>
            <w:hideMark/>
          </w:tcPr>
          <w:p w14:paraId="0ED68589" w14:textId="385CB639" w:rsidR="00DC25E0" w:rsidRPr="00736448" w:rsidRDefault="0040684B" w:rsidP="00911B93">
            <w:pPr>
              <w:spacing w:after="0" w:line="240" w:lineRule="auto"/>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АК №</w:t>
            </w:r>
            <w:r w:rsidR="00DC25E0" w:rsidRPr="00736448">
              <w:rPr>
                <w:rFonts w:asciiTheme="majorHAnsi" w:eastAsia="Times New Roman" w:hAnsiTheme="majorHAnsi" w:cs="Times New Roman"/>
                <w:color w:val="000000"/>
                <w:sz w:val="20"/>
                <w:szCs w:val="20"/>
                <w:lang w:val="ro-MD"/>
              </w:rPr>
              <w:t xml:space="preserve"> 16</w:t>
            </w:r>
          </w:p>
        </w:tc>
        <w:tc>
          <w:tcPr>
            <w:tcW w:w="1273" w:type="dxa"/>
            <w:tcBorders>
              <w:top w:val="nil"/>
              <w:left w:val="nil"/>
              <w:bottom w:val="single" w:sz="4" w:space="0" w:color="auto"/>
              <w:right w:val="single" w:sz="4" w:space="0" w:color="auto"/>
            </w:tcBorders>
            <w:shd w:val="clear" w:color="auto" w:fill="auto"/>
            <w:vAlign w:val="bottom"/>
            <w:hideMark/>
          </w:tcPr>
          <w:p w14:paraId="56CD9EE7"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10/28/2021</w:t>
            </w:r>
          </w:p>
        </w:tc>
        <w:tc>
          <w:tcPr>
            <w:tcW w:w="1682" w:type="dxa"/>
            <w:tcBorders>
              <w:top w:val="nil"/>
              <w:left w:val="nil"/>
              <w:bottom w:val="single" w:sz="4" w:space="0" w:color="auto"/>
              <w:right w:val="single" w:sz="4" w:space="0" w:color="auto"/>
            </w:tcBorders>
            <w:shd w:val="clear" w:color="auto" w:fill="auto"/>
            <w:vAlign w:val="bottom"/>
            <w:hideMark/>
          </w:tcPr>
          <w:p w14:paraId="2955DE5C" w14:textId="57FEF90B" w:rsidR="00DC25E0" w:rsidRPr="00736448" w:rsidRDefault="003968C1" w:rsidP="00911B93">
            <w:pPr>
              <w:spacing w:after="0" w:line="240" w:lineRule="auto"/>
              <w:jc w:val="center"/>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ноябрь</w:t>
            </w:r>
            <w:r w:rsidR="00DC25E0" w:rsidRPr="00736448">
              <w:rPr>
                <w:rFonts w:asciiTheme="majorHAnsi" w:eastAsia="Times New Roman" w:hAnsiTheme="majorHAnsi" w:cs="Times New Roman"/>
                <w:color w:val="000000"/>
                <w:sz w:val="20"/>
                <w:szCs w:val="20"/>
                <w:lang w:val="ro-MD"/>
              </w:rPr>
              <w:t>-</w:t>
            </w:r>
            <w:r>
              <w:rPr>
                <w:rFonts w:asciiTheme="majorHAnsi" w:eastAsia="Times New Roman" w:hAnsiTheme="majorHAnsi" w:cs="Times New Roman"/>
                <w:color w:val="000000"/>
                <w:sz w:val="20"/>
                <w:szCs w:val="20"/>
                <w:lang w:val="ro-MD"/>
              </w:rPr>
              <w:t>декабрь</w:t>
            </w:r>
          </w:p>
        </w:tc>
        <w:tc>
          <w:tcPr>
            <w:tcW w:w="1108" w:type="dxa"/>
            <w:tcBorders>
              <w:top w:val="nil"/>
              <w:left w:val="nil"/>
              <w:bottom w:val="single" w:sz="4" w:space="0" w:color="auto"/>
              <w:right w:val="single" w:sz="4" w:space="0" w:color="auto"/>
            </w:tcBorders>
            <w:shd w:val="clear" w:color="auto" w:fill="auto"/>
            <w:noWrap/>
            <w:vAlign w:val="bottom"/>
            <w:hideMark/>
          </w:tcPr>
          <w:p w14:paraId="5E402C1D"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4042.5</w:t>
            </w:r>
          </w:p>
        </w:tc>
        <w:tc>
          <w:tcPr>
            <w:tcW w:w="1800" w:type="dxa"/>
            <w:tcBorders>
              <w:top w:val="nil"/>
              <w:left w:val="nil"/>
              <w:bottom w:val="single" w:sz="4" w:space="0" w:color="auto"/>
              <w:right w:val="single" w:sz="4" w:space="0" w:color="auto"/>
            </w:tcBorders>
            <w:shd w:val="clear" w:color="auto" w:fill="auto"/>
            <w:noWrap/>
            <w:vAlign w:val="bottom"/>
            <w:hideMark/>
          </w:tcPr>
          <w:p w14:paraId="5EE93351" w14:textId="479C697F" w:rsidR="00DC25E0" w:rsidRPr="00736448" w:rsidRDefault="003968C1" w:rsidP="00911B93">
            <w:pPr>
              <w:spacing w:after="0" w:line="240" w:lineRule="auto"/>
              <w:jc w:val="center"/>
              <w:rPr>
                <w:rFonts w:asciiTheme="majorHAnsi" w:eastAsia="Times New Roman" w:hAnsiTheme="majorHAnsi" w:cs="Calibri"/>
                <w:color w:val="000000"/>
                <w:sz w:val="20"/>
                <w:szCs w:val="20"/>
                <w:lang w:val="ro-MD"/>
              </w:rPr>
            </w:pPr>
            <w:r>
              <w:rPr>
                <w:rFonts w:asciiTheme="majorHAnsi" w:eastAsia="Times New Roman" w:hAnsiTheme="majorHAnsi" w:cs="Calibri"/>
                <w:color w:val="000000"/>
                <w:sz w:val="20"/>
                <w:szCs w:val="20"/>
                <w:lang w:val="ro-MD"/>
              </w:rPr>
              <w:t>январь</w:t>
            </w:r>
            <w:r w:rsidR="00DC25E0" w:rsidRPr="00736448">
              <w:rPr>
                <w:rFonts w:asciiTheme="majorHAnsi" w:eastAsia="Times New Roman" w:hAnsiTheme="majorHAnsi" w:cs="Calibri"/>
                <w:color w:val="000000"/>
                <w:sz w:val="20"/>
                <w:szCs w:val="20"/>
                <w:lang w:val="ro-MD"/>
              </w:rPr>
              <w:t>-</w:t>
            </w:r>
            <w:r>
              <w:rPr>
                <w:rFonts w:asciiTheme="majorHAnsi" w:eastAsia="Times New Roman" w:hAnsiTheme="majorHAnsi" w:cs="Calibri"/>
                <w:color w:val="000000"/>
                <w:sz w:val="20"/>
                <w:szCs w:val="20"/>
                <w:lang w:val="ro-MD"/>
              </w:rPr>
              <w:t>декабрь</w:t>
            </w:r>
          </w:p>
        </w:tc>
        <w:tc>
          <w:tcPr>
            <w:tcW w:w="1350" w:type="dxa"/>
            <w:tcBorders>
              <w:top w:val="nil"/>
              <w:left w:val="nil"/>
              <w:bottom w:val="single" w:sz="4" w:space="0" w:color="auto"/>
              <w:right w:val="single" w:sz="4" w:space="0" w:color="auto"/>
            </w:tcBorders>
            <w:shd w:val="clear" w:color="auto" w:fill="auto"/>
            <w:noWrap/>
            <w:vAlign w:val="bottom"/>
            <w:hideMark/>
          </w:tcPr>
          <w:p w14:paraId="3362A203"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24255.0</w:t>
            </w:r>
          </w:p>
        </w:tc>
        <w:tc>
          <w:tcPr>
            <w:tcW w:w="1530" w:type="dxa"/>
            <w:tcBorders>
              <w:top w:val="nil"/>
              <w:left w:val="nil"/>
              <w:bottom w:val="single" w:sz="4" w:space="0" w:color="auto"/>
              <w:right w:val="single" w:sz="4" w:space="0" w:color="auto"/>
            </w:tcBorders>
            <w:shd w:val="clear" w:color="auto" w:fill="auto"/>
            <w:noWrap/>
            <w:vAlign w:val="bottom"/>
            <w:hideMark/>
          </w:tcPr>
          <w:p w14:paraId="69EE2308"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28297.5</w:t>
            </w:r>
          </w:p>
        </w:tc>
      </w:tr>
      <w:tr w:rsidR="00DC25E0" w:rsidRPr="00B7675F" w14:paraId="78CF6576"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FD3516E"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17</w:t>
            </w:r>
          </w:p>
        </w:tc>
        <w:tc>
          <w:tcPr>
            <w:tcW w:w="1420" w:type="dxa"/>
            <w:tcBorders>
              <w:top w:val="nil"/>
              <w:left w:val="nil"/>
              <w:bottom w:val="single" w:sz="4" w:space="0" w:color="auto"/>
              <w:right w:val="single" w:sz="4" w:space="0" w:color="auto"/>
            </w:tcBorders>
            <w:shd w:val="clear" w:color="auto" w:fill="auto"/>
            <w:vAlign w:val="bottom"/>
            <w:hideMark/>
          </w:tcPr>
          <w:p w14:paraId="08E7A3C9" w14:textId="74B79427" w:rsidR="00DC25E0" w:rsidRPr="00736448" w:rsidRDefault="0040684B" w:rsidP="00911B93">
            <w:pPr>
              <w:spacing w:after="0" w:line="240" w:lineRule="auto"/>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АК №</w:t>
            </w:r>
            <w:r w:rsidR="00DC25E0" w:rsidRPr="00736448">
              <w:rPr>
                <w:rFonts w:asciiTheme="majorHAnsi" w:eastAsia="Times New Roman" w:hAnsiTheme="majorHAnsi" w:cs="Times New Roman"/>
                <w:color w:val="000000"/>
                <w:sz w:val="20"/>
                <w:szCs w:val="20"/>
                <w:lang w:val="ro-MD"/>
              </w:rPr>
              <w:t xml:space="preserve"> 17</w:t>
            </w:r>
          </w:p>
        </w:tc>
        <w:tc>
          <w:tcPr>
            <w:tcW w:w="1273" w:type="dxa"/>
            <w:tcBorders>
              <w:top w:val="nil"/>
              <w:left w:val="nil"/>
              <w:bottom w:val="single" w:sz="4" w:space="0" w:color="auto"/>
              <w:right w:val="single" w:sz="4" w:space="0" w:color="auto"/>
            </w:tcBorders>
            <w:shd w:val="clear" w:color="auto" w:fill="auto"/>
            <w:vAlign w:val="bottom"/>
            <w:hideMark/>
          </w:tcPr>
          <w:p w14:paraId="3982F9B0"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1/28/2022</w:t>
            </w:r>
          </w:p>
        </w:tc>
        <w:tc>
          <w:tcPr>
            <w:tcW w:w="1682" w:type="dxa"/>
            <w:tcBorders>
              <w:top w:val="nil"/>
              <w:left w:val="nil"/>
              <w:bottom w:val="single" w:sz="4" w:space="0" w:color="auto"/>
              <w:right w:val="single" w:sz="4" w:space="0" w:color="auto"/>
            </w:tcBorders>
            <w:shd w:val="clear" w:color="auto" w:fill="auto"/>
            <w:vAlign w:val="bottom"/>
            <w:hideMark/>
          </w:tcPr>
          <w:p w14:paraId="70B19A18"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x</w:t>
            </w:r>
          </w:p>
        </w:tc>
        <w:tc>
          <w:tcPr>
            <w:tcW w:w="1108" w:type="dxa"/>
            <w:tcBorders>
              <w:top w:val="nil"/>
              <w:left w:val="nil"/>
              <w:bottom w:val="single" w:sz="4" w:space="0" w:color="auto"/>
              <w:right w:val="single" w:sz="4" w:space="0" w:color="auto"/>
            </w:tcBorders>
            <w:shd w:val="clear" w:color="auto" w:fill="auto"/>
            <w:noWrap/>
            <w:vAlign w:val="bottom"/>
            <w:hideMark/>
          </w:tcPr>
          <w:p w14:paraId="68717DA8"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800" w:type="dxa"/>
            <w:tcBorders>
              <w:top w:val="nil"/>
              <w:left w:val="nil"/>
              <w:bottom w:val="single" w:sz="4" w:space="0" w:color="auto"/>
              <w:right w:val="single" w:sz="4" w:space="0" w:color="auto"/>
            </w:tcBorders>
            <w:shd w:val="clear" w:color="auto" w:fill="auto"/>
            <w:noWrap/>
            <w:vAlign w:val="bottom"/>
            <w:hideMark/>
          </w:tcPr>
          <w:p w14:paraId="64EE8872"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350" w:type="dxa"/>
            <w:tcBorders>
              <w:top w:val="nil"/>
              <w:left w:val="nil"/>
              <w:bottom w:val="single" w:sz="4" w:space="0" w:color="auto"/>
              <w:right w:val="single" w:sz="4" w:space="0" w:color="auto"/>
            </w:tcBorders>
            <w:shd w:val="clear" w:color="auto" w:fill="auto"/>
            <w:noWrap/>
            <w:vAlign w:val="bottom"/>
            <w:hideMark/>
          </w:tcPr>
          <w:p w14:paraId="2DF56544" w14:textId="77777777" w:rsidR="00DC25E0" w:rsidRPr="00736448" w:rsidRDefault="00DC25E0" w:rsidP="00911B93">
            <w:pPr>
              <w:spacing w:after="0" w:line="240" w:lineRule="auto"/>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530" w:type="dxa"/>
            <w:tcBorders>
              <w:top w:val="nil"/>
              <w:left w:val="nil"/>
              <w:bottom w:val="single" w:sz="4" w:space="0" w:color="auto"/>
              <w:right w:val="single" w:sz="4" w:space="0" w:color="auto"/>
            </w:tcBorders>
            <w:shd w:val="clear" w:color="auto" w:fill="auto"/>
            <w:noWrap/>
            <w:vAlign w:val="bottom"/>
            <w:hideMark/>
          </w:tcPr>
          <w:p w14:paraId="3A3AB21A" w14:textId="77777777" w:rsidR="00DC25E0" w:rsidRPr="00736448" w:rsidRDefault="00DC25E0" w:rsidP="00911B93">
            <w:pPr>
              <w:spacing w:after="0" w:line="240" w:lineRule="auto"/>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r>
      <w:tr w:rsidR="00DC25E0" w:rsidRPr="00B7675F" w14:paraId="36110613"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47744DC9"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18</w:t>
            </w:r>
          </w:p>
        </w:tc>
        <w:tc>
          <w:tcPr>
            <w:tcW w:w="1420" w:type="dxa"/>
            <w:tcBorders>
              <w:top w:val="nil"/>
              <w:left w:val="nil"/>
              <w:bottom w:val="single" w:sz="4" w:space="0" w:color="auto"/>
              <w:right w:val="single" w:sz="4" w:space="0" w:color="auto"/>
            </w:tcBorders>
            <w:shd w:val="clear" w:color="auto" w:fill="auto"/>
            <w:vAlign w:val="bottom"/>
            <w:hideMark/>
          </w:tcPr>
          <w:p w14:paraId="53D903D7" w14:textId="19D0D11F" w:rsidR="00DC25E0" w:rsidRPr="00736448" w:rsidRDefault="0040684B" w:rsidP="00911B93">
            <w:pPr>
              <w:spacing w:after="0" w:line="240" w:lineRule="auto"/>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АК №</w:t>
            </w:r>
            <w:r w:rsidR="00DC25E0" w:rsidRPr="00736448">
              <w:rPr>
                <w:rFonts w:asciiTheme="majorHAnsi" w:eastAsia="Times New Roman" w:hAnsiTheme="majorHAnsi" w:cs="Times New Roman"/>
                <w:color w:val="000000"/>
                <w:sz w:val="20"/>
                <w:szCs w:val="20"/>
                <w:lang w:val="ro-MD"/>
              </w:rPr>
              <w:t xml:space="preserve"> 18</w:t>
            </w:r>
          </w:p>
        </w:tc>
        <w:tc>
          <w:tcPr>
            <w:tcW w:w="1273" w:type="dxa"/>
            <w:tcBorders>
              <w:top w:val="nil"/>
              <w:left w:val="nil"/>
              <w:bottom w:val="single" w:sz="4" w:space="0" w:color="auto"/>
              <w:right w:val="single" w:sz="4" w:space="0" w:color="auto"/>
            </w:tcBorders>
            <w:shd w:val="clear" w:color="auto" w:fill="auto"/>
            <w:vAlign w:val="bottom"/>
            <w:hideMark/>
          </w:tcPr>
          <w:p w14:paraId="4775378E"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3/3/2022</w:t>
            </w:r>
          </w:p>
        </w:tc>
        <w:tc>
          <w:tcPr>
            <w:tcW w:w="1682" w:type="dxa"/>
            <w:tcBorders>
              <w:top w:val="nil"/>
              <w:left w:val="nil"/>
              <w:bottom w:val="single" w:sz="4" w:space="0" w:color="auto"/>
              <w:right w:val="single" w:sz="4" w:space="0" w:color="auto"/>
            </w:tcBorders>
            <w:shd w:val="clear" w:color="auto" w:fill="auto"/>
            <w:vAlign w:val="bottom"/>
            <w:hideMark/>
          </w:tcPr>
          <w:p w14:paraId="76E1245D"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x</w:t>
            </w:r>
          </w:p>
        </w:tc>
        <w:tc>
          <w:tcPr>
            <w:tcW w:w="1108" w:type="dxa"/>
            <w:tcBorders>
              <w:top w:val="nil"/>
              <w:left w:val="nil"/>
              <w:bottom w:val="single" w:sz="4" w:space="0" w:color="auto"/>
              <w:right w:val="single" w:sz="4" w:space="0" w:color="auto"/>
            </w:tcBorders>
            <w:shd w:val="clear" w:color="auto" w:fill="auto"/>
            <w:noWrap/>
            <w:vAlign w:val="bottom"/>
            <w:hideMark/>
          </w:tcPr>
          <w:p w14:paraId="363D0590"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800" w:type="dxa"/>
            <w:tcBorders>
              <w:top w:val="nil"/>
              <w:left w:val="nil"/>
              <w:bottom w:val="single" w:sz="4" w:space="0" w:color="auto"/>
              <w:right w:val="single" w:sz="4" w:space="0" w:color="auto"/>
            </w:tcBorders>
            <w:shd w:val="clear" w:color="auto" w:fill="auto"/>
            <w:noWrap/>
            <w:vAlign w:val="bottom"/>
            <w:hideMark/>
          </w:tcPr>
          <w:p w14:paraId="5E0B2FDD"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martie-aprilie</w:t>
            </w:r>
          </w:p>
        </w:tc>
        <w:tc>
          <w:tcPr>
            <w:tcW w:w="1350" w:type="dxa"/>
            <w:tcBorders>
              <w:top w:val="nil"/>
              <w:left w:val="nil"/>
              <w:bottom w:val="single" w:sz="4" w:space="0" w:color="auto"/>
              <w:right w:val="single" w:sz="4" w:space="0" w:color="auto"/>
            </w:tcBorders>
            <w:shd w:val="clear" w:color="auto" w:fill="auto"/>
            <w:noWrap/>
            <w:vAlign w:val="bottom"/>
            <w:hideMark/>
          </w:tcPr>
          <w:p w14:paraId="6E382738"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4042.5</w:t>
            </w:r>
          </w:p>
        </w:tc>
        <w:tc>
          <w:tcPr>
            <w:tcW w:w="1530" w:type="dxa"/>
            <w:tcBorders>
              <w:top w:val="nil"/>
              <w:left w:val="nil"/>
              <w:bottom w:val="single" w:sz="4" w:space="0" w:color="auto"/>
              <w:right w:val="single" w:sz="4" w:space="0" w:color="auto"/>
            </w:tcBorders>
            <w:shd w:val="clear" w:color="auto" w:fill="auto"/>
            <w:noWrap/>
            <w:vAlign w:val="bottom"/>
            <w:hideMark/>
          </w:tcPr>
          <w:p w14:paraId="7B458BCC"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4042.5</w:t>
            </w:r>
          </w:p>
        </w:tc>
      </w:tr>
      <w:tr w:rsidR="00DC25E0" w:rsidRPr="00B7675F" w14:paraId="56BE5F39"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4622CF35"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19</w:t>
            </w:r>
          </w:p>
        </w:tc>
        <w:tc>
          <w:tcPr>
            <w:tcW w:w="1420" w:type="dxa"/>
            <w:tcBorders>
              <w:top w:val="nil"/>
              <w:left w:val="nil"/>
              <w:bottom w:val="single" w:sz="4" w:space="0" w:color="auto"/>
              <w:right w:val="single" w:sz="4" w:space="0" w:color="auto"/>
            </w:tcBorders>
            <w:shd w:val="clear" w:color="auto" w:fill="auto"/>
            <w:vAlign w:val="bottom"/>
            <w:hideMark/>
          </w:tcPr>
          <w:p w14:paraId="407408F5" w14:textId="6DA8A894" w:rsidR="00DC25E0" w:rsidRPr="00736448" w:rsidRDefault="0040684B" w:rsidP="00911B93">
            <w:pPr>
              <w:spacing w:after="0" w:line="240" w:lineRule="auto"/>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АК №</w:t>
            </w:r>
            <w:r w:rsidR="00DC25E0" w:rsidRPr="00736448">
              <w:rPr>
                <w:rFonts w:asciiTheme="majorHAnsi" w:eastAsia="Times New Roman" w:hAnsiTheme="majorHAnsi" w:cs="Times New Roman"/>
                <w:color w:val="000000"/>
                <w:sz w:val="20"/>
                <w:szCs w:val="20"/>
                <w:lang w:val="ro-MD"/>
              </w:rPr>
              <w:t xml:space="preserve"> 19</w:t>
            </w:r>
          </w:p>
        </w:tc>
        <w:tc>
          <w:tcPr>
            <w:tcW w:w="1273" w:type="dxa"/>
            <w:tcBorders>
              <w:top w:val="nil"/>
              <w:left w:val="nil"/>
              <w:bottom w:val="single" w:sz="4" w:space="0" w:color="auto"/>
              <w:right w:val="single" w:sz="4" w:space="0" w:color="auto"/>
            </w:tcBorders>
            <w:shd w:val="clear" w:color="auto" w:fill="auto"/>
            <w:vAlign w:val="bottom"/>
            <w:hideMark/>
          </w:tcPr>
          <w:p w14:paraId="3E887DA4"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4/5/2022</w:t>
            </w:r>
          </w:p>
        </w:tc>
        <w:tc>
          <w:tcPr>
            <w:tcW w:w="1682" w:type="dxa"/>
            <w:tcBorders>
              <w:top w:val="nil"/>
              <w:left w:val="nil"/>
              <w:bottom w:val="single" w:sz="4" w:space="0" w:color="auto"/>
              <w:right w:val="single" w:sz="4" w:space="0" w:color="auto"/>
            </w:tcBorders>
            <w:shd w:val="clear" w:color="auto" w:fill="auto"/>
            <w:vAlign w:val="bottom"/>
            <w:hideMark/>
          </w:tcPr>
          <w:p w14:paraId="1548BFDE"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x</w:t>
            </w:r>
          </w:p>
        </w:tc>
        <w:tc>
          <w:tcPr>
            <w:tcW w:w="1108" w:type="dxa"/>
            <w:tcBorders>
              <w:top w:val="nil"/>
              <w:left w:val="nil"/>
              <w:bottom w:val="single" w:sz="4" w:space="0" w:color="auto"/>
              <w:right w:val="single" w:sz="4" w:space="0" w:color="auto"/>
            </w:tcBorders>
            <w:shd w:val="clear" w:color="auto" w:fill="auto"/>
            <w:noWrap/>
            <w:vAlign w:val="bottom"/>
            <w:hideMark/>
          </w:tcPr>
          <w:p w14:paraId="22F55F79"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800" w:type="dxa"/>
            <w:tcBorders>
              <w:top w:val="nil"/>
              <w:left w:val="nil"/>
              <w:bottom w:val="single" w:sz="4" w:space="0" w:color="auto"/>
              <w:right w:val="single" w:sz="4" w:space="0" w:color="auto"/>
            </w:tcBorders>
            <w:shd w:val="clear" w:color="auto" w:fill="auto"/>
            <w:noWrap/>
            <w:vAlign w:val="bottom"/>
            <w:hideMark/>
          </w:tcPr>
          <w:p w14:paraId="3A5C64CC" w14:textId="33B0C278" w:rsidR="00DC25E0" w:rsidRPr="00736448" w:rsidRDefault="003968C1" w:rsidP="00911B93">
            <w:pPr>
              <w:spacing w:after="0" w:line="240" w:lineRule="auto"/>
              <w:jc w:val="center"/>
              <w:rPr>
                <w:rFonts w:asciiTheme="majorHAnsi" w:eastAsia="Times New Roman" w:hAnsiTheme="majorHAnsi" w:cs="Calibri"/>
                <w:color w:val="000000"/>
                <w:sz w:val="20"/>
                <w:szCs w:val="20"/>
                <w:lang w:val="ro-MD"/>
              </w:rPr>
            </w:pPr>
            <w:r>
              <w:rPr>
                <w:rFonts w:asciiTheme="majorHAnsi" w:eastAsia="Times New Roman" w:hAnsiTheme="majorHAnsi" w:cs="Calibri"/>
                <w:color w:val="000000"/>
                <w:sz w:val="20"/>
                <w:szCs w:val="20"/>
                <w:lang w:val="ro-MD"/>
              </w:rPr>
              <w:t>декабрь</w:t>
            </w:r>
          </w:p>
        </w:tc>
        <w:tc>
          <w:tcPr>
            <w:tcW w:w="1350" w:type="dxa"/>
            <w:tcBorders>
              <w:top w:val="nil"/>
              <w:left w:val="nil"/>
              <w:bottom w:val="single" w:sz="4" w:space="0" w:color="auto"/>
              <w:right w:val="single" w:sz="4" w:space="0" w:color="auto"/>
            </w:tcBorders>
            <w:shd w:val="clear" w:color="auto" w:fill="auto"/>
            <w:noWrap/>
            <w:vAlign w:val="bottom"/>
            <w:hideMark/>
          </w:tcPr>
          <w:p w14:paraId="0593B6A9"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2021.25</w:t>
            </w:r>
          </w:p>
        </w:tc>
        <w:tc>
          <w:tcPr>
            <w:tcW w:w="1530" w:type="dxa"/>
            <w:tcBorders>
              <w:top w:val="nil"/>
              <w:left w:val="nil"/>
              <w:bottom w:val="single" w:sz="4" w:space="0" w:color="auto"/>
              <w:right w:val="single" w:sz="4" w:space="0" w:color="auto"/>
            </w:tcBorders>
            <w:shd w:val="clear" w:color="auto" w:fill="auto"/>
            <w:noWrap/>
            <w:vAlign w:val="bottom"/>
            <w:hideMark/>
          </w:tcPr>
          <w:p w14:paraId="0ED32EFD"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2021.25</w:t>
            </w:r>
          </w:p>
        </w:tc>
      </w:tr>
      <w:tr w:rsidR="00DC25E0" w:rsidRPr="00B7675F" w14:paraId="152CE370"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057FA34"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20</w:t>
            </w:r>
          </w:p>
        </w:tc>
        <w:tc>
          <w:tcPr>
            <w:tcW w:w="1420" w:type="dxa"/>
            <w:tcBorders>
              <w:top w:val="nil"/>
              <w:left w:val="nil"/>
              <w:bottom w:val="single" w:sz="4" w:space="0" w:color="auto"/>
              <w:right w:val="single" w:sz="4" w:space="0" w:color="auto"/>
            </w:tcBorders>
            <w:shd w:val="clear" w:color="auto" w:fill="auto"/>
            <w:vAlign w:val="bottom"/>
            <w:hideMark/>
          </w:tcPr>
          <w:p w14:paraId="2A267755" w14:textId="7664A63B" w:rsidR="00DC25E0" w:rsidRPr="00736448" w:rsidRDefault="0040684B" w:rsidP="00911B93">
            <w:pPr>
              <w:spacing w:after="0" w:line="240" w:lineRule="auto"/>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АК №</w:t>
            </w:r>
            <w:r w:rsidR="00DC25E0" w:rsidRPr="00736448">
              <w:rPr>
                <w:rFonts w:asciiTheme="majorHAnsi" w:eastAsia="Times New Roman" w:hAnsiTheme="majorHAnsi" w:cs="Times New Roman"/>
                <w:color w:val="000000"/>
                <w:sz w:val="20"/>
                <w:szCs w:val="20"/>
                <w:lang w:val="ro-MD"/>
              </w:rPr>
              <w:t xml:space="preserve"> 20</w:t>
            </w:r>
          </w:p>
        </w:tc>
        <w:tc>
          <w:tcPr>
            <w:tcW w:w="1273" w:type="dxa"/>
            <w:tcBorders>
              <w:top w:val="nil"/>
              <w:left w:val="nil"/>
              <w:bottom w:val="single" w:sz="4" w:space="0" w:color="auto"/>
              <w:right w:val="single" w:sz="4" w:space="0" w:color="auto"/>
            </w:tcBorders>
            <w:shd w:val="clear" w:color="auto" w:fill="auto"/>
            <w:vAlign w:val="bottom"/>
            <w:hideMark/>
          </w:tcPr>
          <w:p w14:paraId="20BCB493"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11/18/2022</w:t>
            </w:r>
          </w:p>
        </w:tc>
        <w:tc>
          <w:tcPr>
            <w:tcW w:w="1682" w:type="dxa"/>
            <w:tcBorders>
              <w:top w:val="nil"/>
              <w:left w:val="nil"/>
              <w:bottom w:val="single" w:sz="4" w:space="0" w:color="auto"/>
              <w:right w:val="single" w:sz="4" w:space="0" w:color="auto"/>
            </w:tcBorders>
            <w:shd w:val="clear" w:color="auto" w:fill="auto"/>
            <w:vAlign w:val="bottom"/>
            <w:hideMark/>
          </w:tcPr>
          <w:p w14:paraId="026823D4"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x</w:t>
            </w:r>
          </w:p>
        </w:tc>
        <w:tc>
          <w:tcPr>
            <w:tcW w:w="1108" w:type="dxa"/>
            <w:tcBorders>
              <w:top w:val="nil"/>
              <w:left w:val="nil"/>
              <w:bottom w:val="single" w:sz="4" w:space="0" w:color="auto"/>
              <w:right w:val="single" w:sz="4" w:space="0" w:color="auto"/>
            </w:tcBorders>
            <w:shd w:val="clear" w:color="auto" w:fill="auto"/>
            <w:noWrap/>
            <w:vAlign w:val="bottom"/>
            <w:hideMark/>
          </w:tcPr>
          <w:p w14:paraId="703326DF"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800" w:type="dxa"/>
            <w:tcBorders>
              <w:top w:val="nil"/>
              <w:left w:val="nil"/>
              <w:bottom w:val="single" w:sz="4" w:space="0" w:color="auto"/>
              <w:right w:val="single" w:sz="4" w:space="0" w:color="auto"/>
            </w:tcBorders>
            <w:shd w:val="clear" w:color="auto" w:fill="auto"/>
            <w:noWrap/>
            <w:vAlign w:val="bottom"/>
            <w:hideMark/>
          </w:tcPr>
          <w:p w14:paraId="75673551" w14:textId="41DE70CD" w:rsidR="00DC25E0" w:rsidRPr="00736448" w:rsidRDefault="003968C1" w:rsidP="00911B93">
            <w:pPr>
              <w:spacing w:after="0" w:line="240" w:lineRule="auto"/>
              <w:jc w:val="center"/>
              <w:rPr>
                <w:rFonts w:asciiTheme="majorHAnsi" w:eastAsia="Times New Roman" w:hAnsiTheme="majorHAnsi" w:cs="Calibri"/>
                <w:color w:val="000000"/>
                <w:sz w:val="20"/>
                <w:szCs w:val="20"/>
                <w:lang w:val="ro-MD"/>
              </w:rPr>
            </w:pPr>
            <w:r>
              <w:rPr>
                <w:rFonts w:asciiTheme="majorHAnsi" w:eastAsia="Times New Roman" w:hAnsiTheme="majorHAnsi" w:cs="Calibri"/>
                <w:color w:val="000000"/>
                <w:sz w:val="20"/>
                <w:szCs w:val="20"/>
                <w:lang w:val="ro-MD"/>
              </w:rPr>
              <w:t>декабрь</w:t>
            </w:r>
          </w:p>
        </w:tc>
        <w:tc>
          <w:tcPr>
            <w:tcW w:w="1350" w:type="dxa"/>
            <w:tcBorders>
              <w:top w:val="nil"/>
              <w:left w:val="nil"/>
              <w:bottom w:val="single" w:sz="4" w:space="0" w:color="auto"/>
              <w:right w:val="single" w:sz="4" w:space="0" w:color="auto"/>
            </w:tcBorders>
            <w:shd w:val="clear" w:color="auto" w:fill="auto"/>
            <w:noWrap/>
            <w:vAlign w:val="bottom"/>
            <w:hideMark/>
          </w:tcPr>
          <w:p w14:paraId="13756262"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2021.25</w:t>
            </w:r>
          </w:p>
        </w:tc>
        <w:tc>
          <w:tcPr>
            <w:tcW w:w="1530" w:type="dxa"/>
            <w:tcBorders>
              <w:top w:val="nil"/>
              <w:left w:val="nil"/>
              <w:bottom w:val="single" w:sz="4" w:space="0" w:color="auto"/>
              <w:right w:val="single" w:sz="4" w:space="0" w:color="auto"/>
            </w:tcBorders>
            <w:shd w:val="clear" w:color="auto" w:fill="auto"/>
            <w:noWrap/>
            <w:vAlign w:val="bottom"/>
            <w:hideMark/>
          </w:tcPr>
          <w:p w14:paraId="194C0A1E"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2021.25</w:t>
            </w:r>
          </w:p>
        </w:tc>
      </w:tr>
      <w:tr w:rsidR="00DC25E0" w:rsidRPr="00B7675F" w14:paraId="515E5666"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761DFE8D"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21</w:t>
            </w:r>
          </w:p>
        </w:tc>
        <w:tc>
          <w:tcPr>
            <w:tcW w:w="1420" w:type="dxa"/>
            <w:tcBorders>
              <w:top w:val="nil"/>
              <w:left w:val="nil"/>
              <w:bottom w:val="single" w:sz="4" w:space="0" w:color="auto"/>
              <w:right w:val="single" w:sz="4" w:space="0" w:color="auto"/>
            </w:tcBorders>
            <w:shd w:val="clear" w:color="auto" w:fill="auto"/>
            <w:vAlign w:val="bottom"/>
            <w:hideMark/>
          </w:tcPr>
          <w:p w14:paraId="77BB5045" w14:textId="7AF32513" w:rsidR="00DC25E0" w:rsidRPr="00736448" w:rsidRDefault="0040684B" w:rsidP="00911B93">
            <w:pPr>
              <w:spacing w:after="0" w:line="240" w:lineRule="auto"/>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АК №</w:t>
            </w:r>
            <w:r w:rsidR="00DC25E0" w:rsidRPr="00736448">
              <w:rPr>
                <w:rFonts w:asciiTheme="majorHAnsi" w:eastAsia="Times New Roman" w:hAnsiTheme="majorHAnsi" w:cs="Times New Roman"/>
                <w:color w:val="000000"/>
                <w:sz w:val="20"/>
                <w:szCs w:val="20"/>
                <w:lang w:val="ro-MD"/>
              </w:rPr>
              <w:t xml:space="preserve"> 21</w:t>
            </w:r>
          </w:p>
        </w:tc>
        <w:tc>
          <w:tcPr>
            <w:tcW w:w="1273" w:type="dxa"/>
            <w:tcBorders>
              <w:top w:val="nil"/>
              <w:left w:val="nil"/>
              <w:bottom w:val="single" w:sz="4" w:space="0" w:color="auto"/>
              <w:right w:val="single" w:sz="4" w:space="0" w:color="auto"/>
            </w:tcBorders>
            <w:shd w:val="clear" w:color="auto" w:fill="auto"/>
            <w:vAlign w:val="bottom"/>
            <w:hideMark/>
          </w:tcPr>
          <w:p w14:paraId="68035A61"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11/18/2022</w:t>
            </w:r>
          </w:p>
        </w:tc>
        <w:tc>
          <w:tcPr>
            <w:tcW w:w="1682" w:type="dxa"/>
            <w:tcBorders>
              <w:top w:val="nil"/>
              <w:left w:val="nil"/>
              <w:bottom w:val="single" w:sz="4" w:space="0" w:color="auto"/>
              <w:right w:val="single" w:sz="4" w:space="0" w:color="auto"/>
            </w:tcBorders>
            <w:shd w:val="clear" w:color="auto" w:fill="auto"/>
            <w:vAlign w:val="bottom"/>
            <w:hideMark/>
          </w:tcPr>
          <w:p w14:paraId="63AF2A0E"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x</w:t>
            </w:r>
          </w:p>
        </w:tc>
        <w:tc>
          <w:tcPr>
            <w:tcW w:w="1108" w:type="dxa"/>
            <w:tcBorders>
              <w:top w:val="nil"/>
              <w:left w:val="nil"/>
              <w:bottom w:val="single" w:sz="4" w:space="0" w:color="auto"/>
              <w:right w:val="single" w:sz="4" w:space="0" w:color="auto"/>
            </w:tcBorders>
            <w:shd w:val="clear" w:color="auto" w:fill="auto"/>
            <w:noWrap/>
            <w:vAlign w:val="bottom"/>
            <w:hideMark/>
          </w:tcPr>
          <w:p w14:paraId="51ED4DBA"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800" w:type="dxa"/>
            <w:tcBorders>
              <w:top w:val="nil"/>
              <w:left w:val="nil"/>
              <w:bottom w:val="single" w:sz="4" w:space="0" w:color="auto"/>
              <w:right w:val="single" w:sz="4" w:space="0" w:color="auto"/>
            </w:tcBorders>
            <w:shd w:val="clear" w:color="auto" w:fill="auto"/>
            <w:noWrap/>
            <w:vAlign w:val="bottom"/>
            <w:hideMark/>
          </w:tcPr>
          <w:p w14:paraId="17CBAEF7" w14:textId="0E76EDB4" w:rsidR="00DC25E0" w:rsidRPr="00736448" w:rsidRDefault="003968C1" w:rsidP="00911B93">
            <w:pPr>
              <w:spacing w:after="0" w:line="240" w:lineRule="auto"/>
              <w:jc w:val="center"/>
              <w:rPr>
                <w:rFonts w:asciiTheme="majorHAnsi" w:eastAsia="Times New Roman" w:hAnsiTheme="majorHAnsi" w:cs="Calibri"/>
                <w:color w:val="000000"/>
                <w:sz w:val="20"/>
                <w:szCs w:val="20"/>
                <w:lang w:val="ro-MD"/>
              </w:rPr>
            </w:pPr>
            <w:r>
              <w:rPr>
                <w:rFonts w:asciiTheme="majorHAnsi" w:eastAsia="Times New Roman" w:hAnsiTheme="majorHAnsi" w:cs="Calibri"/>
                <w:color w:val="000000"/>
                <w:sz w:val="20"/>
                <w:szCs w:val="20"/>
                <w:lang w:val="ro-MD"/>
              </w:rPr>
              <w:t>декабрь</w:t>
            </w:r>
          </w:p>
        </w:tc>
        <w:tc>
          <w:tcPr>
            <w:tcW w:w="1350" w:type="dxa"/>
            <w:tcBorders>
              <w:top w:val="nil"/>
              <w:left w:val="nil"/>
              <w:bottom w:val="single" w:sz="4" w:space="0" w:color="auto"/>
              <w:right w:val="single" w:sz="4" w:space="0" w:color="auto"/>
            </w:tcBorders>
            <w:shd w:val="clear" w:color="auto" w:fill="auto"/>
            <w:noWrap/>
            <w:vAlign w:val="bottom"/>
            <w:hideMark/>
          </w:tcPr>
          <w:p w14:paraId="7C03FDC3"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2021.25</w:t>
            </w:r>
          </w:p>
        </w:tc>
        <w:tc>
          <w:tcPr>
            <w:tcW w:w="1530" w:type="dxa"/>
            <w:tcBorders>
              <w:top w:val="nil"/>
              <w:left w:val="nil"/>
              <w:bottom w:val="single" w:sz="4" w:space="0" w:color="auto"/>
              <w:right w:val="single" w:sz="4" w:space="0" w:color="auto"/>
            </w:tcBorders>
            <w:shd w:val="clear" w:color="auto" w:fill="auto"/>
            <w:noWrap/>
            <w:vAlign w:val="bottom"/>
            <w:hideMark/>
          </w:tcPr>
          <w:p w14:paraId="402B1F58"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2021.25</w:t>
            </w:r>
          </w:p>
        </w:tc>
      </w:tr>
      <w:tr w:rsidR="00DC25E0" w:rsidRPr="00B7675F" w14:paraId="53CFFA9A"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2B256252"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22</w:t>
            </w:r>
          </w:p>
        </w:tc>
        <w:tc>
          <w:tcPr>
            <w:tcW w:w="1420" w:type="dxa"/>
            <w:tcBorders>
              <w:top w:val="nil"/>
              <w:left w:val="nil"/>
              <w:bottom w:val="single" w:sz="4" w:space="0" w:color="auto"/>
              <w:right w:val="single" w:sz="4" w:space="0" w:color="auto"/>
            </w:tcBorders>
            <w:shd w:val="clear" w:color="auto" w:fill="auto"/>
            <w:vAlign w:val="bottom"/>
            <w:hideMark/>
          </w:tcPr>
          <w:p w14:paraId="5439A068" w14:textId="2D3C20E5" w:rsidR="00DC25E0" w:rsidRPr="00736448" w:rsidRDefault="0040684B" w:rsidP="00911B93">
            <w:pPr>
              <w:spacing w:after="0" w:line="240" w:lineRule="auto"/>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АК №</w:t>
            </w:r>
            <w:r w:rsidR="00DC25E0" w:rsidRPr="00736448">
              <w:rPr>
                <w:rFonts w:asciiTheme="majorHAnsi" w:eastAsia="Times New Roman" w:hAnsiTheme="majorHAnsi" w:cs="Times New Roman"/>
                <w:color w:val="000000"/>
                <w:sz w:val="20"/>
                <w:szCs w:val="20"/>
                <w:lang w:val="ro-MD"/>
              </w:rPr>
              <w:t xml:space="preserve"> 22</w:t>
            </w:r>
          </w:p>
        </w:tc>
        <w:tc>
          <w:tcPr>
            <w:tcW w:w="1273" w:type="dxa"/>
            <w:tcBorders>
              <w:top w:val="nil"/>
              <w:left w:val="nil"/>
              <w:bottom w:val="single" w:sz="4" w:space="0" w:color="auto"/>
              <w:right w:val="single" w:sz="4" w:space="0" w:color="auto"/>
            </w:tcBorders>
            <w:shd w:val="clear" w:color="auto" w:fill="auto"/>
            <w:vAlign w:val="bottom"/>
            <w:hideMark/>
          </w:tcPr>
          <w:p w14:paraId="41CB8D99"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12/12/2022</w:t>
            </w:r>
          </w:p>
        </w:tc>
        <w:tc>
          <w:tcPr>
            <w:tcW w:w="1682" w:type="dxa"/>
            <w:tcBorders>
              <w:top w:val="nil"/>
              <w:left w:val="nil"/>
              <w:bottom w:val="single" w:sz="4" w:space="0" w:color="auto"/>
              <w:right w:val="single" w:sz="4" w:space="0" w:color="auto"/>
            </w:tcBorders>
            <w:shd w:val="clear" w:color="auto" w:fill="auto"/>
            <w:vAlign w:val="bottom"/>
            <w:hideMark/>
          </w:tcPr>
          <w:p w14:paraId="3903FBED"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x</w:t>
            </w:r>
          </w:p>
        </w:tc>
        <w:tc>
          <w:tcPr>
            <w:tcW w:w="1108" w:type="dxa"/>
            <w:tcBorders>
              <w:top w:val="nil"/>
              <w:left w:val="nil"/>
              <w:bottom w:val="single" w:sz="4" w:space="0" w:color="auto"/>
              <w:right w:val="single" w:sz="4" w:space="0" w:color="auto"/>
            </w:tcBorders>
            <w:shd w:val="clear" w:color="auto" w:fill="auto"/>
            <w:noWrap/>
            <w:vAlign w:val="bottom"/>
            <w:hideMark/>
          </w:tcPr>
          <w:p w14:paraId="68E488AA"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800" w:type="dxa"/>
            <w:tcBorders>
              <w:top w:val="nil"/>
              <w:left w:val="nil"/>
              <w:bottom w:val="single" w:sz="4" w:space="0" w:color="auto"/>
              <w:right w:val="single" w:sz="4" w:space="0" w:color="auto"/>
            </w:tcBorders>
            <w:shd w:val="clear" w:color="auto" w:fill="auto"/>
            <w:noWrap/>
            <w:vAlign w:val="bottom"/>
            <w:hideMark/>
          </w:tcPr>
          <w:p w14:paraId="225BCC3C" w14:textId="35AB840C" w:rsidR="00DC25E0" w:rsidRPr="00736448" w:rsidRDefault="003968C1" w:rsidP="00911B93">
            <w:pPr>
              <w:spacing w:after="0" w:line="240" w:lineRule="auto"/>
              <w:jc w:val="center"/>
              <w:rPr>
                <w:rFonts w:asciiTheme="majorHAnsi" w:eastAsia="Times New Roman" w:hAnsiTheme="majorHAnsi" w:cs="Calibri"/>
                <w:color w:val="000000"/>
                <w:sz w:val="20"/>
                <w:szCs w:val="20"/>
                <w:lang w:val="ro-MD"/>
              </w:rPr>
            </w:pPr>
            <w:r>
              <w:rPr>
                <w:rFonts w:asciiTheme="majorHAnsi" w:eastAsia="Times New Roman" w:hAnsiTheme="majorHAnsi" w:cs="Calibri"/>
                <w:color w:val="000000"/>
                <w:sz w:val="20"/>
                <w:szCs w:val="20"/>
                <w:lang w:val="ro-MD"/>
              </w:rPr>
              <w:t>декабрь</w:t>
            </w:r>
          </w:p>
        </w:tc>
        <w:tc>
          <w:tcPr>
            <w:tcW w:w="1350" w:type="dxa"/>
            <w:tcBorders>
              <w:top w:val="nil"/>
              <w:left w:val="nil"/>
              <w:bottom w:val="single" w:sz="4" w:space="0" w:color="auto"/>
              <w:right w:val="single" w:sz="4" w:space="0" w:color="auto"/>
            </w:tcBorders>
            <w:shd w:val="clear" w:color="auto" w:fill="auto"/>
            <w:noWrap/>
            <w:vAlign w:val="bottom"/>
            <w:hideMark/>
          </w:tcPr>
          <w:p w14:paraId="36B6D18B"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1239</w:t>
            </w:r>
          </w:p>
        </w:tc>
        <w:tc>
          <w:tcPr>
            <w:tcW w:w="1530" w:type="dxa"/>
            <w:tcBorders>
              <w:top w:val="nil"/>
              <w:left w:val="nil"/>
              <w:bottom w:val="single" w:sz="4" w:space="0" w:color="auto"/>
              <w:right w:val="single" w:sz="4" w:space="0" w:color="auto"/>
            </w:tcBorders>
            <w:shd w:val="clear" w:color="auto" w:fill="auto"/>
            <w:noWrap/>
            <w:vAlign w:val="bottom"/>
            <w:hideMark/>
          </w:tcPr>
          <w:p w14:paraId="1E91A0BB"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1239</w:t>
            </w:r>
          </w:p>
        </w:tc>
      </w:tr>
      <w:tr w:rsidR="00DC25E0" w:rsidRPr="00B7675F" w14:paraId="584FAB8D"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CCDC986"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23</w:t>
            </w:r>
          </w:p>
        </w:tc>
        <w:tc>
          <w:tcPr>
            <w:tcW w:w="1420" w:type="dxa"/>
            <w:tcBorders>
              <w:top w:val="nil"/>
              <w:left w:val="nil"/>
              <w:bottom w:val="single" w:sz="4" w:space="0" w:color="auto"/>
              <w:right w:val="single" w:sz="4" w:space="0" w:color="auto"/>
            </w:tcBorders>
            <w:shd w:val="clear" w:color="auto" w:fill="auto"/>
            <w:vAlign w:val="bottom"/>
            <w:hideMark/>
          </w:tcPr>
          <w:p w14:paraId="2DB902E1" w14:textId="5CA7A2E8" w:rsidR="00DC25E0" w:rsidRPr="00736448" w:rsidRDefault="0040684B" w:rsidP="00911B93">
            <w:pPr>
              <w:spacing w:after="0" w:line="240" w:lineRule="auto"/>
              <w:rPr>
                <w:rFonts w:asciiTheme="majorHAnsi" w:eastAsia="Times New Roman" w:hAnsiTheme="majorHAnsi" w:cs="Times New Roman"/>
                <w:color w:val="000000"/>
                <w:sz w:val="20"/>
                <w:szCs w:val="20"/>
                <w:lang w:val="ro-MD"/>
              </w:rPr>
            </w:pPr>
            <w:r>
              <w:rPr>
                <w:rFonts w:asciiTheme="majorHAnsi" w:eastAsia="Times New Roman" w:hAnsiTheme="majorHAnsi" w:cs="Times New Roman"/>
                <w:color w:val="000000"/>
                <w:sz w:val="20"/>
                <w:szCs w:val="20"/>
                <w:lang w:val="ro-MD"/>
              </w:rPr>
              <w:t>АК №</w:t>
            </w:r>
            <w:r w:rsidR="00DC25E0" w:rsidRPr="00736448">
              <w:rPr>
                <w:rFonts w:asciiTheme="majorHAnsi" w:eastAsia="Times New Roman" w:hAnsiTheme="majorHAnsi" w:cs="Times New Roman"/>
                <w:color w:val="000000"/>
                <w:sz w:val="20"/>
                <w:szCs w:val="20"/>
                <w:lang w:val="ro-MD"/>
              </w:rPr>
              <w:t xml:space="preserve"> 23</w:t>
            </w:r>
          </w:p>
        </w:tc>
        <w:tc>
          <w:tcPr>
            <w:tcW w:w="1273" w:type="dxa"/>
            <w:tcBorders>
              <w:top w:val="nil"/>
              <w:left w:val="nil"/>
              <w:bottom w:val="single" w:sz="4" w:space="0" w:color="auto"/>
              <w:right w:val="single" w:sz="4" w:space="0" w:color="auto"/>
            </w:tcBorders>
            <w:shd w:val="clear" w:color="auto" w:fill="auto"/>
            <w:vAlign w:val="bottom"/>
            <w:hideMark/>
          </w:tcPr>
          <w:p w14:paraId="2DB04C7A"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12/14/2022</w:t>
            </w:r>
          </w:p>
        </w:tc>
        <w:tc>
          <w:tcPr>
            <w:tcW w:w="1682" w:type="dxa"/>
            <w:tcBorders>
              <w:top w:val="nil"/>
              <w:left w:val="nil"/>
              <w:bottom w:val="single" w:sz="4" w:space="0" w:color="auto"/>
              <w:right w:val="single" w:sz="4" w:space="0" w:color="auto"/>
            </w:tcBorders>
            <w:shd w:val="clear" w:color="auto" w:fill="auto"/>
            <w:vAlign w:val="bottom"/>
            <w:hideMark/>
          </w:tcPr>
          <w:p w14:paraId="5F72BCE2"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x</w:t>
            </w:r>
          </w:p>
        </w:tc>
        <w:tc>
          <w:tcPr>
            <w:tcW w:w="1108" w:type="dxa"/>
            <w:tcBorders>
              <w:top w:val="nil"/>
              <w:left w:val="nil"/>
              <w:bottom w:val="single" w:sz="4" w:space="0" w:color="auto"/>
              <w:right w:val="single" w:sz="4" w:space="0" w:color="auto"/>
            </w:tcBorders>
            <w:shd w:val="clear" w:color="auto" w:fill="auto"/>
            <w:noWrap/>
            <w:vAlign w:val="bottom"/>
            <w:hideMark/>
          </w:tcPr>
          <w:p w14:paraId="4FC51EC4"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800" w:type="dxa"/>
            <w:tcBorders>
              <w:top w:val="nil"/>
              <w:left w:val="nil"/>
              <w:bottom w:val="single" w:sz="4" w:space="0" w:color="auto"/>
              <w:right w:val="single" w:sz="4" w:space="0" w:color="auto"/>
            </w:tcBorders>
            <w:shd w:val="clear" w:color="auto" w:fill="auto"/>
            <w:noWrap/>
            <w:vAlign w:val="bottom"/>
            <w:hideMark/>
          </w:tcPr>
          <w:p w14:paraId="583A17EC" w14:textId="5FC05784" w:rsidR="00DC25E0" w:rsidRPr="00736448" w:rsidRDefault="003968C1" w:rsidP="00911B93">
            <w:pPr>
              <w:spacing w:after="0" w:line="240" w:lineRule="auto"/>
              <w:jc w:val="center"/>
              <w:rPr>
                <w:rFonts w:asciiTheme="majorHAnsi" w:eastAsia="Times New Roman" w:hAnsiTheme="majorHAnsi" w:cs="Calibri"/>
                <w:color w:val="000000"/>
                <w:sz w:val="20"/>
                <w:szCs w:val="20"/>
                <w:lang w:val="ro-MD"/>
              </w:rPr>
            </w:pPr>
            <w:r>
              <w:rPr>
                <w:rFonts w:asciiTheme="majorHAnsi" w:eastAsia="Times New Roman" w:hAnsiTheme="majorHAnsi" w:cs="Calibri"/>
                <w:color w:val="000000"/>
                <w:sz w:val="20"/>
                <w:szCs w:val="20"/>
                <w:lang w:val="ro-MD"/>
              </w:rPr>
              <w:t>декабрь</w:t>
            </w:r>
          </w:p>
        </w:tc>
        <w:tc>
          <w:tcPr>
            <w:tcW w:w="1350" w:type="dxa"/>
            <w:tcBorders>
              <w:top w:val="nil"/>
              <w:left w:val="nil"/>
              <w:bottom w:val="single" w:sz="4" w:space="0" w:color="auto"/>
              <w:right w:val="single" w:sz="4" w:space="0" w:color="auto"/>
            </w:tcBorders>
            <w:shd w:val="clear" w:color="auto" w:fill="auto"/>
            <w:noWrap/>
            <w:vAlign w:val="bottom"/>
            <w:hideMark/>
          </w:tcPr>
          <w:p w14:paraId="47B4A6F4"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1109</w:t>
            </w:r>
          </w:p>
        </w:tc>
        <w:tc>
          <w:tcPr>
            <w:tcW w:w="1530" w:type="dxa"/>
            <w:tcBorders>
              <w:top w:val="nil"/>
              <w:left w:val="nil"/>
              <w:bottom w:val="single" w:sz="4" w:space="0" w:color="auto"/>
              <w:right w:val="single" w:sz="4" w:space="0" w:color="auto"/>
            </w:tcBorders>
            <w:shd w:val="clear" w:color="auto" w:fill="auto"/>
            <w:noWrap/>
            <w:vAlign w:val="bottom"/>
            <w:hideMark/>
          </w:tcPr>
          <w:p w14:paraId="7875BFE5"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1109</w:t>
            </w:r>
          </w:p>
        </w:tc>
      </w:tr>
      <w:tr w:rsidR="00DC25E0" w:rsidRPr="00B7675F" w14:paraId="3D9557F8"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37527B4" w14:textId="77777777" w:rsidR="00DC25E0" w:rsidRPr="00736448" w:rsidRDefault="00DC25E0" w:rsidP="00911B93">
            <w:pPr>
              <w:spacing w:after="0" w:line="240" w:lineRule="auto"/>
              <w:rPr>
                <w:rFonts w:asciiTheme="majorHAnsi" w:eastAsia="Times New Roman" w:hAnsiTheme="majorHAnsi" w:cs="Calibri"/>
                <w:b/>
                <w:bCs/>
                <w:color w:val="000000"/>
                <w:sz w:val="20"/>
                <w:szCs w:val="20"/>
                <w:lang w:val="ro-MD"/>
              </w:rPr>
            </w:pPr>
            <w:r w:rsidRPr="00736448">
              <w:rPr>
                <w:rFonts w:asciiTheme="majorHAnsi" w:eastAsia="Times New Roman" w:hAnsiTheme="majorHAnsi" w:cs="Calibri"/>
                <w:b/>
                <w:bCs/>
                <w:color w:val="000000"/>
                <w:sz w:val="20"/>
                <w:szCs w:val="20"/>
                <w:lang w:val="ro-MD"/>
              </w:rPr>
              <w:t> </w:t>
            </w:r>
          </w:p>
        </w:tc>
        <w:tc>
          <w:tcPr>
            <w:tcW w:w="1420" w:type="dxa"/>
            <w:tcBorders>
              <w:top w:val="nil"/>
              <w:left w:val="nil"/>
              <w:bottom w:val="single" w:sz="4" w:space="0" w:color="auto"/>
              <w:right w:val="single" w:sz="4" w:space="0" w:color="auto"/>
            </w:tcBorders>
            <w:shd w:val="clear" w:color="auto" w:fill="auto"/>
            <w:noWrap/>
            <w:vAlign w:val="bottom"/>
            <w:hideMark/>
          </w:tcPr>
          <w:p w14:paraId="4080D1F3" w14:textId="23401AFB" w:rsidR="00DC25E0" w:rsidRPr="0040684B" w:rsidRDefault="00DC25E0" w:rsidP="0040684B">
            <w:pPr>
              <w:spacing w:after="0" w:line="240" w:lineRule="auto"/>
              <w:rPr>
                <w:rFonts w:asciiTheme="majorHAnsi" w:eastAsia="Times New Roman" w:hAnsiTheme="majorHAnsi" w:cs="Calibri"/>
                <w:b/>
                <w:bCs/>
                <w:color w:val="000000"/>
                <w:sz w:val="20"/>
                <w:szCs w:val="20"/>
                <w:lang w:val="ru-RU"/>
              </w:rPr>
            </w:pPr>
            <w:r w:rsidRPr="00736448">
              <w:rPr>
                <w:rFonts w:asciiTheme="majorHAnsi" w:eastAsia="Times New Roman" w:hAnsiTheme="majorHAnsi" w:cs="Calibri"/>
                <w:b/>
                <w:bCs/>
                <w:color w:val="000000"/>
                <w:sz w:val="20"/>
                <w:szCs w:val="20"/>
                <w:lang w:val="ro-MD"/>
              </w:rPr>
              <w:t> </w:t>
            </w:r>
            <w:r w:rsidR="0040684B">
              <w:rPr>
                <w:rFonts w:asciiTheme="majorHAnsi" w:eastAsia="Times New Roman" w:hAnsiTheme="majorHAnsi" w:cs="Calibri"/>
                <w:b/>
                <w:bCs/>
                <w:color w:val="000000"/>
                <w:sz w:val="20"/>
                <w:szCs w:val="20"/>
                <w:lang w:val="ru-RU"/>
              </w:rPr>
              <w:t>Всего</w:t>
            </w:r>
          </w:p>
        </w:tc>
        <w:tc>
          <w:tcPr>
            <w:tcW w:w="1273" w:type="dxa"/>
            <w:tcBorders>
              <w:top w:val="nil"/>
              <w:left w:val="nil"/>
              <w:bottom w:val="single" w:sz="4" w:space="0" w:color="auto"/>
              <w:right w:val="single" w:sz="4" w:space="0" w:color="auto"/>
            </w:tcBorders>
            <w:shd w:val="clear" w:color="auto" w:fill="auto"/>
            <w:noWrap/>
            <w:vAlign w:val="bottom"/>
            <w:hideMark/>
          </w:tcPr>
          <w:p w14:paraId="29031B8A" w14:textId="77777777" w:rsidR="00DC25E0" w:rsidRPr="00736448" w:rsidRDefault="00DC25E0" w:rsidP="00911B93">
            <w:pPr>
              <w:spacing w:after="0" w:line="240" w:lineRule="auto"/>
              <w:rPr>
                <w:rFonts w:asciiTheme="majorHAnsi" w:eastAsia="Times New Roman" w:hAnsiTheme="majorHAnsi" w:cs="Calibri"/>
                <w:b/>
                <w:bCs/>
                <w:color w:val="000000"/>
                <w:sz w:val="20"/>
                <w:szCs w:val="20"/>
                <w:lang w:val="ro-MD"/>
              </w:rPr>
            </w:pPr>
            <w:r w:rsidRPr="00736448">
              <w:rPr>
                <w:rFonts w:asciiTheme="majorHAnsi" w:eastAsia="Times New Roman" w:hAnsiTheme="majorHAnsi" w:cs="Calibri"/>
                <w:b/>
                <w:bCs/>
                <w:color w:val="000000"/>
                <w:sz w:val="20"/>
                <w:szCs w:val="20"/>
                <w:lang w:val="ro-MD"/>
              </w:rPr>
              <w:t> </w:t>
            </w:r>
          </w:p>
        </w:tc>
        <w:tc>
          <w:tcPr>
            <w:tcW w:w="1682" w:type="dxa"/>
            <w:tcBorders>
              <w:top w:val="nil"/>
              <w:left w:val="nil"/>
              <w:bottom w:val="single" w:sz="4" w:space="0" w:color="auto"/>
              <w:right w:val="single" w:sz="4" w:space="0" w:color="auto"/>
            </w:tcBorders>
            <w:shd w:val="clear" w:color="auto" w:fill="auto"/>
            <w:noWrap/>
            <w:vAlign w:val="bottom"/>
            <w:hideMark/>
          </w:tcPr>
          <w:p w14:paraId="774442D0"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p>
        </w:tc>
        <w:tc>
          <w:tcPr>
            <w:tcW w:w="1108" w:type="dxa"/>
            <w:tcBorders>
              <w:top w:val="nil"/>
              <w:left w:val="nil"/>
              <w:bottom w:val="single" w:sz="4" w:space="0" w:color="auto"/>
              <w:right w:val="single" w:sz="4" w:space="0" w:color="auto"/>
            </w:tcBorders>
            <w:shd w:val="clear" w:color="auto" w:fill="auto"/>
            <w:noWrap/>
            <w:vAlign w:val="bottom"/>
            <w:hideMark/>
          </w:tcPr>
          <w:p w14:paraId="10C422EC" w14:textId="77777777" w:rsidR="00DC25E0" w:rsidRPr="00736448" w:rsidRDefault="00DC25E0" w:rsidP="00911B93">
            <w:pPr>
              <w:spacing w:after="0" w:line="240" w:lineRule="auto"/>
              <w:jc w:val="right"/>
              <w:rPr>
                <w:rFonts w:asciiTheme="majorHAnsi" w:eastAsia="Times New Roman" w:hAnsiTheme="majorHAnsi" w:cs="Calibri"/>
                <w:b/>
                <w:bCs/>
                <w:color w:val="000000"/>
                <w:sz w:val="20"/>
                <w:szCs w:val="20"/>
                <w:lang w:val="ro-MD"/>
              </w:rPr>
            </w:pPr>
            <w:r w:rsidRPr="00736448">
              <w:rPr>
                <w:rFonts w:asciiTheme="majorHAnsi" w:eastAsia="Times New Roman" w:hAnsiTheme="majorHAnsi" w:cs="Calibri"/>
                <w:b/>
                <w:bCs/>
                <w:color w:val="000000"/>
                <w:sz w:val="20"/>
                <w:szCs w:val="20"/>
                <w:lang w:val="ro-MD"/>
              </w:rPr>
              <w:t>138388.25</w:t>
            </w:r>
          </w:p>
        </w:tc>
        <w:tc>
          <w:tcPr>
            <w:tcW w:w="1800" w:type="dxa"/>
            <w:tcBorders>
              <w:top w:val="nil"/>
              <w:left w:val="nil"/>
              <w:bottom w:val="single" w:sz="4" w:space="0" w:color="auto"/>
              <w:right w:val="single" w:sz="4" w:space="0" w:color="auto"/>
            </w:tcBorders>
            <w:shd w:val="clear" w:color="auto" w:fill="auto"/>
            <w:noWrap/>
            <w:vAlign w:val="bottom"/>
            <w:hideMark/>
          </w:tcPr>
          <w:p w14:paraId="4F7C66DD"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p>
        </w:tc>
        <w:tc>
          <w:tcPr>
            <w:tcW w:w="1350" w:type="dxa"/>
            <w:tcBorders>
              <w:top w:val="nil"/>
              <w:left w:val="nil"/>
              <w:bottom w:val="single" w:sz="4" w:space="0" w:color="auto"/>
              <w:right w:val="single" w:sz="4" w:space="0" w:color="auto"/>
            </w:tcBorders>
            <w:shd w:val="clear" w:color="auto" w:fill="auto"/>
            <w:noWrap/>
            <w:vAlign w:val="bottom"/>
            <w:hideMark/>
          </w:tcPr>
          <w:p w14:paraId="72830FCA" w14:textId="77777777" w:rsidR="00DC25E0" w:rsidRPr="00736448" w:rsidRDefault="00DC25E0" w:rsidP="00911B93">
            <w:pPr>
              <w:spacing w:after="0" w:line="240" w:lineRule="auto"/>
              <w:jc w:val="right"/>
              <w:rPr>
                <w:rFonts w:asciiTheme="majorHAnsi" w:eastAsia="Times New Roman" w:hAnsiTheme="majorHAnsi" w:cs="Calibri"/>
                <w:b/>
                <w:bCs/>
                <w:color w:val="000000"/>
                <w:sz w:val="20"/>
                <w:szCs w:val="20"/>
                <w:lang w:val="ro-MD"/>
              </w:rPr>
            </w:pPr>
            <w:r w:rsidRPr="00736448">
              <w:rPr>
                <w:rFonts w:asciiTheme="majorHAnsi" w:eastAsia="Times New Roman" w:hAnsiTheme="majorHAnsi" w:cs="Calibri"/>
                <w:b/>
                <w:bCs/>
                <w:color w:val="000000"/>
                <w:sz w:val="20"/>
                <w:szCs w:val="20"/>
                <w:lang w:val="ro-MD"/>
              </w:rPr>
              <w:t>172133.0</w:t>
            </w:r>
          </w:p>
        </w:tc>
        <w:tc>
          <w:tcPr>
            <w:tcW w:w="1530" w:type="dxa"/>
            <w:tcBorders>
              <w:top w:val="nil"/>
              <w:left w:val="nil"/>
              <w:bottom w:val="single" w:sz="4" w:space="0" w:color="auto"/>
              <w:right w:val="single" w:sz="4" w:space="0" w:color="auto"/>
            </w:tcBorders>
            <w:shd w:val="clear" w:color="auto" w:fill="auto"/>
            <w:noWrap/>
            <w:vAlign w:val="bottom"/>
            <w:hideMark/>
          </w:tcPr>
          <w:p w14:paraId="29019A9E" w14:textId="77777777" w:rsidR="00DC25E0" w:rsidRPr="00736448" w:rsidRDefault="00DC25E0" w:rsidP="00911B93">
            <w:pPr>
              <w:spacing w:after="0" w:line="240" w:lineRule="auto"/>
              <w:jc w:val="right"/>
              <w:rPr>
                <w:rFonts w:asciiTheme="majorHAnsi" w:eastAsia="Times New Roman" w:hAnsiTheme="majorHAnsi" w:cs="Calibri"/>
                <w:b/>
                <w:bCs/>
                <w:color w:val="000000"/>
                <w:sz w:val="20"/>
                <w:szCs w:val="20"/>
                <w:lang w:val="ro-MD"/>
              </w:rPr>
            </w:pPr>
            <w:r w:rsidRPr="00736448">
              <w:rPr>
                <w:rFonts w:asciiTheme="majorHAnsi" w:eastAsia="Times New Roman" w:hAnsiTheme="majorHAnsi" w:cs="Calibri"/>
                <w:b/>
                <w:bCs/>
                <w:color w:val="000000"/>
                <w:sz w:val="20"/>
                <w:szCs w:val="20"/>
                <w:lang w:val="ro-MD"/>
              </w:rPr>
              <w:t>310521.25</w:t>
            </w:r>
          </w:p>
        </w:tc>
      </w:tr>
    </w:tbl>
    <w:p w14:paraId="5A847BFF" w14:textId="29D36315" w:rsidR="00DC25E0" w:rsidRPr="00736448" w:rsidRDefault="00DC25E0" w:rsidP="00053CBC">
      <w:pPr>
        <w:shd w:val="clear" w:color="auto" w:fill="FFFFFF" w:themeFill="background1"/>
        <w:spacing w:line="276" w:lineRule="auto"/>
        <w:jc w:val="both"/>
        <w:rPr>
          <w:rFonts w:asciiTheme="majorHAnsi" w:hAnsiTheme="majorHAnsi" w:cstheme="majorHAnsi"/>
          <w:sz w:val="24"/>
          <w:szCs w:val="24"/>
          <w:lang w:val="ro-MD"/>
        </w:rPr>
      </w:pPr>
    </w:p>
    <w:p w14:paraId="13821855" w14:textId="77777777" w:rsidR="00444516" w:rsidRPr="00736448" w:rsidRDefault="00444516" w:rsidP="00444516">
      <w:pPr>
        <w:pStyle w:val="2"/>
        <w:rPr>
          <w:rFonts w:cstheme="majorHAnsi"/>
          <w:sz w:val="24"/>
          <w:szCs w:val="24"/>
          <w:lang w:val="ro-MD"/>
        </w:rPr>
      </w:pPr>
      <w:r w:rsidRPr="00736448">
        <w:rPr>
          <w:rFonts w:cstheme="majorHAnsi"/>
          <w:sz w:val="24"/>
          <w:szCs w:val="24"/>
          <w:lang w:val="ro-MD"/>
        </w:rPr>
        <w:br w:type="page"/>
      </w:r>
    </w:p>
    <w:p w14:paraId="5C56BA00" w14:textId="0A65E310" w:rsidR="00E46FC8" w:rsidRPr="00736448" w:rsidRDefault="00FC62B3" w:rsidP="00444516">
      <w:pPr>
        <w:pStyle w:val="2"/>
        <w:jc w:val="right"/>
        <w:rPr>
          <w:rFonts w:cstheme="majorHAnsi"/>
          <w:b/>
          <w:sz w:val="24"/>
          <w:szCs w:val="24"/>
          <w:lang w:val="ro-MD"/>
        </w:rPr>
      </w:pPr>
      <w:r>
        <w:rPr>
          <w:rFonts w:cstheme="majorHAnsi"/>
          <w:b/>
          <w:sz w:val="24"/>
          <w:szCs w:val="24"/>
          <w:lang w:val="ro-MD"/>
        </w:rPr>
        <w:t>Приложение №</w:t>
      </w:r>
      <w:r w:rsidR="00444516" w:rsidRPr="00736448">
        <w:rPr>
          <w:rFonts w:cstheme="majorHAnsi"/>
          <w:b/>
          <w:sz w:val="24"/>
          <w:szCs w:val="24"/>
          <w:lang w:val="ro-MD"/>
        </w:rPr>
        <w:t>6</w:t>
      </w:r>
    </w:p>
    <w:p w14:paraId="11A888C7" w14:textId="4421F58E" w:rsidR="00444516" w:rsidRPr="00736448" w:rsidRDefault="00C515BF" w:rsidP="00444516">
      <w:pPr>
        <w:jc w:val="center"/>
        <w:rPr>
          <w:rFonts w:asciiTheme="majorHAnsi" w:hAnsiTheme="majorHAnsi"/>
          <w:b/>
          <w:sz w:val="24"/>
          <w:szCs w:val="24"/>
          <w:lang w:val="ro-MD"/>
        </w:rPr>
      </w:pPr>
      <w:r w:rsidRPr="00C515BF">
        <w:rPr>
          <w:rFonts w:asciiTheme="majorHAnsi" w:hAnsiTheme="majorHAnsi"/>
          <w:b/>
          <w:sz w:val="24"/>
          <w:szCs w:val="24"/>
          <w:lang w:val="ro-MD"/>
        </w:rPr>
        <w:t>Информация о международных соглашениях на основе принципа территориальности</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95"/>
        <w:gridCol w:w="2950"/>
        <w:gridCol w:w="3952"/>
        <w:gridCol w:w="3038"/>
      </w:tblGrid>
      <w:tr w:rsidR="00E46FC8" w:rsidRPr="00B7675F" w14:paraId="6862CB80" w14:textId="77777777" w:rsidTr="00B27804">
        <w:trPr>
          <w:trHeight w:val="476"/>
          <w:jc w:val="center"/>
        </w:trPr>
        <w:tc>
          <w:tcPr>
            <w:tcW w:w="451" w:type="dxa"/>
            <w:shd w:val="clear" w:color="auto" w:fill="FFFFFF" w:themeFill="background1"/>
            <w:vAlign w:val="center"/>
          </w:tcPr>
          <w:p w14:paraId="062A8924" w14:textId="5F5D26AA" w:rsidR="00E15964" w:rsidRPr="006D4E54" w:rsidRDefault="006D4E54" w:rsidP="00E46FC8">
            <w:pPr>
              <w:spacing w:after="0" w:line="276" w:lineRule="auto"/>
              <w:jc w:val="center"/>
              <w:rPr>
                <w:rFonts w:asciiTheme="majorHAnsi" w:eastAsia="Times New Roman" w:hAnsiTheme="majorHAnsi" w:cstheme="majorHAnsi"/>
                <w:b/>
                <w:sz w:val="20"/>
                <w:szCs w:val="24"/>
                <w:lang w:val="ru-RU" w:eastAsia="ro-RO"/>
              </w:rPr>
            </w:pPr>
            <w:r>
              <w:rPr>
                <w:rFonts w:asciiTheme="majorHAnsi" w:eastAsia="Times New Roman" w:hAnsiTheme="majorHAnsi" w:cstheme="majorHAnsi"/>
                <w:b/>
                <w:sz w:val="20"/>
                <w:szCs w:val="24"/>
                <w:lang w:val="ru-RU" w:eastAsia="ro-RO"/>
              </w:rPr>
              <w:t>№ п/п</w:t>
            </w:r>
          </w:p>
        </w:tc>
        <w:tc>
          <w:tcPr>
            <w:tcW w:w="2964" w:type="dxa"/>
            <w:shd w:val="clear" w:color="auto" w:fill="FFFFFF" w:themeFill="background1"/>
            <w:vAlign w:val="center"/>
          </w:tcPr>
          <w:p w14:paraId="28DBD636" w14:textId="1DC11463" w:rsidR="00E46FC8" w:rsidRPr="006D4E54" w:rsidRDefault="006D4E54" w:rsidP="00E46FC8">
            <w:pPr>
              <w:spacing w:after="0" w:line="276" w:lineRule="auto"/>
              <w:jc w:val="center"/>
              <w:rPr>
                <w:rFonts w:asciiTheme="majorHAnsi" w:eastAsia="Times New Roman" w:hAnsiTheme="majorHAnsi" w:cstheme="majorHAnsi"/>
                <w:b/>
                <w:sz w:val="20"/>
                <w:szCs w:val="24"/>
                <w:lang w:val="ru-RU" w:eastAsia="ro-RO"/>
              </w:rPr>
            </w:pPr>
            <w:r>
              <w:rPr>
                <w:rFonts w:asciiTheme="majorHAnsi" w:eastAsia="Times New Roman" w:hAnsiTheme="majorHAnsi" w:cstheme="majorHAnsi"/>
                <w:b/>
                <w:sz w:val="20"/>
                <w:szCs w:val="24"/>
                <w:lang w:val="ru-RU" w:eastAsia="ro-RO"/>
              </w:rPr>
              <w:t>Страна</w:t>
            </w:r>
          </w:p>
        </w:tc>
        <w:tc>
          <w:tcPr>
            <w:tcW w:w="3965" w:type="dxa"/>
            <w:shd w:val="clear" w:color="auto" w:fill="FFFFFF" w:themeFill="background1"/>
            <w:vAlign w:val="center"/>
          </w:tcPr>
          <w:p w14:paraId="14B5AEEF" w14:textId="26F5F111" w:rsidR="00E46FC8" w:rsidRPr="00736448" w:rsidRDefault="006D4E54" w:rsidP="006D4E54">
            <w:pPr>
              <w:spacing w:after="0" w:line="276" w:lineRule="auto"/>
              <w:jc w:val="center"/>
              <w:rPr>
                <w:rFonts w:asciiTheme="majorHAnsi" w:eastAsia="Times New Roman" w:hAnsiTheme="majorHAnsi" w:cstheme="majorHAnsi"/>
                <w:b/>
                <w:sz w:val="20"/>
                <w:szCs w:val="24"/>
                <w:lang w:val="ro-MD" w:eastAsia="ro-RO"/>
              </w:rPr>
            </w:pPr>
            <w:r>
              <w:rPr>
                <w:rFonts w:asciiTheme="majorHAnsi" w:eastAsia="Times New Roman" w:hAnsiTheme="majorHAnsi" w:cstheme="majorHAnsi"/>
                <w:b/>
                <w:sz w:val="20"/>
                <w:szCs w:val="24"/>
                <w:lang w:val="ru-RU" w:eastAsia="ro-RO"/>
              </w:rPr>
              <w:t>Дата</w:t>
            </w:r>
            <w:r w:rsidR="00E46FC8" w:rsidRPr="00736448">
              <w:rPr>
                <w:rFonts w:asciiTheme="majorHAnsi" w:eastAsia="Times New Roman" w:hAnsiTheme="majorHAnsi" w:cstheme="majorHAnsi"/>
                <w:b/>
                <w:sz w:val="20"/>
                <w:szCs w:val="24"/>
                <w:lang w:val="ro-MD" w:eastAsia="ro-RO"/>
              </w:rPr>
              <w:t>,</w:t>
            </w:r>
            <w:r>
              <w:rPr>
                <w:rFonts w:asciiTheme="majorHAnsi" w:eastAsia="Times New Roman" w:hAnsiTheme="majorHAnsi" w:cstheme="majorHAnsi"/>
                <w:b/>
                <w:sz w:val="20"/>
                <w:szCs w:val="24"/>
                <w:lang w:val="ru-RU" w:eastAsia="ro-RO"/>
              </w:rPr>
              <w:t xml:space="preserve"> Страна Подписания</w:t>
            </w:r>
          </w:p>
        </w:tc>
        <w:tc>
          <w:tcPr>
            <w:tcW w:w="3055" w:type="dxa"/>
            <w:shd w:val="clear" w:color="auto" w:fill="FFFFFF" w:themeFill="background1"/>
            <w:vAlign w:val="center"/>
          </w:tcPr>
          <w:p w14:paraId="1904CE15" w14:textId="3AFC882B" w:rsidR="00E46FC8" w:rsidRPr="00736448" w:rsidRDefault="006D4E54" w:rsidP="006D4E54">
            <w:pPr>
              <w:spacing w:after="0" w:line="276" w:lineRule="auto"/>
              <w:jc w:val="center"/>
              <w:rPr>
                <w:rFonts w:asciiTheme="majorHAnsi" w:eastAsia="Times New Roman" w:hAnsiTheme="majorHAnsi" w:cstheme="majorHAnsi"/>
                <w:b/>
                <w:sz w:val="20"/>
                <w:szCs w:val="24"/>
                <w:lang w:val="ro-MD" w:eastAsia="ro-RO"/>
              </w:rPr>
            </w:pPr>
            <w:r>
              <w:rPr>
                <w:rFonts w:asciiTheme="majorHAnsi" w:eastAsia="Times New Roman" w:hAnsiTheme="majorHAnsi" w:cstheme="majorHAnsi"/>
                <w:b/>
                <w:sz w:val="20"/>
                <w:szCs w:val="24"/>
                <w:lang w:val="ru-RU" w:eastAsia="ro-RO"/>
              </w:rPr>
              <w:t>Дата вступления в силу</w:t>
            </w:r>
          </w:p>
        </w:tc>
      </w:tr>
      <w:tr w:rsidR="00E46FC8" w:rsidRPr="00B7675F" w14:paraId="080EF2B2" w14:textId="77777777" w:rsidTr="00B27804">
        <w:trPr>
          <w:trHeight w:val="281"/>
          <w:jc w:val="center"/>
        </w:trPr>
        <w:tc>
          <w:tcPr>
            <w:tcW w:w="451" w:type="dxa"/>
            <w:vMerge w:val="restart"/>
            <w:shd w:val="clear" w:color="auto" w:fill="FFFFFF" w:themeFill="background1"/>
          </w:tcPr>
          <w:p w14:paraId="3125DF78" w14:textId="77777777" w:rsidR="00E46FC8" w:rsidRPr="00736448" w:rsidRDefault="00E46FC8" w:rsidP="00E46FC8">
            <w:pPr>
              <w:spacing w:after="0" w:line="276" w:lineRule="auto"/>
              <w:jc w:val="center"/>
              <w:rPr>
                <w:rFonts w:asciiTheme="majorHAnsi" w:eastAsia="Times New Roman" w:hAnsiTheme="majorHAnsi" w:cstheme="majorHAnsi"/>
                <w:b/>
                <w:sz w:val="20"/>
                <w:szCs w:val="24"/>
                <w:lang w:val="ro-MD" w:eastAsia="ro-RO"/>
              </w:rPr>
            </w:pPr>
            <w:r w:rsidRPr="00736448">
              <w:rPr>
                <w:rFonts w:asciiTheme="majorHAnsi" w:eastAsia="Times New Roman" w:hAnsiTheme="majorHAnsi" w:cstheme="majorHAnsi"/>
                <w:b/>
                <w:sz w:val="20"/>
                <w:szCs w:val="24"/>
                <w:lang w:val="ro-MD" w:eastAsia="ro-RO"/>
              </w:rPr>
              <w:t>1.</w:t>
            </w:r>
          </w:p>
        </w:tc>
        <w:tc>
          <w:tcPr>
            <w:tcW w:w="2964" w:type="dxa"/>
            <w:vMerge w:val="restart"/>
            <w:shd w:val="clear" w:color="auto" w:fill="FFFFFF" w:themeFill="background1"/>
          </w:tcPr>
          <w:p w14:paraId="14FABCA3" w14:textId="1CB43657" w:rsidR="00E46FC8" w:rsidRPr="006D4E54" w:rsidRDefault="006D4E54" w:rsidP="006D4E54">
            <w:pPr>
              <w:spacing w:after="0" w:line="276" w:lineRule="auto"/>
              <w:rPr>
                <w:rFonts w:asciiTheme="majorHAnsi" w:eastAsia="Times New Roman" w:hAnsiTheme="majorHAnsi" w:cstheme="majorHAnsi"/>
                <w:b/>
                <w:sz w:val="20"/>
                <w:szCs w:val="24"/>
                <w:lang w:val="ru-RU" w:eastAsia="ro-RO"/>
              </w:rPr>
            </w:pPr>
            <w:r>
              <w:rPr>
                <w:rFonts w:asciiTheme="majorHAnsi" w:eastAsia="Times New Roman" w:hAnsiTheme="majorHAnsi" w:cstheme="majorHAnsi"/>
                <w:b/>
                <w:sz w:val="20"/>
                <w:szCs w:val="24"/>
                <w:lang w:val="ru-RU" w:eastAsia="ro-RO"/>
              </w:rPr>
              <w:t>Росийская Федерация</w:t>
            </w:r>
          </w:p>
        </w:tc>
        <w:tc>
          <w:tcPr>
            <w:tcW w:w="3965" w:type="dxa"/>
            <w:vMerge w:val="restart"/>
            <w:shd w:val="clear" w:color="auto" w:fill="FFFFFF" w:themeFill="background1"/>
          </w:tcPr>
          <w:p w14:paraId="72237BF9" w14:textId="0DA53EAD" w:rsidR="00E46FC8" w:rsidRPr="006D4E54" w:rsidRDefault="00E46FC8" w:rsidP="006D4E54">
            <w:pPr>
              <w:spacing w:after="0" w:line="276" w:lineRule="auto"/>
              <w:rPr>
                <w:rFonts w:asciiTheme="majorHAnsi" w:eastAsia="Times New Roman" w:hAnsiTheme="majorHAnsi" w:cstheme="majorHAnsi"/>
                <w:sz w:val="20"/>
                <w:szCs w:val="24"/>
                <w:lang w:val="ru-RU" w:eastAsia="ro-RO"/>
              </w:rPr>
            </w:pPr>
            <w:r w:rsidRPr="00736448">
              <w:rPr>
                <w:rFonts w:asciiTheme="majorHAnsi" w:eastAsia="Times New Roman" w:hAnsiTheme="majorHAnsi" w:cstheme="majorHAnsi"/>
                <w:sz w:val="20"/>
                <w:szCs w:val="24"/>
                <w:lang w:val="ro-MD" w:eastAsia="ro-RO"/>
              </w:rPr>
              <w:t xml:space="preserve">10.02.1995, </w:t>
            </w:r>
            <w:r w:rsidR="006D4E54">
              <w:rPr>
                <w:rFonts w:asciiTheme="majorHAnsi" w:eastAsia="Times New Roman" w:hAnsiTheme="majorHAnsi" w:cstheme="majorHAnsi"/>
                <w:sz w:val="20"/>
                <w:szCs w:val="24"/>
                <w:lang w:val="ru-RU" w:eastAsia="ro-RO"/>
              </w:rPr>
              <w:t>Москва</w:t>
            </w:r>
          </w:p>
        </w:tc>
        <w:tc>
          <w:tcPr>
            <w:tcW w:w="3055" w:type="dxa"/>
            <w:vMerge w:val="restart"/>
            <w:shd w:val="clear" w:color="auto" w:fill="FFFFFF" w:themeFill="background1"/>
          </w:tcPr>
          <w:p w14:paraId="5657F997" w14:textId="77777777" w:rsidR="00E46FC8" w:rsidRPr="00736448" w:rsidRDefault="00E46FC8" w:rsidP="00E46FC8">
            <w:pPr>
              <w:spacing w:after="0" w:line="276" w:lineRule="auto"/>
              <w:jc w:val="center"/>
              <w:rPr>
                <w:rFonts w:asciiTheme="majorHAnsi" w:eastAsia="Times New Roman" w:hAnsiTheme="majorHAnsi" w:cstheme="majorHAnsi"/>
                <w:sz w:val="20"/>
                <w:szCs w:val="24"/>
                <w:lang w:val="ro-MD" w:eastAsia="ro-RO"/>
              </w:rPr>
            </w:pPr>
            <w:r w:rsidRPr="00736448">
              <w:rPr>
                <w:rFonts w:asciiTheme="majorHAnsi" w:eastAsia="Times New Roman" w:hAnsiTheme="majorHAnsi" w:cstheme="majorHAnsi"/>
                <w:sz w:val="20"/>
                <w:szCs w:val="24"/>
                <w:lang w:val="ro-MD" w:eastAsia="ro-RO"/>
              </w:rPr>
              <w:t>04.12.1995</w:t>
            </w:r>
          </w:p>
        </w:tc>
      </w:tr>
      <w:tr w:rsidR="00E46FC8" w:rsidRPr="00B7675F" w14:paraId="382D090D" w14:textId="77777777" w:rsidTr="00B27804">
        <w:trPr>
          <w:trHeight w:val="281"/>
          <w:jc w:val="center"/>
        </w:trPr>
        <w:tc>
          <w:tcPr>
            <w:tcW w:w="451" w:type="dxa"/>
            <w:vMerge/>
            <w:shd w:val="clear" w:color="auto" w:fill="FFFFFF" w:themeFill="background1"/>
          </w:tcPr>
          <w:p w14:paraId="40814C2A" w14:textId="77777777" w:rsidR="00E46FC8" w:rsidRPr="00736448" w:rsidRDefault="00E46FC8" w:rsidP="00E46FC8">
            <w:pPr>
              <w:spacing w:after="0" w:line="276" w:lineRule="auto"/>
              <w:jc w:val="center"/>
              <w:rPr>
                <w:rFonts w:asciiTheme="majorHAnsi" w:eastAsia="Times New Roman" w:hAnsiTheme="majorHAnsi" w:cstheme="majorHAnsi"/>
                <w:b/>
                <w:sz w:val="20"/>
                <w:szCs w:val="24"/>
                <w:lang w:val="ro-MD" w:eastAsia="ro-RO"/>
              </w:rPr>
            </w:pPr>
          </w:p>
        </w:tc>
        <w:tc>
          <w:tcPr>
            <w:tcW w:w="2964" w:type="dxa"/>
            <w:vMerge/>
            <w:shd w:val="clear" w:color="auto" w:fill="FFFFFF" w:themeFill="background1"/>
          </w:tcPr>
          <w:p w14:paraId="3B53B542" w14:textId="77777777" w:rsidR="00E46FC8" w:rsidRPr="00736448" w:rsidRDefault="00E46FC8" w:rsidP="00E46FC8">
            <w:pPr>
              <w:spacing w:after="0" w:line="276" w:lineRule="auto"/>
              <w:rPr>
                <w:rFonts w:asciiTheme="majorHAnsi" w:eastAsia="Times New Roman" w:hAnsiTheme="majorHAnsi" w:cstheme="majorHAnsi"/>
                <w:b/>
                <w:sz w:val="20"/>
                <w:szCs w:val="24"/>
                <w:lang w:val="ro-MD" w:eastAsia="ro-RO"/>
              </w:rPr>
            </w:pPr>
          </w:p>
        </w:tc>
        <w:tc>
          <w:tcPr>
            <w:tcW w:w="3965" w:type="dxa"/>
            <w:vMerge/>
            <w:shd w:val="clear" w:color="auto" w:fill="FFFFFF" w:themeFill="background1"/>
          </w:tcPr>
          <w:p w14:paraId="155D8231" w14:textId="77777777" w:rsidR="00E46FC8" w:rsidRPr="00736448" w:rsidRDefault="00E46FC8" w:rsidP="00E46FC8">
            <w:pPr>
              <w:spacing w:after="0" w:line="276" w:lineRule="auto"/>
              <w:rPr>
                <w:rFonts w:asciiTheme="majorHAnsi" w:eastAsia="Times New Roman" w:hAnsiTheme="majorHAnsi" w:cstheme="majorHAnsi"/>
                <w:sz w:val="20"/>
                <w:szCs w:val="24"/>
                <w:lang w:val="ro-MD" w:eastAsia="ro-RO"/>
              </w:rPr>
            </w:pPr>
          </w:p>
        </w:tc>
        <w:tc>
          <w:tcPr>
            <w:tcW w:w="3055" w:type="dxa"/>
            <w:vMerge/>
            <w:shd w:val="clear" w:color="auto" w:fill="FFFFFF" w:themeFill="background1"/>
          </w:tcPr>
          <w:p w14:paraId="3F5843C7" w14:textId="77777777" w:rsidR="00E46FC8" w:rsidRPr="00736448" w:rsidRDefault="00E46FC8" w:rsidP="00E46FC8">
            <w:pPr>
              <w:spacing w:after="0" w:line="276" w:lineRule="auto"/>
              <w:jc w:val="center"/>
              <w:rPr>
                <w:rFonts w:asciiTheme="majorHAnsi" w:eastAsia="Times New Roman" w:hAnsiTheme="majorHAnsi" w:cstheme="majorHAnsi"/>
                <w:sz w:val="20"/>
                <w:szCs w:val="24"/>
                <w:lang w:val="ro-MD" w:eastAsia="ro-RO"/>
              </w:rPr>
            </w:pPr>
          </w:p>
        </w:tc>
      </w:tr>
      <w:tr w:rsidR="00E46FC8" w:rsidRPr="00B7675F" w14:paraId="07FF7918" w14:textId="77777777" w:rsidTr="00B27804">
        <w:trPr>
          <w:trHeight w:val="20"/>
          <w:jc w:val="center"/>
        </w:trPr>
        <w:tc>
          <w:tcPr>
            <w:tcW w:w="451" w:type="dxa"/>
            <w:shd w:val="clear" w:color="auto" w:fill="FFFFFF" w:themeFill="background1"/>
          </w:tcPr>
          <w:p w14:paraId="32C116CF" w14:textId="77777777" w:rsidR="00E46FC8" w:rsidRPr="00736448" w:rsidRDefault="00E46FC8" w:rsidP="00E46FC8">
            <w:pPr>
              <w:spacing w:after="0" w:line="276" w:lineRule="auto"/>
              <w:jc w:val="center"/>
              <w:rPr>
                <w:rFonts w:asciiTheme="majorHAnsi" w:eastAsia="Times New Roman" w:hAnsiTheme="majorHAnsi" w:cstheme="majorHAnsi"/>
                <w:b/>
                <w:sz w:val="20"/>
                <w:szCs w:val="24"/>
                <w:lang w:val="ro-MD" w:eastAsia="ro-RO"/>
              </w:rPr>
            </w:pPr>
            <w:r w:rsidRPr="00736448">
              <w:rPr>
                <w:rFonts w:asciiTheme="majorHAnsi" w:eastAsia="Times New Roman" w:hAnsiTheme="majorHAnsi" w:cstheme="majorHAnsi"/>
                <w:b/>
                <w:sz w:val="20"/>
                <w:szCs w:val="24"/>
                <w:lang w:val="ro-MD" w:eastAsia="ro-RO"/>
              </w:rPr>
              <w:t>2.</w:t>
            </w:r>
          </w:p>
        </w:tc>
        <w:tc>
          <w:tcPr>
            <w:tcW w:w="2964" w:type="dxa"/>
            <w:shd w:val="clear" w:color="auto" w:fill="FFFFFF" w:themeFill="background1"/>
          </w:tcPr>
          <w:p w14:paraId="3494C9EF" w14:textId="788596DE" w:rsidR="00E46FC8" w:rsidRPr="00736448" w:rsidRDefault="006D4E54" w:rsidP="006D4E54">
            <w:pPr>
              <w:spacing w:after="0" w:line="276" w:lineRule="auto"/>
              <w:rPr>
                <w:rFonts w:asciiTheme="majorHAnsi" w:eastAsia="Times New Roman" w:hAnsiTheme="majorHAnsi" w:cstheme="majorHAnsi"/>
                <w:b/>
                <w:sz w:val="20"/>
                <w:szCs w:val="24"/>
                <w:lang w:val="ro-MD" w:eastAsia="ro-RO"/>
              </w:rPr>
            </w:pPr>
            <w:r>
              <w:rPr>
                <w:rFonts w:asciiTheme="majorHAnsi" w:eastAsia="Times New Roman" w:hAnsiTheme="majorHAnsi" w:cstheme="majorHAnsi"/>
                <w:b/>
                <w:sz w:val="20"/>
                <w:szCs w:val="24"/>
                <w:lang w:val="ru-RU" w:eastAsia="ro-RO"/>
              </w:rPr>
              <w:t>Республика Узбекистан</w:t>
            </w:r>
          </w:p>
        </w:tc>
        <w:tc>
          <w:tcPr>
            <w:tcW w:w="3965" w:type="dxa"/>
            <w:shd w:val="clear" w:color="auto" w:fill="FFFFFF" w:themeFill="background1"/>
          </w:tcPr>
          <w:p w14:paraId="4B139B48" w14:textId="3E9823F6" w:rsidR="00E46FC8" w:rsidRPr="00736448" w:rsidRDefault="00E46FC8" w:rsidP="00E46FC8">
            <w:pPr>
              <w:spacing w:after="0" w:line="276" w:lineRule="auto"/>
              <w:rPr>
                <w:rFonts w:asciiTheme="majorHAnsi" w:eastAsia="Times New Roman" w:hAnsiTheme="majorHAnsi" w:cstheme="majorHAnsi"/>
                <w:sz w:val="20"/>
                <w:szCs w:val="24"/>
                <w:lang w:val="ro-MD" w:eastAsia="ro-RO"/>
              </w:rPr>
            </w:pPr>
            <w:r w:rsidRPr="00736448">
              <w:rPr>
                <w:rFonts w:asciiTheme="majorHAnsi" w:eastAsia="Times New Roman" w:hAnsiTheme="majorHAnsi" w:cstheme="majorHAnsi"/>
                <w:sz w:val="20"/>
                <w:szCs w:val="24"/>
                <w:lang w:val="ro-MD" w:eastAsia="ro-RO"/>
              </w:rPr>
              <w:t xml:space="preserve">30.03.1995, </w:t>
            </w:r>
            <w:r w:rsidR="006D4E54">
              <w:rPr>
                <w:rFonts w:asciiTheme="majorHAnsi" w:eastAsia="Times New Roman" w:hAnsiTheme="majorHAnsi" w:cstheme="majorHAnsi"/>
                <w:sz w:val="20"/>
                <w:szCs w:val="24"/>
                <w:lang w:val="ro-MD" w:eastAsia="ro-RO"/>
              </w:rPr>
              <w:t>Кишинэу</w:t>
            </w:r>
          </w:p>
        </w:tc>
        <w:tc>
          <w:tcPr>
            <w:tcW w:w="3055" w:type="dxa"/>
            <w:shd w:val="clear" w:color="auto" w:fill="FFFFFF" w:themeFill="background1"/>
          </w:tcPr>
          <w:p w14:paraId="4A39019B" w14:textId="77777777" w:rsidR="00E46FC8" w:rsidRPr="00736448" w:rsidRDefault="00E46FC8" w:rsidP="00E46FC8">
            <w:pPr>
              <w:spacing w:after="0" w:line="276" w:lineRule="auto"/>
              <w:jc w:val="center"/>
              <w:rPr>
                <w:rFonts w:asciiTheme="majorHAnsi" w:eastAsia="Times New Roman" w:hAnsiTheme="majorHAnsi" w:cstheme="majorHAnsi"/>
                <w:sz w:val="20"/>
                <w:szCs w:val="24"/>
                <w:lang w:val="ro-MD" w:eastAsia="ro-RO"/>
              </w:rPr>
            </w:pPr>
            <w:r w:rsidRPr="00736448">
              <w:rPr>
                <w:rFonts w:asciiTheme="majorHAnsi" w:eastAsia="Times New Roman" w:hAnsiTheme="majorHAnsi" w:cstheme="majorHAnsi"/>
                <w:sz w:val="20"/>
                <w:szCs w:val="24"/>
                <w:lang w:val="ro-MD" w:eastAsia="ro-RO"/>
              </w:rPr>
              <w:t>28.11.1995</w:t>
            </w:r>
          </w:p>
        </w:tc>
      </w:tr>
      <w:tr w:rsidR="00E46FC8" w:rsidRPr="00B7675F" w14:paraId="767D5464" w14:textId="77777777" w:rsidTr="00B27804">
        <w:trPr>
          <w:trHeight w:val="20"/>
          <w:jc w:val="center"/>
        </w:trPr>
        <w:tc>
          <w:tcPr>
            <w:tcW w:w="451" w:type="dxa"/>
            <w:shd w:val="clear" w:color="auto" w:fill="FFFFFF" w:themeFill="background1"/>
          </w:tcPr>
          <w:p w14:paraId="6ED542C4" w14:textId="77777777" w:rsidR="00E46FC8" w:rsidRPr="00736448" w:rsidRDefault="00E46FC8" w:rsidP="00E46FC8">
            <w:pPr>
              <w:spacing w:after="0" w:line="276" w:lineRule="auto"/>
              <w:jc w:val="center"/>
              <w:rPr>
                <w:rFonts w:asciiTheme="majorHAnsi" w:eastAsia="Times New Roman" w:hAnsiTheme="majorHAnsi" w:cstheme="majorHAnsi"/>
                <w:b/>
                <w:sz w:val="20"/>
                <w:szCs w:val="24"/>
                <w:lang w:val="ro-MD" w:eastAsia="ro-RO"/>
              </w:rPr>
            </w:pPr>
            <w:r w:rsidRPr="00736448">
              <w:rPr>
                <w:rFonts w:asciiTheme="majorHAnsi" w:eastAsia="Times New Roman" w:hAnsiTheme="majorHAnsi" w:cstheme="majorHAnsi"/>
                <w:b/>
                <w:sz w:val="20"/>
                <w:szCs w:val="24"/>
                <w:lang w:val="ro-MD" w:eastAsia="ro-RO"/>
              </w:rPr>
              <w:t xml:space="preserve">3. </w:t>
            </w:r>
          </w:p>
        </w:tc>
        <w:tc>
          <w:tcPr>
            <w:tcW w:w="2964" w:type="dxa"/>
            <w:shd w:val="clear" w:color="auto" w:fill="FFFFFF" w:themeFill="background1"/>
          </w:tcPr>
          <w:p w14:paraId="066F4A20" w14:textId="2F37A2A3" w:rsidR="00E46FC8" w:rsidRPr="006D4E54" w:rsidRDefault="006D4E54" w:rsidP="00E46FC8">
            <w:pPr>
              <w:spacing w:after="0" w:line="276" w:lineRule="auto"/>
              <w:rPr>
                <w:rFonts w:asciiTheme="majorHAnsi" w:eastAsia="Times New Roman" w:hAnsiTheme="majorHAnsi" w:cstheme="majorHAnsi"/>
                <w:b/>
                <w:sz w:val="20"/>
                <w:szCs w:val="24"/>
                <w:lang w:val="ru-RU" w:eastAsia="ro-RO"/>
              </w:rPr>
            </w:pPr>
            <w:r>
              <w:rPr>
                <w:rFonts w:asciiTheme="majorHAnsi" w:eastAsia="Times New Roman" w:hAnsiTheme="majorHAnsi" w:cstheme="majorHAnsi"/>
                <w:b/>
                <w:sz w:val="20"/>
                <w:szCs w:val="24"/>
                <w:lang w:val="ru-RU" w:eastAsia="ro-RO"/>
              </w:rPr>
              <w:t>Украина</w:t>
            </w:r>
          </w:p>
        </w:tc>
        <w:tc>
          <w:tcPr>
            <w:tcW w:w="3965" w:type="dxa"/>
            <w:shd w:val="clear" w:color="auto" w:fill="FFFFFF" w:themeFill="background1"/>
          </w:tcPr>
          <w:p w14:paraId="767B56E8" w14:textId="4B2EF775" w:rsidR="00E46FC8" w:rsidRPr="00736448" w:rsidRDefault="006D4E54" w:rsidP="00E46FC8">
            <w:pPr>
              <w:spacing w:after="0" w:line="276" w:lineRule="auto"/>
              <w:rPr>
                <w:rFonts w:asciiTheme="majorHAnsi" w:eastAsia="Times New Roman" w:hAnsiTheme="majorHAnsi" w:cstheme="majorHAnsi"/>
                <w:sz w:val="20"/>
                <w:szCs w:val="24"/>
                <w:lang w:val="ro-MD" w:eastAsia="ro-RO"/>
              </w:rPr>
            </w:pPr>
            <w:r>
              <w:rPr>
                <w:rFonts w:asciiTheme="majorHAnsi" w:eastAsia="Times New Roman" w:hAnsiTheme="majorHAnsi" w:cstheme="majorHAnsi"/>
                <w:sz w:val="20"/>
                <w:szCs w:val="24"/>
                <w:u w:val="single"/>
                <w:lang w:val="ru-RU" w:eastAsia="ro-RO"/>
              </w:rPr>
              <w:t>Установлено</w:t>
            </w:r>
            <w:r w:rsidR="00E46FC8" w:rsidRPr="00736448">
              <w:rPr>
                <w:rFonts w:asciiTheme="majorHAnsi" w:eastAsia="Times New Roman" w:hAnsiTheme="majorHAnsi" w:cstheme="majorHAnsi"/>
                <w:sz w:val="20"/>
                <w:szCs w:val="24"/>
                <w:u w:val="single"/>
                <w:lang w:val="ro-MD" w:eastAsia="ro-RO"/>
              </w:rPr>
              <w:t>:</w:t>
            </w:r>
            <w:r w:rsidR="00E46FC8" w:rsidRPr="00736448">
              <w:rPr>
                <w:rFonts w:asciiTheme="majorHAnsi" w:eastAsia="Times New Roman" w:hAnsiTheme="majorHAnsi" w:cstheme="majorHAnsi"/>
                <w:sz w:val="20"/>
                <w:szCs w:val="24"/>
                <w:lang w:val="ro-MD" w:eastAsia="ro-RO"/>
              </w:rPr>
              <w:t xml:space="preserve">29.08.1995, </w:t>
            </w:r>
            <w:r>
              <w:rPr>
                <w:rFonts w:asciiTheme="majorHAnsi" w:eastAsia="Times New Roman" w:hAnsiTheme="majorHAnsi" w:cstheme="majorHAnsi"/>
                <w:sz w:val="20"/>
                <w:szCs w:val="24"/>
                <w:lang w:val="ro-MD" w:eastAsia="ro-RO"/>
              </w:rPr>
              <w:t>Кишинэу</w:t>
            </w:r>
          </w:p>
          <w:p w14:paraId="74C205B4" w14:textId="0EA5BD34" w:rsidR="00E46FC8" w:rsidRPr="00736448" w:rsidRDefault="006D4E54" w:rsidP="00E46FC8">
            <w:pPr>
              <w:spacing w:after="0" w:line="276" w:lineRule="auto"/>
              <w:rPr>
                <w:rFonts w:asciiTheme="majorHAnsi" w:eastAsia="Times New Roman" w:hAnsiTheme="majorHAnsi" w:cstheme="majorHAnsi"/>
                <w:sz w:val="20"/>
                <w:szCs w:val="24"/>
                <w:lang w:val="ro-MD" w:eastAsia="ro-RO"/>
              </w:rPr>
            </w:pPr>
            <w:r>
              <w:rPr>
                <w:rFonts w:asciiTheme="majorHAnsi" w:eastAsia="Times New Roman" w:hAnsiTheme="majorHAnsi" w:cstheme="majorHAnsi"/>
                <w:sz w:val="20"/>
                <w:szCs w:val="24"/>
                <w:u w:val="single"/>
                <w:lang w:val="ru-RU" w:eastAsia="ro-RO"/>
              </w:rPr>
              <w:t>Перечисление</w:t>
            </w:r>
            <w:r w:rsidR="00E46FC8" w:rsidRPr="00736448">
              <w:rPr>
                <w:rFonts w:asciiTheme="majorHAnsi" w:eastAsia="Times New Roman" w:hAnsiTheme="majorHAnsi" w:cstheme="majorHAnsi"/>
                <w:sz w:val="20"/>
                <w:szCs w:val="24"/>
                <w:u w:val="single"/>
                <w:lang w:val="ro-MD" w:eastAsia="ro-RO"/>
              </w:rPr>
              <w:t>:</w:t>
            </w:r>
            <w:r w:rsidR="00E46FC8" w:rsidRPr="00736448">
              <w:rPr>
                <w:rFonts w:asciiTheme="majorHAnsi" w:eastAsia="Times New Roman" w:hAnsiTheme="majorHAnsi" w:cstheme="majorHAnsi"/>
                <w:sz w:val="20"/>
                <w:szCs w:val="24"/>
                <w:lang w:val="ro-MD" w:eastAsia="ro-RO"/>
              </w:rPr>
              <w:t xml:space="preserve">23.10.1998, </w:t>
            </w:r>
            <w:r>
              <w:rPr>
                <w:rFonts w:asciiTheme="majorHAnsi" w:eastAsia="Times New Roman" w:hAnsiTheme="majorHAnsi" w:cstheme="majorHAnsi"/>
                <w:sz w:val="20"/>
                <w:szCs w:val="24"/>
                <w:lang w:val="ro-MD" w:eastAsia="ro-RO"/>
              </w:rPr>
              <w:t>Кишинэу</w:t>
            </w:r>
          </w:p>
        </w:tc>
        <w:tc>
          <w:tcPr>
            <w:tcW w:w="3055" w:type="dxa"/>
            <w:shd w:val="clear" w:color="auto" w:fill="FFFFFF" w:themeFill="background1"/>
          </w:tcPr>
          <w:p w14:paraId="5261BB4F" w14:textId="77777777" w:rsidR="00E46FC8" w:rsidRPr="00736448" w:rsidRDefault="00E46FC8" w:rsidP="00E46FC8">
            <w:pPr>
              <w:spacing w:after="0" w:line="276" w:lineRule="auto"/>
              <w:jc w:val="center"/>
              <w:rPr>
                <w:rFonts w:asciiTheme="majorHAnsi" w:eastAsia="Times New Roman" w:hAnsiTheme="majorHAnsi" w:cstheme="majorHAnsi"/>
                <w:sz w:val="20"/>
                <w:szCs w:val="24"/>
                <w:lang w:val="ro-MD" w:eastAsia="ro-RO"/>
              </w:rPr>
            </w:pPr>
            <w:r w:rsidRPr="00736448">
              <w:rPr>
                <w:rFonts w:asciiTheme="majorHAnsi" w:eastAsia="Times New Roman" w:hAnsiTheme="majorHAnsi" w:cstheme="majorHAnsi"/>
                <w:sz w:val="20"/>
                <w:szCs w:val="24"/>
                <w:lang w:val="ro-MD" w:eastAsia="ro-RO"/>
              </w:rPr>
              <w:t>19.10.1996</w:t>
            </w:r>
          </w:p>
          <w:p w14:paraId="0A5B955A" w14:textId="77777777" w:rsidR="00E46FC8" w:rsidRPr="00736448" w:rsidRDefault="00E46FC8" w:rsidP="00E46FC8">
            <w:pPr>
              <w:spacing w:after="0" w:line="276" w:lineRule="auto"/>
              <w:jc w:val="center"/>
              <w:rPr>
                <w:rFonts w:asciiTheme="majorHAnsi" w:eastAsia="Times New Roman" w:hAnsiTheme="majorHAnsi" w:cstheme="majorHAnsi"/>
                <w:sz w:val="20"/>
                <w:szCs w:val="24"/>
                <w:lang w:val="ro-MD" w:eastAsia="ro-RO"/>
              </w:rPr>
            </w:pPr>
            <w:r w:rsidRPr="00736448">
              <w:rPr>
                <w:rFonts w:asciiTheme="majorHAnsi" w:eastAsia="Times New Roman" w:hAnsiTheme="majorHAnsi" w:cstheme="majorHAnsi"/>
                <w:sz w:val="20"/>
                <w:szCs w:val="24"/>
                <w:lang w:val="ro-MD" w:eastAsia="ro-RO"/>
              </w:rPr>
              <w:t>23.10.1998</w:t>
            </w:r>
          </w:p>
        </w:tc>
      </w:tr>
      <w:tr w:rsidR="00E46FC8" w:rsidRPr="00B7675F" w14:paraId="1B5DF7EC" w14:textId="77777777" w:rsidTr="00B27804">
        <w:trPr>
          <w:trHeight w:val="20"/>
          <w:jc w:val="center"/>
        </w:trPr>
        <w:tc>
          <w:tcPr>
            <w:tcW w:w="451" w:type="dxa"/>
            <w:shd w:val="clear" w:color="auto" w:fill="FFFFFF" w:themeFill="background1"/>
          </w:tcPr>
          <w:p w14:paraId="411B7118" w14:textId="77777777" w:rsidR="00E46FC8" w:rsidRPr="00736448" w:rsidRDefault="00E46FC8" w:rsidP="00E46FC8">
            <w:pPr>
              <w:spacing w:after="0" w:line="276" w:lineRule="auto"/>
              <w:jc w:val="center"/>
              <w:rPr>
                <w:rFonts w:asciiTheme="majorHAnsi" w:eastAsia="Times New Roman" w:hAnsiTheme="majorHAnsi" w:cstheme="majorHAnsi"/>
                <w:b/>
                <w:sz w:val="20"/>
                <w:szCs w:val="24"/>
                <w:lang w:val="ro-MD" w:eastAsia="ro-RO"/>
              </w:rPr>
            </w:pPr>
            <w:r w:rsidRPr="00736448">
              <w:rPr>
                <w:rFonts w:asciiTheme="majorHAnsi" w:eastAsia="Times New Roman" w:hAnsiTheme="majorHAnsi" w:cstheme="majorHAnsi"/>
                <w:b/>
                <w:sz w:val="20"/>
                <w:szCs w:val="24"/>
                <w:lang w:val="ro-MD" w:eastAsia="ro-RO"/>
              </w:rPr>
              <w:t>4.</w:t>
            </w:r>
          </w:p>
        </w:tc>
        <w:tc>
          <w:tcPr>
            <w:tcW w:w="2964" w:type="dxa"/>
            <w:shd w:val="clear" w:color="auto" w:fill="FFFFFF" w:themeFill="background1"/>
          </w:tcPr>
          <w:p w14:paraId="54CE8DCB" w14:textId="4304D5C7" w:rsidR="00E46FC8" w:rsidRPr="006D4E54" w:rsidRDefault="006D4E54" w:rsidP="00E46FC8">
            <w:pPr>
              <w:spacing w:after="0" w:line="276" w:lineRule="auto"/>
              <w:rPr>
                <w:rFonts w:asciiTheme="majorHAnsi" w:eastAsia="Times New Roman" w:hAnsiTheme="majorHAnsi" w:cstheme="majorHAnsi"/>
                <w:b/>
                <w:sz w:val="20"/>
                <w:szCs w:val="24"/>
                <w:lang w:val="ru-RU" w:eastAsia="ro-RO"/>
              </w:rPr>
            </w:pPr>
            <w:r>
              <w:rPr>
                <w:rFonts w:asciiTheme="majorHAnsi" w:eastAsia="Times New Roman" w:hAnsiTheme="majorHAnsi" w:cstheme="majorHAnsi"/>
                <w:b/>
                <w:sz w:val="20"/>
                <w:szCs w:val="24"/>
                <w:lang w:val="ru-RU" w:eastAsia="ro-RO"/>
              </w:rPr>
              <w:t>Республика Азербайджан</w:t>
            </w:r>
          </w:p>
        </w:tc>
        <w:tc>
          <w:tcPr>
            <w:tcW w:w="3965" w:type="dxa"/>
            <w:shd w:val="clear" w:color="auto" w:fill="FFFFFF" w:themeFill="background1"/>
          </w:tcPr>
          <w:p w14:paraId="13228A0D" w14:textId="524E3325" w:rsidR="00E46FC8" w:rsidRPr="006D4E54" w:rsidRDefault="00E46FC8" w:rsidP="006D4E54">
            <w:pPr>
              <w:spacing w:after="0" w:line="276" w:lineRule="auto"/>
              <w:rPr>
                <w:rFonts w:asciiTheme="majorHAnsi" w:eastAsia="Times New Roman" w:hAnsiTheme="majorHAnsi" w:cstheme="majorHAnsi"/>
                <w:sz w:val="20"/>
                <w:szCs w:val="24"/>
                <w:lang w:val="ru-RU" w:eastAsia="ro-RO"/>
              </w:rPr>
            </w:pPr>
            <w:r w:rsidRPr="00736448">
              <w:rPr>
                <w:rFonts w:asciiTheme="majorHAnsi" w:eastAsia="Times New Roman" w:hAnsiTheme="majorHAnsi" w:cstheme="majorHAnsi"/>
                <w:sz w:val="20"/>
                <w:szCs w:val="24"/>
                <w:lang w:val="ro-MD" w:eastAsia="ro-RO"/>
              </w:rPr>
              <w:t xml:space="preserve">27.11.1997, </w:t>
            </w:r>
            <w:r w:rsidR="006D4E54">
              <w:rPr>
                <w:rFonts w:asciiTheme="majorHAnsi" w:eastAsia="Times New Roman" w:hAnsiTheme="majorHAnsi" w:cstheme="majorHAnsi"/>
                <w:sz w:val="20"/>
                <w:szCs w:val="24"/>
                <w:lang w:val="ru-RU" w:eastAsia="ro-RO"/>
              </w:rPr>
              <w:t>Баку</w:t>
            </w:r>
          </w:p>
        </w:tc>
        <w:tc>
          <w:tcPr>
            <w:tcW w:w="3055" w:type="dxa"/>
            <w:shd w:val="clear" w:color="auto" w:fill="FFFFFF" w:themeFill="background1"/>
          </w:tcPr>
          <w:p w14:paraId="2F16DE61" w14:textId="77777777" w:rsidR="00E46FC8" w:rsidRPr="00736448" w:rsidRDefault="00E46FC8" w:rsidP="00E46FC8">
            <w:pPr>
              <w:spacing w:after="0" w:line="276" w:lineRule="auto"/>
              <w:jc w:val="center"/>
              <w:rPr>
                <w:rFonts w:asciiTheme="majorHAnsi" w:eastAsia="Times New Roman" w:hAnsiTheme="majorHAnsi" w:cstheme="majorHAnsi"/>
                <w:sz w:val="20"/>
                <w:szCs w:val="24"/>
                <w:lang w:val="ro-MD" w:eastAsia="ro-RO"/>
              </w:rPr>
            </w:pPr>
            <w:r w:rsidRPr="00736448">
              <w:rPr>
                <w:rFonts w:asciiTheme="majorHAnsi" w:eastAsia="Times New Roman" w:hAnsiTheme="majorHAnsi" w:cstheme="majorHAnsi"/>
                <w:sz w:val="20"/>
                <w:szCs w:val="24"/>
                <w:lang w:val="ro-MD" w:eastAsia="ro-RO"/>
              </w:rPr>
              <w:t>08.01.1999</w:t>
            </w:r>
          </w:p>
        </w:tc>
      </w:tr>
    </w:tbl>
    <w:p w14:paraId="4321E99B" w14:textId="333D476E" w:rsidR="0074459E" w:rsidRPr="00736448" w:rsidRDefault="0074459E" w:rsidP="0074459E">
      <w:pPr>
        <w:spacing w:after="0" w:line="240" w:lineRule="auto"/>
        <w:jc w:val="center"/>
        <w:rPr>
          <w:rFonts w:ascii="Times New Roman" w:eastAsia="Times New Roman" w:hAnsi="Times New Roman" w:cs="Times New Roman"/>
          <w:b/>
          <w:bCs/>
          <w:color w:val="000000"/>
          <w:sz w:val="24"/>
          <w:szCs w:val="24"/>
          <w:lang w:val="ro-MD"/>
        </w:rPr>
      </w:pPr>
    </w:p>
    <w:p w14:paraId="50EA1BA1" w14:textId="40D6D5BB" w:rsidR="0074459E" w:rsidRPr="00736448" w:rsidRDefault="0074459E" w:rsidP="0074459E">
      <w:pPr>
        <w:spacing w:after="0" w:line="240" w:lineRule="auto"/>
        <w:jc w:val="center"/>
        <w:rPr>
          <w:rFonts w:ascii="Times New Roman" w:eastAsia="Times New Roman" w:hAnsi="Times New Roman" w:cs="Times New Roman"/>
          <w:b/>
          <w:bCs/>
          <w:color w:val="000000"/>
          <w:sz w:val="24"/>
          <w:szCs w:val="24"/>
          <w:lang w:val="ro-MD"/>
        </w:rPr>
      </w:pPr>
    </w:p>
    <w:p w14:paraId="0CD244AC" w14:textId="27FC8F05" w:rsidR="0074459E" w:rsidRPr="00736448" w:rsidRDefault="0074459E" w:rsidP="0074459E">
      <w:pPr>
        <w:spacing w:after="0" w:line="240" w:lineRule="auto"/>
        <w:jc w:val="center"/>
        <w:rPr>
          <w:rFonts w:ascii="Times New Roman" w:eastAsia="Times New Roman" w:hAnsi="Times New Roman" w:cs="Times New Roman"/>
          <w:b/>
          <w:bCs/>
          <w:color w:val="000000"/>
          <w:sz w:val="24"/>
          <w:szCs w:val="24"/>
          <w:lang w:val="ro-MD"/>
        </w:rPr>
      </w:pPr>
    </w:p>
    <w:p w14:paraId="64ADCD12" w14:textId="6CEEEB62" w:rsidR="00E46FC8" w:rsidRPr="00736448" w:rsidRDefault="00FC62B3" w:rsidP="00490517">
      <w:pPr>
        <w:pStyle w:val="2"/>
        <w:jc w:val="right"/>
        <w:rPr>
          <w:rFonts w:eastAsia="Times New Roman" w:cstheme="majorHAnsi"/>
          <w:b/>
          <w:sz w:val="24"/>
          <w:szCs w:val="24"/>
          <w:lang w:val="ro-MD" w:eastAsia="ru-RU"/>
        </w:rPr>
      </w:pPr>
      <w:r>
        <w:rPr>
          <w:rFonts w:eastAsia="Times New Roman" w:cstheme="majorHAnsi"/>
          <w:b/>
          <w:sz w:val="24"/>
          <w:szCs w:val="24"/>
          <w:lang w:val="ro-MD" w:eastAsia="ru-RU"/>
        </w:rPr>
        <w:t>Приложение №</w:t>
      </w:r>
      <w:r w:rsidR="00C57ECC" w:rsidRPr="00736448">
        <w:rPr>
          <w:rFonts w:eastAsia="Times New Roman" w:cstheme="majorHAnsi"/>
          <w:b/>
          <w:sz w:val="24"/>
          <w:szCs w:val="24"/>
          <w:lang w:val="ro-MD" w:eastAsia="ru-RU"/>
        </w:rPr>
        <w:t>7</w:t>
      </w:r>
    </w:p>
    <w:p w14:paraId="48C2F591" w14:textId="4A6D67E6" w:rsidR="00C57ECC" w:rsidRPr="00736448" w:rsidRDefault="00C515BF" w:rsidP="00C57ECC">
      <w:pPr>
        <w:jc w:val="center"/>
        <w:rPr>
          <w:rFonts w:asciiTheme="majorHAnsi" w:hAnsiTheme="majorHAnsi"/>
          <w:b/>
          <w:sz w:val="24"/>
          <w:szCs w:val="24"/>
          <w:lang w:val="ro-MD"/>
        </w:rPr>
      </w:pPr>
      <w:r w:rsidRPr="00C515BF">
        <w:rPr>
          <w:rFonts w:asciiTheme="majorHAnsi" w:hAnsiTheme="majorHAnsi"/>
          <w:b/>
          <w:sz w:val="24"/>
          <w:szCs w:val="24"/>
          <w:lang w:val="ro-MD"/>
        </w:rPr>
        <w:t>Информация о международных соглашениях на основе принципа пропорциональности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65"/>
        <w:gridCol w:w="2723"/>
        <w:gridCol w:w="2013"/>
        <w:gridCol w:w="2544"/>
        <w:gridCol w:w="2255"/>
      </w:tblGrid>
      <w:tr w:rsidR="00C515BF" w:rsidRPr="00207D59" w14:paraId="03CC1181" w14:textId="77777777" w:rsidTr="00B27804">
        <w:trPr>
          <w:trHeight w:val="20"/>
        </w:trPr>
        <w:tc>
          <w:tcPr>
            <w:tcW w:w="0" w:type="auto"/>
            <w:shd w:val="clear" w:color="auto" w:fill="FFFFFF" w:themeFill="background1"/>
            <w:vAlign w:val="center"/>
          </w:tcPr>
          <w:p w14:paraId="7AA1145C" w14:textId="36539F24" w:rsidR="00E46FC8" w:rsidRPr="00736448" w:rsidRDefault="006D4E54" w:rsidP="00E46FC8">
            <w:pPr>
              <w:spacing w:after="0" w:line="240" w:lineRule="auto"/>
              <w:jc w:val="center"/>
              <w:rPr>
                <w:rFonts w:asciiTheme="majorHAnsi" w:eastAsia="Times New Roman" w:hAnsiTheme="majorHAnsi" w:cstheme="majorHAnsi"/>
                <w:b/>
                <w:sz w:val="20"/>
                <w:szCs w:val="20"/>
                <w:lang w:val="ro-MD" w:eastAsia="ro-RO"/>
              </w:rPr>
            </w:pPr>
            <w:r>
              <w:rPr>
                <w:rFonts w:asciiTheme="majorHAnsi" w:eastAsia="Times New Roman" w:hAnsiTheme="majorHAnsi" w:cstheme="majorHAnsi"/>
                <w:b/>
                <w:sz w:val="20"/>
                <w:szCs w:val="24"/>
                <w:lang w:val="ru-RU" w:eastAsia="ro-RO"/>
              </w:rPr>
              <w:t>№ п/п</w:t>
            </w:r>
          </w:p>
        </w:tc>
        <w:tc>
          <w:tcPr>
            <w:tcW w:w="0" w:type="auto"/>
            <w:shd w:val="clear" w:color="auto" w:fill="FFFFFF" w:themeFill="background1"/>
            <w:vAlign w:val="center"/>
          </w:tcPr>
          <w:p w14:paraId="1097120C" w14:textId="5D444CE0" w:rsidR="00E46FC8" w:rsidRPr="00736448" w:rsidRDefault="006D4E54" w:rsidP="006D4E54">
            <w:pPr>
              <w:spacing w:after="0" w:line="240" w:lineRule="auto"/>
              <w:jc w:val="center"/>
              <w:rPr>
                <w:rFonts w:asciiTheme="majorHAnsi" w:eastAsia="Times New Roman" w:hAnsiTheme="majorHAnsi" w:cstheme="majorHAnsi"/>
                <w:b/>
                <w:sz w:val="20"/>
                <w:szCs w:val="20"/>
                <w:lang w:val="ro-MD" w:eastAsia="ro-RO"/>
              </w:rPr>
            </w:pPr>
            <w:r>
              <w:rPr>
                <w:rFonts w:asciiTheme="majorHAnsi" w:eastAsia="Times New Roman" w:hAnsiTheme="majorHAnsi" w:cstheme="majorHAnsi"/>
                <w:b/>
                <w:sz w:val="20"/>
                <w:szCs w:val="24"/>
                <w:lang w:val="ru-RU" w:eastAsia="ro-RO"/>
              </w:rPr>
              <w:t>Страна</w:t>
            </w:r>
          </w:p>
        </w:tc>
        <w:tc>
          <w:tcPr>
            <w:tcW w:w="0" w:type="auto"/>
            <w:shd w:val="clear" w:color="auto" w:fill="FFFFFF" w:themeFill="background1"/>
            <w:vAlign w:val="center"/>
          </w:tcPr>
          <w:p w14:paraId="0E9C1D52" w14:textId="38CA3B68" w:rsidR="00E46FC8" w:rsidRPr="00736448" w:rsidRDefault="006D4E54" w:rsidP="00E46FC8">
            <w:pPr>
              <w:spacing w:after="0" w:line="240" w:lineRule="auto"/>
              <w:rPr>
                <w:rFonts w:asciiTheme="majorHAnsi" w:eastAsia="Times New Roman" w:hAnsiTheme="majorHAnsi" w:cstheme="majorHAnsi"/>
                <w:b/>
                <w:sz w:val="20"/>
                <w:szCs w:val="20"/>
                <w:lang w:val="ro-MD" w:eastAsia="ro-RO"/>
              </w:rPr>
            </w:pPr>
            <w:r>
              <w:rPr>
                <w:rFonts w:asciiTheme="majorHAnsi" w:eastAsia="Times New Roman" w:hAnsiTheme="majorHAnsi" w:cstheme="majorHAnsi"/>
                <w:b/>
                <w:sz w:val="20"/>
                <w:szCs w:val="24"/>
                <w:lang w:val="ru-RU" w:eastAsia="ro-RO"/>
              </w:rPr>
              <w:t>Дата</w:t>
            </w:r>
            <w:r w:rsidRPr="00736448">
              <w:rPr>
                <w:rFonts w:asciiTheme="majorHAnsi" w:eastAsia="Times New Roman" w:hAnsiTheme="majorHAnsi" w:cstheme="majorHAnsi"/>
                <w:b/>
                <w:sz w:val="20"/>
                <w:szCs w:val="24"/>
                <w:lang w:val="ro-MD" w:eastAsia="ro-RO"/>
              </w:rPr>
              <w:t>,</w:t>
            </w:r>
            <w:r>
              <w:rPr>
                <w:rFonts w:asciiTheme="majorHAnsi" w:eastAsia="Times New Roman" w:hAnsiTheme="majorHAnsi" w:cstheme="majorHAnsi"/>
                <w:b/>
                <w:sz w:val="20"/>
                <w:szCs w:val="24"/>
                <w:lang w:val="ru-RU" w:eastAsia="ro-RO"/>
              </w:rPr>
              <w:t xml:space="preserve"> Страна Подписания</w:t>
            </w:r>
          </w:p>
        </w:tc>
        <w:tc>
          <w:tcPr>
            <w:tcW w:w="2544" w:type="dxa"/>
            <w:shd w:val="clear" w:color="auto" w:fill="FFFFFF" w:themeFill="background1"/>
            <w:vAlign w:val="center"/>
          </w:tcPr>
          <w:p w14:paraId="161D86CB" w14:textId="2DEA9D40" w:rsidR="00E46FC8" w:rsidRPr="00736448" w:rsidRDefault="006D4E54" w:rsidP="00E46FC8">
            <w:pPr>
              <w:spacing w:after="0" w:line="240" w:lineRule="auto"/>
              <w:jc w:val="center"/>
              <w:rPr>
                <w:rFonts w:asciiTheme="majorHAnsi" w:eastAsia="Times New Roman" w:hAnsiTheme="majorHAnsi" w:cstheme="majorHAnsi"/>
                <w:b/>
                <w:sz w:val="20"/>
                <w:szCs w:val="20"/>
                <w:lang w:val="ro-MD" w:eastAsia="ro-RO"/>
              </w:rPr>
            </w:pPr>
            <w:r>
              <w:rPr>
                <w:rFonts w:asciiTheme="majorHAnsi" w:eastAsia="Times New Roman" w:hAnsiTheme="majorHAnsi" w:cstheme="majorHAnsi"/>
                <w:b/>
                <w:sz w:val="20"/>
                <w:szCs w:val="24"/>
                <w:lang w:val="ru-RU" w:eastAsia="ro-RO"/>
              </w:rPr>
              <w:t>Дата вступления в силу</w:t>
            </w:r>
          </w:p>
        </w:tc>
        <w:tc>
          <w:tcPr>
            <w:tcW w:w="0" w:type="auto"/>
            <w:shd w:val="clear" w:color="auto" w:fill="FFFFFF" w:themeFill="background1"/>
            <w:vAlign w:val="center"/>
          </w:tcPr>
          <w:p w14:paraId="05C8CF79" w14:textId="1D81F158" w:rsidR="00E46FC8" w:rsidRPr="00736448" w:rsidRDefault="006D4E54" w:rsidP="006D4E54">
            <w:pPr>
              <w:spacing w:after="0" w:line="240" w:lineRule="auto"/>
              <w:jc w:val="center"/>
              <w:rPr>
                <w:rFonts w:asciiTheme="majorHAnsi" w:eastAsia="Times New Roman" w:hAnsiTheme="majorHAnsi" w:cstheme="majorHAnsi"/>
                <w:b/>
                <w:sz w:val="20"/>
                <w:szCs w:val="20"/>
                <w:lang w:val="ro-MD" w:eastAsia="ro-RO"/>
              </w:rPr>
            </w:pPr>
            <w:r>
              <w:rPr>
                <w:rFonts w:asciiTheme="majorHAnsi" w:eastAsia="Times New Roman" w:hAnsiTheme="majorHAnsi" w:cstheme="majorHAnsi"/>
                <w:b/>
                <w:sz w:val="20"/>
                <w:szCs w:val="20"/>
                <w:lang w:val="ru-RU" w:eastAsia="ro-RO"/>
              </w:rPr>
              <w:t>Пенсионный возраст М</w:t>
            </w:r>
            <w:r w:rsidR="00E46FC8" w:rsidRPr="00736448">
              <w:rPr>
                <w:rFonts w:asciiTheme="majorHAnsi" w:eastAsia="Times New Roman" w:hAnsiTheme="majorHAnsi" w:cstheme="majorHAnsi"/>
                <w:b/>
                <w:sz w:val="20"/>
                <w:szCs w:val="20"/>
                <w:lang w:val="ro-MD" w:eastAsia="ro-RO"/>
              </w:rPr>
              <w:t>/</w:t>
            </w:r>
            <w:r>
              <w:rPr>
                <w:rFonts w:asciiTheme="majorHAnsi" w:eastAsia="Times New Roman" w:hAnsiTheme="majorHAnsi" w:cstheme="majorHAnsi"/>
                <w:b/>
                <w:sz w:val="20"/>
                <w:szCs w:val="20"/>
                <w:lang w:val="ru-RU" w:eastAsia="ro-RO"/>
              </w:rPr>
              <w:t>Ж</w:t>
            </w:r>
          </w:p>
        </w:tc>
      </w:tr>
      <w:tr w:rsidR="00C515BF" w:rsidRPr="00B7675F" w14:paraId="5413DDC6" w14:textId="77777777" w:rsidTr="00F042B6">
        <w:trPr>
          <w:trHeight w:val="244"/>
        </w:trPr>
        <w:tc>
          <w:tcPr>
            <w:tcW w:w="0" w:type="auto"/>
            <w:vMerge w:val="restart"/>
            <w:shd w:val="clear" w:color="auto" w:fill="FFFFFF" w:themeFill="background1"/>
            <w:vAlign w:val="center"/>
          </w:tcPr>
          <w:p w14:paraId="46C82C59" w14:textId="77777777" w:rsidR="0089654A" w:rsidRPr="00736448" w:rsidRDefault="0089654A" w:rsidP="00F042B6">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1.</w:t>
            </w:r>
          </w:p>
        </w:tc>
        <w:tc>
          <w:tcPr>
            <w:tcW w:w="0" w:type="auto"/>
            <w:vMerge w:val="restart"/>
            <w:shd w:val="clear" w:color="auto" w:fill="FFFFFF" w:themeFill="background1"/>
            <w:vAlign w:val="center"/>
          </w:tcPr>
          <w:p w14:paraId="5EB0B6A2" w14:textId="77777777" w:rsidR="0089654A" w:rsidRPr="00F042B6" w:rsidRDefault="0089654A" w:rsidP="00F042B6">
            <w:pPr>
              <w:spacing w:after="0" w:line="240" w:lineRule="auto"/>
              <w:rPr>
                <w:rFonts w:asciiTheme="majorHAnsi" w:eastAsia="Times New Roman" w:hAnsiTheme="majorHAnsi" w:cstheme="majorHAnsi"/>
                <w:b/>
                <w:sz w:val="20"/>
                <w:szCs w:val="20"/>
                <w:lang w:val="ro-MD" w:eastAsia="ro-RO"/>
              </w:rPr>
            </w:pPr>
            <w:r w:rsidRPr="00F042B6">
              <w:rPr>
                <w:rFonts w:asciiTheme="majorHAnsi" w:hAnsiTheme="majorHAnsi" w:cstheme="majorHAnsi"/>
                <w:b/>
                <w:sz w:val="20"/>
                <w:szCs w:val="20"/>
              </w:rPr>
              <w:t>Республика Болгария</w:t>
            </w:r>
          </w:p>
          <w:p w14:paraId="085A2BCD" w14:textId="500804E5" w:rsidR="0089654A" w:rsidRPr="00F042B6" w:rsidRDefault="0089654A" w:rsidP="00F042B6">
            <w:pPr>
              <w:spacing w:after="0" w:line="240" w:lineRule="auto"/>
              <w:rPr>
                <w:rFonts w:asciiTheme="majorHAnsi" w:eastAsia="Times New Roman" w:hAnsiTheme="majorHAnsi" w:cstheme="majorHAnsi"/>
                <w:b/>
                <w:sz w:val="20"/>
                <w:szCs w:val="20"/>
                <w:lang w:val="ro-MD" w:eastAsia="ro-RO"/>
              </w:rPr>
            </w:pPr>
          </w:p>
        </w:tc>
        <w:tc>
          <w:tcPr>
            <w:tcW w:w="0" w:type="auto"/>
            <w:vMerge w:val="restart"/>
            <w:shd w:val="clear" w:color="auto" w:fill="FFFFFF" w:themeFill="background1"/>
            <w:vAlign w:val="center"/>
          </w:tcPr>
          <w:p w14:paraId="064F064F" w14:textId="751C8F80" w:rsidR="0089654A" w:rsidRPr="0089654A" w:rsidRDefault="0089654A" w:rsidP="0089654A">
            <w:pPr>
              <w:spacing w:after="0" w:line="240" w:lineRule="auto"/>
              <w:rPr>
                <w:rFonts w:asciiTheme="majorHAnsi" w:eastAsia="Times New Roman" w:hAnsiTheme="majorHAnsi" w:cstheme="majorHAnsi"/>
                <w:sz w:val="20"/>
                <w:szCs w:val="20"/>
                <w:lang w:val="ru-RU" w:eastAsia="ro-RO"/>
              </w:rPr>
            </w:pPr>
            <w:r w:rsidRPr="00736448">
              <w:rPr>
                <w:rFonts w:asciiTheme="majorHAnsi" w:eastAsia="Times New Roman" w:hAnsiTheme="majorHAnsi" w:cstheme="majorHAnsi"/>
                <w:sz w:val="20"/>
                <w:szCs w:val="20"/>
                <w:lang w:val="ro-MD" w:eastAsia="ro-RO"/>
              </w:rPr>
              <w:t xml:space="preserve">05.12.2008, </w:t>
            </w:r>
            <w:r>
              <w:rPr>
                <w:rFonts w:asciiTheme="majorHAnsi" w:eastAsia="Times New Roman" w:hAnsiTheme="majorHAnsi" w:cstheme="majorHAnsi"/>
                <w:sz w:val="20"/>
                <w:szCs w:val="20"/>
                <w:lang w:val="ru-RU" w:eastAsia="ro-RO"/>
              </w:rPr>
              <w:t>София</w:t>
            </w:r>
          </w:p>
        </w:tc>
        <w:tc>
          <w:tcPr>
            <w:tcW w:w="2544" w:type="dxa"/>
            <w:vMerge w:val="restart"/>
            <w:shd w:val="clear" w:color="auto" w:fill="FFFFFF" w:themeFill="background1"/>
            <w:vAlign w:val="center"/>
          </w:tcPr>
          <w:p w14:paraId="20B1A5F8"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01.11.2009</w:t>
            </w:r>
          </w:p>
        </w:tc>
        <w:tc>
          <w:tcPr>
            <w:tcW w:w="0" w:type="auto"/>
            <w:vMerge w:val="restart"/>
            <w:shd w:val="clear" w:color="auto" w:fill="FFFFFF" w:themeFill="background1"/>
            <w:vAlign w:val="center"/>
          </w:tcPr>
          <w:p w14:paraId="5A38E772" w14:textId="644CA6AB" w:rsidR="0089654A" w:rsidRPr="00736448" w:rsidRDefault="00C515BF" w:rsidP="00C515BF">
            <w:pPr>
              <w:spacing w:after="0" w:line="240" w:lineRule="auto"/>
              <w:jc w:val="center"/>
              <w:rPr>
                <w:rFonts w:asciiTheme="majorHAnsi" w:eastAsia="Times New Roman" w:hAnsiTheme="majorHAnsi" w:cstheme="majorHAnsi"/>
                <w:sz w:val="20"/>
                <w:szCs w:val="20"/>
                <w:lang w:val="ro-MD" w:eastAsia="ro-RO"/>
              </w:rPr>
            </w:pPr>
            <w:r>
              <w:rPr>
                <w:rFonts w:asciiTheme="majorHAnsi" w:eastAsia="Times New Roman" w:hAnsiTheme="majorHAnsi" w:cstheme="majorHAnsi"/>
                <w:sz w:val="20"/>
                <w:szCs w:val="20"/>
                <w:lang w:val="ru-RU" w:eastAsia="ro-RO"/>
              </w:rPr>
              <w:t>М</w:t>
            </w:r>
            <w:r w:rsidR="0089654A" w:rsidRPr="00736448">
              <w:rPr>
                <w:rFonts w:asciiTheme="majorHAnsi" w:eastAsia="Times New Roman" w:hAnsiTheme="majorHAnsi" w:cstheme="majorHAnsi"/>
                <w:sz w:val="20"/>
                <w:szCs w:val="20"/>
                <w:lang w:val="ro-MD" w:eastAsia="ro-RO"/>
              </w:rPr>
              <w:t xml:space="preserve"> 64+/ </w:t>
            </w:r>
            <w:r>
              <w:rPr>
                <w:rFonts w:asciiTheme="majorHAnsi" w:eastAsia="Times New Roman" w:hAnsiTheme="majorHAnsi" w:cstheme="majorHAnsi"/>
                <w:sz w:val="20"/>
                <w:szCs w:val="20"/>
                <w:lang w:val="ru-RU" w:eastAsia="ro-RO"/>
              </w:rPr>
              <w:t>Ж</w:t>
            </w:r>
            <w:r w:rsidR="0089654A" w:rsidRPr="00736448">
              <w:rPr>
                <w:rFonts w:asciiTheme="majorHAnsi" w:eastAsia="Times New Roman" w:hAnsiTheme="majorHAnsi" w:cstheme="majorHAnsi"/>
                <w:sz w:val="20"/>
                <w:szCs w:val="20"/>
                <w:lang w:val="ro-MD" w:eastAsia="ro-RO"/>
              </w:rPr>
              <w:t xml:space="preserve"> 61+</w:t>
            </w:r>
          </w:p>
        </w:tc>
      </w:tr>
      <w:tr w:rsidR="00C515BF" w:rsidRPr="00B7675F" w14:paraId="4BAC6FED" w14:textId="77777777" w:rsidTr="00F042B6">
        <w:trPr>
          <w:trHeight w:val="244"/>
        </w:trPr>
        <w:tc>
          <w:tcPr>
            <w:tcW w:w="0" w:type="auto"/>
            <w:vMerge/>
            <w:shd w:val="clear" w:color="auto" w:fill="FFFFFF" w:themeFill="background1"/>
            <w:vAlign w:val="center"/>
          </w:tcPr>
          <w:p w14:paraId="192FDB36" w14:textId="77777777" w:rsidR="0089654A" w:rsidRPr="00736448" w:rsidRDefault="0089654A" w:rsidP="00F042B6">
            <w:pPr>
              <w:spacing w:after="0" w:line="240" w:lineRule="auto"/>
              <w:rPr>
                <w:rFonts w:asciiTheme="majorHAnsi" w:eastAsia="Times New Roman" w:hAnsiTheme="majorHAnsi" w:cstheme="majorHAnsi"/>
                <w:b/>
                <w:sz w:val="20"/>
                <w:szCs w:val="20"/>
                <w:lang w:val="ro-MD" w:eastAsia="ro-RO"/>
              </w:rPr>
            </w:pPr>
          </w:p>
        </w:tc>
        <w:tc>
          <w:tcPr>
            <w:tcW w:w="0" w:type="auto"/>
            <w:vMerge/>
            <w:shd w:val="clear" w:color="auto" w:fill="FFFFFF" w:themeFill="background1"/>
            <w:vAlign w:val="center"/>
          </w:tcPr>
          <w:p w14:paraId="5BF957C5" w14:textId="77777777" w:rsidR="0089654A" w:rsidRPr="00F042B6" w:rsidRDefault="0089654A" w:rsidP="00F042B6">
            <w:pPr>
              <w:spacing w:after="0" w:line="240" w:lineRule="auto"/>
              <w:rPr>
                <w:rFonts w:asciiTheme="majorHAnsi" w:eastAsia="Times New Roman" w:hAnsiTheme="majorHAnsi" w:cstheme="majorHAnsi"/>
                <w:b/>
                <w:sz w:val="20"/>
                <w:szCs w:val="20"/>
                <w:lang w:val="ro-MD" w:eastAsia="ro-RO"/>
              </w:rPr>
            </w:pPr>
          </w:p>
        </w:tc>
        <w:tc>
          <w:tcPr>
            <w:tcW w:w="0" w:type="auto"/>
            <w:vMerge/>
            <w:shd w:val="clear" w:color="auto" w:fill="FFFFFF" w:themeFill="background1"/>
            <w:vAlign w:val="center"/>
          </w:tcPr>
          <w:p w14:paraId="07A90067" w14:textId="77777777" w:rsidR="0089654A" w:rsidRPr="00736448" w:rsidRDefault="0089654A" w:rsidP="0089654A">
            <w:pPr>
              <w:spacing w:after="0" w:line="240" w:lineRule="auto"/>
              <w:rPr>
                <w:rFonts w:asciiTheme="majorHAnsi" w:eastAsia="Times New Roman" w:hAnsiTheme="majorHAnsi" w:cstheme="majorHAnsi"/>
                <w:sz w:val="20"/>
                <w:szCs w:val="20"/>
                <w:lang w:val="ro-MD" w:eastAsia="ro-RO"/>
              </w:rPr>
            </w:pPr>
          </w:p>
        </w:tc>
        <w:tc>
          <w:tcPr>
            <w:tcW w:w="2544" w:type="dxa"/>
            <w:vMerge/>
            <w:shd w:val="clear" w:color="auto" w:fill="FFFFFF" w:themeFill="background1"/>
            <w:vAlign w:val="center"/>
          </w:tcPr>
          <w:p w14:paraId="79812F1B"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p>
        </w:tc>
        <w:tc>
          <w:tcPr>
            <w:tcW w:w="0" w:type="auto"/>
            <w:vMerge/>
            <w:shd w:val="clear" w:color="auto" w:fill="FFFFFF" w:themeFill="background1"/>
            <w:vAlign w:val="center"/>
          </w:tcPr>
          <w:p w14:paraId="6BF907C8"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p>
        </w:tc>
      </w:tr>
      <w:tr w:rsidR="00C515BF" w:rsidRPr="00C515BF" w14:paraId="70F142A0" w14:textId="77777777" w:rsidTr="00F042B6">
        <w:trPr>
          <w:trHeight w:val="20"/>
        </w:trPr>
        <w:tc>
          <w:tcPr>
            <w:tcW w:w="0" w:type="auto"/>
            <w:shd w:val="clear" w:color="auto" w:fill="FFFFFF" w:themeFill="background1"/>
            <w:vAlign w:val="center"/>
          </w:tcPr>
          <w:p w14:paraId="314EC312" w14:textId="77777777" w:rsidR="0089654A" w:rsidRPr="00736448" w:rsidRDefault="0089654A" w:rsidP="00F042B6">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2.</w:t>
            </w:r>
          </w:p>
        </w:tc>
        <w:tc>
          <w:tcPr>
            <w:tcW w:w="0" w:type="auto"/>
            <w:shd w:val="clear" w:color="auto" w:fill="FFFFFF" w:themeFill="background1"/>
            <w:vAlign w:val="center"/>
          </w:tcPr>
          <w:p w14:paraId="359E5990" w14:textId="13869DB8" w:rsidR="0089654A" w:rsidRPr="00F042B6" w:rsidRDefault="0089654A" w:rsidP="00F042B6">
            <w:pPr>
              <w:spacing w:after="0" w:line="240" w:lineRule="auto"/>
              <w:rPr>
                <w:rFonts w:asciiTheme="majorHAnsi" w:eastAsia="Times New Roman" w:hAnsiTheme="majorHAnsi" w:cstheme="majorHAnsi"/>
                <w:b/>
                <w:sz w:val="20"/>
                <w:szCs w:val="20"/>
                <w:lang w:val="ro-MD" w:eastAsia="ro-RO"/>
              </w:rPr>
            </w:pPr>
            <w:r w:rsidRPr="00F042B6">
              <w:rPr>
                <w:rFonts w:asciiTheme="majorHAnsi" w:hAnsiTheme="majorHAnsi" w:cstheme="majorHAnsi"/>
                <w:b/>
                <w:sz w:val="20"/>
                <w:szCs w:val="20"/>
              </w:rPr>
              <w:t>Португальская Республика</w:t>
            </w:r>
          </w:p>
        </w:tc>
        <w:tc>
          <w:tcPr>
            <w:tcW w:w="0" w:type="auto"/>
            <w:shd w:val="clear" w:color="auto" w:fill="FFFFFF" w:themeFill="background1"/>
            <w:vAlign w:val="center"/>
          </w:tcPr>
          <w:p w14:paraId="16DEC2DB" w14:textId="1F782384" w:rsidR="0089654A" w:rsidRPr="00736448" w:rsidRDefault="0089654A" w:rsidP="0089654A">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 xml:space="preserve">11.02.2009, </w:t>
            </w:r>
            <w:r w:rsidRPr="0089654A">
              <w:rPr>
                <w:rFonts w:asciiTheme="majorHAnsi" w:eastAsia="Times New Roman" w:hAnsiTheme="majorHAnsi" w:cstheme="majorHAnsi"/>
                <w:sz w:val="20"/>
                <w:szCs w:val="20"/>
                <w:lang w:val="ro-MD" w:eastAsia="ro-RO"/>
              </w:rPr>
              <w:t>Лиссабон</w:t>
            </w:r>
          </w:p>
        </w:tc>
        <w:tc>
          <w:tcPr>
            <w:tcW w:w="2544" w:type="dxa"/>
            <w:shd w:val="clear" w:color="auto" w:fill="FFFFFF" w:themeFill="background1"/>
            <w:vAlign w:val="center"/>
          </w:tcPr>
          <w:p w14:paraId="7AE6015B"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01.12.2010</w:t>
            </w:r>
          </w:p>
        </w:tc>
        <w:tc>
          <w:tcPr>
            <w:tcW w:w="0" w:type="auto"/>
            <w:shd w:val="clear" w:color="auto" w:fill="FFFFFF" w:themeFill="background1"/>
            <w:vAlign w:val="center"/>
          </w:tcPr>
          <w:p w14:paraId="64CEE9EE" w14:textId="2371D030" w:rsidR="0089654A" w:rsidRPr="00C515BF" w:rsidRDefault="0089654A" w:rsidP="00C515BF">
            <w:pPr>
              <w:spacing w:after="0" w:line="240" w:lineRule="auto"/>
              <w:jc w:val="center"/>
              <w:rPr>
                <w:rFonts w:asciiTheme="majorHAnsi" w:eastAsia="Times New Roman" w:hAnsiTheme="majorHAnsi" w:cstheme="majorHAnsi"/>
                <w:sz w:val="20"/>
                <w:szCs w:val="20"/>
                <w:lang w:val="ru-RU" w:eastAsia="ro-RO"/>
              </w:rPr>
            </w:pPr>
            <w:r w:rsidRPr="00736448">
              <w:rPr>
                <w:rFonts w:asciiTheme="majorHAnsi" w:eastAsia="Times New Roman" w:hAnsiTheme="majorHAnsi" w:cstheme="majorHAnsi"/>
                <w:sz w:val="20"/>
                <w:szCs w:val="20"/>
                <w:lang w:val="ro-MD" w:eastAsia="ro-RO"/>
              </w:rPr>
              <w:t xml:space="preserve">66 </w:t>
            </w:r>
            <w:r w:rsidR="00C515BF">
              <w:rPr>
                <w:rFonts w:asciiTheme="majorHAnsi" w:eastAsia="Times New Roman" w:hAnsiTheme="majorHAnsi" w:cstheme="majorHAnsi"/>
                <w:sz w:val="20"/>
                <w:szCs w:val="20"/>
                <w:lang w:val="ru-RU" w:eastAsia="ro-RO"/>
              </w:rPr>
              <w:t>лет</w:t>
            </w:r>
            <w:r w:rsidRPr="00736448">
              <w:rPr>
                <w:rFonts w:asciiTheme="majorHAnsi" w:eastAsia="Times New Roman" w:hAnsiTheme="majorHAnsi" w:cstheme="majorHAnsi"/>
                <w:sz w:val="20"/>
                <w:szCs w:val="20"/>
                <w:lang w:val="ro-MD" w:eastAsia="ro-RO"/>
              </w:rPr>
              <w:t xml:space="preserve"> 06 </w:t>
            </w:r>
            <w:r w:rsidR="00C515BF">
              <w:rPr>
                <w:rFonts w:asciiTheme="majorHAnsi" w:eastAsia="Times New Roman" w:hAnsiTheme="majorHAnsi" w:cstheme="majorHAnsi"/>
                <w:sz w:val="20"/>
                <w:szCs w:val="20"/>
                <w:lang w:val="ru-RU" w:eastAsia="ro-RO"/>
              </w:rPr>
              <w:t>мес.</w:t>
            </w:r>
            <w:r w:rsidRPr="00736448">
              <w:rPr>
                <w:rFonts w:asciiTheme="majorHAnsi" w:eastAsia="Times New Roman" w:hAnsiTheme="majorHAnsi" w:cstheme="majorHAnsi"/>
                <w:sz w:val="20"/>
                <w:szCs w:val="20"/>
                <w:lang w:val="ro-MD" w:eastAsia="ro-RO"/>
              </w:rPr>
              <w:t xml:space="preserve">/ 66 </w:t>
            </w:r>
            <w:r w:rsidR="00C515BF">
              <w:rPr>
                <w:rFonts w:asciiTheme="majorHAnsi" w:eastAsia="Times New Roman" w:hAnsiTheme="majorHAnsi" w:cstheme="majorHAnsi"/>
                <w:sz w:val="20"/>
                <w:szCs w:val="20"/>
                <w:lang w:val="ru-RU" w:eastAsia="ro-RO"/>
              </w:rPr>
              <w:t xml:space="preserve">лет </w:t>
            </w:r>
            <w:r w:rsidRPr="00736448">
              <w:rPr>
                <w:rFonts w:asciiTheme="majorHAnsi" w:eastAsia="Times New Roman" w:hAnsiTheme="majorHAnsi" w:cstheme="majorHAnsi"/>
                <w:sz w:val="20"/>
                <w:szCs w:val="20"/>
                <w:lang w:val="ro-MD" w:eastAsia="ro-RO"/>
              </w:rPr>
              <w:t xml:space="preserve">06 </w:t>
            </w:r>
            <w:r w:rsidR="00C515BF">
              <w:rPr>
                <w:rFonts w:asciiTheme="majorHAnsi" w:eastAsia="Times New Roman" w:hAnsiTheme="majorHAnsi" w:cstheme="majorHAnsi"/>
                <w:sz w:val="20"/>
                <w:szCs w:val="20"/>
                <w:lang w:val="ru-RU" w:eastAsia="ro-RO"/>
              </w:rPr>
              <w:t>мес.</w:t>
            </w:r>
          </w:p>
        </w:tc>
      </w:tr>
      <w:tr w:rsidR="00C515BF" w:rsidRPr="00C515BF" w14:paraId="68EAEEEF" w14:textId="77777777" w:rsidTr="00F042B6">
        <w:trPr>
          <w:trHeight w:val="244"/>
        </w:trPr>
        <w:tc>
          <w:tcPr>
            <w:tcW w:w="0" w:type="auto"/>
            <w:vMerge w:val="restart"/>
            <w:shd w:val="clear" w:color="auto" w:fill="FFFFFF" w:themeFill="background1"/>
            <w:vAlign w:val="center"/>
          </w:tcPr>
          <w:p w14:paraId="7295D4EE" w14:textId="77777777" w:rsidR="0089654A" w:rsidRPr="00736448" w:rsidRDefault="0089654A" w:rsidP="00F042B6">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3.</w:t>
            </w:r>
          </w:p>
        </w:tc>
        <w:tc>
          <w:tcPr>
            <w:tcW w:w="0" w:type="auto"/>
            <w:vMerge w:val="restart"/>
            <w:shd w:val="clear" w:color="auto" w:fill="FFFFFF" w:themeFill="background1"/>
            <w:vAlign w:val="center"/>
          </w:tcPr>
          <w:p w14:paraId="5DF980AE" w14:textId="77777777" w:rsidR="0089654A" w:rsidRPr="00F042B6" w:rsidRDefault="0089654A" w:rsidP="00F042B6">
            <w:pPr>
              <w:spacing w:after="0" w:line="240" w:lineRule="auto"/>
              <w:rPr>
                <w:rFonts w:asciiTheme="majorHAnsi" w:eastAsia="Times New Roman" w:hAnsiTheme="majorHAnsi" w:cstheme="majorHAnsi"/>
                <w:b/>
                <w:sz w:val="20"/>
                <w:szCs w:val="20"/>
                <w:lang w:val="ro-MD" w:eastAsia="ro-RO"/>
              </w:rPr>
            </w:pPr>
            <w:r w:rsidRPr="00F042B6">
              <w:rPr>
                <w:rFonts w:asciiTheme="majorHAnsi" w:hAnsiTheme="majorHAnsi" w:cstheme="majorHAnsi"/>
                <w:b/>
                <w:sz w:val="20"/>
                <w:szCs w:val="20"/>
                <w:lang w:val="ru-RU"/>
              </w:rPr>
              <w:t>Румыния</w:t>
            </w:r>
          </w:p>
          <w:p w14:paraId="7916A25F" w14:textId="70ED62F0" w:rsidR="0089654A" w:rsidRPr="00F042B6" w:rsidRDefault="0089654A" w:rsidP="00F042B6">
            <w:pPr>
              <w:spacing w:after="0" w:line="240" w:lineRule="auto"/>
              <w:rPr>
                <w:rFonts w:asciiTheme="majorHAnsi" w:eastAsia="Times New Roman" w:hAnsiTheme="majorHAnsi" w:cstheme="majorHAnsi"/>
                <w:b/>
                <w:sz w:val="20"/>
                <w:szCs w:val="20"/>
                <w:lang w:val="ro-MD" w:eastAsia="ro-RO"/>
              </w:rPr>
            </w:pPr>
          </w:p>
        </w:tc>
        <w:tc>
          <w:tcPr>
            <w:tcW w:w="0" w:type="auto"/>
            <w:vMerge w:val="restart"/>
            <w:shd w:val="clear" w:color="auto" w:fill="FFFFFF" w:themeFill="background1"/>
            <w:vAlign w:val="center"/>
          </w:tcPr>
          <w:p w14:paraId="746016B6" w14:textId="75637317" w:rsidR="0089654A" w:rsidRPr="0089654A" w:rsidRDefault="0089654A" w:rsidP="0089654A">
            <w:pPr>
              <w:spacing w:after="0" w:line="240" w:lineRule="auto"/>
              <w:rPr>
                <w:rFonts w:asciiTheme="majorHAnsi" w:eastAsia="Times New Roman" w:hAnsiTheme="majorHAnsi" w:cstheme="majorHAnsi"/>
                <w:sz w:val="20"/>
                <w:szCs w:val="20"/>
                <w:lang w:val="ru-RU" w:eastAsia="ro-RO"/>
              </w:rPr>
            </w:pPr>
            <w:r w:rsidRPr="00736448">
              <w:rPr>
                <w:rFonts w:asciiTheme="majorHAnsi" w:eastAsia="Times New Roman" w:hAnsiTheme="majorHAnsi" w:cstheme="majorHAnsi"/>
                <w:sz w:val="20"/>
                <w:szCs w:val="20"/>
                <w:lang w:val="ro-MD" w:eastAsia="ro-RO"/>
              </w:rPr>
              <w:t xml:space="preserve">27.04.2010, </w:t>
            </w:r>
            <w:r>
              <w:rPr>
                <w:rFonts w:asciiTheme="majorHAnsi" w:eastAsia="Times New Roman" w:hAnsiTheme="majorHAnsi" w:cstheme="majorHAnsi"/>
                <w:sz w:val="20"/>
                <w:szCs w:val="20"/>
                <w:lang w:val="ru-RU" w:eastAsia="ro-RO"/>
              </w:rPr>
              <w:t>Бухарест</w:t>
            </w:r>
          </w:p>
        </w:tc>
        <w:tc>
          <w:tcPr>
            <w:tcW w:w="2544" w:type="dxa"/>
            <w:vMerge w:val="restart"/>
            <w:shd w:val="clear" w:color="auto" w:fill="FFFFFF" w:themeFill="background1"/>
            <w:vAlign w:val="center"/>
          </w:tcPr>
          <w:p w14:paraId="25543C3B"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01.09.2011</w:t>
            </w:r>
          </w:p>
        </w:tc>
        <w:tc>
          <w:tcPr>
            <w:tcW w:w="0" w:type="auto"/>
            <w:vMerge w:val="restart"/>
            <w:shd w:val="clear" w:color="auto" w:fill="FFFFFF" w:themeFill="background1"/>
            <w:vAlign w:val="center"/>
          </w:tcPr>
          <w:p w14:paraId="2B975D81"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65/61+</w:t>
            </w:r>
          </w:p>
        </w:tc>
      </w:tr>
      <w:tr w:rsidR="00C515BF" w:rsidRPr="00C515BF" w14:paraId="340FA6D4" w14:textId="77777777" w:rsidTr="00F042B6">
        <w:trPr>
          <w:trHeight w:val="244"/>
        </w:trPr>
        <w:tc>
          <w:tcPr>
            <w:tcW w:w="0" w:type="auto"/>
            <w:vMerge/>
            <w:shd w:val="clear" w:color="auto" w:fill="FFFFFF" w:themeFill="background1"/>
            <w:vAlign w:val="center"/>
          </w:tcPr>
          <w:p w14:paraId="17DD3532" w14:textId="77777777" w:rsidR="0089654A" w:rsidRPr="00736448" w:rsidRDefault="0089654A" w:rsidP="00F042B6">
            <w:pPr>
              <w:spacing w:after="0" w:line="240" w:lineRule="auto"/>
              <w:rPr>
                <w:rFonts w:asciiTheme="majorHAnsi" w:eastAsia="Times New Roman" w:hAnsiTheme="majorHAnsi" w:cstheme="majorHAnsi"/>
                <w:b/>
                <w:sz w:val="20"/>
                <w:szCs w:val="20"/>
                <w:lang w:val="ro-MD" w:eastAsia="ro-RO"/>
              </w:rPr>
            </w:pPr>
          </w:p>
        </w:tc>
        <w:tc>
          <w:tcPr>
            <w:tcW w:w="0" w:type="auto"/>
            <w:vMerge/>
            <w:shd w:val="clear" w:color="auto" w:fill="FFFFFF" w:themeFill="background1"/>
            <w:vAlign w:val="center"/>
          </w:tcPr>
          <w:p w14:paraId="1C4E87FF" w14:textId="77777777" w:rsidR="0089654A" w:rsidRPr="00F042B6" w:rsidRDefault="0089654A" w:rsidP="00F042B6">
            <w:pPr>
              <w:spacing w:after="0" w:line="240" w:lineRule="auto"/>
              <w:rPr>
                <w:rFonts w:asciiTheme="majorHAnsi" w:eastAsia="Times New Roman" w:hAnsiTheme="majorHAnsi" w:cstheme="majorHAnsi"/>
                <w:b/>
                <w:sz w:val="20"/>
                <w:szCs w:val="20"/>
                <w:lang w:val="ro-MD" w:eastAsia="ro-RO"/>
              </w:rPr>
            </w:pPr>
          </w:p>
        </w:tc>
        <w:tc>
          <w:tcPr>
            <w:tcW w:w="0" w:type="auto"/>
            <w:vMerge/>
            <w:shd w:val="clear" w:color="auto" w:fill="FFFFFF" w:themeFill="background1"/>
            <w:vAlign w:val="center"/>
          </w:tcPr>
          <w:p w14:paraId="0BC40A65" w14:textId="77777777" w:rsidR="0089654A" w:rsidRPr="00736448" w:rsidRDefault="0089654A" w:rsidP="0089654A">
            <w:pPr>
              <w:spacing w:after="0" w:line="240" w:lineRule="auto"/>
              <w:rPr>
                <w:rFonts w:asciiTheme="majorHAnsi" w:eastAsia="Times New Roman" w:hAnsiTheme="majorHAnsi" w:cstheme="majorHAnsi"/>
                <w:sz w:val="20"/>
                <w:szCs w:val="20"/>
                <w:lang w:val="ro-MD" w:eastAsia="ro-RO"/>
              </w:rPr>
            </w:pPr>
          </w:p>
        </w:tc>
        <w:tc>
          <w:tcPr>
            <w:tcW w:w="2544" w:type="dxa"/>
            <w:vMerge/>
            <w:shd w:val="clear" w:color="auto" w:fill="FFFFFF" w:themeFill="background1"/>
            <w:vAlign w:val="center"/>
          </w:tcPr>
          <w:p w14:paraId="7ACF867A"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p>
        </w:tc>
        <w:tc>
          <w:tcPr>
            <w:tcW w:w="0" w:type="auto"/>
            <w:vMerge/>
            <w:shd w:val="clear" w:color="auto" w:fill="FFFFFF" w:themeFill="background1"/>
            <w:vAlign w:val="center"/>
          </w:tcPr>
          <w:p w14:paraId="0666E298"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p>
        </w:tc>
      </w:tr>
      <w:tr w:rsidR="00C515BF" w:rsidRPr="00B7675F" w14:paraId="5C40D301" w14:textId="77777777" w:rsidTr="00F042B6">
        <w:trPr>
          <w:trHeight w:val="20"/>
        </w:trPr>
        <w:tc>
          <w:tcPr>
            <w:tcW w:w="0" w:type="auto"/>
            <w:shd w:val="clear" w:color="auto" w:fill="FFFFFF" w:themeFill="background1"/>
            <w:vAlign w:val="center"/>
          </w:tcPr>
          <w:p w14:paraId="577FE30A" w14:textId="77777777" w:rsidR="0089654A" w:rsidRPr="00736448" w:rsidRDefault="0089654A" w:rsidP="00F042B6">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4.</w:t>
            </w:r>
          </w:p>
        </w:tc>
        <w:tc>
          <w:tcPr>
            <w:tcW w:w="0" w:type="auto"/>
            <w:shd w:val="clear" w:color="auto" w:fill="FFFFFF" w:themeFill="background1"/>
            <w:vAlign w:val="center"/>
          </w:tcPr>
          <w:p w14:paraId="6035D02C" w14:textId="3D644AC6" w:rsidR="0089654A" w:rsidRPr="00F042B6" w:rsidRDefault="0089654A" w:rsidP="00F042B6">
            <w:pPr>
              <w:spacing w:after="0" w:line="240" w:lineRule="auto"/>
              <w:rPr>
                <w:rFonts w:asciiTheme="majorHAnsi" w:eastAsia="Times New Roman" w:hAnsiTheme="majorHAnsi" w:cstheme="majorHAnsi"/>
                <w:b/>
                <w:sz w:val="20"/>
                <w:szCs w:val="20"/>
                <w:lang w:val="ro-MD" w:eastAsia="ro-RO"/>
              </w:rPr>
            </w:pPr>
            <w:r w:rsidRPr="00F042B6">
              <w:rPr>
                <w:rFonts w:asciiTheme="majorHAnsi" w:hAnsiTheme="majorHAnsi" w:cstheme="majorHAnsi"/>
                <w:b/>
                <w:sz w:val="20"/>
                <w:szCs w:val="20"/>
                <w:lang w:val="ru-RU"/>
              </w:rPr>
              <w:t>Великое Герцогство Люксембург</w:t>
            </w:r>
          </w:p>
        </w:tc>
        <w:tc>
          <w:tcPr>
            <w:tcW w:w="0" w:type="auto"/>
            <w:shd w:val="clear" w:color="auto" w:fill="FFFFFF" w:themeFill="background1"/>
            <w:vAlign w:val="center"/>
          </w:tcPr>
          <w:p w14:paraId="0B800426" w14:textId="594E6A2A" w:rsidR="0089654A" w:rsidRPr="0089654A" w:rsidRDefault="0089654A" w:rsidP="0089654A">
            <w:pPr>
              <w:spacing w:after="0" w:line="240" w:lineRule="auto"/>
              <w:rPr>
                <w:rFonts w:asciiTheme="majorHAnsi" w:eastAsia="Times New Roman" w:hAnsiTheme="majorHAnsi" w:cstheme="majorHAnsi"/>
                <w:sz w:val="20"/>
                <w:szCs w:val="20"/>
                <w:lang w:val="ru-RU" w:eastAsia="ro-RO"/>
              </w:rPr>
            </w:pPr>
            <w:r w:rsidRPr="00736448">
              <w:rPr>
                <w:rFonts w:asciiTheme="majorHAnsi" w:eastAsia="Times New Roman" w:hAnsiTheme="majorHAnsi" w:cstheme="majorHAnsi"/>
                <w:sz w:val="20"/>
                <w:szCs w:val="20"/>
                <w:lang w:val="ro-MD" w:eastAsia="ro-RO"/>
              </w:rPr>
              <w:t xml:space="preserve">14.06.2010, </w:t>
            </w:r>
            <w:r>
              <w:rPr>
                <w:rFonts w:asciiTheme="majorHAnsi" w:eastAsia="Times New Roman" w:hAnsiTheme="majorHAnsi" w:cstheme="majorHAnsi"/>
                <w:sz w:val="20"/>
                <w:szCs w:val="20"/>
                <w:lang w:val="ru-RU" w:eastAsia="ro-RO"/>
              </w:rPr>
              <w:t>Люксембург</w:t>
            </w:r>
          </w:p>
        </w:tc>
        <w:tc>
          <w:tcPr>
            <w:tcW w:w="2544" w:type="dxa"/>
            <w:shd w:val="clear" w:color="auto" w:fill="FFFFFF" w:themeFill="background1"/>
            <w:vAlign w:val="center"/>
          </w:tcPr>
          <w:p w14:paraId="492BE951"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01.01.2012</w:t>
            </w:r>
          </w:p>
        </w:tc>
        <w:tc>
          <w:tcPr>
            <w:tcW w:w="0" w:type="auto"/>
            <w:shd w:val="clear" w:color="auto" w:fill="FFFFFF" w:themeFill="background1"/>
            <w:vAlign w:val="center"/>
          </w:tcPr>
          <w:p w14:paraId="34A29527"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65/65</w:t>
            </w:r>
          </w:p>
        </w:tc>
      </w:tr>
      <w:tr w:rsidR="00C515BF" w:rsidRPr="00B7675F" w14:paraId="11A34372" w14:textId="77777777" w:rsidTr="00F042B6">
        <w:trPr>
          <w:trHeight w:val="244"/>
        </w:trPr>
        <w:tc>
          <w:tcPr>
            <w:tcW w:w="0" w:type="auto"/>
            <w:vMerge w:val="restart"/>
            <w:shd w:val="clear" w:color="auto" w:fill="FFFFFF" w:themeFill="background1"/>
            <w:vAlign w:val="center"/>
          </w:tcPr>
          <w:p w14:paraId="3DEBC566" w14:textId="77777777" w:rsidR="0089654A" w:rsidRPr="00736448" w:rsidRDefault="0089654A" w:rsidP="00F042B6">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5.</w:t>
            </w:r>
          </w:p>
        </w:tc>
        <w:tc>
          <w:tcPr>
            <w:tcW w:w="0" w:type="auto"/>
            <w:vMerge w:val="restart"/>
            <w:shd w:val="clear" w:color="auto" w:fill="FFFFFF" w:themeFill="background1"/>
            <w:vAlign w:val="center"/>
          </w:tcPr>
          <w:p w14:paraId="1900B372" w14:textId="3AF7A20E" w:rsidR="0089654A" w:rsidRPr="00F042B6" w:rsidRDefault="0089654A" w:rsidP="00F042B6">
            <w:pPr>
              <w:spacing w:after="0" w:line="240" w:lineRule="auto"/>
              <w:rPr>
                <w:rFonts w:asciiTheme="majorHAnsi" w:eastAsia="Times New Roman" w:hAnsiTheme="majorHAnsi" w:cstheme="majorHAnsi"/>
                <w:b/>
                <w:sz w:val="20"/>
                <w:szCs w:val="20"/>
                <w:lang w:val="ro-MD" w:eastAsia="ro-RO"/>
              </w:rPr>
            </w:pPr>
            <w:r w:rsidRPr="00F042B6">
              <w:rPr>
                <w:rFonts w:asciiTheme="majorHAnsi" w:hAnsiTheme="majorHAnsi" w:cstheme="majorHAnsi"/>
                <w:b/>
                <w:sz w:val="20"/>
                <w:szCs w:val="20"/>
              </w:rPr>
              <w:t>Эстонская Республика</w:t>
            </w:r>
          </w:p>
        </w:tc>
        <w:tc>
          <w:tcPr>
            <w:tcW w:w="0" w:type="auto"/>
            <w:vMerge w:val="restart"/>
            <w:shd w:val="clear" w:color="auto" w:fill="FFFFFF" w:themeFill="background1"/>
            <w:vAlign w:val="center"/>
          </w:tcPr>
          <w:p w14:paraId="4AF0EAA4" w14:textId="467C2DFC" w:rsidR="0089654A" w:rsidRPr="00736448" w:rsidRDefault="0089654A" w:rsidP="0089654A">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 xml:space="preserve">19.10.2011, </w:t>
            </w:r>
            <w:r w:rsidRPr="0089654A">
              <w:rPr>
                <w:rFonts w:asciiTheme="majorHAnsi" w:eastAsia="Times New Roman" w:hAnsiTheme="majorHAnsi" w:cstheme="majorHAnsi"/>
                <w:sz w:val="20"/>
                <w:szCs w:val="20"/>
                <w:lang w:val="ro-MD" w:eastAsia="ro-RO"/>
              </w:rPr>
              <w:t>Таллинн</w:t>
            </w:r>
          </w:p>
        </w:tc>
        <w:tc>
          <w:tcPr>
            <w:tcW w:w="2544" w:type="dxa"/>
            <w:vMerge w:val="restart"/>
            <w:shd w:val="clear" w:color="auto" w:fill="FFFFFF" w:themeFill="background1"/>
            <w:vAlign w:val="center"/>
          </w:tcPr>
          <w:p w14:paraId="17666155"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01.08.2012</w:t>
            </w:r>
          </w:p>
        </w:tc>
        <w:tc>
          <w:tcPr>
            <w:tcW w:w="0" w:type="auto"/>
            <w:vMerge w:val="restart"/>
            <w:shd w:val="clear" w:color="auto" w:fill="FFFFFF" w:themeFill="background1"/>
            <w:vAlign w:val="center"/>
          </w:tcPr>
          <w:p w14:paraId="4DB0C5DB"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63+ /63+</w:t>
            </w:r>
          </w:p>
        </w:tc>
      </w:tr>
      <w:tr w:rsidR="00C515BF" w:rsidRPr="00B7675F" w14:paraId="60763CAB" w14:textId="77777777" w:rsidTr="00F042B6">
        <w:trPr>
          <w:trHeight w:val="244"/>
        </w:trPr>
        <w:tc>
          <w:tcPr>
            <w:tcW w:w="0" w:type="auto"/>
            <w:vMerge/>
            <w:shd w:val="clear" w:color="auto" w:fill="FFFFFF" w:themeFill="background1"/>
            <w:vAlign w:val="center"/>
          </w:tcPr>
          <w:p w14:paraId="3F5F1A92" w14:textId="77777777" w:rsidR="00E46FC8" w:rsidRPr="00736448" w:rsidRDefault="00E46FC8" w:rsidP="00F042B6">
            <w:pPr>
              <w:spacing w:after="0" w:line="240" w:lineRule="auto"/>
              <w:rPr>
                <w:rFonts w:asciiTheme="majorHAnsi" w:eastAsia="Times New Roman" w:hAnsiTheme="majorHAnsi" w:cstheme="majorHAnsi"/>
                <w:b/>
                <w:sz w:val="20"/>
                <w:szCs w:val="20"/>
                <w:lang w:val="ro-MD" w:eastAsia="ro-RO"/>
              </w:rPr>
            </w:pPr>
          </w:p>
        </w:tc>
        <w:tc>
          <w:tcPr>
            <w:tcW w:w="0" w:type="auto"/>
            <w:vMerge/>
            <w:shd w:val="clear" w:color="auto" w:fill="FFFFFF" w:themeFill="background1"/>
            <w:vAlign w:val="center"/>
          </w:tcPr>
          <w:p w14:paraId="3E8B28AF" w14:textId="77777777" w:rsidR="00E46FC8" w:rsidRPr="00F042B6" w:rsidRDefault="00E46FC8" w:rsidP="00F042B6">
            <w:pPr>
              <w:spacing w:after="0" w:line="240" w:lineRule="auto"/>
              <w:rPr>
                <w:rFonts w:asciiTheme="majorHAnsi" w:eastAsia="Times New Roman" w:hAnsiTheme="majorHAnsi" w:cstheme="majorHAnsi"/>
                <w:b/>
                <w:sz w:val="20"/>
                <w:szCs w:val="20"/>
                <w:lang w:val="ro-MD" w:eastAsia="ro-RO"/>
              </w:rPr>
            </w:pPr>
          </w:p>
        </w:tc>
        <w:tc>
          <w:tcPr>
            <w:tcW w:w="0" w:type="auto"/>
            <w:vMerge/>
            <w:shd w:val="clear" w:color="auto" w:fill="FFFFFF" w:themeFill="background1"/>
            <w:vAlign w:val="center"/>
          </w:tcPr>
          <w:p w14:paraId="7BA48CA6" w14:textId="77777777" w:rsidR="00E46FC8" w:rsidRPr="00736448" w:rsidRDefault="00E46FC8" w:rsidP="00E46FC8">
            <w:pPr>
              <w:spacing w:after="0" w:line="240" w:lineRule="auto"/>
              <w:rPr>
                <w:rFonts w:asciiTheme="majorHAnsi" w:eastAsia="Times New Roman" w:hAnsiTheme="majorHAnsi" w:cstheme="majorHAnsi"/>
                <w:sz w:val="20"/>
                <w:szCs w:val="20"/>
                <w:lang w:val="ro-MD" w:eastAsia="ro-RO"/>
              </w:rPr>
            </w:pPr>
          </w:p>
        </w:tc>
        <w:tc>
          <w:tcPr>
            <w:tcW w:w="2544" w:type="dxa"/>
            <w:vMerge/>
            <w:shd w:val="clear" w:color="auto" w:fill="FFFFFF" w:themeFill="background1"/>
            <w:vAlign w:val="center"/>
          </w:tcPr>
          <w:p w14:paraId="72B4BCA7"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p>
        </w:tc>
        <w:tc>
          <w:tcPr>
            <w:tcW w:w="0" w:type="auto"/>
            <w:vMerge/>
            <w:shd w:val="clear" w:color="auto" w:fill="FFFFFF" w:themeFill="background1"/>
            <w:vAlign w:val="center"/>
          </w:tcPr>
          <w:p w14:paraId="1AB658B8"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p>
        </w:tc>
      </w:tr>
      <w:tr w:rsidR="00C515BF" w:rsidRPr="00B7675F" w14:paraId="2B600EA3" w14:textId="77777777" w:rsidTr="00F042B6">
        <w:trPr>
          <w:trHeight w:val="244"/>
        </w:trPr>
        <w:tc>
          <w:tcPr>
            <w:tcW w:w="0" w:type="auto"/>
            <w:vMerge w:val="restart"/>
            <w:shd w:val="clear" w:color="auto" w:fill="FFFFFF" w:themeFill="background1"/>
            <w:vAlign w:val="center"/>
          </w:tcPr>
          <w:p w14:paraId="3302644F" w14:textId="77777777" w:rsidR="0089654A" w:rsidRPr="00736448" w:rsidRDefault="0089654A" w:rsidP="00F042B6">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6.</w:t>
            </w:r>
          </w:p>
        </w:tc>
        <w:tc>
          <w:tcPr>
            <w:tcW w:w="0" w:type="auto"/>
            <w:vMerge w:val="restart"/>
            <w:shd w:val="clear" w:color="auto" w:fill="FFFFFF" w:themeFill="background1"/>
            <w:vAlign w:val="center"/>
          </w:tcPr>
          <w:p w14:paraId="5A6218C6" w14:textId="77777777" w:rsidR="0089654A" w:rsidRPr="00F042B6" w:rsidRDefault="0089654A" w:rsidP="00F042B6">
            <w:pPr>
              <w:spacing w:after="0" w:line="240" w:lineRule="auto"/>
              <w:rPr>
                <w:rFonts w:asciiTheme="majorHAnsi" w:eastAsia="Times New Roman" w:hAnsiTheme="majorHAnsi" w:cstheme="majorHAnsi"/>
                <w:b/>
                <w:sz w:val="20"/>
                <w:szCs w:val="20"/>
                <w:lang w:val="ro-MD" w:eastAsia="ro-RO"/>
              </w:rPr>
            </w:pPr>
            <w:r w:rsidRPr="00F042B6">
              <w:rPr>
                <w:rFonts w:asciiTheme="majorHAnsi" w:hAnsiTheme="majorHAnsi" w:cstheme="majorHAnsi"/>
                <w:b/>
                <w:sz w:val="20"/>
                <w:szCs w:val="20"/>
              </w:rPr>
              <w:t>Чешская Республика</w:t>
            </w:r>
          </w:p>
          <w:p w14:paraId="7DCEEBA9" w14:textId="01DEC617" w:rsidR="0089654A" w:rsidRPr="00F042B6" w:rsidRDefault="0089654A" w:rsidP="00F042B6">
            <w:pPr>
              <w:spacing w:after="0" w:line="240" w:lineRule="auto"/>
              <w:rPr>
                <w:rFonts w:asciiTheme="majorHAnsi" w:eastAsia="Times New Roman" w:hAnsiTheme="majorHAnsi" w:cstheme="majorHAnsi"/>
                <w:b/>
                <w:sz w:val="20"/>
                <w:szCs w:val="20"/>
                <w:lang w:val="ro-MD" w:eastAsia="ro-RO"/>
              </w:rPr>
            </w:pPr>
          </w:p>
        </w:tc>
        <w:tc>
          <w:tcPr>
            <w:tcW w:w="0" w:type="auto"/>
            <w:vMerge w:val="restart"/>
            <w:shd w:val="clear" w:color="auto" w:fill="FFFFFF" w:themeFill="background1"/>
            <w:vAlign w:val="center"/>
          </w:tcPr>
          <w:p w14:paraId="06339EBF" w14:textId="0B493B4B" w:rsidR="0089654A" w:rsidRPr="0089654A" w:rsidRDefault="0089654A" w:rsidP="0089654A">
            <w:pPr>
              <w:spacing w:after="0" w:line="240" w:lineRule="auto"/>
              <w:rPr>
                <w:rFonts w:asciiTheme="majorHAnsi" w:eastAsia="Times New Roman" w:hAnsiTheme="majorHAnsi" w:cstheme="majorHAnsi"/>
                <w:sz w:val="20"/>
                <w:szCs w:val="20"/>
                <w:lang w:val="ru-RU" w:eastAsia="ro-RO"/>
              </w:rPr>
            </w:pPr>
            <w:r w:rsidRPr="00736448">
              <w:rPr>
                <w:rFonts w:asciiTheme="majorHAnsi" w:eastAsia="Times New Roman" w:hAnsiTheme="majorHAnsi" w:cstheme="majorHAnsi"/>
                <w:sz w:val="20"/>
                <w:szCs w:val="20"/>
                <w:lang w:val="ro-MD" w:eastAsia="ro-RO"/>
              </w:rPr>
              <w:t xml:space="preserve">29.11.2011, </w:t>
            </w:r>
            <w:r>
              <w:rPr>
                <w:rFonts w:asciiTheme="majorHAnsi" w:eastAsia="Times New Roman" w:hAnsiTheme="majorHAnsi" w:cstheme="majorHAnsi"/>
                <w:sz w:val="20"/>
                <w:szCs w:val="20"/>
                <w:lang w:val="ru-RU" w:eastAsia="ro-RO"/>
              </w:rPr>
              <w:t>Прага</w:t>
            </w:r>
          </w:p>
        </w:tc>
        <w:tc>
          <w:tcPr>
            <w:tcW w:w="2544" w:type="dxa"/>
            <w:vMerge w:val="restart"/>
            <w:shd w:val="clear" w:color="auto" w:fill="FFFFFF" w:themeFill="background1"/>
            <w:vAlign w:val="center"/>
          </w:tcPr>
          <w:p w14:paraId="055DABAE"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01.10.2012</w:t>
            </w:r>
          </w:p>
        </w:tc>
        <w:tc>
          <w:tcPr>
            <w:tcW w:w="0" w:type="auto"/>
            <w:vMerge w:val="restart"/>
            <w:shd w:val="clear" w:color="auto" w:fill="FFFFFF" w:themeFill="background1"/>
            <w:vAlign w:val="center"/>
          </w:tcPr>
          <w:p w14:paraId="758FDEB7"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63+ /63+</w:t>
            </w:r>
          </w:p>
        </w:tc>
      </w:tr>
      <w:tr w:rsidR="00C515BF" w:rsidRPr="00B7675F" w14:paraId="609A2FCA" w14:textId="77777777" w:rsidTr="00F042B6">
        <w:trPr>
          <w:trHeight w:val="244"/>
        </w:trPr>
        <w:tc>
          <w:tcPr>
            <w:tcW w:w="0" w:type="auto"/>
            <w:vMerge/>
            <w:shd w:val="clear" w:color="auto" w:fill="FFFFFF" w:themeFill="background1"/>
            <w:vAlign w:val="center"/>
          </w:tcPr>
          <w:p w14:paraId="1F1E5C4F" w14:textId="77777777" w:rsidR="0089654A" w:rsidRPr="00736448" w:rsidRDefault="0089654A" w:rsidP="00F042B6">
            <w:pPr>
              <w:spacing w:after="0" w:line="240" w:lineRule="auto"/>
              <w:rPr>
                <w:rFonts w:asciiTheme="majorHAnsi" w:eastAsia="Times New Roman" w:hAnsiTheme="majorHAnsi" w:cstheme="majorHAnsi"/>
                <w:b/>
                <w:sz w:val="20"/>
                <w:szCs w:val="20"/>
                <w:lang w:val="ro-MD" w:eastAsia="ro-RO"/>
              </w:rPr>
            </w:pPr>
          </w:p>
        </w:tc>
        <w:tc>
          <w:tcPr>
            <w:tcW w:w="0" w:type="auto"/>
            <w:vMerge/>
            <w:shd w:val="clear" w:color="auto" w:fill="FFFFFF" w:themeFill="background1"/>
            <w:vAlign w:val="center"/>
          </w:tcPr>
          <w:p w14:paraId="6AC7F50C" w14:textId="77777777" w:rsidR="0089654A" w:rsidRPr="00F042B6" w:rsidRDefault="0089654A" w:rsidP="00F042B6">
            <w:pPr>
              <w:spacing w:after="0" w:line="240" w:lineRule="auto"/>
              <w:rPr>
                <w:rFonts w:asciiTheme="majorHAnsi" w:eastAsia="Times New Roman" w:hAnsiTheme="majorHAnsi" w:cstheme="majorHAnsi"/>
                <w:b/>
                <w:sz w:val="20"/>
                <w:szCs w:val="20"/>
                <w:lang w:val="ro-MD" w:eastAsia="ro-RO"/>
              </w:rPr>
            </w:pPr>
          </w:p>
        </w:tc>
        <w:tc>
          <w:tcPr>
            <w:tcW w:w="0" w:type="auto"/>
            <w:vMerge/>
            <w:shd w:val="clear" w:color="auto" w:fill="FFFFFF" w:themeFill="background1"/>
            <w:vAlign w:val="center"/>
          </w:tcPr>
          <w:p w14:paraId="1410CFF6" w14:textId="77777777" w:rsidR="0089654A" w:rsidRPr="00736448" w:rsidRDefault="0089654A" w:rsidP="0089654A">
            <w:pPr>
              <w:spacing w:after="0" w:line="240" w:lineRule="auto"/>
              <w:rPr>
                <w:rFonts w:asciiTheme="majorHAnsi" w:eastAsia="Times New Roman" w:hAnsiTheme="majorHAnsi" w:cstheme="majorHAnsi"/>
                <w:sz w:val="20"/>
                <w:szCs w:val="20"/>
                <w:lang w:val="ro-MD" w:eastAsia="ro-RO"/>
              </w:rPr>
            </w:pPr>
          </w:p>
        </w:tc>
        <w:tc>
          <w:tcPr>
            <w:tcW w:w="2544" w:type="dxa"/>
            <w:vMerge/>
            <w:shd w:val="clear" w:color="auto" w:fill="FFFFFF" w:themeFill="background1"/>
            <w:vAlign w:val="center"/>
          </w:tcPr>
          <w:p w14:paraId="6406DAEB"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p>
        </w:tc>
        <w:tc>
          <w:tcPr>
            <w:tcW w:w="0" w:type="auto"/>
            <w:vMerge/>
            <w:shd w:val="clear" w:color="auto" w:fill="FFFFFF" w:themeFill="background1"/>
            <w:vAlign w:val="center"/>
          </w:tcPr>
          <w:p w14:paraId="76095F4E"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p>
        </w:tc>
      </w:tr>
      <w:tr w:rsidR="00C515BF" w:rsidRPr="00B7675F" w14:paraId="61D2ABA5" w14:textId="77777777" w:rsidTr="00F042B6">
        <w:trPr>
          <w:trHeight w:val="20"/>
        </w:trPr>
        <w:tc>
          <w:tcPr>
            <w:tcW w:w="0" w:type="auto"/>
            <w:shd w:val="clear" w:color="auto" w:fill="FFFFFF" w:themeFill="background1"/>
            <w:vAlign w:val="center"/>
          </w:tcPr>
          <w:p w14:paraId="16284D59" w14:textId="77777777" w:rsidR="0089654A" w:rsidRPr="00736448" w:rsidRDefault="0089654A" w:rsidP="00F042B6">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7.</w:t>
            </w:r>
          </w:p>
        </w:tc>
        <w:tc>
          <w:tcPr>
            <w:tcW w:w="0" w:type="auto"/>
            <w:shd w:val="clear" w:color="auto" w:fill="FFFFFF" w:themeFill="background1"/>
            <w:vAlign w:val="center"/>
          </w:tcPr>
          <w:p w14:paraId="232C1791" w14:textId="188CC3E7" w:rsidR="0089654A" w:rsidRPr="00F042B6" w:rsidRDefault="0089654A" w:rsidP="00F042B6">
            <w:pPr>
              <w:spacing w:after="0" w:line="240" w:lineRule="auto"/>
              <w:rPr>
                <w:rFonts w:asciiTheme="majorHAnsi" w:eastAsia="Times New Roman" w:hAnsiTheme="majorHAnsi" w:cstheme="majorHAnsi"/>
                <w:b/>
                <w:sz w:val="20"/>
                <w:szCs w:val="20"/>
                <w:lang w:val="ro-MD" w:eastAsia="ro-RO"/>
              </w:rPr>
            </w:pPr>
            <w:r w:rsidRPr="00F042B6">
              <w:rPr>
                <w:rFonts w:asciiTheme="majorHAnsi" w:hAnsiTheme="majorHAnsi" w:cstheme="majorHAnsi"/>
                <w:b/>
                <w:sz w:val="20"/>
                <w:szCs w:val="20"/>
              </w:rPr>
              <w:t>Австрийская Республика</w:t>
            </w:r>
          </w:p>
        </w:tc>
        <w:tc>
          <w:tcPr>
            <w:tcW w:w="0" w:type="auto"/>
            <w:shd w:val="clear" w:color="auto" w:fill="FFFFFF" w:themeFill="background1"/>
            <w:vAlign w:val="center"/>
          </w:tcPr>
          <w:p w14:paraId="6D90CD0C" w14:textId="4C5D0FE7" w:rsidR="0089654A" w:rsidRPr="00736448" w:rsidRDefault="0089654A" w:rsidP="0089654A">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 xml:space="preserve">05.09.2011, </w:t>
            </w:r>
            <w:r>
              <w:rPr>
                <w:rFonts w:asciiTheme="majorHAnsi" w:eastAsia="Times New Roman" w:hAnsiTheme="majorHAnsi" w:cstheme="majorHAnsi"/>
                <w:sz w:val="20"/>
                <w:szCs w:val="20"/>
                <w:lang w:val="ro-MD" w:eastAsia="ro-RO"/>
              </w:rPr>
              <w:t>Кишинэу</w:t>
            </w:r>
          </w:p>
        </w:tc>
        <w:tc>
          <w:tcPr>
            <w:tcW w:w="2544" w:type="dxa"/>
            <w:shd w:val="clear" w:color="auto" w:fill="FFFFFF" w:themeFill="background1"/>
            <w:vAlign w:val="center"/>
          </w:tcPr>
          <w:p w14:paraId="6717281D"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01.12.2012</w:t>
            </w:r>
          </w:p>
        </w:tc>
        <w:tc>
          <w:tcPr>
            <w:tcW w:w="0" w:type="auto"/>
            <w:shd w:val="clear" w:color="auto" w:fill="FFFFFF" w:themeFill="background1"/>
            <w:vAlign w:val="center"/>
          </w:tcPr>
          <w:p w14:paraId="7E6AC9F5"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65/60</w:t>
            </w:r>
          </w:p>
        </w:tc>
      </w:tr>
      <w:tr w:rsidR="00C515BF" w:rsidRPr="00B7675F" w14:paraId="34049DFE" w14:textId="77777777" w:rsidTr="00F042B6">
        <w:trPr>
          <w:trHeight w:val="20"/>
        </w:trPr>
        <w:tc>
          <w:tcPr>
            <w:tcW w:w="0" w:type="auto"/>
            <w:shd w:val="clear" w:color="auto" w:fill="FFFFFF" w:themeFill="background1"/>
            <w:vAlign w:val="center"/>
          </w:tcPr>
          <w:p w14:paraId="6A0FCBA8" w14:textId="77777777" w:rsidR="0089654A" w:rsidRPr="00736448" w:rsidRDefault="0089654A" w:rsidP="00F042B6">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8.</w:t>
            </w:r>
          </w:p>
        </w:tc>
        <w:tc>
          <w:tcPr>
            <w:tcW w:w="0" w:type="auto"/>
            <w:shd w:val="clear" w:color="auto" w:fill="FFFFFF" w:themeFill="background1"/>
            <w:vAlign w:val="center"/>
          </w:tcPr>
          <w:p w14:paraId="7B04C963" w14:textId="1D5C7E8C" w:rsidR="0089654A" w:rsidRPr="00F042B6" w:rsidRDefault="0089654A" w:rsidP="00F042B6">
            <w:pPr>
              <w:spacing w:after="0" w:line="240" w:lineRule="auto"/>
              <w:rPr>
                <w:rFonts w:asciiTheme="majorHAnsi" w:eastAsia="Times New Roman" w:hAnsiTheme="majorHAnsi" w:cstheme="majorHAnsi"/>
                <w:b/>
                <w:sz w:val="20"/>
                <w:szCs w:val="20"/>
                <w:lang w:val="ru-RU" w:eastAsia="ro-RO"/>
              </w:rPr>
            </w:pPr>
            <w:r w:rsidRPr="00F042B6">
              <w:rPr>
                <w:rFonts w:asciiTheme="majorHAnsi" w:hAnsiTheme="majorHAnsi" w:cstheme="majorHAnsi"/>
                <w:b/>
                <w:sz w:val="20"/>
                <w:szCs w:val="20"/>
              </w:rPr>
              <w:t>Королевство Бельги</w:t>
            </w:r>
            <w:r w:rsidRPr="00F042B6">
              <w:rPr>
                <w:rFonts w:asciiTheme="majorHAnsi" w:hAnsiTheme="majorHAnsi" w:cstheme="majorHAnsi"/>
                <w:b/>
                <w:sz w:val="20"/>
                <w:szCs w:val="20"/>
                <w:lang w:val="ru-RU"/>
              </w:rPr>
              <w:t>и</w:t>
            </w:r>
          </w:p>
        </w:tc>
        <w:tc>
          <w:tcPr>
            <w:tcW w:w="0" w:type="auto"/>
            <w:shd w:val="clear" w:color="auto" w:fill="FFFFFF" w:themeFill="background1"/>
            <w:vAlign w:val="center"/>
          </w:tcPr>
          <w:p w14:paraId="01AEE79C" w14:textId="25C6DCB9" w:rsidR="0089654A" w:rsidRPr="00736448" w:rsidRDefault="0089654A" w:rsidP="0089654A">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 xml:space="preserve">12.09.2012, </w:t>
            </w:r>
            <w:r w:rsidRPr="0089654A">
              <w:rPr>
                <w:rFonts w:asciiTheme="majorHAnsi" w:eastAsia="Times New Roman" w:hAnsiTheme="majorHAnsi" w:cstheme="majorHAnsi"/>
                <w:sz w:val="20"/>
                <w:szCs w:val="20"/>
                <w:lang w:val="ro-MD" w:eastAsia="ro-RO"/>
              </w:rPr>
              <w:t>Брюссель</w:t>
            </w:r>
          </w:p>
        </w:tc>
        <w:tc>
          <w:tcPr>
            <w:tcW w:w="2544" w:type="dxa"/>
            <w:shd w:val="clear" w:color="auto" w:fill="FFFFFF" w:themeFill="background1"/>
            <w:vAlign w:val="center"/>
          </w:tcPr>
          <w:p w14:paraId="2DF7FCE7"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01.01.2016</w:t>
            </w:r>
          </w:p>
        </w:tc>
        <w:tc>
          <w:tcPr>
            <w:tcW w:w="0" w:type="auto"/>
            <w:shd w:val="clear" w:color="auto" w:fill="FFFFFF" w:themeFill="background1"/>
            <w:vAlign w:val="center"/>
          </w:tcPr>
          <w:p w14:paraId="1DADEA5C"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65/65</w:t>
            </w:r>
          </w:p>
        </w:tc>
      </w:tr>
      <w:tr w:rsidR="00C515BF" w:rsidRPr="00B7675F" w14:paraId="11C636B3" w14:textId="77777777" w:rsidTr="00F042B6">
        <w:trPr>
          <w:trHeight w:val="20"/>
        </w:trPr>
        <w:tc>
          <w:tcPr>
            <w:tcW w:w="0" w:type="auto"/>
            <w:shd w:val="clear" w:color="auto" w:fill="FFFFFF" w:themeFill="background1"/>
            <w:vAlign w:val="center"/>
          </w:tcPr>
          <w:p w14:paraId="302DF98F" w14:textId="77777777" w:rsidR="0089654A" w:rsidRPr="00736448" w:rsidRDefault="0089654A" w:rsidP="00F042B6">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9.</w:t>
            </w:r>
          </w:p>
        </w:tc>
        <w:tc>
          <w:tcPr>
            <w:tcW w:w="0" w:type="auto"/>
            <w:shd w:val="clear" w:color="auto" w:fill="FFFFFF" w:themeFill="background1"/>
            <w:vAlign w:val="center"/>
          </w:tcPr>
          <w:p w14:paraId="6ECBA615" w14:textId="00AA40E6" w:rsidR="0089654A" w:rsidRPr="00F042B6" w:rsidRDefault="0089654A" w:rsidP="00F042B6">
            <w:pPr>
              <w:spacing w:after="0" w:line="240" w:lineRule="auto"/>
              <w:rPr>
                <w:rFonts w:asciiTheme="majorHAnsi" w:eastAsia="Times New Roman" w:hAnsiTheme="majorHAnsi" w:cstheme="majorHAnsi"/>
                <w:b/>
                <w:sz w:val="20"/>
                <w:szCs w:val="20"/>
                <w:lang w:val="ro-MD" w:eastAsia="ro-RO"/>
              </w:rPr>
            </w:pPr>
            <w:r w:rsidRPr="00F042B6">
              <w:rPr>
                <w:rFonts w:asciiTheme="majorHAnsi" w:hAnsiTheme="majorHAnsi" w:cstheme="majorHAnsi"/>
                <w:b/>
                <w:sz w:val="20"/>
                <w:szCs w:val="20"/>
              </w:rPr>
              <w:t>Польская Республика</w:t>
            </w:r>
          </w:p>
        </w:tc>
        <w:tc>
          <w:tcPr>
            <w:tcW w:w="0" w:type="auto"/>
            <w:shd w:val="clear" w:color="auto" w:fill="FFFFFF" w:themeFill="background1"/>
            <w:vAlign w:val="center"/>
          </w:tcPr>
          <w:p w14:paraId="15AF6A3E" w14:textId="0C9B3B97" w:rsidR="0089654A" w:rsidRPr="0089654A" w:rsidRDefault="0089654A" w:rsidP="0089654A">
            <w:pPr>
              <w:spacing w:after="0" w:line="240" w:lineRule="auto"/>
              <w:rPr>
                <w:rFonts w:asciiTheme="majorHAnsi" w:eastAsia="Times New Roman" w:hAnsiTheme="majorHAnsi" w:cstheme="majorHAnsi"/>
                <w:sz w:val="20"/>
                <w:szCs w:val="20"/>
                <w:lang w:val="ru-RU" w:eastAsia="ro-RO"/>
              </w:rPr>
            </w:pPr>
            <w:r w:rsidRPr="00736448">
              <w:rPr>
                <w:rFonts w:asciiTheme="majorHAnsi" w:eastAsia="Times New Roman" w:hAnsiTheme="majorHAnsi" w:cstheme="majorHAnsi"/>
                <w:sz w:val="20"/>
                <w:szCs w:val="20"/>
                <w:lang w:val="ro-MD" w:eastAsia="ro-RO"/>
              </w:rPr>
              <w:t xml:space="preserve">09.09.2013, </w:t>
            </w:r>
            <w:r>
              <w:rPr>
                <w:rFonts w:asciiTheme="majorHAnsi" w:eastAsia="Times New Roman" w:hAnsiTheme="majorHAnsi" w:cstheme="majorHAnsi"/>
                <w:sz w:val="20"/>
                <w:szCs w:val="20"/>
                <w:lang w:val="ru-RU" w:eastAsia="ro-RO"/>
              </w:rPr>
              <w:t>Варшава</w:t>
            </w:r>
          </w:p>
        </w:tc>
        <w:tc>
          <w:tcPr>
            <w:tcW w:w="2544" w:type="dxa"/>
            <w:shd w:val="clear" w:color="auto" w:fill="FFFFFF" w:themeFill="background1"/>
            <w:vAlign w:val="center"/>
          </w:tcPr>
          <w:p w14:paraId="058B94AF"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01.12.2014</w:t>
            </w:r>
          </w:p>
        </w:tc>
        <w:tc>
          <w:tcPr>
            <w:tcW w:w="0" w:type="auto"/>
            <w:shd w:val="clear" w:color="auto" w:fill="FFFFFF" w:themeFill="background1"/>
            <w:vAlign w:val="center"/>
          </w:tcPr>
          <w:p w14:paraId="56D3ADFA"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65/60</w:t>
            </w:r>
          </w:p>
        </w:tc>
      </w:tr>
      <w:tr w:rsidR="00C515BF" w:rsidRPr="00B7675F" w14:paraId="54839E97" w14:textId="77777777" w:rsidTr="00F042B6">
        <w:trPr>
          <w:trHeight w:val="20"/>
        </w:trPr>
        <w:tc>
          <w:tcPr>
            <w:tcW w:w="0" w:type="auto"/>
            <w:shd w:val="clear" w:color="auto" w:fill="FFFFFF" w:themeFill="background1"/>
            <w:vAlign w:val="center"/>
          </w:tcPr>
          <w:p w14:paraId="7C2D338F" w14:textId="1CFBEC36" w:rsidR="0089654A" w:rsidRPr="00736448" w:rsidRDefault="0089654A" w:rsidP="00F042B6">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10.</w:t>
            </w:r>
          </w:p>
        </w:tc>
        <w:tc>
          <w:tcPr>
            <w:tcW w:w="0" w:type="auto"/>
            <w:shd w:val="clear" w:color="auto" w:fill="FFFFFF" w:themeFill="background1"/>
            <w:vAlign w:val="center"/>
          </w:tcPr>
          <w:p w14:paraId="6D20008A" w14:textId="737058B7" w:rsidR="0089654A" w:rsidRPr="00F042B6" w:rsidRDefault="0089654A" w:rsidP="00F042B6">
            <w:pPr>
              <w:spacing w:after="0" w:line="240" w:lineRule="auto"/>
              <w:rPr>
                <w:rFonts w:asciiTheme="majorHAnsi" w:eastAsia="Times New Roman" w:hAnsiTheme="majorHAnsi" w:cstheme="majorHAnsi"/>
                <w:b/>
                <w:sz w:val="20"/>
                <w:szCs w:val="20"/>
                <w:lang w:val="ro-MD" w:eastAsia="ro-RO"/>
              </w:rPr>
            </w:pPr>
            <w:r w:rsidRPr="00F042B6">
              <w:rPr>
                <w:rFonts w:asciiTheme="majorHAnsi" w:hAnsiTheme="majorHAnsi" w:cstheme="majorHAnsi"/>
                <w:b/>
                <w:sz w:val="20"/>
                <w:szCs w:val="20"/>
              </w:rPr>
              <w:t>Венгрия</w:t>
            </w:r>
          </w:p>
        </w:tc>
        <w:tc>
          <w:tcPr>
            <w:tcW w:w="0" w:type="auto"/>
            <w:shd w:val="clear" w:color="auto" w:fill="FFFFFF" w:themeFill="background1"/>
            <w:vAlign w:val="center"/>
          </w:tcPr>
          <w:p w14:paraId="7FC19741" w14:textId="0618E748" w:rsidR="0089654A" w:rsidRPr="00736448" w:rsidRDefault="0089654A" w:rsidP="0089654A">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 xml:space="preserve">28.11.2013, </w:t>
            </w:r>
            <w:r>
              <w:rPr>
                <w:rFonts w:asciiTheme="majorHAnsi" w:eastAsia="Times New Roman" w:hAnsiTheme="majorHAnsi" w:cstheme="majorHAnsi"/>
                <w:sz w:val="20"/>
                <w:szCs w:val="20"/>
                <w:lang w:val="ro-MD" w:eastAsia="ro-RO"/>
              </w:rPr>
              <w:t>Кишинэу</w:t>
            </w:r>
          </w:p>
        </w:tc>
        <w:tc>
          <w:tcPr>
            <w:tcW w:w="2544" w:type="dxa"/>
            <w:shd w:val="clear" w:color="auto" w:fill="FFFFFF" w:themeFill="background1"/>
            <w:vAlign w:val="center"/>
          </w:tcPr>
          <w:p w14:paraId="40D492D2"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01.11.2014</w:t>
            </w:r>
          </w:p>
        </w:tc>
        <w:tc>
          <w:tcPr>
            <w:tcW w:w="0" w:type="auto"/>
            <w:shd w:val="clear" w:color="auto" w:fill="FFFFFF" w:themeFill="background1"/>
            <w:vAlign w:val="center"/>
          </w:tcPr>
          <w:p w14:paraId="36116605" w14:textId="2569B703"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64,5/64</w:t>
            </w:r>
            <w:r>
              <w:rPr>
                <w:rFonts w:asciiTheme="majorHAnsi" w:eastAsia="Times New Roman" w:hAnsiTheme="majorHAnsi" w:cstheme="majorHAnsi"/>
                <w:sz w:val="20"/>
                <w:szCs w:val="20"/>
                <w:lang w:val="ro-MD" w:eastAsia="ro-RO"/>
              </w:rPr>
              <w:t>,</w:t>
            </w:r>
            <w:r w:rsidRPr="00736448">
              <w:rPr>
                <w:rFonts w:asciiTheme="majorHAnsi" w:eastAsia="Times New Roman" w:hAnsiTheme="majorHAnsi" w:cstheme="majorHAnsi"/>
                <w:sz w:val="20"/>
                <w:szCs w:val="20"/>
                <w:lang w:val="ro-MD" w:eastAsia="ro-RO"/>
              </w:rPr>
              <w:t>5</w:t>
            </w:r>
          </w:p>
        </w:tc>
      </w:tr>
      <w:tr w:rsidR="00C515BF" w:rsidRPr="00B7675F" w14:paraId="3260150A" w14:textId="77777777" w:rsidTr="00F042B6">
        <w:trPr>
          <w:trHeight w:val="20"/>
        </w:trPr>
        <w:tc>
          <w:tcPr>
            <w:tcW w:w="0" w:type="auto"/>
            <w:shd w:val="clear" w:color="auto" w:fill="FFFFFF" w:themeFill="background1"/>
            <w:vAlign w:val="center"/>
          </w:tcPr>
          <w:p w14:paraId="5867D95A" w14:textId="77777777" w:rsidR="0089654A" w:rsidRPr="00736448" w:rsidRDefault="0089654A" w:rsidP="00F042B6">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11.</w:t>
            </w:r>
          </w:p>
        </w:tc>
        <w:tc>
          <w:tcPr>
            <w:tcW w:w="0" w:type="auto"/>
            <w:shd w:val="clear" w:color="auto" w:fill="FFFFFF" w:themeFill="background1"/>
            <w:vAlign w:val="center"/>
          </w:tcPr>
          <w:p w14:paraId="230A2B03" w14:textId="0BAEDE5D" w:rsidR="0089654A" w:rsidRPr="00F042B6" w:rsidRDefault="0089654A" w:rsidP="00F042B6">
            <w:pPr>
              <w:spacing w:after="0" w:line="240" w:lineRule="auto"/>
              <w:rPr>
                <w:rFonts w:asciiTheme="majorHAnsi" w:eastAsia="Times New Roman" w:hAnsiTheme="majorHAnsi" w:cstheme="majorHAnsi"/>
                <w:b/>
                <w:sz w:val="20"/>
                <w:szCs w:val="20"/>
                <w:lang w:val="ro-MD" w:eastAsia="ro-RO"/>
              </w:rPr>
            </w:pPr>
            <w:r w:rsidRPr="00F042B6">
              <w:rPr>
                <w:rFonts w:asciiTheme="majorHAnsi" w:hAnsiTheme="majorHAnsi" w:cstheme="majorHAnsi"/>
                <w:b/>
                <w:sz w:val="20"/>
                <w:szCs w:val="20"/>
              </w:rPr>
              <w:t>Литовская Республика</w:t>
            </w:r>
          </w:p>
        </w:tc>
        <w:tc>
          <w:tcPr>
            <w:tcW w:w="0" w:type="auto"/>
            <w:shd w:val="clear" w:color="auto" w:fill="FFFFFF" w:themeFill="background1"/>
            <w:vAlign w:val="center"/>
          </w:tcPr>
          <w:p w14:paraId="5820D958" w14:textId="2A0FB7D2" w:rsidR="0089654A" w:rsidRPr="00736448" w:rsidRDefault="0089654A" w:rsidP="0089654A">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 xml:space="preserve">01.10.2014, </w:t>
            </w:r>
            <w:r>
              <w:rPr>
                <w:rFonts w:asciiTheme="majorHAnsi" w:eastAsia="Times New Roman" w:hAnsiTheme="majorHAnsi" w:cstheme="majorHAnsi"/>
                <w:sz w:val="20"/>
                <w:szCs w:val="20"/>
                <w:lang w:val="ro-MD" w:eastAsia="ro-RO"/>
              </w:rPr>
              <w:t>Кишинэу</w:t>
            </w:r>
          </w:p>
        </w:tc>
        <w:tc>
          <w:tcPr>
            <w:tcW w:w="2544" w:type="dxa"/>
            <w:shd w:val="clear" w:color="auto" w:fill="FFFFFF" w:themeFill="background1"/>
            <w:vAlign w:val="center"/>
          </w:tcPr>
          <w:p w14:paraId="7F3EFB34"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04.10.2015</w:t>
            </w:r>
          </w:p>
        </w:tc>
        <w:tc>
          <w:tcPr>
            <w:tcW w:w="0" w:type="auto"/>
            <w:shd w:val="clear" w:color="auto" w:fill="FFFFFF" w:themeFill="background1"/>
            <w:vAlign w:val="center"/>
          </w:tcPr>
          <w:p w14:paraId="2E37EBDC"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64/63</w:t>
            </w:r>
          </w:p>
        </w:tc>
      </w:tr>
      <w:tr w:rsidR="00C515BF" w:rsidRPr="00B7675F" w14:paraId="4AB86CDA" w14:textId="77777777" w:rsidTr="00F042B6">
        <w:trPr>
          <w:trHeight w:val="20"/>
        </w:trPr>
        <w:tc>
          <w:tcPr>
            <w:tcW w:w="0" w:type="auto"/>
            <w:shd w:val="clear" w:color="auto" w:fill="FFFFFF" w:themeFill="background1"/>
            <w:vAlign w:val="center"/>
          </w:tcPr>
          <w:p w14:paraId="2B13EA5D" w14:textId="77777777" w:rsidR="0089654A" w:rsidRPr="00736448" w:rsidRDefault="0089654A" w:rsidP="00F042B6">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12.</w:t>
            </w:r>
          </w:p>
        </w:tc>
        <w:tc>
          <w:tcPr>
            <w:tcW w:w="0" w:type="auto"/>
            <w:shd w:val="clear" w:color="auto" w:fill="FFFFFF" w:themeFill="background1"/>
            <w:vAlign w:val="center"/>
          </w:tcPr>
          <w:p w14:paraId="3612C16F" w14:textId="5078DD64" w:rsidR="0089654A" w:rsidRPr="00F042B6" w:rsidRDefault="0089654A" w:rsidP="00F042B6">
            <w:pPr>
              <w:spacing w:after="0" w:line="240" w:lineRule="auto"/>
              <w:rPr>
                <w:rFonts w:asciiTheme="majorHAnsi" w:eastAsia="Times New Roman" w:hAnsiTheme="majorHAnsi" w:cstheme="majorHAnsi"/>
                <w:b/>
                <w:sz w:val="20"/>
                <w:szCs w:val="20"/>
                <w:lang w:val="ro-MD" w:eastAsia="ro-RO"/>
              </w:rPr>
            </w:pPr>
            <w:r w:rsidRPr="00F042B6">
              <w:rPr>
                <w:rFonts w:asciiTheme="majorHAnsi" w:hAnsiTheme="majorHAnsi" w:cstheme="majorHAnsi"/>
                <w:b/>
                <w:sz w:val="20"/>
                <w:szCs w:val="20"/>
              </w:rPr>
              <w:t>Федеративная Республика Германия</w:t>
            </w:r>
          </w:p>
        </w:tc>
        <w:tc>
          <w:tcPr>
            <w:tcW w:w="0" w:type="auto"/>
            <w:shd w:val="clear" w:color="auto" w:fill="FFFFFF" w:themeFill="background1"/>
            <w:vAlign w:val="center"/>
          </w:tcPr>
          <w:p w14:paraId="08939C64" w14:textId="1EF45581" w:rsidR="0089654A" w:rsidRPr="00736448" w:rsidRDefault="0089654A" w:rsidP="0089654A">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 xml:space="preserve">12.01.2017, </w:t>
            </w:r>
            <w:r>
              <w:rPr>
                <w:rFonts w:asciiTheme="majorHAnsi" w:eastAsia="Times New Roman" w:hAnsiTheme="majorHAnsi" w:cstheme="majorHAnsi"/>
                <w:sz w:val="20"/>
                <w:szCs w:val="20"/>
                <w:lang w:val="ro-MD" w:eastAsia="ro-RO"/>
              </w:rPr>
              <w:t>Кишинэу</w:t>
            </w:r>
          </w:p>
        </w:tc>
        <w:tc>
          <w:tcPr>
            <w:tcW w:w="2544" w:type="dxa"/>
            <w:shd w:val="clear" w:color="auto" w:fill="FFFFFF" w:themeFill="background1"/>
            <w:vAlign w:val="center"/>
          </w:tcPr>
          <w:p w14:paraId="21E34C5F" w14:textId="07A1A225"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01.01.2019</w:t>
            </w:r>
          </w:p>
          <w:p w14:paraId="27F59A27"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p>
        </w:tc>
        <w:tc>
          <w:tcPr>
            <w:tcW w:w="0" w:type="auto"/>
            <w:shd w:val="clear" w:color="auto" w:fill="FFFFFF" w:themeFill="background1"/>
            <w:vAlign w:val="center"/>
          </w:tcPr>
          <w:p w14:paraId="14278224"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65+ /65+</w:t>
            </w:r>
          </w:p>
        </w:tc>
      </w:tr>
      <w:tr w:rsidR="00C515BF" w:rsidRPr="00B7675F" w14:paraId="081FEE55" w14:textId="77777777" w:rsidTr="00F042B6">
        <w:trPr>
          <w:trHeight w:val="20"/>
        </w:trPr>
        <w:tc>
          <w:tcPr>
            <w:tcW w:w="0" w:type="auto"/>
            <w:shd w:val="clear" w:color="auto" w:fill="FFFFFF" w:themeFill="background1"/>
            <w:vAlign w:val="center"/>
          </w:tcPr>
          <w:p w14:paraId="2034D5DE" w14:textId="77777777" w:rsidR="0089654A" w:rsidRPr="00736448" w:rsidRDefault="0089654A" w:rsidP="00F042B6">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13.</w:t>
            </w:r>
          </w:p>
        </w:tc>
        <w:tc>
          <w:tcPr>
            <w:tcW w:w="0" w:type="auto"/>
            <w:shd w:val="clear" w:color="auto" w:fill="FFFFFF" w:themeFill="background1"/>
            <w:vAlign w:val="center"/>
          </w:tcPr>
          <w:p w14:paraId="25FD63FE" w14:textId="62E5C796" w:rsidR="0089654A" w:rsidRPr="00F042B6" w:rsidRDefault="0089654A" w:rsidP="00F042B6">
            <w:pPr>
              <w:spacing w:after="0" w:line="240" w:lineRule="auto"/>
              <w:rPr>
                <w:rFonts w:asciiTheme="majorHAnsi" w:eastAsia="Times New Roman" w:hAnsiTheme="majorHAnsi" w:cstheme="majorHAnsi"/>
                <w:b/>
                <w:sz w:val="20"/>
                <w:szCs w:val="20"/>
                <w:lang w:val="ro-MD" w:eastAsia="ro-RO"/>
              </w:rPr>
            </w:pPr>
            <w:r w:rsidRPr="00F042B6">
              <w:rPr>
                <w:rFonts w:asciiTheme="majorHAnsi" w:hAnsiTheme="majorHAnsi" w:cstheme="majorHAnsi"/>
                <w:b/>
                <w:sz w:val="20"/>
                <w:szCs w:val="20"/>
              </w:rPr>
              <w:t>Республика Турция</w:t>
            </w:r>
          </w:p>
        </w:tc>
        <w:tc>
          <w:tcPr>
            <w:tcW w:w="0" w:type="auto"/>
            <w:shd w:val="clear" w:color="auto" w:fill="FFFFFF" w:themeFill="background1"/>
            <w:vAlign w:val="center"/>
          </w:tcPr>
          <w:p w14:paraId="04F1BF8C" w14:textId="2768B6CD" w:rsidR="0089654A" w:rsidRPr="00736448" w:rsidRDefault="0089654A" w:rsidP="0089654A">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05.05.2017,</w:t>
            </w:r>
            <w:r>
              <w:rPr>
                <w:rFonts w:asciiTheme="majorHAnsi" w:eastAsia="Times New Roman" w:hAnsiTheme="majorHAnsi" w:cstheme="majorHAnsi"/>
                <w:sz w:val="20"/>
                <w:szCs w:val="20"/>
                <w:lang w:val="ro-MD" w:eastAsia="ro-RO"/>
              </w:rPr>
              <w:t xml:space="preserve"> Кишинэу</w:t>
            </w:r>
          </w:p>
        </w:tc>
        <w:tc>
          <w:tcPr>
            <w:tcW w:w="2544" w:type="dxa"/>
            <w:shd w:val="clear" w:color="auto" w:fill="FFFFFF" w:themeFill="background1"/>
            <w:vAlign w:val="center"/>
          </w:tcPr>
          <w:p w14:paraId="494E2125"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1.06.2020</w:t>
            </w:r>
          </w:p>
        </w:tc>
        <w:tc>
          <w:tcPr>
            <w:tcW w:w="0" w:type="auto"/>
            <w:shd w:val="clear" w:color="auto" w:fill="FFFFFF" w:themeFill="background1"/>
            <w:vAlign w:val="center"/>
          </w:tcPr>
          <w:p w14:paraId="555A66A0"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60/58</w:t>
            </w:r>
          </w:p>
        </w:tc>
      </w:tr>
      <w:tr w:rsidR="00C515BF" w:rsidRPr="00B7675F" w14:paraId="6C3BA2DA" w14:textId="77777777" w:rsidTr="00F042B6">
        <w:trPr>
          <w:trHeight w:val="244"/>
        </w:trPr>
        <w:tc>
          <w:tcPr>
            <w:tcW w:w="0" w:type="auto"/>
            <w:vMerge w:val="restart"/>
            <w:shd w:val="clear" w:color="auto" w:fill="FFFFFF" w:themeFill="background1"/>
            <w:vAlign w:val="center"/>
          </w:tcPr>
          <w:p w14:paraId="4C06DD10" w14:textId="77777777" w:rsidR="0089654A" w:rsidRPr="00736448" w:rsidRDefault="0089654A" w:rsidP="00F042B6">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14.</w:t>
            </w:r>
          </w:p>
        </w:tc>
        <w:tc>
          <w:tcPr>
            <w:tcW w:w="0" w:type="auto"/>
            <w:vMerge w:val="restart"/>
            <w:shd w:val="clear" w:color="auto" w:fill="FFFFFF" w:themeFill="background1"/>
            <w:vAlign w:val="center"/>
          </w:tcPr>
          <w:p w14:paraId="7001C6D2" w14:textId="77777777" w:rsidR="0089654A" w:rsidRPr="00F042B6" w:rsidRDefault="0089654A" w:rsidP="00F042B6">
            <w:pPr>
              <w:spacing w:after="0" w:line="240" w:lineRule="auto"/>
              <w:rPr>
                <w:rFonts w:asciiTheme="majorHAnsi" w:eastAsia="Times New Roman" w:hAnsiTheme="majorHAnsi" w:cstheme="majorHAnsi"/>
                <w:b/>
                <w:sz w:val="20"/>
                <w:szCs w:val="20"/>
                <w:lang w:val="ro-MD" w:eastAsia="ro-RO"/>
              </w:rPr>
            </w:pPr>
            <w:r w:rsidRPr="00F042B6">
              <w:rPr>
                <w:rFonts w:asciiTheme="majorHAnsi" w:hAnsiTheme="majorHAnsi" w:cstheme="majorHAnsi"/>
                <w:b/>
                <w:sz w:val="20"/>
                <w:szCs w:val="20"/>
              </w:rPr>
              <w:t>Республика Беларусь</w:t>
            </w:r>
          </w:p>
          <w:p w14:paraId="3E5B92C4" w14:textId="0E01A41E" w:rsidR="0089654A" w:rsidRPr="00F042B6" w:rsidRDefault="0089654A" w:rsidP="00F042B6">
            <w:pPr>
              <w:spacing w:after="0" w:line="240" w:lineRule="auto"/>
              <w:rPr>
                <w:rFonts w:asciiTheme="majorHAnsi" w:eastAsia="Times New Roman" w:hAnsiTheme="majorHAnsi" w:cstheme="majorHAnsi"/>
                <w:b/>
                <w:sz w:val="20"/>
                <w:szCs w:val="20"/>
                <w:lang w:val="ro-MD" w:eastAsia="ro-RO"/>
              </w:rPr>
            </w:pPr>
          </w:p>
        </w:tc>
        <w:tc>
          <w:tcPr>
            <w:tcW w:w="0" w:type="auto"/>
            <w:vMerge w:val="restart"/>
            <w:shd w:val="clear" w:color="auto" w:fill="FFFFFF" w:themeFill="background1"/>
            <w:vAlign w:val="center"/>
          </w:tcPr>
          <w:p w14:paraId="5A1A4EE1" w14:textId="499F5F85" w:rsidR="0089654A" w:rsidRPr="0089654A" w:rsidRDefault="0089654A" w:rsidP="0089654A">
            <w:pPr>
              <w:spacing w:after="0" w:line="240" w:lineRule="auto"/>
              <w:rPr>
                <w:rFonts w:asciiTheme="majorHAnsi" w:eastAsia="Times New Roman" w:hAnsiTheme="majorHAnsi" w:cstheme="majorHAnsi"/>
                <w:sz w:val="20"/>
                <w:szCs w:val="20"/>
                <w:lang w:val="ru-RU" w:eastAsia="ro-RO"/>
              </w:rPr>
            </w:pPr>
            <w:r w:rsidRPr="00736448">
              <w:rPr>
                <w:rFonts w:asciiTheme="majorHAnsi" w:eastAsia="Times New Roman" w:hAnsiTheme="majorHAnsi" w:cstheme="majorHAnsi"/>
                <w:sz w:val="20"/>
                <w:szCs w:val="20"/>
                <w:lang w:val="ro-MD" w:eastAsia="ro-RO"/>
              </w:rPr>
              <w:t xml:space="preserve">23.10.2019, </w:t>
            </w:r>
            <w:r>
              <w:rPr>
                <w:rFonts w:asciiTheme="majorHAnsi" w:eastAsia="Times New Roman" w:hAnsiTheme="majorHAnsi" w:cstheme="majorHAnsi"/>
                <w:sz w:val="20"/>
                <w:szCs w:val="20"/>
                <w:lang w:val="ru-RU" w:eastAsia="ro-RO"/>
              </w:rPr>
              <w:t>Минск</w:t>
            </w:r>
          </w:p>
        </w:tc>
        <w:tc>
          <w:tcPr>
            <w:tcW w:w="2544" w:type="dxa"/>
            <w:vMerge w:val="restart"/>
            <w:shd w:val="clear" w:color="auto" w:fill="FFFFFF" w:themeFill="background1"/>
            <w:vAlign w:val="center"/>
          </w:tcPr>
          <w:p w14:paraId="3E50FA3C"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1.11.2020</w:t>
            </w:r>
          </w:p>
        </w:tc>
        <w:tc>
          <w:tcPr>
            <w:tcW w:w="0" w:type="auto"/>
            <w:vMerge w:val="restart"/>
            <w:shd w:val="clear" w:color="auto" w:fill="FFFFFF" w:themeFill="background1"/>
            <w:vAlign w:val="center"/>
          </w:tcPr>
          <w:p w14:paraId="439CAA3C"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62,5/57,5</w:t>
            </w:r>
          </w:p>
        </w:tc>
      </w:tr>
      <w:tr w:rsidR="00C515BF" w:rsidRPr="00B7675F" w14:paraId="09C1A389" w14:textId="77777777" w:rsidTr="00F042B6">
        <w:trPr>
          <w:trHeight w:val="244"/>
        </w:trPr>
        <w:tc>
          <w:tcPr>
            <w:tcW w:w="0" w:type="auto"/>
            <w:vMerge/>
            <w:shd w:val="clear" w:color="auto" w:fill="FFFFFF" w:themeFill="background1"/>
            <w:vAlign w:val="center"/>
          </w:tcPr>
          <w:p w14:paraId="46E363FB" w14:textId="77777777" w:rsidR="0089654A" w:rsidRPr="00736448" w:rsidRDefault="0089654A" w:rsidP="00F042B6">
            <w:pPr>
              <w:spacing w:after="0" w:line="240" w:lineRule="auto"/>
              <w:rPr>
                <w:rFonts w:asciiTheme="majorHAnsi" w:eastAsia="Times New Roman" w:hAnsiTheme="majorHAnsi" w:cstheme="majorHAnsi"/>
                <w:b/>
                <w:sz w:val="20"/>
                <w:szCs w:val="20"/>
                <w:lang w:val="ro-MD" w:eastAsia="ro-RO"/>
              </w:rPr>
            </w:pPr>
          </w:p>
        </w:tc>
        <w:tc>
          <w:tcPr>
            <w:tcW w:w="0" w:type="auto"/>
            <w:vMerge/>
            <w:shd w:val="clear" w:color="auto" w:fill="FFFFFF" w:themeFill="background1"/>
            <w:vAlign w:val="center"/>
          </w:tcPr>
          <w:p w14:paraId="1C7F657C" w14:textId="77777777" w:rsidR="0089654A" w:rsidRPr="00F042B6" w:rsidRDefault="0089654A" w:rsidP="00F042B6">
            <w:pPr>
              <w:spacing w:after="0" w:line="240" w:lineRule="auto"/>
              <w:rPr>
                <w:rFonts w:asciiTheme="majorHAnsi" w:eastAsia="Times New Roman" w:hAnsiTheme="majorHAnsi" w:cstheme="majorHAnsi"/>
                <w:b/>
                <w:sz w:val="20"/>
                <w:szCs w:val="20"/>
                <w:lang w:val="ro-MD" w:eastAsia="ro-RO"/>
              </w:rPr>
            </w:pPr>
          </w:p>
        </w:tc>
        <w:tc>
          <w:tcPr>
            <w:tcW w:w="0" w:type="auto"/>
            <w:vMerge/>
            <w:shd w:val="clear" w:color="auto" w:fill="FFFFFF" w:themeFill="background1"/>
            <w:vAlign w:val="center"/>
          </w:tcPr>
          <w:p w14:paraId="5E64FC98" w14:textId="77777777" w:rsidR="0089654A" w:rsidRPr="00736448" w:rsidRDefault="0089654A" w:rsidP="0089654A">
            <w:pPr>
              <w:spacing w:after="0" w:line="240" w:lineRule="auto"/>
              <w:rPr>
                <w:rFonts w:asciiTheme="majorHAnsi" w:eastAsia="Times New Roman" w:hAnsiTheme="majorHAnsi" w:cstheme="majorHAnsi"/>
                <w:sz w:val="20"/>
                <w:szCs w:val="20"/>
                <w:lang w:val="ro-MD" w:eastAsia="ro-RO"/>
              </w:rPr>
            </w:pPr>
          </w:p>
        </w:tc>
        <w:tc>
          <w:tcPr>
            <w:tcW w:w="2544" w:type="dxa"/>
            <w:vMerge/>
            <w:shd w:val="clear" w:color="auto" w:fill="FFFFFF" w:themeFill="background1"/>
            <w:vAlign w:val="center"/>
          </w:tcPr>
          <w:p w14:paraId="633B360C"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p>
        </w:tc>
        <w:tc>
          <w:tcPr>
            <w:tcW w:w="0" w:type="auto"/>
            <w:vMerge/>
            <w:shd w:val="clear" w:color="auto" w:fill="FFFFFF" w:themeFill="background1"/>
            <w:vAlign w:val="center"/>
          </w:tcPr>
          <w:p w14:paraId="71955A99"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p>
        </w:tc>
      </w:tr>
      <w:tr w:rsidR="00C515BF" w:rsidRPr="00B7675F" w14:paraId="73757D3F" w14:textId="77777777" w:rsidTr="00F042B6">
        <w:trPr>
          <w:trHeight w:val="20"/>
        </w:trPr>
        <w:tc>
          <w:tcPr>
            <w:tcW w:w="0" w:type="auto"/>
            <w:shd w:val="clear" w:color="auto" w:fill="FFFFFF" w:themeFill="background1"/>
            <w:vAlign w:val="center"/>
          </w:tcPr>
          <w:p w14:paraId="64AB6D4C" w14:textId="5ED626B4" w:rsidR="0089654A" w:rsidRPr="00736448" w:rsidRDefault="0089654A" w:rsidP="00F042B6">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15.</w:t>
            </w:r>
          </w:p>
        </w:tc>
        <w:tc>
          <w:tcPr>
            <w:tcW w:w="0" w:type="auto"/>
            <w:shd w:val="clear" w:color="auto" w:fill="FFFFFF" w:themeFill="background1"/>
            <w:vAlign w:val="center"/>
          </w:tcPr>
          <w:p w14:paraId="1F8CF519" w14:textId="0DF4A999" w:rsidR="0089654A" w:rsidRPr="00F042B6" w:rsidRDefault="0089654A" w:rsidP="00F042B6">
            <w:pPr>
              <w:spacing w:after="0" w:line="240" w:lineRule="auto"/>
              <w:rPr>
                <w:rFonts w:asciiTheme="majorHAnsi" w:eastAsia="Times New Roman" w:hAnsiTheme="majorHAnsi" w:cstheme="majorHAnsi"/>
                <w:b/>
                <w:sz w:val="20"/>
                <w:szCs w:val="20"/>
                <w:lang w:val="ro-MD" w:eastAsia="ro-RO"/>
              </w:rPr>
            </w:pPr>
            <w:r w:rsidRPr="00F042B6">
              <w:rPr>
                <w:rFonts w:asciiTheme="majorHAnsi" w:hAnsiTheme="majorHAnsi" w:cstheme="majorHAnsi"/>
                <w:b/>
                <w:sz w:val="20"/>
                <w:szCs w:val="20"/>
              </w:rPr>
              <w:t>Греческая Республика</w:t>
            </w:r>
          </w:p>
        </w:tc>
        <w:tc>
          <w:tcPr>
            <w:tcW w:w="0" w:type="auto"/>
            <w:shd w:val="clear" w:color="auto" w:fill="FFFFFF" w:themeFill="background1"/>
            <w:vAlign w:val="center"/>
          </w:tcPr>
          <w:p w14:paraId="7DA3768D" w14:textId="6F96E595" w:rsidR="0089654A" w:rsidRPr="00736448" w:rsidRDefault="0089654A" w:rsidP="0089654A">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08.09.2021,</w:t>
            </w:r>
            <w:r>
              <w:rPr>
                <w:rFonts w:asciiTheme="majorHAnsi" w:eastAsia="Times New Roman" w:hAnsiTheme="majorHAnsi" w:cstheme="majorHAnsi"/>
                <w:sz w:val="20"/>
                <w:szCs w:val="20"/>
                <w:lang w:val="ro-MD" w:eastAsia="ro-RO"/>
              </w:rPr>
              <w:t xml:space="preserve"> Кишинэу</w:t>
            </w:r>
          </w:p>
        </w:tc>
        <w:tc>
          <w:tcPr>
            <w:tcW w:w="2544" w:type="dxa"/>
            <w:shd w:val="clear" w:color="auto" w:fill="FFFFFF" w:themeFill="background1"/>
            <w:vAlign w:val="center"/>
          </w:tcPr>
          <w:p w14:paraId="03080174"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1.01.2023</w:t>
            </w:r>
          </w:p>
        </w:tc>
        <w:tc>
          <w:tcPr>
            <w:tcW w:w="0" w:type="auto"/>
            <w:shd w:val="clear" w:color="auto" w:fill="FFFFFF" w:themeFill="background1"/>
            <w:vAlign w:val="center"/>
          </w:tcPr>
          <w:p w14:paraId="652C66ED"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67/67</w:t>
            </w:r>
          </w:p>
        </w:tc>
      </w:tr>
      <w:tr w:rsidR="00C515BF" w:rsidRPr="00B7675F" w14:paraId="135582D9" w14:textId="77777777" w:rsidTr="00F042B6">
        <w:trPr>
          <w:trHeight w:val="20"/>
        </w:trPr>
        <w:tc>
          <w:tcPr>
            <w:tcW w:w="0" w:type="auto"/>
            <w:shd w:val="clear" w:color="auto" w:fill="FFFFFF" w:themeFill="background1"/>
            <w:vAlign w:val="center"/>
          </w:tcPr>
          <w:p w14:paraId="7D52C0FC" w14:textId="77777777" w:rsidR="0089654A" w:rsidRPr="00736448" w:rsidRDefault="0089654A" w:rsidP="00F042B6">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16.</w:t>
            </w:r>
          </w:p>
        </w:tc>
        <w:tc>
          <w:tcPr>
            <w:tcW w:w="0" w:type="auto"/>
            <w:shd w:val="clear" w:color="auto" w:fill="FFFFFF" w:themeFill="background1"/>
            <w:vAlign w:val="center"/>
          </w:tcPr>
          <w:p w14:paraId="6AC28159" w14:textId="0D6D9044" w:rsidR="0089654A" w:rsidRPr="00F042B6" w:rsidRDefault="0089654A" w:rsidP="00F042B6">
            <w:pPr>
              <w:spacing w:after="0" w:line="240" w:lineRule="auto"/>
              <w:rPr>
                <w:rFonts w:asciiTheme="majorHAnsi" w:eastAsia="Times New Roman" w:hAnsiTheme="majorHAnsi" w:cstheme="majorHAnsi"/>
                <w:b/>
                <w:sz w:val="20"/>
                <w:szCs w:val="20"/>
                <w:lang w:val="ro-MD" w:eastAsia="ro-RO"/>
              </w:rPr>
            </w:pPr>
            <w:r w:rsidRPr="00F042B6">
              <w:rPr>
                <w:rFonts w:asciiTheme="majorHAnsi" w:hAnsiTheme="majorHAnsi" w:cstheme="majorHAnsi"/>
                <w:b/>
                <w:sz w:val="20"/>
                <w:szCs w:val="20"/>
              </w:rPr>
              <w:t>Республика Италия</w:t>
            </w:r>
          </w:p>
        </w:tc>
        <w:tc>
          <w:tcPr>
            <w:tcW w:w="0" w:type="auto"/>
            <w:shd w:val="clear" w:color="auto" w:fill="FFFFFF" w:themeFill="background1"/>
            <w:vAlign w:val="center"/>
          </w:tcPr>
          <w:p w14:paraId="42E932A3" w14:textId="431B5107" w:rsidR="0089654A" w:rsidRPr="0089654A" w:rsidRDefault="0089654A" w:rsidP="0089654A">
            <w:pPr>
              <w:spacing w:after="0" w:line="240" w:lineRule="auto"/>
              <w:rPr>
                <w:rFonts w:asciiTheme="majorHAnsi" w:eastAsia="Times New Roman" w:hAnsiTheme="majorHAnsi" w:cstheme="majorHAnsi"/>
                <w:sz w:val="20"/>
                <w:szCs w:val="20"/>
                <w:lang w:val="ru-RU" w:eastAsia="ro-RO"/>
              </w:rPr>
            </w:pPr>
            <w:r w:rsidRPr="00736448">
              <w:rPr>
                <w:rFonts w:asciiTheme="majorHAnsi" w:eastAsia="Times New Roman" w:hAnsiTheme="majorHAnsi" w:cstheme="majorHAnsi"/>
                <w:sz w:val="20"/>
                <w:szCs w:val="20"/>
                <w:lang w:val="ro-MD" w:eastAsia="ro-RO"/>
              </w:rPr>
              <w:t xml:space="preserve">18.06.2021, </w:t>
            </w:r>
            <w:r>
              <w:rPr>
                <w:rFonts w:asciiTheme="majorHAnsi" w:eastAsia="Times New Roman" w:hAnsiTheme="majorHAnsi" w:cstheme="majorHAnsi"/>
                <w:sz w:val="20"/>
                <w:szCs w:val="20"/>
                <w:lang w:val="ru-RU" w:eastAsia="ro-RO"/>
              </w:rPr>
              <w:t>Рома</w:t>
            </w:r>
          </w:p>
        </w:tc>
        <w:tc>
          <w:tcPr>
            <w:tcW w:w="2544" w:type="dxa"/>
            <w:shd w:val="clear" w:color="auto" w:fill="FFFFFF" w:themeFill="background1"/>
            <w:vAlign w:val="center"/>
          </w:tcPr>
          <w:p w14:paraId="074861FF" w14:textId="2E40FB6F"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89654A">
              <w:rPr>
                <w:rFonts w:asciiTheme="majorHAnsi" w:eastAsia="Times New Roman" w:hAnsiTheme="majorHAnsi" w:cstheme="majorHAnsi"/>
                <w:sz w:val="20"/>
                <w:szCs w:val="20"/>
                <w:lang w:val="ro-MD" w:eastAsia="ro-RO"/>
              </w:rPr>
              <w:t>Ратифицирован РМ-ноябрь 2022 г., не вступил в силу</w:t>
            </w:r>
          </w:p>
        </w:tc>
        <w:tc>
          <w:tcPr>
            <w:tcW w:w="0" w:type="auto"/>
            <w:shd w:val="clear" w:color="auto" w:fill="FFFFFF" w:themeFill="background1"/>
            <w:vAlign w:val="center"/>
          </w:tcPr>
          <w:p w14:paraId="7EE431C0"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67/67</w:t>
            </w:r>
          </w:p>
        </w:tc>
      </w:tr>
      <w:tr w:rsidR="00C515BF" w:rsidRPr="002C203D" w14:paraId="6F31AAC1" w14:textId="77777777" w:rsidTr="00F042B6">
        <w:trPr>
          <w:trHeight w:val="20"/>
        </w:trPr>
        <w:tc>
          <w:tcPr>
            <w:tcW w:w="0" w:type="auto"/>
            <w:shd w:val="clear" w:color="auto" w:fill="FFFFFF" w:themeFill="background1"/>
            <w:vAlign w:val="center"/>
          </w:tcPr>
          <w:p w14:paraId="5289681E" w14:textId="77777777" w:rsidR="0089654A" w:rsidRPr="00736448" w:rsidRDefault="0089654A" w:rsidP="00F042B6">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17.</w:t>
            </w:r>
          </w:p>
        </w:tc>
        <w:tc>
          <w:tcPr>
            <w:tcW w:w="0" w:type="auto"/>
            <w:shd w:val="clear" w:color="auto" w:fill="FFFFFF" w:themeFill="background1"/>
            <w:vAlign w:val="center"/>
          </w:tcPr>
          <w:p w14:paraId="7C6C23F5" w14:textId="351CEB32" w:rsidR="0089654A" w:rsidRPr="00F042B6" w:rsidRDefault="0089654A" w:rsidP="00F042B6">
            <w:pPr>
              <w:spacing w:after="0" w:line="240" w:lineRule="auto"/>
              <w:rPr>
                <w:rFonts w:asciiTheme="majorHAnsi" w:eastAsia="Times New Roman" w:hAnsiTheme="majorHAnsi" w:cstheme="majorHAnsi"/>
                <w:b/>
                <w:sz w:val="20"/>
                <w:szCs w:val="20"/>
                <w:lang w:val="ro-MD" w:eastAsia="ro-RO"/>
              </w:rPr>
            </w:pPr>
            <w:r w:rsidRPr="00F042B6">
              <w:rPr>
                <w:rFonts w:asciiTheme="majorHAnsi" w:hAnsiTheme="majorHAnsi" w:cstheme="majorHAnsi"/>
                <w:b/>
                <w:sz w:val="20"/>
                <w:szCs w:val="20"/>
              </w:rPr>
              <w:t>Королевство Испания</w:t>
            </w:r>
          </w:p>
        </w:tc>
        <w:tc>
          <w:tcPr>
            <w:tcW w:w="0" w:type="auto"/>
            <w:shd w:val="clear" w:color="auto" w:fill="FFFFFF" w:themeFill="background1"/>
            <w:vAlign w:val="center"/>
          </w:tcPr>
          <w:p w14:paraId="5BAC5EC5" w14:textId="7A3371EE" w:rsidR="0089654A" w:rsidRPr="0089654A" w:rsidRDefault="0089654A" w:rsidP="0089654A">
            <w:pPr>
              <w:spacing w:after="0" w:line="240" w:lineRule="auto"/>
              <w:rPr>
                <w:rFonts w:asciiTheme="majorHAnsi" w:eastAsia="Times New Roman" w:hAnsiTheme="majorHAnsi" w:cstheme="majorHAnsi"/>
                <w:sz w:val="20"/>
                <w:szCs w:val="20"/>
                <w:lang w:val="ru-RU" w:eastAsia="ro-RO"/>
              </w:rPr>
            </w:pPr>
            <w:r w:rsidRPr="00736448">
              <w:rPr>
                <w:rFonts w:asciiTheme="majorHAnsi" w:eastAsia="Times New Roman" w:hAnsiTheme="majorHAnsi" w:cstheme="majorHAnsi"/>
                <w:sz w:val="20"/>
                <w:szCs w:val="20"/>
                <w:lang w:val="ro-MD" w:eastAsia="ro-RO"/>
              </w:rPr>
              <w:t xml:space="preserve">21.07.2022 </w:t>
            </w:r>
            <w:r>
              <w:rPr>
                <w:rFonts w:asciiTheme="majorHAnsi" w:eastAsia="Times New Roman" w:hAnsiTheme="majorHAnsi" w:cstheme="majorHAnsi"/>
                <w:sz w:val="20"/>
                <w:szCs w:val="20"/>
                <w:lang w:val="ru-RU" w:eastAsia="ro-RO"/>
              </w:rPr>
              <w:t>Мадрид</w:t>
            </w:r>
          </w:p>
        </w:tc>
        <w:tc>
          <w:tcPr>
            <w:tcW w:w="2544" w:type="dxa"/>
            <w:shd w:val="clear" w:color="auto" w:fill="FFFFFF" w:themeFill="background1"/>
            <w:vAlign w:val="center"/>
          </w:tcPr>
          <w:p w14:paraId="7EBC93A3" w14:textId="233E02B3"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r w:rsidRPr="0089654A">
              <w:rPr>
                <w:rFonts w:asciiTheme="majorHAnsi" w:eastAsia="Times New Roman" w:hAnsiTheme="majorHAnsi" w:cstheme="majorHAnsi"/>
                <w:sz w:val="20"/>
                <w:szCs w:val="20"/>
                <w:lang w:val="ro-MD" w:eastAsia="ro-RO"/>
              </w:rPr>
              <w:t>Ратифицирован РМ-сентябрь 2022 г., не вступил в силу</w:t>
            </w:r>
          </w:p>
        </w:tc>
        <w:tc>
          <w:tcPr>
            <w:tcW w:w="0" w:type="auto"/>
            <w:shd w:val="clear" w:color="auto" w:fill="FFFFFF" w:themeFill="background1"/>
            <w:vAlign w:val="center"/>
          </w:tcPr>
          <w:p w14:paraId="2378DFE2" w14:textId="77777777" w:rsidR="0089654A" w:rsidRPr="00736448" w:rsidRDefault="0089654A" w:rsidP="0089654A">
            <w:pPr>
              <w:spacing w:after="0" w:line="240" w:lineRule="auto"/>
              <w:jc w:val="center"/>
              <w:rPr>
                <w:rFonts w:asciiTheme="majorHAnsi" w:eastAsia="Times New Roman" w:hAnsiTheme="majorHAnsi" w:cstheme="majorHAnsi"/>
                <w:sz w:val="20"/>
                <w:szCs w:val="20"/>
                <w:lang w:val="ro-MD" w:eastAsia="ro-RO"/>
              </w:rPr>
            </w:pPr>
          </w:p>
        </w:tc>
      </w:tr>
    </w:tbl>
    <w:p w14:paraId="4781CBCA" w14:textId="5E38241C" w:rsidR="0074459E" w:rsidRPr="00736448" w:rsidRDefault="0074459E" w:rsidP="0074459E">
      <w:pPr>
        <w:spacing w:after="0" w:line="240" w:lineRule="auto"/>
        <w:jc w:val="center"/>
        <w:rPr>
          <w:rFonts w:ascii="Times New Roman" w:eastAsia="Times New Roman" w:hAnsi="Times New Roman" w:cs="Times New Roman"/>
          <w:b/>
          <w:bCs/>
          <w:color w:val="000000"/>
          <w:sz w:val="24"/>
          <w:szCs w:val="24"/>
          <w:lang w:val="ro-MD"/>
        </w:rPr>
      </w:pPr>
    </w:p>
    <w:p w14:paraId="56187336" w14:textId="77777777" w:rsidR="00A356B8" w:rsidRPr="00736448" w:rsidRDefault="00A356B8" w:rsidP="0074459E">
      <w:pPr>
        <w:spacing w:after="0" w:line="240" w:lineRule="auto"/>
        <w:jc w:val="center"/>
        <w:rPr>
          <w:rFonts w:ascii="Times New Roman" w:eastAsia="Times New Roman" w:hAnsi="Times New Roman" w:cs="Times New Roman"/>
          <w:b/>
          <w:bCs/>
          <w:color w:val="000000"/>
          <w:sz w:val="24"/>
          <w:szCs w:val="24"/>
          <w:lang w:val="ro-MD"/>
        </w:rPr>
        <w:sectPr w:rsidR="00A356B8" w:rsidRPr="00736448" w:rsidSect="00911B93">
          <w:pgSz w:w="12240" w:h="15840"/>
          <w:pgMar w:top="993" w:right="851" w:bottom="1140" w:left="1355" w:header="720" w:footer="720" w:gutter="0"/>
          <w:cols w:space="720"/>
          <w:titlePg/>
          <w:docGrid w:linePitch="360"/>
        </w:sectPr>
      </w:pPr>
    </w:p>
    <w:p w14:paraId="05F4B253" w14:textId="6F768040" w:rsidR="00C57ECC" w:rsidRPr="00736448" w:rsidRDefault="00FC62B3" w:rsidP="00C57ECC">
      <w:pPr>
        <w:pStyle w:val="2"/>
        <w:jc w:val="right"/>
        <w:rPr>
          <w:rFonts w:eastAsia="Times New Roman" w:cstheme="majorHAnsi"/>
          <w:b/>
          <w:color w:val="000000" w:themeColor="text1"/>
          <w:sz w:val="24"/>
          <w:szCs w:val="24"/>
          <w:lang w:val="ro-MD"/>
        </w:rPr>
      </w:pPr>
      <w:r>
        <w:rPr>
          <w:rFonts w:eastAsia="Times New Roman" w:cstheme="majorHAnsi"/>
          <w:b/>
          <w:color w:val="000000" w:themeColor="text1"/>
          <w:sz w:val="24"/>
          <w:szCs w:val="24"/>
          <w:lang w:val="ro-MD"/>
        </w:rPr>
        <w:t>Приложение №</w:t>
      </w:r>
      <w:r w:rsidR="00C57ECC" w:rsidRPr="00736448">
        <w:rPr>
          <w:rFonts w:eastAsia="Times New Roman" w:cstheme="majorHAnsi"/>
          <w:b/>
          <w:color w:val="000000" w:themeColor="text1"/>
          <w:sz w:val="24"/>
          <w:szCs w:val="24"/>
          <w:lang w:val="ro-MD"/>
        </w:rPr>
        <w:t>8</w:t>
      </w:r>
    </w:p>
    <w:p w14:paraId="1C4BE4A8" w14:textId="0AE73A02" w:rsidR="00A356B8" w:rsidRPr="00736448" w:rsidRDefault="00336C93" w:rsidP="00DF67F0">
      <w:pPr>
        <w:pStyle w:val="3"/>
        <w:jc w:val="right"/>
        <w:rPr>
          <w:rFonts w:eastAsia="Times New Roman" w:cstheme="majorHAnsi"/>
          <w:b/>
          <w:color w:val="000000" w:themeColor="text1"/>
          <w:lang w:val="ro-MD"/>
        </w:rPr>
      </w:pPr>
      <w:r>
        <w:rPr>
          <w:rFonts w:eastAsia="Times New Roman" w:cstheme="majorHAnsi"/>
          <w:b/>
          <w:color w:val="000000" w:themeColor="text1"/>
          <w:lang w:val="ro-MD"/>
        </w:rPr>
        <w:t>Таблица №</w:t>
      </w:r>
      <w:r w:rsidR="00C57ECC" w:rsidRPr="00736448">
        <w:rPr>
          <w:rFonts w:eastAsia="Times New Roman" w:cstheme="majorHAnsi"/>
          <w:b/>
          <w:color w:val="000000" w:themeColor="text1"/>
          <w:lang w:val="ro-MD"/>
        </w:rPr>
        <w:t xml:space="preserve">1 </w:t>
      </w:r>
    </w:p>
    <w:p w14:paraId="7DD7BDAD" w14:textId="64367A43" w:rsidR="00C57ECC" w:rsidRPr="00736448" w:rsidRDefault="0086017F" w:rsidP="00C57ECC">
      <w:pPr>
        <w:jc w:val="center"/>
        <w:rPr>
          <w:rFonts w:asciiTheme="majorHAnsi" w:hAnsiTheme="majorHAnsi"/>
          <w:b/>
          <w:sz w:val="24"/>
          <w:szCs w:val="24"/>
          <w:lang w:val="ro-MD"/>
        </w:rPr>
      </w:pPr>
      <w:r w:rsidRPr="0086017F">
        <w:rPr>
          <w:rFonts w:asciiTheme="majorHAnsi" w:hAnsiTheme="majorHAnsi"/>
          <w:b/>
          <w:sz w:val="24"/>
          <w:szCs w:val="24"/>
          <w:lang w:val="ro-MD"/>
        </w:rPr>
        <w:t>Информация о распределении пенсий на основе международных соглашений в 2020 году</w:t>
      </w:r>
    </w:p>
    <w:tbl>
      <w:tblPr>
        <w:tblW w:w="1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27"/>
        <w:gridCol w:w="1557"/>
        <w:gridCol w:w="1463"/>
        <w:gridCol w:w="1577"/>
        <w:gridCol w:w="1483"/>
        <w:gridCol w:w="1704"/>
        <w:gridCol w:w="1216"/>
        <w:gridCol w:w="1495"/>
        <w:gridCol w:w="1145"/>
        <w:gridCol w:w="1749"/>
        <w:gridCol w:w="1491"/>
      </w:tblGrid>
      <w:tr w:rsidR="00A356B8" w:rsidRPr="00B7675F" w14:paraId="32FA9C4F" w14:textId="77777777" w:rsidTr="00B27804">
        <w:trPr>
          <w:trHeight w:val="384"/>
        </w:trPr>
        <w:tc>
          <w:tcPr>
            <w:tcW w:w="1240" w:type="dxa"/>
            <w:shd w:val="clear" w:color="auto" w:fill="FFFFFF" w:themeFill="background1"/>
            <w:noWrap/>
            <w:vAlign w:val="bottom"/>
            <w:hideMark/>
          </w:tcPr>
          <w:p w14:paraId="268FB602"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 </w:t>
            </w:r>
          </w:p>
        </w:tc>
        <w:tc>
          <w:tcPr>
            <w:tcW w:w="3020" w:type="dxa"/>
            <w:gridSpan w:val="2"/>
            <w:shd w:val="clear" w:color="auto" w:fill="FFFFFF" w:themeFill="background1"/>
            <w:noWrap/>
            <w:vAlign w:val="center"/>
            <w:hideMark/>
          </w:tcPr>
          <w:p w14:paraId="72462E4F" w14:textId="0BC5D2DE"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Всего</w:t>
            </w:r>
            <w:r w:rsidR="00A356B8" w:rsidRPr="00736448">
              <w:rPr>
                <w:rFonts w:asciiTheme="majorHAnsi" w:eastAsia="Times New Roman" w:hAnsiTheme="majorHAnsi" w:cstheme="majorHAnsi"/>
                <w:b/>
                <w:bCs/>
                <w:sz w:val="20"/>
                <w:szCs w:val="20"/>
                <w:lang w:val="ro-MD"/>
              </w:rPr>
              <w:t xml:space="preserve"> 2020</w:t>
            </w:r>
          </w:p>
        </w:tc>
        <w:tc>
          <w:tcPr>
            <w:tcW w:w="3060" w:type="dxa"/>
            <w:gridSpan w:val="2"/>
            <w:shd w:val="clear" w:color="auto" w:fill="FFFFFF" w:themeFill="background1"/>
            <w:noWrap/>
            <w:vAlign w:val="center"/>
            <w:hideMark/>
          </w:tcPr>
          <w:p w14:paraId="096B86C3" w14:textId="7C3893F0"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Пенсии по возрасту</w:t>
            </w:r>
          </w:p>
        </w:tc>
        <w:tc>
          <w:tcPr>
            <w:tcW w:w="2920" w:type="dxa"/>
            <w:gridSpan w:val="2"/>
            <w:shd w:val="clear" w:color="auto" w:fill="FFFFFF" w:themeFill="background1"/>
            <w:noWrap/>
            <w:vAlign w:val="center"/>
            <w:hideMark/>
          </w:tcPr>
          <w:p w14:paraId="7D1D9644" w14:textId="41630944"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Пенсии по ограниченным возможностям</w:t>
            </w:r>
          </w:p>
        </w:tc>
        <w:tc>
          <w:tcPr>
            <w:tcW w:w="2640" w:type="dxa"/>
            <w:gridSpan w:val="2"/>
            <w:shd w:val="clear" w:color="auto" w:fill="FFFFFF" w:themeFill="background1"/>
            <w:noWrap/>
            <w:vAlign w:val="center"/>
            <w:hideMark/>
          </w:tcPr>
          <w:p w14:paraId="731AAE14" w14:textId="0FB28F6E"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Пенсии по потере кормильца</w:t>
            </w:r>
          </w:p>
        </w:tc>
        <w:tc>
          <w:tcPr>
            <w:tcW w:w="3240" w:type="dxa"/>
            <w:gridSpan w:val="2"/>
            <w:shd w:val="clear" w:color="auto" w:fill="FFFFFF" w:themeFill="background1"/>
            <w:noWrap/>
            <w:vAlign w:val="center"/>
            <w:hideMark/>
          </w:tcPr>
          <w:p w14:paraId="61952D60" w14:textId="75CBD53E"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Пенсии, перечисляемые в РМ</w:t>
            </w:r>
          </w:p>
        </w:tc>
      </w:tr>
      <w:tr w:rsidR="00A356B8" w:rsidRPr="00B7675F" w14:paraId="4FDEA349" w14:textId="77777777" w:rsidTr="00B27804">
        <w:trPr>
          <w:trHeight w:val="276"/>
        </w:trPr>
        <w:tc>
          <w:tcPr>
            <w:tcW w:w="1240" w:type="dxa"/>
            <w:shd w:val="clear" w:color="auto" w:fill="FFFFFF" w:themeFill="background1"/>
            <w:noWrap/>
            <w:vAlign w:val="bottom"/>
            <w:hideMark/>
          </w:tcPr>
          <w:p w14:paraId="534B53C5" w14:textId="3DAC5E6D" w:rsidR="00A356B8" w:rsidRPr="00736448" w:rsidRDefault="0086017F" w:rsidP="00A356B8">
            <w:pPr>
              <w:spacing w:after="0" w:line="240" w:lineRule="auto"/>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СТРАНА</w:t>
            </w:r>
          </w:p>
        </w:tc>
        <w:tc>
          <w:tcPr>
            <w:tcW w:w="1557" w:type="dxa"/>
            <w:shd w:val="clear" w:color="auto" w:fill="FFFFFF" w:themeFill="background1"/>
            <w:noWrap/>
            <w:vAlign w:val="bottom"/>
            <w:hideMark/>
          </w:tcPr>
          <w:p w14:paraId="0BD99AF0" w14:textId="050F14BA"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Кол-во бенефициаров</w:t>
            </w:r>
          </w:p>
        </w:tc>
        <w:tc>
          <w:tcPr>
            <w:tcW w:w="1463" w:type="dxa"/>
            <w:shd w:val="clear" w:color="auto" w:fill="FFFFFF" w:themeFill="background1"/>
            <w:noWrap/>
            <w:vAlign w:val="bottom"/>
            <w:hideMark/>
          </w:tcPr>
          <w:p w14:paraId="3619B205" w14:textId="5A80452D"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Сумма</w:t>
            </w:r>
            <w:r w:rsidR="00A356B8" w:rsidRPr="00736448">
              <w:rPr>
                <w:rFonts w:asciiTheme="majorHAnsi" w:eastAsia="Times New Roman" w:hAnsiTheme="majorHAnsi" w:cstheme="majorHAnsi"/>
                <w:b/>
                <w:bCs/>
                <w:sz w:val="20"/>
                <w:szCs w:val="20"/>
                <w:lang w:val="ro-MD"/>
              </w:rPr>
              <w:t xml:space="preserve">, </w:t>
            </w:r>
            <w:r w:rsidR="007459E2">
              <w:rPr>
                <w:rFonts w:asciiTheme="majorHAnsi" w:eastAsia="Times New Roman" w:hAnsiTheme="majorHAnsi" w:cstheme="majorHAnsi"/>
                <w:b/>
                <w:bCs/>
                <w:sz w:val="20"/>
                <w:szCs w:val="20"/>
                <w:lang w:val="ro-MD"/>
              </w:rPr>
              <w:t>леев</w:t>
            </w:r>
          </w:p>
        </w:tc>
        <w:tc>
          <w:tcPr>
            <w:tcW w:w="1577" w:type="dxa"/>
            <w:shd w:val="clear" w:color="auto" w:fill="FFFFFF" w:themeFill="background1"/>
            <w:noWrap/>
            <w:vAlign w:val="bottom"/>
            <w:hideMark/>
          </w:tcPr>
          <w:p w14:paraId="12CF3293" w14:textId="4BF34A0C"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Кол-во бенефициаров</w:t>
            </w:r>
          </w:p>
        </w:tc>
        <w:tc>
          <w:tcPr>
            <w:tcW w:w="1483" w:type="dxa"/>
            <w:shd w:val="clear" w:color="auto" w:fill="FFFFFF" w:themeFill="background1"/>
            <w:noWrap/>
            <w:vAlign w:val="bottom"/>
            <w:hideMark/>
          </w:tcPr>
          <w:p w14:paraId="31D3F331" w14:textId="18C2B267"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Сумма</w:t>
            </w:r>
            <w:r w:rsidR="00A356B8" w:rsidRPr="00736448">
              <w:rPr>
                <w:rFonts w:asciiTheme="majorHAnsi" w:eastAsia="Times New Roman" w:hAnsiTheme="majorHAnsi" w:cstheme="majorHAnsi"/>
                <w:b/>
                <w:bCs/>
                <w:sz w:val="20"/>
                <w:szCs w:val="20"/>
                <w:lang w:val="ro-MD"/>
              </w:rPr>
              <w:t xml:space="preserve">, </w:t>
            </w:r>
            <w:r w:rsidR="007459E2">
              <w:rPr>
                <w:rFonts w:asciiTheme="majorHAnsi" w:eastAsia="Times New Roman" w:hAnsiTheme="majorHAnsi" w:cstheme="majorHAnsi"/>
                <w:b/>
                <w:bCs/>
                <w:sz w:val="20"/>
                <w:szCs w:val="20"/>
                <w:lang w:val="ro-MD"/>
              </w:rPr>
              <w:t>леев</w:t>
            </w:r>
          </w:p>
        </w:tc>
        <w:tc>
          <w:tcPr>
            <w:tcW w:w="1704" w:type="dxa"/>
            <w:shd w:val="clear" w:color="auto" w:fill="FFFFFF" w:themeFill="background1"/>
            <w:noWrap/>
            <w:vAlign w:val="bottom"/>
            <w:hideMark/>
          </w:tcPr>
          <w:p w14:paraId="2B2564B6" w14:textId="5C6B90F2"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Кол-во бенефициаров</w:t>
            </w:r>
          </w:p>
        </w:tc>
        <w:tc>
          <w:tcPr>
            <w:tcW w:w="1216" w:type="dxa"/>
            <w:shd w:val="clear" w:color="auto" w:fill="FFFFFF" w:themeFill="background1"/>
            <w:noWrap/>
            <w:vAlign w:val="bottom"/>
            <w:hideMark/>
          </w:tcPr>
          <w:p w14:paraId="54955FA6" w14:textId="3DD48BC7"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Сумма</w:t>
            </w:r>
            <w:r w:rsidR="00A356B8" w:rsidRPr="00736448">
              <w:rPr>
                <w:rFonts w:asciiTheme="majorHAnsi" w:eastAsia="Times New Roman" w:hAnsiTheme="majorHAnsi" w:cstheme="majorHAnsi"/>
                <w:b/>
                <w:bCs/>
                <w:sz w:val="20"/>
                <w:szCs w:val="20"/>
                <w:lang w:val="ro-MD"/>
              </w:rPr>
              <w:t xml:space="preserve">, </w:t>
            </w:r>
            <w:r w:rsidR="007459E2">
              <w:rPr>
                <w:rFonts w:asciiTheme="majorHAnsi" w:eastAsia="Times New Roman" w:hAnsiTheme="majorHAnsi" w:cstheme="majorHAnsi"/>
                <w:b/>
                <w:bCs/>
                <w:sz w:val="20"/>
                <w:szCs w:val="20"/>
                <w:lang w:val="ro-MD"/>
              </w:rPr>
              <w:t>леев</w:t>
            </w:r>
          </w:p>
        </w:tc>
        <w:tc>
          <w:tcPr>
            <w:tcW w:w="1495" w:type="dxa"/>
            <w:shd w:val="clear" w:color="auto" w:fill="FFFFFF" w:themeFill="background1"/>
            <w:noWrap/>
            <w:vAlign w:val="bottom"/>
            <w:hideMark/>
          </w:tcPr>
          <w:p w14:paraId="018352BA" w14:textId="482A75E4"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Кол-во бенефициаров</w:t>
            </w:r>
          </w:p>
        </w:tc>
        <w:tc>
          <w:tcPr>
            <w:tcW w:w="1145" w:type="dxa"/>
            <w:shd w:val="clear" w:color="auto" w:fill="FFFFFF" w:themeFill="background1"/>
            <w:noWrap/>
            <w:vAlign w:val="bottom"/>
            <w:hideMark/>
          </w:tcPr>
          <w:p w14:paraId="260960DF" w14:textId="1185514B"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Сумма</w:t>
            </w:r>
            <w:r w:rsidR="00A356B8" w:rsidRPr="00736448">
              <w:rPr>
                <w:rFonts w:asciiTheme="majorHAnsi" w:eastAsia="Times New Roman" w:hAnsiTheme="majorHAnsi" w:cstheme="majorHAnsi"/>
                <w:b/>
                <w:bCs/>
                <w:sz w:val="20"/>
                <w:szCs w:val="20"/>
                <w:lang w:val="ro-MD"/>
              </w:rPr>
              <w:t xml:space="preserve">, </w:t>
            </w:r>
            <w:r w:rsidR="007459E2">
              <w:rPr>
                <w:rFonts w:asciiTheme="majorHAnsi" w:eastAsia="Times New Roman" w:hAnsiTheme="majorHAnsi" w:cstheme="majorHAnsi"/>
                <w:b/>
                <w:bCs/>
                <w:sz w:val="20"/>
                <w:szCs w:val="20"/>
                <w:lang w:val="ro-MD"/>
              </w:rPr>
              <w:t>леев</w:t>
            </w:r>
          </w:p>
        </w:tc>
        <w:tc>
          <w:tcPr>
            <w:tcW w:w="1749" w:type="dxa"/>
            <w:shd w:val="clear" w:color="auto" w:fill="FFFFFF" w:themeFill="background1"/>
            <w:noWrap/>
            <w:vAlign w:val="bottom"/>
            <w:hideMark/>
          </w:tcPr>
          <w:p w14:paraId="50D60070" w14:textId="3177A430"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Кол-во бенефициаров</w:t>
            </w:r>
          </w:p>
        </w:tc>
        <w:tc>
          <w:tcPr>
            <w:tcW w:w="1491" w:type="dxa"/>
            <w:shd w:val="clear" w:color="auto" w:fill="FFFFFF" w:themeFill="background1"/>
            <w:noWrap/>
            <w:vAlign w:val="bottom"/>
            <w:hideMark/>
          </w:tcPr>
          <w:p w14:paraId="3CDB9B39" w14:textId="71E66EC4"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Сумма</w:t>
            </w:r>
            <w:r w:rsidR="00A356B8" w:rsidRPr="00736448">
              <w:rPr>
                <w:rFonts w:asciiTheme="majorHAnsi" w:eastAsia="Times New Roman" w:hAnsiTheme="majorHAnsi" w:cstheme="majorHAnsi"/>
                <w:b/>
                <w:bCs/>
                <w:sz w:val="20"/>
                <w:szCs w:val="20"/>
                <w:lang w:val="ro-MD"/>
              </w:rPr>
              <w:t xml:space="preserve">, </w:t>
            </w:r>
            <w:r w:rsidR="007459E2">
              <w:rPr>
                <w:rFonts w:asciiTheme="majorHAnsi" w:eastAsia="Times New Roman" w:hAnsiTheme="majorHAnsi" w:cstheme="majorHAnsi"/>
                <w:b/>
                <w:bCs/>
                <w:sz w:val="20"/>
                <w:szCs w:val="20"/>
                <w:lang w:val="ro-MD"/>
              </w:rPr>
              <w:t>леев</w:t>
            </w:r>
          </w:p>
        </w:tc>
      </w:tr>
      <w:tr w:rsidR="00A356B8" w:rsidRPr="00B7675F" w14:paraId="4AC0CB4C" w14:textId="77777777" w:rsidTr="00B27804">
        <w:trPr>
          <w:trHeight w:val="264"/>
        </w:trPr>
        <w:tc>
          <w:tcPr>
            <w:tcW w:w="1240" w:type="dxa"/>
            <w:shd w:val="clear" w:color="auto" w:fill="FFFFFF" w:themeFill="background1"/>
            <w:noWrap/>
            <w:vAlign w:val="bottom"/>
            <w:hideMark/>
          </w:tcPr>
          <w:p w14:paraId="2B2B0F99" w14:textId="79F678A7"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АВСТРИЯ</w:t>
            </w:r>
          </w:p>
        </w:tc>
        <w:tc>
          <w:tcPr>
            <w:tcW w:w="1557" w:type="dxa"/>
            <w:shd w:val="clear" w:color="auto" w:fill="FFFFFF" w:themeFill="background1"/>
            <w:noWrap/>
            <w:vAlign w:val="bottom"/>
            <w:hideMark/>
          </w:tcPr>
          <w:p w14:paraId="2E021F8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37</w:t>
            </w:r>
          </w:p>
        </w:tc>
        <w:tc>
          <w:tcPr>
            <w:tcW w:w="1463" w:type="dxa"/>
            <w:shd w:val="clear" w:color="auto" w:fill="FFFFFF" w:themeFill="background1"/>
            <w:noWrap/>
            <w:vAlign w:val="bottom"/>
            <w:hideMark/>
          </w:tcPr>
          <w:p w14:paraId="2280215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570232.2</w:t>
            </w:r>
          </w:p>
        </w:tc>
        <w:tc>
          <w:tcPr>
            <w:tcW w:w="1577" w:type="dxa"/>
            <w:shd w:val="clear" w:color="auto" w:fill="FFFFFF" w:themeFill="background1"/>
            <w:noWrap/>
            <w:vAlign w:val="bottom"/>
            <w:hideMark/>
          </w:tcPr>
          <w:p w14:paraId="288BA8E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33</w:t>
            </w:r>
          </w:p>
        </w:tc>
        <w:tc>
          <w:tcPr>
            <w:tcW w:w="1483" w:type="dxa"/>
            <w:shd w:val="clear" w:color="auto" w:fill="FFFFFF" w:themeFill="background1"/>
            <w:noWrap/>
            <w:vAlign w:val="bottom"/>
            <w:hideMark/>
          </w:tcPr>
          <w:p w14:paraId="10DC46E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538063.53</w:t>
            </w:r>
          </w:p>
        </w:tc>
        <w:tc>
          <w:tcPr>
            <w:tcW w:w="1704" w:type="dxa"/>
            <w:shd w:val="clear" w:color="auto" w:fill="FFFFFF" w:themeFill="background1"/>
            <w:noWrap/>
            <w:vAlign w:val="bottom"/>
            <w:hideMark/>
          </w:tcPr>
          <w:p w14:paraId="6D996F6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w:t>
            </w:r>
          </w:p>
        </w:tc>
        <w:tc>
          <w:tcPr>
            <w:tcW w:w="1216" w:type="dxa"/>
            <w:shd w:val="clear" w:color="auto" w:fill="FFFFFF" w:themeFill="background1"/>
            <w:noWrap/>
            <w:vAlign w:val="bottom"/>
            <w:hideMark/>
          </w:tcPr>
          <w:p w14:paraId="3253879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32168.67</w:t>
            </w:r>
          </w:p>
        </w:tc>
        <w:tc>
          <w:tcPr>
            <w:tcW w:w="1495" w:type="dxa"/>
            <w:shd w:val="clear" w:color="auto" w:fill="FFFFFF" w:themeFill="background1"/>
            <w:noWrap/>
            <w:vAlign w:val="bottom"/>
            <w:hideMark/>
          </w:tcPr>
          <w:p w14:paraId="4985056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0F2DACB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6648CAD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11998CF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0CF6C8DC" w14:textId="77777777" w:rsidTr="00B27804">
        <w:trPr>
          <w:trHeight w:val="264"/>
        </w:trPr>
        <w:tc>
          <w:tcPr>
            <w:tcW w:w="1240" w:type="dxa"/>
            <w:shd w:val="clear" w:color="auto" w:fill="FFFFFF" w:themeFill="background1"/>
            <w:noWrap/>
            <w:vAlign w:val="bottom"/>
            <w:hideMark/>
          </w:tcPr>
          <w:p w14:paraId="614402F7" w14:textId="4755AEBB"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БЕЛЬГИЯ</w:t>
            </w:r>
          </w:p>
        </w:tc>
        <w:tc>
          <w:tcPr>
            <w:tcW w:w="1557" w:type="dxa"/>
            <w:shd w:val="clear" w:color="auto" w:fill="FFFFFF" w:themeFill="background1"/>
            <w:noWrap/>
            <w:vAlign w:val="bottom"/>
            <w:hideMark/>
          </w:tcPr>
          <w:p w14:paraId="0932AE3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463" w:type="dxa"/>
            <w:shd w:val="clear" w:color="auto" w:fill="FFFFFF" w:themeFill="background1"/>
            <w:noWrap/>
            <w:vAlign w:val="bottom"/>
            <w:hideMark/>
          </w:tcPr>
          <w:p w14:paraId="7851A6A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8327.07</w:t>
            </w:r>
          </w:p>
        </w:tc>
        <w:tc>
          <w:tcPr>
            <w:tcW w:w="1577" w:type="dxa"/>
            <w:shd w:val="clear" w:color="auto" w:fill="FFFFFF" w:themeFill="background1"/>
            <w:noWrap/>
            <w:vAlign w:val="bottom"/>
            <w:hideMark/>
          </w:tcPr>
          <w:p w14:paraId="6F73437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483" w:type="dxa"/>
            <w:shd w:val="clear" w:color="auto" w:fill="FFFFFF" w:themeFill="background1"/>
            <w:noWrap/>
            <w:vAlign w:val="bottom"/>
            <w:hideMark/>
          </w:tcPr>
          <w:p w14:paraId="33F0DEC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8327.07</w:t>
            </w:r>
          </w:p>
        </w:tc>
        <w:tc>
          <w:tcPr>
            <w:tcW w:w="1704" w:type="dxa"/>
            <w:shd w:val="clear" w:color="auto" w:fill="FFFFFF" w:themeFill="background1"/>
            <w:noWrap/>
            <w:vAlign w:val="bottom"/>
            <w:hideMark/>
          </w:tcPr>
          <w:p w14:paraId="3A9EBC4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216" w:type="dxa"/>
            <w:shd w:val="clear" w:color="auto" w:fill="FFFFFF" w:themeFill="background1"/>
            <w:noWrap/>
            <w:vAlign w:val="bottom"/>
            <w:hideMark/>
          </w:tcPr>
          <w:p w14:paraId="76A9B6A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5" w:type="dxa"/>
            <w:shd w:val="clear" w:color="auto" w:fill="FFFFFF" w:themeFill="background1"/>
            <w:noWrap/>
            <w:vAlign w:val="bottom"/>
            <w:hideMark/>
          </w:tcPr>
          <w:p w14:paraId="67D1DE3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7947D0C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5322585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67A3AB7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34A65C6D" w14:textId="77777777" w:rsidTr="00B27804">
        <w:trPr>
          <w:trHeight w:val="264"/>
        </w:trPr>
        <w:tc>
          <w:tcPr>
            <w:tcW w:w="1240" w:type="dxa"/>
            <w:shd w:val="clear" w:color="auto" w:fill="FFFFFF" w:themeFill="background1"/>
            <w:noWrap/>
            <w:vAlign w:val="bottom"/>
            <w:hideMark/>
          </w:tcPr>
          <w:p w14:paraId="7284495B" w14:textId="36345F99"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БОЛГАРИЯ</w:t>
            </w:r>
          </w:p>
        </w:tc>
        <w:tc>
          <w:tcPr>
            <w:tcW w:w="1557" w:type="dxa"/>
            <w:shd w:val="clear" w:color="auto" w:fill="FFFFFF" w:themeFill="background1"/>
            <w:noWrap/>
            <w:vAlign w:val="bottom"/>
            <w:hideMark/>
          </w:tcPr>
          <w:p w14:paraId="57FF130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143</w:t>
            </w:r>
          </w:p>
        </w:tc>
        <w:tc>
          <w:tcPr>
            <w:tcW w:w="1463" w:type="dxa"/>
            <w:shd w:val="clear" w:color="auto" w:fill="FFFFFF" w:themeFill="background1"/>
            <w:noWrap/>
            <w:vAlign w:val="bottom"/>
            <w:hideMark/>
          </w:tcPr>
          <w:p w14:paraId="6F8AE89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1806511.48</w:t>
            </w:r>
          </w:p>
        </w:tc>
        <w:tc>
          <w:tcPr>
            <w:tcW w:w="1577" w:type="dxa"/>
            <w:shd w:val="clear" w:color="auto" w:fill="FFFFFF" w:themeFill="background1"/>
            <w:noWrap/>
            <w:vAlign w:val="bottom"/>
            <w:hideMark/>
          </w:tcPr>
          <w:p w14:paraId="3F0A916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122</w:t>
            </w:r>
          </w:p>
        </w:tc>
        <w:tc>
          <w:tcPr>
            <w:tcW w:w="1483" w:type="dxa"/>
            <w:shd w:val="clear" w:color="auto" w:fill="FFFFFF" w:themeFill="background1"/>
            <w:noWrap/>
            <w:vAlign w:val="bottom"/>
            <w:hideMark/>
          </w:tcPr>
          <w:p w14:paraId="1379B3A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1578629.02</w:t>
            </w:r>
          </w:p>
        </w:tc>
        <w:tc>
          <w:tcPr>
            <w:tcW w:w="1704" w:type="dxa"/>
            <w:shd w:val="clear" w:color="auto" w:fill="FFFFFF" w:themeFill="background1"/>
            <w:noWrap/>
            <w:vAlign w:val="bottom"/>
            <w:hideMark/>
          </w:tcPr>
          <w:p w14:paraId="3EEECCB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14</w:t>
            </w:r>
          </w:p>
        </w:tc>
        <w:tc>
          <w:tcPr>
            <w:tcW w:w="1216" w:type="dxa"/>
            <w:shd w:val="clear" w:color="auto" w:fill="FFFFFF" w:themeFill="background1"/>
            <w:noWrap/>
            <w:vAlign w:val="bottom"/>
            <w:hideMark/>
          </w:tcPr>
          <w:p w14:paraId="6A304C4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129991.8</w:t>
            </w:r>
          </w:p>
        </w:tc>
        <w:tc>
          <w:tcPr>
            <w:tcW w:w="1495" w:type="dxa"/>
            <w:shd w:val="clear" w:color="auto" w:fill="FFFFFF" w:themeFill="background1"/>
            <w:noWrap/>
            <w:vAlign w:val="bottom"/>
            <w:hideMark/>
          </w:tcPr>
          <w:p w14:paraId="59EB9B7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7</w:t>
            </w:r>
          </w:p>
        </w:tc>
        <w:tc>
          <w:tcPr>
            <w:tcW w:w="1145" w:type="dxa"/>
            <w:shd w:val="clear" w:color="auto" w:fill="FFFFFF" w:themeFill="background1"/>
            <w:noWrap/>
            <w:vAlign w:val="bottom"/>
            <w:hideMark/>
          </w:tcPr>
          <w:p w14:paraId="3EB8AD6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97890.66</w:t>
            </w:r>
          </w:p>
        </w:tc>
        <w:tc>
          <w:tcPr>
            <w:tcW w:w="1749" w:type="dxa"/>
            <w:shd w:val="clear" w:color="auto" w:fill="FFFFFF" w:themeFill="background1"/>
            <w:noWrap/>
            <w:vAlign w:val="bottom"/>
            <w:hideMark/>
          </w:tcPr>
          <w:p w14:paraId="4DE11B9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w:t>
            </w:r>
          </w:p>
        </w:tc>
        <w:tc>
          <w:tcPr>
            <w:tcW w:w="1491" w:type="dxa"/>
            <w:shd w:val="clear" w:color="auto" w:fill="FFFFFF" w:themeFill="background1"/>
            <w:noWrap/>
            <w:vAlign w:val="bottom"/>
            <w:hideMark/>
          </w:tcPr>
          <w:p w14:paraId="4FEC3B2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171095.78</w:t>
            </w:r>
          </w:p>
        </w:tc>
      </w:tr>
      <w:tr w:rsidR="00A356B8" w:rsidRPr="00B7675F" w14:paraId="639BA975" w14:textId="77777777" w:rsidTr="00B27804">
        <w:trPr>
          <w:trHeight w:val="264"/>
        </w:trPr>
        <w:tc>
          <w:tcPr>
            <w:tcW w:w="1240" w:type="dxa"/>
            <w:shd w:val="clear" w:color="auto" w:fill="FFFFFF" w:themeFill="background1"/>
            <w:noWrap/>
            <w:vAlign w:val="bottom"/>
            <w:hideMark/>
          </w:tcPr>
          <w:p w14:paraId="6D3494D7" w14:textId="4916184B"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ЧЕХИЯ</w:t>
            </w:r>
          </w:p>
        </w:tc>
        <w:tc>
          <w:tcPr>
            <w:tcW w:w="1557" w:type="dxa"/>
            <w:shd w:val="clear" w:color="auto" w:fill="FFFFFF" w:themeFill="background1"/>
            <w:noWrap/>
            <w:vAlign w:val="bottom"/>
            <w:hideMark/>
          </w:tcPr>
          <w:p w14:paraId="153EF4B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74</w:t>
            </w:r>
          </w:p>
        </w:tc>
        <w:tc>
          <w:tcPr>
            <w:tcW w:w="1463" w:type="dxa"/>
            <w:shd w:val="clear" w:color="auto" w:fill="FFFFFF" w:themeFill="background1"/>
            <w:noWrap/>
            <w:vAlign w:val="bottom"/>
            <w:hideMark/>
          </w:tcPr>
          <w:p w14:paraId="2B3FE19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993235.63</w:t>
            </w:r>
          </w:p>
        </w:tc>
        <w:tc>
          <w:tcPr>
            <w:tcW w:w="1577" w:type="dxa"/>
            <w:shd w:val="clear" w:color="auto" w:fill="FFFFFF" w:themeFill="background1"/>
            <w:noWrap/>
            <w:vAlign w:val="bottom"/>
            <w:hideMark/>
          </w:tcPr>
          <w:p w14:paraId="4CBDF2A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56</w:t>
            </w:r>
          </w:p>
        </w:tc>
        <w:tc>
          <w:tcPr>
            <w:tcW w:w="1483" w:type="dxa"/>
            <w:shd w:val="clear" w:color="auto" w:fill="FFFFFF" w:themeFill="background1"/>
            <w:noWrap/>
            <w:vAlign w:val="bottom"/>
            <w:hideMark/>
          </w:tcPr>
          <w:p w14:paraId="2E14107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837557.9</w:t>
            </w:r>
          </w:p>
        </w:tc>
        <w:tc>
          <w:tcPr>
            <w:tcW w:w="1704" w:type="dxa"/>
            <w:shd w:val="clear" w:color="auto" w:fill="FFFFFF" w:themeFill="background1"/>
            <w:noWrap/>
            <w:vAlign w:val="bottom"/>
            <w:hideMark/>
          </w:tcPr>
          <w:p w14:paraId="52C7BC5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17</w:t>
            </w:r>
          </w:p>
        </w:tc>
        <w:tc>
          <w:tcPr>
            <w:tcW w:w="1216" w:type="dxa"/>
            <w:shd w:val="clear" w:color="auto" w:fill="FFFFFF" w:themeFill="background1"/>
            <w:noWrap/>
            <w:vAlign w:val="bottom"/>
            <w:hideMark/>
          </w:tcPr>
          <w:p w14:paraId="5390D75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134072.54</w:t>
            </w:r>
          </w:p>
        </w:tc>
        <w:tc>
          <w:tcPr>
            <w:tcW w:w="1495" w:type="dxa"/>
            <w:shd w:val="clear" w:color="auto" w:fill="FFFFFF" w:themeFill="background1"/>
            <w:noWrap/>
            <w:vAlign w:val="bottom"/>
            <w:hideMark/>
          </w:tcPr>
          <w:p w14:paraId="76A1922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145" w:type="dxa"/>
            <w:shd w:val="clear" w:color="auto" w:fill="FFFFFF" w:themeFill="background1"/>
            <w:noWrap/>
            <w:vAlign w:val="bottom"/>
            <w:hideMark/>
          </w:tcPr>
          <w:p w14:paraId="2F7187F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21605.19</w:t>
            </w:r>
          </w:p>
        </w:tc>
        <w:tc>
          <w:tcPr>
            <w:tcW w:w="1749" w:type="dxa"/>
            <w:shd w:val="clear" w:color="auto" w:fill="FFFFFF" w:themeFill="background1"/>
            <w:noWrap/>
            <w:vAlign w:val="bottom"/>
            <w:hideMark/>
          </w:tcPr>
          <w:p w14:paraId="3179CA7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28586EB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61E663B3" w14:textId="77777777" w:rsidTr="00B27804">
        <w:trPr>
          <w:trHeight w:val="264"/>
        </w:trPr>
        <w:tc>
          <w:tcPr>
            <w:tcW w:w="1240" w:type="dxa"/>
            <w:shd w:val="clear" w:color="auto" w:fill="FFFFFF" w:themeFill="background1"/>
            <w:noWrap/>
            <w:vAlign w:val="bottom"/>
            <w:hideMark/>
          </w:tcPr>
          <w:p w14:paraId="65C0E4F0" w14:textId="7DD264F2"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ЭСТОНИЯ</w:t>
            </w:r>
          </w:p>
        </w:tc>
        <w:tc>
          <w:tcPr>
            <w:tcW w:w="1557" w:type="dxa"/>
            <w:shd w:val="clear" w:color="auto" w:fill="FFFFFF" w:themeFill="background1"/>
            <w:noWrap/>
            <w:vAlign w:val="bottom"/>
            <w:hideMark/>
          </w:tcPr>
          <w:p w14:paraId="341BB98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10</w:t>
            </w:r>
          </w:p>
        </w:tc>
        <w:tc>
          <w:tcPr>
            <w:tcW w:w="1463" w:type="dxa"/>
            <w:shd w:val="clear" w:color="auto" w:fill="FFFFFF" w:themeFill="background1"/>
            <w:noWrap/>
            <w:vAlign w:val="bottom"/>
            <w:hideMark/>
          </w:tcPr>
          <w:p w14:paraId="26AA6BC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133941.41</w:t>
            </w:r>
          </w:p>
        </w:tc>
        <w:tc>
          <w:tcPr>
            <w:tcW w:w="1577" w:type="dxa"/>
            <w:shd w:val="clear" w:color="auto" w:fill="FFFFFF" w:themeFill="background1"/>
            <w:noWrap/>
            <w:vAlign w:val="bottom"/>
            <w:hideMark/>
          </w:tcPr>
          <w:p w14:paraId="72F5A06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10</w:t>
            </w:r>
          </w:p>
        </w:tc>
        <w:tc>
          <w:tcPr>
            <w:tcW w:w="1483" w:type="dxa"/>
            <w:shd w:val="clear" w:color="auto" w:fill="FFFFFF" w:themeFill="background1"/>
            <w:noWrap/>
            <w:vAlign w:val="bottom"/>
            <w:hideMark/>
          </w:tcPr>
          <w:p w14:paraId="5417C44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133941.41</w:t>
            </w:r>
          </w:p>
        </w:tc>
        <w:tc>
          <w:tcPr>
            <w:tcW w:w="1704" w:type="dxa"/>
            <w:shd w:val="clear" w:color="auto" w:fill="FFFFFF" w:themeFill="background1"/>
            <w:noWrap/>
            <w:vAlign w:val="bottom"/>
            <w:hideMark/>
          </w:tcPr>
          <w:p w14:paraId="2ED25DA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216" w:type="dxa"/>
            <w:shd w:val="clear" w:color="auto" w:fill="FFFFFF" w:themeFill="background1"/>
            <w:noWrap/>
            <w:vAlign w:val="bottom"/>
            <w:hideMark/>
          </w:tcPr>
          <w:p w14:paraId="57603C9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5" w:type="dxa"/>
            <w:shd w:val="clear" w:color="auto" w:fill="FFFFFF" w:themeFill="background1"/>
            <w:noWrap/>
            <w:vAlign w:val="bottom"/>
            <w:hideMark/>
          </w:tcPr>
          <w:p w14:paraId="2201540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2801955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5FCA192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w:t>
            </w:r>
          </w:p>
        </w:tc>
        <w:tc>
          <w:tcPr>
            <w:tcW w:w="1491" w:type="dxa"/>
            <w:shd w:val="clear" w:color="auto" w:fill="FFFFFF" w:themeFill="background1"/>
            <w:noWrap/>
            <w:vAlign w:val="bottom"/>
            <w:hideMark/>
          </w:tcPr>
          <w:p w14:paraId="6734712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651547.54</w:t>
            </w:r>
          </w:p>
        </w:tc>
      </w:tr>
      <w:tr w:rsidR="00A356B8" w:rsidRPr="00B7675F" w14:paraId="68E97191" w14:textId="77777777" w:rsidTr="00B27804">
        <w:trPr>
          <w:trHeight w:val="264"/>
        </w:trPr>
        <w:tc>
          <w:tcPr>
            <w:tcW w:w="1240" w:type="dxa"/>
            <w:shd w:val="clear" w:color="auto" w:fill="FFFFFF" w:themeFill="background1"/>
            <w:noWrap/>
            <w:vAlign w:val="bottom"/>
            <w:hideMark/>
          </w:tcPr>
          <w:p w14:paraId="5E8BA523" w14:textId="60F6EB55"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ГЕРМАНИЯ</w:t>
            </w:r>
          </w:p>
        </w:tc>
        <w:tc>
          <w:tcPr>
            <w:tcW w:w="1557" w:type="dxa"/>
            <w:shd w:val="clear" w:color="auto" w:fill="FFFFFF" w:themeFill="background1"/>
            <w:noWrap/>
            <w:vAlign w:val="bottom"/>
            <w:hideMark/>
          </w:tcPr>
          <w:p w14:paraId="2E4B2B2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391</w:t>
            </w:r>
          </w:p>
        </w:tc>
        <w:tc>
          <w:tcPr>
            <w:tcW w:w="1463" w:type="dxa"/>
            <w:shd w:val="clear" w:color="auto" w:fill="FFFFFF" w:themeFill="background1"/>
            <w:noWrap/>
            <w:vAlign w:val="bottom"/>
            <w:hideMark/>
          </w:tcPr>
          <w:p w14:paraId="14C2245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8778273.27</w:t>
            </w:r>
          </w:p>
        </w:tc>
        <w:tc>
          <w:tcPr>
            <w:tcW w:w="1577" w:type="dxa"/>
            <w:shd w:val="clear" w:color="auto" w:fill="FFFFFF" w:themeFill="background1"/>
            <w:noWrap/>
            <w:vAlign w:val="bottom"/>
            <w:hideMark/>
          </w:tcPr>
          <w:p w14:paraId="76F8326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380</w:t>
            </w:r>
          </w:p>
        </w:tc>
        <w:tc>
          <w:tcPr>
            <w:tcW w:w="1483" w:type="dxa"/>
            <w:shd w:val="clear" w:color="auto" w:fill="FFFFFF" w:themeFill="background1"/>
            <w:noWrap/>
            <w:vAlign w:val="bottom"/>
            <w:hideMark/>
          </w:tcPr>
          <w:p w14:paraId="2AB1B63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8664341.31</w:t>
            </w:r>
          </w:p>
        </w:tc>
        <w:tc>
          <w:tcPr>
            <w:tcW w:w="1704" w:type="dxa"/>
            <w:shd w:val="clear" w:color="auto" w:fill="FFFFFF" w:themeFill="background1"/>
            <w:noWrap/>
            <w:vAlign w:val="bottom"/>
            <w:hideMark/>
          </w:tcPr>
          <w:p w14:paraId="7EA822E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w:t>
            </w:r>
          </w:p>
        </w:tc>
        <w:tc>
          <w:tcPr>
            <w:tcW w:w="1216" w:type="dxa"/>
            <w:shd w:val="clear" w:color="auto" w:fill="FFFFFF" w:themeFill="background1"/>
            <w:noWrap/>
            <w:vAlign w:val="bottom"/>
            <w:hideMark/>
          </w:tcPr>
          <w:p w14:paraId="13512B8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22891.87</w:t>
            </w:r>
          </w:p>
        </w:tc>
        <w:tc>
          <w:tcPr>
            <w:tcW w:w="1495" w:type="dxa"/>
            <w:shd w:val="clear" w:color="auto" w:fill="FFFFFF" w:themeFill="background1"/>
            <w:noWrap/>
            <w:vAlign w:val="bottom"/>
            <w:hideMark/>
          </w:tcPr>
          <w:p w14:paraId="2C009C7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w:t>
            </w:r>
          </w:p>
        </w:tc>
        <w:tc>
          <w:tcPr>
            <w:tcW w:w="1145" w:type="dxa"/>
            <w:shd w:val="clear" w:color="auto" w:fill="FFFFFF" w:themeFill="background1"/>
            <w:noWrap/>
            <w:vAlign w:val="bottom"/>
            <w:hideMark/>
          </w:tcPr>
          <w:p w14:paraId="2E7F255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91040.09</w:t>
            </w:r>
          </w:p>
        </w:tc>
        <w:tc>
          <w:tcPr>
            <w:tcW w:w="1749" w:type="dxa"/>
            <w:shd w:val="clear" w:color="auto" w:fill="FFFFFF" w:themeFill="background1"/>
            <w:noWrap/>
            <w:vAlign w:val="bottom"/>
            <w:hideMark/>
          </w:tcPr>
          <w:p w14:paraId="5EC88FF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4F46C46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08C727ED" w14:textId="77777777" w:rsidTr="00B27804">
        <w:trPr>
          <w:trHeight w:val="264"/>
        </w:trPr>
        <w:tc>
          <w:tcPr>
            <w:tcW w:w="1240" w:type="dxa"/>
            <w:shd w:val="clear" w:color="auto" w:fill="FFFFFF" w:themeFill="background1"/>
            <w:noWrap/>
            <w:vAlign w:val="bottom"/>
            <w:hideMark/>
          </w:tcPr>
          <w:p w14:paraId="5EB6B2D2" w14:textId="62E55565"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ЛИТВА</w:t>
            </w:r>
          </w:p>
        </w:tc>
        <w:tc>
          <w:tcPr>
            <w:tcW w:w="1557" w:type="dxa"/>
            <w:shd w:val="clear" w:color="auto" w:fill="FFFFFF" w:themeFill="background1"/>
            <w:noWrap/>
            <w:vAlign w:val="bottom"/>
            <w:hideMark/>
          </w:tcPr>
          <w:p w14:paraId="21F718C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40</w:t>
            </w:r>
          </w:p>
        </w:tc>
        <w:tc>
          <w:tcPr>
            <w:tcW w:w="1463" w:type="dxa"/>
            <w:shd w:val="clear" w:color="auto" w:fill="FFFFFF" w:themeFill="background1"/>
            <w:noWrap/>
            <w:vAlign w:val="bottom"/>
            <w:hideMark/>
          </w:tcPr>
          <w:p w14:paraId="1F7D5E4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182294.17</w:t>
            </w:r>
          </w:p>
        </w:tc>
        <w:tc>
          <w:tcPr>
            <w:tcW w:w="1577" w:type="dxa"/>
            <w:shd w:val="clear" w:color="auto" w:fill="FFFFFF" w:themeFill="background1"/>
            <w:noWrap/>
            <w:vAlign w:val="bottom"/>
            <w:hideMark/>
          </w:tcPr>
          <w:p w14:paraId="2795E20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34</w:t>
            </w:r>
          </w:p>
        </w:tc>
        <w:tc>
          <w:tcPr>
            <w:tcW w:w="1483" w:type="dxa"/>
            <w:shd w:val="clear" w:color="auto" w:fill="FFFFFF" w:themeFill="background1"/>
            <w:noWrap/>
            <w:vAlign w:val="bottom"/>
            <w:hideMark/>
          </w:tcPr>
          <w:p w14:paraId="3C0C9DB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161220.29</w:t>
            </w:r>
          </w:p>
        </w:tc>
        <w:tc>
          <w:tcPr>
            <w:tcW w:w="1704" w:type="dxa"/>
            <w:shd w:val="clear" w:color="auto" w:fill="FFFFFF" w:themeFill="background1"/>
            <w:noWrap/>
            <w:vAlign w:val="bottom"/>
            <w:hideMark/>
          </w:tcPr>
          <w:p w14:paraId="4B0ACB9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w:t>
            </w:r>
          </w:p>
        </w:tc>
        <w:tc>
          <w:tcPr>
            <w:tcW w:w="1216" w:type="dxa"/>
            <w:shd w:val="clear" w:color="auto" w:fill="FFFFFF" w:themeFill="background1"/>
            <w:noWrap/>
            <w:vAlign w:val="bottom"/>
            <w:hideMark/>
          </w:tcPr>
          <w:p w14:paraId="783171D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21073.88</w:t>
            </w:r>
          </w:p>
        </w:tc>
        <w:tc>
          <w:tcPr>
            <w:tcW w:w="1495" w:type="dxa"/>
            <w:shd w:val="clear" w:color="auto" w:fill="FFFFFF" w:themeFill="background1"/>
            <w:noWrap/>
            <w:vAlign w:val="bottom"/>
            <w:hideMark/>
          </w:tcPr>
          <w:p w14:paraId="1BE8327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35E513D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3035F3D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9</w:t>
            </w:r>
          </w:p>
        </w:tc>
        <w:tc>
          <w:tcPr>
            <w:tcW w:w="1491" w:type="dxa"/>
            <w:shd w:val="clear" w:color="auto" w:fill="FFFFFF" w:themeFill="background1"/>
            <w:noWrap/>
            <w:vAlign w:val="bottom"/>
            <w:hideMark/>
          </w:tcPr>
          <w:p w14:paraId="20D7904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338293.89</w:t>
            </w:r>
          </w:p>
        </w:tc>
      </w:tr>
      <w:tr w:rsidR="00A356B8" w:rsidRPr="00B7675F" w14:paraId="525172CA" w14:textId="77777777" w:rsidTr="00B27804">
        <w:trPr>
          <w:trHeight w:val="264"/>
        </w:trPr>
        <w:tc>
          <w:tcPr>
            <w:tcW w:w="1240" w:type="dxa"/>
            <w:shd w:val="clear" w:color="auto" w:fill="FFFFFF" w:themeFill="background1"/>
            <w:noWrap/>
            <w:vAlign w:val="bottom"/>
            <w:hideMark/>
          </w:tcPr>
          <w:p w14:paraId="5B5355AF" w14:textId="7AC23551"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ПОЛЬША</w:t>
            </w:r>
          </w:p>
        </w:tc>
        <w:tc>
          <w:tcPr>
            <w:tcW w:w="1557" w:type="dxa"/>
            <w:shd w:val="clear" w:color="auto" w:fill="FFFFFF" w:themeFill="background1"/>
            <w:noWrap/>
            <w:vAlign w:val="bottom"/>
            <w:hideMark/>
          </w:tcPr>
          <w:p w14:paraId="270B095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14</w:t>
            </w:r>
          </w:p>
        </w:tc>
        <w:tc>
          <w:tcPr>
            <w:tcW w:w="1463" w:type="dxa"/>
            <w:shd w:val="clear" w:color="auto" w:fill="FFFFFF" w:themeFill="background1"/>
            <w:noWrap/>
            <w:vAlign w:val="bottom"/>
            <w:hideMark/>
          </w:tcPr>
          <w:p w14:paraId="6D71541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200471.86</w:t>
            </w:r>
          </w:p>
        </w:tc>
        <w:tc>
          <w:tcPr>
            <w:tcW w:w="1577" w:type="dxa"/>
            <w:shd w:val="clear" w:color="auto" w:fill="FFFFFF" w:themeFill="background1"/>
            <w:noWrap/>
            <w:vAlign w:val="bottom"/>
            <w:hideMark/>
          </w:tcPr>
          <w:p w14:paraId="2FB41D9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14</w:t>
            </w:r>
          </w:p>
        </w:tc>
        <w:tc>
          <w:tcPr>
            <w:tcW w:w="1483" w:type="dxa"/>
            <w:shd w:val="clear" w:color="auto" w:fill="FFFFFF" w:themeFill="background1"/>
            <w:noWrap/>
            <w:vAlign w:val="bottom"/>
            <w:hideMark/>
          </w:tcPr>
          <w:p w14:paraId="2BE03A3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200471.86</w:t>
            </w:r>
          </w:p>
        </w:tc>
        <w:tc>
          <w:tcPr>
            <w:tcW w:w="1704" w:type="dxa"/>
            <w:shd w:val="clear" w:color="auto" w:fill="FFFFFF" w:themeFill="background1"/>
            <w:noWrap/>
            <w:vAlign w:val="bottom"/>
            <w:hideMark/>
          </w:tcPr>
          <w:p w14:paraId="5427373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216" w:type="dxa"/>
            <w:shd w:val="clear" w:color="auto" w:fill="FFFFFF" w:themeFill="background1"/>
            <w:noWrap/>
            <w:vAlign w:val="bottom"/>
            <w:hideMark/>
          </w:tcPr>
          <w:p w14:paraId="7F7CFE0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5" w:type="dxa"/>
            <w:shd w:val="clear" w:color="auto" w:fill="FFFFFF" w:themeFill="background1"/>
            <w:noWrap/>
            <w:vAlign w:val="bottom"/>
            <w:hideMark/>
          </w:tcPr>
          <w:p w14:paraId="792A71B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6C5865A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16405CC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3E33550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55B6DD28" w14:textId="77777777" w:rsidTr="00B27804">
        <w:trPr>
          <w:trHeight w:val="264"/>
        </w:trPr>
        <w:tc>
          <w:tcPr>
            <w:tcW w:w="1240" w:type="dxa"/>
            <w:shd w:val="clear" w:color="auto" w:fill="FFFFFF" w:themeFill="background1"/>
            <w:noWrap/>
            <w:vAlign w:val="bottom"/>
            <w:hideMark/>
          </w:tcPr>
          <w:p w14:paraId="19AD7E49" w14:textId="1E18DC4C"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ПОРТУГАЛИЯ</w:t>
            </w:r>
          </w:p>
        </w:tc>
        <w:tc>
          <w:tcPr>
            <w:tcW w:w="1557" w:type="dxa"/>
            <w:shd w:val="clear" w:color="auto" w:fill="FFFFFF" w:themeFill="background1"/>
            <w:noWrap/>
            <w:vAlign w:val="bottom"/>
            <w:hideMark/>
          </w:tcPr>
          <w:p w14:paraId="2FD2744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22</w:t>
            </w:r>
          </w:p>
        </w:tc>
        <w:tc>
          <w:tcPr>
            <w:tcW w:w="1463" w:type="dxa"/>
            <w:shd w:val="clear" w:color="auto" w:fill="FFFFFF" w:themeFill="background1"/>
            <w:noWrap/>
            <w:vAlign w:val="bottom"/>
            <w:hideMark/>
          </w:tcPr>
          <w:p w14:paraId="37C2FB9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354237.35</w:t>
            </w:r>
          </w:p>
        </w:tc>
        <w:tc>
          <w:tcPr>
            <w:tcW w:w="1577" w:type="dxa"/>
            <w:shd w:val="clear" w:color="auto" w:fill="FFFFFF" w:themeFill="background1"/>
            <w:noWrap/>
            <w:vAlign w:val="bottom"/>
            <w:hideMark/>
          </w:tcPr>
          <w:p w14:paraId="4E3AB41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17</w:t>
            </w:r>
          </w:p>
        </w:tc>
        <w:tc>
          <w:tcPr>
            <w:tcW w:w="1483" w:type="dxa"/>
            <w:shd w:val="clear" w:color="auto" w:fill="FFFFFF" w:themeFill="background1"/>
            <w:noWrap/>
            <w:vAlign w:val="bottom"/>
            <w:hideMark/>
          </w:tcPr>
          <w:p w14:paraId="3D1C715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313454.17</w:t>
            </w:r>
          </w:p>
        </w:tc>
        <w:tc>
          <w:tcPr>
            <w:tcW w:w="1704" w:type="dxa"/>
            <w:shd w:val="clear" w:color="auto" w:fill="FFFFFF" w:themeFill="background1"/>
            <w:noWrap/>
            <w:vAlign w:val="bottom"/>
            <w:hideMark/>
          </w:tcPr>
          <w:p w14:paraId="0735B27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w:t>
            </w:r>
          </w:p>
        </w:tc>
        <w:tc>
          <w:tcPr>
            <w:tcW w:w="1216" w:type="dxa"/>
            <w:shd w:val="clear" w:color="auto" w:fill="FFFFFF" w:themeFill="background1"/>
            <w:noWrap/>
            <w:vAlign w:val="bottom"/>
            <w:hideMark/>
          </w:tcPr>
          <w:p w14:paraId="320B284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40783.18</w:t>
            </w:r>
          </w:p>
        </w:tc>
        <w:tc>
          <w:tcPr>
            <w:tcW w:w="1495" w:type="dxa"/>
            <w:shd w:val="clear" w:color="auto" w:fill="FFFFFF" w:themeFill="background1"/>
            <w:noWrap/>
            <w:vAlign w:val="bottom"/>
            <w:hideMark/>
          </w:tcPr>
          <w:p w14:paraId="7114674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36CC1AC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4F2C902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7BA3CB3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6700041F" w14:textId="77777777" w:rsidTr="00B27804">
        <w:trPr>
          <w:trHeight w:val="264"/>
        </w:trPr>
        <w:tc>
          <w:tcPr>
            <w:tcW w:w="1240" w:type="dxa"/>
            <w:shd w:val="clear" w:color="auto" w:fill="FFFFFF" w:themeFill="background1"/>
            <w:noWrap/>
            <w:vAlign w:val="bottom"/>
            <w:hideMark/>
          </w:tcPr>
          <w:p w14:paraId="634F36F3" w14:textId="79929433" w:rsidR="00A356B8" w:rsidRPr="00736448" w:rsidRDefault="00906AD1" w:rsidP="00E15964">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РУМЫНИЯ</w:t>
            </w:r>
          </w:p>
        </w:tc>
        <w:tc>
          <w:tcPr>
            <w:tcW w:w="1557" w:type="dxa"/>
            <w:shd w:val="clear" w:color="auto" w:fill="FFFFFF" w:themeFill="background1"/>
            <w:noWrap/>
            <w:vAlign w:val="bottom"/>
            <w:hideMark/>
          </w:tcPr>
          <w:p w14:paraId="70FBE5E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338</w:t>
            </w:r>
          </w:p>
        </w:tc>
        <w:tc>
          <w:tcPr>
            <w:tcW w:w="1463" w:type="dxa"/>
            <w:shd w:val="clear" w:color="auto" w:fill="FFFFFF" w:themeFill="background1"/>
            <w:noWrap/>
            <w:vAlign w:val="bottom"/>
            <w:hideMark/>
          </w:tcPr>
          <w:p w14:paraId="0AB103F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7371915.48</w:t>
            </w:r>
          </w:p>
        </w:tc>
        <w:tc>
          <w:tcPr>
            <w:tcW w:w="1577" w:type="dxa"/>
            <w:shd w:val="clear" w:color="auto" w:fill="FFFFFF" w:themeFill="background1"/>
            <w:noWrap/>
            <w:vAlign w:val="bottom"/>
            <w:hideMark/>
          </w:tcPr>
          <w:p w14:paraId="43F254E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311</w:t>
            </w:r>
          </w:p>
        </w:tc>
        <w:tc>
          <w:tcPr>
            <w:tcW w:w="1483" w:type="dxa"/>
            <w:shd w:val="clear" w:color="auto" w:fill="FFFFFF" w:themeFill="background1"/>
            <w:noWrap/>
            <w:vAlign w:val="bottom"/>
            <w:hideMark/>
          </w:tcPr>
          <w:p w14:paraId="42B0F06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6770379.4</w:t>
            </w:r>
          </w:p>
        </w:tc>
        <w:tc>
          <w:tcPr>
            <w:tcW w:w="1704" w:type="dxa"/>
            <w:shd w:val="clear" w:color="auto" w:fill="FFFFFF" w:themeFill="background1"/>
            <w:noWrap/>
            <w:vAlign w:val="bottom"/>
            <w:hideMark/>
          </w:tcPr>
          <w:p w14:paraId="19034CE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26</w:t>
            </w:r>
          </w:p>
        </w:tc>
        <w:tc>
          <w:tcPr>
            <w:tcW w:w="1216" w:type="dxa"/>
            <w:shd w:val="clear" w:color="auto" w:fill="FFFFFF" w:themeFill="background1"/>
            <w:noWrap/>
            <w:vAlign w:val="bottom"/>
            <w:hideMark/>
          </w:tcPr>
          <w:p w14:paraId="2EA9F73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593211.8</w:t>
            </w:r>
          </w:p>
        </w:tc>
        <w:tc>
          <w:tcPr>
            <w:tcW w:w="1495" w:type="dxa"/>
            <w:shd w:val="clear" w:color="auto" w:fill="FFFFFF" w:themeFill="background1"/>
            <w:noWrap/>
            <w:vAlign w:val="bottom"/>
            <w:hideMark/>
          </w:tcPr>
          <w:p w14:paraId="497D9C6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145" w:type="dxa"/>
            <w:shd w:val="clear" w:color="auto" w:fill="FFFFFF" w:themeFill="background1"/>
            <w:noWrap/>
            <w:vAlign w:val="bottom"/>
            <w:hideMark/>
          </w:tcPr>
          <w:p w14:paraId="72E6B1D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8324.28</w:t>
            </w:r>
          </w:p>
        </w:tc>
        <w:tc>
          <w:tcPr>
            <w:tcW w:w="1749" w:type="dxa"/>
            <w:shd w:val="clear" w:color="auto" w:fill="FFFFFF" w:themeFill="background1"/>
            <w:noWrap/>
            <w:vAlign w:val="bottom"/>
            <w:hideMark/>
          </w:tcPr>
          <w:p w14:paraId="1741D12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5300F69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2490A2E4" w14:textId="77777777" w:rsidTr="00B27804">
        <w:trPr>
          <w:trHeight w:val="264"/>
        </w:trPr>
        <w:tc>
          <w:tcPr>
            <w:tcW w:w="1240" w:type="dxa"/>
            <w:shd w:val="clear" w:color="auto" w:fill="FFFFFF" w:themeFill="background1"/>
            <w:noWrap/>
            <w:vAlign w:val="bottom"/>
            <w:hideMark/>
          </w:tcPr>
          <w:p w14:paraId="06AB053D" w14:textId="32595E1A"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ТУРЦИЯ</w:t>
            </w:r>
          </w:p>
        </w:tc>
        <w:tc>
          <w:tcPr>
            <w:tcW w:w="1557" w:type="dxa"/>
            <w:shd w:val="clear" w:color="auto" w:fill="FFFFFF" w:themeFill="background1"/>
            <w:noWrap/>
            <w:vAlign w:val="bottom"/>
            <w:hideMark/>
          </w:tcPr>
          <w:p w14:paraId="69F49ED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w:t>
            </w:r>
          </w:p>
        </w:tc>
        <w:tc>
          <w:tcPr>
            <w:tcW w:w="1463" w:type="dxa"/>
            <w:shd w:val="clear" w:color="auto" w:fill="FFFFFF" w:themeFill="background1"/>
            <w:noWrap/>
            <w:vAlign w:val="bottom"/>
            <w:hideMark/>
          </w:tcPr>
          <w:p w14:paraId="687DB7D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20771.69</w:t>
            </w:r>
          </w:p>
        </w:tc>
        <w:tc>
          <w:tcPr>
            <w:tcW w:w="1577" w:type="dxa"/>
            <w:shd w:val="clear" w:color="auto" w:fill="FFFFFF" w:themeFill="background1"/>
            <w:noWrap/>
            <w:vAlign w:val="bottom"/>
            <w:hideMark/>
          </w:tcPr>
          <w:p w14:paraId="3A021C2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w:t>
            </w:r>
          </w:p>
        </w:tc>
        <w:tc>
          <w:tcPr>
            <w:tcW w:w="1483" w:type="dxa"/>
            <w:shd w:val="clear" w:color="auto" w:fill="FFFFFF" w:themeFill="background1"/>
            <w:noWrap/>
            <w:vAlign w:val="bottom"/>
            <w:hideMark/>
          </w:tcPr>
          <w:p w14:paraId="7DFFD43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20771.69</w:t>
            </w:r>
          </w:p>
        </w:tc>
        <w:tc>
          <w:tcPr>
            <w:tcW w:w="1704" w:type="dxa"/>
            <w:shd w:val="clear" w:color="auto" w:fill="FFFFFF" w:themeFill="background1"/>
            <w:noWrap/>
            <w:vAlign w:val="bottom"/>
            <w:hideMark/>
          </w:tcPr>
          <w:p w14:paraId="5A7D5B6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216" w:type="dxa"/>
            <w:shd w:val="clear" w:color="auto" w:fill="FFFFFF" w:themeFill="background1"/>
            <w:noWrap/>
            <w:vAlign w:val="bottom"/>
            <w:hideMark/>
          </w:tcPr>
          <w:p w14:paraId="16298B2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5" w:type="dxa"/>
            <w:shd w:val="clear" w:color="auto" w:fill="FFFFFF" w:themeFill="background1"/>
            <w:noWrap/>
            <w:vAlign w:val="bottom"/>
            <w:hideMark/>
          </w:tcPr>
          <w:p w14:paraId="52CC9BE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0E86D2D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6553C36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597CD1F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67CEBC72" w14:textId="77777777" w:rsidTr="00B27804">
        <w:trPr>
          <w:trHeight w:val="264"/>
        </w:trPr>
        <w:tc>
          <w:tcPr>
            <w:tcW w:w="1240" w:type="dxa"/>
            <w:shd w:val="clear" w:color="auto" w:fill="FFFFFF" w:themeFill="background1"/>
            <w:noWrap/>
            <w:vAlign w:val="bottom"/>
            <w:hideMark/>
          </w:tcPr>
          <w:p w14:paraId="5BC5BF59" w14:textId="2E799F04"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УКРАИНА</w:t>
            </w:r>
          </w:p>
        </w:tc>
        <w:tc>
          <w:tcPr>
            <w:tcW w:w="1557" w:type="dxa"/>
            <w:shd w:val="clear" w:color="auto" w:fill="FFFFFF" w:themeFill="background1"/>
            <w:noWrap/>
            <w:vAlign w:val="bottom"/>
            <w:hideMark/>
          </w:tcPr>
          <w:p w14:paraId="4C4A8DD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463" w:type="dxa"/>
            <w:shd w:val="clear" w:color="auto" w:fill="FFFFFF" w:themeFill="background1"/>
            <w:noWrap/>
            <w:vAlign w:val="bottom"/>
            <w:hideMark/>
          </w:tcPr>
          <w:p w14:paraId="6330B9D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23942.56</w:t>
            </w:r>
          </w:p>
        </w:tc>
        <w:tc>
          <w:tcPr>
            <w:tcW w:w="1577" w:type="dxa"/>
            <w:shd w:val="clear" w:color="auto" w:fill="FFFFFF" w:themeFill="background1"/>
            <w:noWrap/>
            <w:vAlign w:val="bottom"/>
            <w:hideMark/>
          </w:tcPr>
          <w:p w14:paraId="5F56382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83" w:type="dxa"/>
            <w:shd w:val="clear" w:color="auto" w:fill="FFFFFF" w:themeFill="background1"/>
            <w:noWrap/>
            <w:vAlign w:val="bottom"/>
            <w:hideMark/>
          </w:tcPr>
          <w:p w14:paraId="09B63D1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04" w:type="dxa"/>
            <w:shd w:val="clear" w:color="auto" w:fill="FFFFFF" w:themeFill="background1"/>
            <w:noWrap/>
            <w:vAlign w:val="bottom"/>
            <w:hideMark/>
          </w:tcPr>
          <w:p w14:paraId="2F516E6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216" w:type="dxa"/>
            <w:shd w:val="clear" w:color="auto" w:fill="FFFFFF" w:themeFill="background1"/>
            <w:noWrap/>
            <w:vAlign w:val="bottom"/>
            <w:hideMark/>
          </w:tcPr>
          <w:p w14:paraId="6205F66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23942.56</w:t>
            </w:r>
          </w:p>
        </w:tc>
        <w:tc>
          <w:tcPr>
            <w:tcW w:w="1495" w:type="dxa"/>
            <w:shd w:val="clear" w:color="auto" w:fill="FFFFFF" w:themeFill="background1"/>
            <w:noWrap/>
            <w:vAlign w:val="bottom"/>
            <w:hideMark/>
          </w:tcPr>
          <w:p w14:paraId="19C9DC9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701FDE7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11A6B77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43D89B6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30C57C35" w14:textId="77777777" w:rsidTr="00B27804">
        <w:trPr>
          <w:trHeight w:val="264"/>
        </w:trPr>
        <w:tc>
          <w:tcPr>
            <w:tcW w:w="1240" w:type="dxa"/>
            <w:shd w:val="clear" w:color="auto" w:fill="FFFFFF" w:themeFill="background1"/>
            <w:noWrap/>
            <w:vAlign w:val="bottom"/>
            <w:hideMark/>
          </w:tcPr>
          <w:p w14:paraId="01204F30" w14:textId="77AD3F2F"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ВЕНГРИЯ</w:t>
            </w:r>
          </w:p>
        </w:tc>
        <w:tc>
          <w:tcPr>
            <w:tcW w:w="1557" w:type="dxa"/>
            <w:shd w:val="clear" w:color="auto" w:fill="FFFFFF" w:themeFill="background1"/>
            <w:noWrap/>
            <w:vAlign w:val="bottom"/>
            <w:hideMark/>
          </w:tcPr>
          <w:p w14:paraId="4F8A9BE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w:t>
            </w:r>
          </w:p>
        </w:tc>
        <w:tc>
          <w:tcPr>
            <w:tcW w:w="1463" w:type="dxa"/>
            <w:shd w:val="clear" w:color="auto" w:fill="FFFFFF" w:themeFill="background1"/>
            <w:noWrap/>
            <w:vAlign w:val="bottom"/>
            <w:hideMark/>
          </w:tcPr>
          <w:p w14:paraId="138B16D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47234.42</w:t>
            </w:r>
          </w:p>
        </w:tc>
        <w:tc>
          <w:tcPr>
            <w:tcW w:w="1577" w:type="dxa"/>
            <w:shd w:val="clear" w:color="auto" w:fill="FFFFFF" w:themeFill="background1"/>
            <w:noWrap/>
            <w:vAlign w:val="bottom"/>
            <w:hideMark/>
          </w:tcPr>
          <w:p w14:paraId="59F78D4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w:t>
            </w:r>
          </w:p>
        </w:tc>
        <w:tc>
          <w:tcPr>
            <w:tcW w:w="1483" w:type="dxa"/>
            <w:shd w:val="clear" w:color="auto" w:fill="FFFFFF" w:themeFill="background1"/>
            <w:noWrap/>
            <w:vAlign w:val="bottom"/>
            <w:hideMark/>
          </w:tcPr>
          <w:p w14:paraId="08F36A2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47234.42</w:t>
            </w:r>
          </w:p>
        </w:tc>
        <w:tc>
          <w:tcPr>
            <w:tcW w:w="1704" w:type="dxa"/>
            <w:shd w:val="clear" w:color="auto" w:fill="FFFFFF" w:themeFill="background1"/>
            <w:noWrap/>
            <w:vAlign w:val="bottom"/>
            <w:hideMark/>
          </w:tcPr>
          <w:p w14:paraId="7D3B5A9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216" w:type="dxa"/>
            <w:shd w:val="clear" w:color="auto" w:fill="FFFFFF" w:themeFill="background1"/>
            <w:noWrap/>
            <w:vAlign w:val="bottom"/>
            <w:hideMark/>
          </w:tcPr>
          <w:p w14:paraId="690E39B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5" w:type="dxa"/>
            <w:shd w:val="clear" w:color="auto" w:fill="FFFFFF" w:themeFill="background1"/>
            <w:noWrap/>
            <w:vAlign w:val="bottom"/>
            <w:hideMark/>
          </w:tcPr>
          <w:p w14:paraId="61C87DB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638CA33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255E298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286B205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13EC420F" w14:textId="77777777" w:rsidTr="00B27804">
        <w:trPr>
          <w:trHeight w:val="264"/>
        </w:trPr>
        <w:tc>
          <w:tcPr>
            <w:tcW w:w="1240" w:type="dxa"/>
            <w:shd w:val="clear" w:color="auto" w:fill="FFFFFF" w:themeFill="background1"/>
            <w:noWrap/>
            <w:vAlign w:val="bottom"/>
            <w:hideMark/>
          </w:tcPr>
          <w:p w14:paraId="233AD0BA" w14:textId="7F582194" w:rsidR="00A356B8" w:rsidRPr="00736448" w:rsidRDefault="0086017F" w:rsidP="00A356B8">
            <w:pPr>
              <w:spacing w:after="0" w:line="240" w:lineRule="auto"/>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ВСЕГО</w:t>
            </w:r>
          </w:p>
        </w:tc>
        <w:tc>
          <w:tcPr>
            <w:tcW w:w="1557" w:type="dxa"/>
            <w:shd w:val="clear" w:color="auto" w:fill="FFFFFF" w:themeFill="background1"/>
            <w:noWrap/>
            <w:vAlign w:val="bottom"/>
            <w:hideMark/>
          </w:tcPr>
          <w:p w14:paraId="22663063"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1076</w:t>
            </w:r>
          </w:p>
        </w:tc>
        <w:tc>
          <w:tcPr>
            <w:tcW w:w="1463" w:type="dxa"/>
            <w:shd w:val="clear" w:color="auto" w:fill="FFFFFF" w:themeFill="background1"/>
            <w:noWrap/>
            <w:vAlign w:val="bottom"/>
            <w:hideMark/>
          </w:tcPr>
          <w:p w14:paraId="455AFE03"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20491388.59</w:t>
            </w:r>
          </w:p>
        </w:tc>
        <w:tc>
          <w:tcPr>
            <w:tcW w:w="1577" w:type="dxa"/>
            <w:shd w:val="clear" w:color="auto" w:fill="FFFFFF" w:themeFill="background1"/>
            <w:noWrap/>
            <w:vAlign w:val="bottom"/>
            <w:hideMark/>
          </w:tcPr>
          <w:p w14:paraId="4ECF8DD5"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983</w:t>
            </w:r>
          </w:p>
        </w:tc>
        <w:tc>
          <w:tcPr>
            <w:tcW w:w="1483" w:type="dxa"/>
            <w:shd w:val="clear" w:color="auto" w:fill="FFFFFF" w:themeFill="background1"/>
            <w:noWrap/>
            <w:vAlign w:val="bottom"/>
            <w:hideMark/>
          </w:tcPr>
          <w:p w14:paraId="0B810EEE"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19274392.07</w:t>
            </w:r>
          </w:p>
        </w:tc>
        <w:tc>
          <w:tcPr>
            <w:tcW w:w="1704" w:type="dxa"/>
            <w:shd w:val="clear" w:color="auto" w:fill="FFFFFF" w:themeFill="background1"/>
            <w:noWrap/>
            <w:vAlign w:val="bottom"/>
            <w:hideMark/>
          </w:tcPr>
          <w:p w14:paraId="71267F2C"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79</w:t>
            </w:r>
          </w:p>
        </w:tc>
        <w:tc>
          <w:tcPr>
            <w:tcW w:w="1216" w:type="dxa"/>
            <w:shd w:val="clear" w:color="auto" w:fill="FFFFFF" w:themeFill="background1"/>
            <w:noWrap/>
            <w:vAlign w:val="bottom"/>
            <w:hideMark/>
          </w:tcPr>
          <w:p w14:paraId="6CE9BC75"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998136.3</w:t>
            </w:r>
          </w:p>
        </w:tc>
        <w:tc>
          <w:tcPr>
            <w:tcW w:w="1495" w:type="dxa"/>
            <w:shd w:val="clear" w:color="auto" w:fill="FFFFFF" w:themeFill="background1"/>
            <w:noWrap/>
            <w:vAlign w:val="bottom"/>
            <w:hideMark/>
          </w:tcPr>
          <w:p w14:paraId="5DEFCFE9"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14</w:t>
            </w:r>
          </w:p>
        </w:tc>
        <w:tc>
          <w:tcPr>
            <w:tcW w:w="1145" w:type="dxa"/>
            <w:shd w:val="clear" w:color="auto" w:fill="FFFFFF" w:themeFill="background1"/>
            <w:noWrap/>
            <w:vAlign w:val="bottom"/>
            <w:hideMark/>
          </w:tcPr>
          <w:p w14:paraId="5407FDC7"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218860.22</w:t>
            </w:r>
          </w:p>
        </w:tc>
        <w:tc>
          <w:tcPr>
            <w:tcW w:w="1749" w:type="dxa"/>
            <w:shd w:val="clear" w:color="auto" w:fill="FFFFFF" w:themeFill="background1"/>
            <w:noWrap/>
            <w:vAlign w:val="bottom"/>
            <w:hideMark/>
          </w:tcPr>
          <w:p w14:paraId="519F96DB"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23</w:t>
            </w:r>
          </w:p>
        </w:tc>
        <w:tc>
          <w:tcPr>
            <w:tcW w:w="1491" w:type="dxa"/>
            <w:shd w:val="clear" w:color="auto" w:fill="FFFFFF" w:themeFill="background1"/>
            <w:noWrap/>
            <w:vAlign w:val="bottom"/>
            <w:hideMark/>
          </w:tcPr>
          <w:p w14:paraId="726B280C"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1160937.21</w:t>
            </w:r>
          </w:p>
        </w:tc>
      </w:tr>
    </w:tbl>
    <w:p w14:paraId="69AEE9ED" w14:textId="77777777" w:rsidR="00A356B8" w:rsidRPr="00736448" w:rsidRDefault="00A356B8" w:rsidP="00A356B8">
      <w:pPr>
        <w:shd w:val="clear" w:color="auto" w:fill="FFFFFF"/>
        <w:spacing w:after="0" w:line="276" w:lineRule="auto"/>
        <w:jc w:val="right"/>
        <w:rPr>
          <w:rFonts w:asciiTheme="majorHAnsi" w:eastAsia="Times New Roman" w:hAnsiTheme="majorHAnsi" w:cstheme="majorHAnsi"/>
          <w:sz w:val="24"/>
          <w:szCs w:val="24"/>
          <w:lang w:val="ro-MD"/>
        </w:rPr>
      </w:pPr>
    </w:p>
    <w:p w14:paraId="75698F28" w14:textId="3FE9765A" w:rsidR="00C57ECC" w:rsidRPr="00736448" w:rsidRDefault="00336C93" w:rsidP="00DF67F0">
      <w:pPr>
        <w:pStyle w:val="3"/>
        <w:jc w:val="right"/>
        <w:rPr>
          <w:b/>
          <w:color w:val="000000" w:themeColor="text1"/>
          <w:lang w:val="ro-MD"/>
        </w:rPr>
      </w:pPr>
      <w:r>
        <w:rPr>
          <w:b/>
          <w:color w:val="000000" w:themeColor="text1"/>
          <w:lang w:val="ro-MD"/>
        </w:rPr>
        <w:t>Таблица №</w:t>
      </w:r>
      <w:r w:rsidR="00C57ECC" w:rsidRPr="00736448">
        <w:rPr>
          <w:b/>
          <w:color w:val="000000" w:themeColor="text1"/>
          <w:lang w:val="ro-MD"/>
        </w:rPr>
        <w:t>2</w:t>
      </w:r>
    </w:p>
    <w:p w14:paraId="0B740A01" w14:textId="59DED5BF" w:rsidR="00C57ECC" w:rsidRPr="00736448" w:rsidRDefault="00573460" w:rsidP="00C57ECC">
      <w:pPr>
        <w:spacing w:after="0" w:line="240" w:lineRule="auto"/>
        <w:jc w:val="center"/>
        <w:rPr>
          <w:rFonts w:asciiTheme="majorHAnsi" w:hAnsiTheme="majorHAnsi"/>
          <w:b/>
          <w:sz w:val="24"/>
          <w:szCs w:val="24"/>
          <w:lang w:val="ro-MD"/>
        </w:rPr>
      </w:pPr>
      <w:r w:rsidRPr="00573460">
        <w:rPr>
          <w:rFonts w:asciiTheme="majorHAnsi" w:hAnsiTheme="majorHAnsi"/>
          <w:b/>
          <w:sz w:val="24"/>
          <w:szCs w:val="24"/>
          <w:lang w:val="ro-MD"/>
        </w:rPr>
        <w:t>Информация о распределении пенсий на основе международных соглашений в 2021 году</w:t>
      </w:r>
    </w:p>
    <w:p w14:paraId="765116F1" w14:textId="77777777" w:rsidR="00A356B8" w:rsidRPr="00736448" w:rsidRDefault="00A356B8" w:rsidP="00A356B8">
      <w:pPr>
        <w:shd w:val="clear" w:color="auto" w:fill="FFFFFF"/>
        <w:spacing w:after="0" w:line="276" w:lineRule="auto"/>
        <w:jc w:val="right"/>
        <w:rPr>
          <w:rFonts w:asciiTheme="majorHAnsi" w:eastAsia="Times New Roman" w:hAnsiTheme="majorHAnsi" w:cstheme="majorHAnsi"/>
          <w:sz w:val="24"/>
          <w:szCs w:val="24"/>
          <w:lang w:val="ro-MD"/>
        </w:rPr>
      </w:pPr>
    </w:p>
    <w:tbl>
      <w:tblPr>
        <w:tblW w:w="1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27"/>
        <w:gridCol w:w="1609"/>
        <w:gridCol w:w="1411"/>
        <w:gridCol w:w="1577"/>
        <w:gridCol w:w="1483"/>
        <w:gridCol w:w="1576"/>
        <w:gridCol w:w="1344"/>
        <w:gridCol w:w="1541"/>
        <w:gridCol w:w="1099"/>
        <w:gridCol w:w="1749"/>
        <w:gridCol w:w="1491"/>
      </w:tblGrid>
      <w:tr w:rsidR="00A356B8" w:rsidRPr="00B7675F" w14:paraId="0842D837" w14:textId="77777777" w:rsidTr="00B27804">
        <w:trPr>
          <w:trHeight w:val="384"/>
        </w:trPr>
        <w:tc>
          <w:tcPr>
            <w:tcW w:w="1240" w:type="dxa"/>
            <w:shd w:val="clear" w:color="auto" w:fill="FFFFFF" w:themeFill="background1"/>
            <w:noWrap/>
            <w:vAlign w:val="bottom"/>
            <w:hideMark/>
          </w:tcPr>
          <w:p w14:paraId="1FEA0055"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 </w:t>
            </w:r>
          </w:p>
        </w:tc>
        <w:tc>
          <w:tcPr>
            <w:tcW w:w="3020" w:type="dxa"/>
            <w:gridSpan w:val="2"/>
            <w:shd w:val="clear" w:color="auto" w:fill="FFFFFF" w:themeFill="background1"/>
            <w:noWrap/>
            <w:vAlign w:val="center"/>
            <w:hideMark/>
          </w:tcPr>
          <w:p w14:paraId="6F1B7C31" w14:textId="19980C9F"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Всего</w:t>
            </w:r>
            <w:r w:rsidR="00A356B8" w:rsidRPr="00736448">
              <w:rPr>
                <w:rFonts w:asciiTheme="majorHAnsi" w:eastAsia="Times New Roman" w:hAnsiTheme="majorHAnsi" w:cstheme="majorHAnsi"/>
                <w:b/>
                <w:bCs/>
                <w:sz w:val="20"/>
                <w:szCs w:val="20"/>
                <w:lang w:val="ro-MD"/>
              </w:rPr>
              <w:t xml:space="preserve"> 2021</w:t>
            </w:r>
          </w:p>
        </w:tc>
        <w:tc>
          <w:tcPr>
            <w:tcW w:w="3060" w:type="dxa"/>
            <w:gridSpan w:val="2"/>
            <w:shd w:val="clear" w:color="auto" w:fill="FFFFFF" w:themeFill="background1"/>
            <w:noWrap/>
            <w:vAlign w:val="center"/>
            <w:hideMark/>
          </w:tcPr>
          <w:p w14:paraId="0C78504D" w14:textId="065A662C"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Пенсии по возрасту</w:t>
            </w:r>
          </w:p>
        </w:tc>
        <w:tc>
          <w:tcPr>
            <w:tcW w:w="2920" w:type="dxa"/>
            <w:gridSpan w:val="2"/>
            <w:shd w:val="clear" w:color="auto" w:fill="FFFFFF" w:themeFill="background1"/>
            <w:noWrap/>
            <w:vAlign w:val="center"/>
            <w:hideMark/>
          </w:tcPr>
          <w:p w14:paraId="7EAD4E0B" w14:textId="6FBAC8C8"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Пенсии по ограниченным возможностям</w:t>
            </w:r>
          </w:p>
        </w:tc>
        <w:tc>
          <w:tcPr>
            <w:tcW w:w="2640" w:type="dxa"/>
            <w:gridSpan w:val="2"/>
            <w:shd w:val="clear" w:color="auto" w:fill="FFFFFF" w:themeFill="background1"/>
            <w:noWrap/>
            <w:vAlign w:val="center"/>
            <w:hideMark/>
          </w:tcPr>
          <w:p w14:paraId="5998056A" w14:textId="3E50B869"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Пенсии по потере кормильца</w:t>
            </w:r>
          </w:p>
        </w:tc>
        <w:tc>
          <w:tcPr>
            <w:tcW w:w="3240" w:type="dxa"/>
            <w:gridSpan w:val="2"/>
            <w:shd w:val="clear" w:color="auto" w:fill="FFFFFF" w:themeFill="background1"/>
            <w:noWrap/>
            <w:vAlign w:val="center"/>
            <w:hideMark/>
          </w:tcPr>
          <w:p w14:paraId="38149271" w14:textId="6359BD9E"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Пенсии, перечисляемые в РМ</w:t>
            </w:r>
          </w:p>
        </w:tc>
      </w:tr>
      <w:tr w:rsidR="00A356B8" w:rsidRPr="00B7675F" w14:paraId="0E441B46" w14:textId="77777777" w:rsidTr="00B27804">
        <w:trPr>
          <w:trHeight w:val="276"/>
        </w:trPr>
        <w:tc>
          <w:tcPr>
            <w:tcW w:w="1240" w:type="dxa"/>
            <w:shd w:val="clear" w:color="auto" w:fill="FFFFFF" w:themeFill="background1"/>
            <w:noWrap/>
            <w:vAlign w:val="bottom"/>
            <w:hideMark/>
          </w:tcPr>
          <w:p w14:paraId="076D5D52" w14:textId="0EEE2394" w:rsidR="00A356B8" w:rsidRPr="00736448" w:rsidRDefault="0086017F" w:rsidP="00A356B8">
            <w:pPr>
              <w:spacing w:after="0" w:line="240" w:lineRule="auto"/>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СТРАНА</w:t>
            </w:r>
          </w:p>
        </w:tc>
        <w:tc>
          <w:tcPr>
            <w:tcW w:w="1609" w:type="dxa"/>
            <w:shd w:val="clear" w:color="auto" w:fill="FFFFFF" w:themeFill="background1"/>
            <w:noWrap/>
            <w:vAlign w:val="bottom"/>
            <w:hideMark/>
          </w:tcPr>
          <w:p w14:paraId="09A1D421" w14:textId="3DEEF3A4"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Кол-во бенефициаров</w:t>
            </w:r>
          </w:p>
        </w:tc>
        <w:tc>
          <w:tcPr>
            <w:tcW w:w="1411" w:type="dxa"/>
            <w:shd w:val="clear" w:color="auto" w:fill="FFFFFF" w:themeFill="background1"/>
            <w:noWrap/>
            <w:vAlign w:val="bottom"/>
            <w:hideMark/>
          </w:tcPr>
          <w:p w14:paraId="2053B874" w14:textId="23C25E69"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Сумма</w:t>
            </w:r>
            <w:r w:rsidR="00A356B8" w:rsidRPr="00736448">
              <w:rPr>
                <w:rFonts w:asciiTheme="majorHAnsi" w:eastAsia="Times New Roman" w:hAnsiTheme="majorHAnsi" w:cstheme="majorHAnsi"/>
                <w:b/>
                <w:bCs/>
                <w:sz w:val="20"/>
                <w:szCs w:val="20"/>
                <w:lang w:val="ro-MD"/>
              </w:rPr>
              <w:t xml:space="preserve">, </w:t>
            </w:r>
            <w:r w:rsidR="007459E2">
              <w:rPr>
                <w:rFonts w:asciiTheme="majorHAnsi" w:eastAsia="Times New Roman" w:hAnsiTheme="majorHAnsi" w:cstheme="majorHAnsi"/>
                <w:b/>
                <w:bCs/>
                <w:sz w:val="20"/>
                <w:szCs w:val="20"/>
                <w:lang w:val="ro-MD"/>
              </w:rPr>
              <w:t>леев</w:t>
            </w:r>
          </w:p>
        </w:tc>
        <w:tc>
          <w:tcPr>
            <w:tcW w:w="1577" w:type="dxa"/>
            <w:shd w:val="clear" w:color="auto" w:fill="FFFFFF" w:themeFill="background1"/>
            <w:noWrap/>
            <w:vAlign w:val="bottom"/>
            <w:hideMark/>
          </w:tcPr>
          <w:p w14:paraId="46D7F209" w14:textId="5FB58CA5"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Кол-во бенефициаров</w:t>
            </w:r>
          </w:p>
        </w:tc>
        <w:tc>
          <w:tcPr>
            <w:tcW w:w="1483" w:type="dxa"/>
            <w:shd w:val="clear" w:color="auto" w:fill="FFFFFF" w:themeFill="background1"/>
            <w:noWrap/>
            <w:vAlign w:val="bottom"/>
            <w:hideMark/>
          </w:tcPr>
          <w:p w14:paraId="656D3070" w14:textId="40E1D34D"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Сумма</w:t>
            </w:r>
            <w:r w:rsidR="00A356B8" w:rsidRPr="00736448">
              <w:rPr>
                <w:rFonts w:asciiTheme="majorHAnsi" w:eastAsia="Times New Roman" w:hAnsiTheme="majorHAnsi" w:cstheme="majorHAnsi"/>
                <w:b/>
                <w:bCs/>
                <w:sz w:val="20"/>
                <w:szCs w:val="20"/>
                <w:lang w:val="ro-MD"/>
              </w:rPr>
              <w:t xml:space="preserve">, </w:t>
            </w:r>
            <w:r w:rsidR="007459E2">
              <w:rPr>
                <w:rFonts w:asciiTheme="majorHAnsi" w:eastAsia="Times New Roman" w:hAnsiTheme="majorHAnsi" w:cstheme="majorHAnsi"/>
                <w:b/>
                <w:bCs/>
                <w:sz w:val="20"/>
                <w:szCs w:val="20"/>
                <w:lang w:val="ro-MD"/>
              </w:rPr>
              <w:t>леев</w:t>
            </w:r>
          </w:p>
        </w:tc>
        <w:tc>
          <w:tcPr>
            <w:tcW w:w="1576" w:type="dxa"/>
            <w:shd w:val="clear" w:color="auto" w:fill="FFFFFF" w:themeFill="background1"/>
            <w:noWrap/>
            <w:vAlign w:val="bottom"/>
            <w:hideMark/>
          </w:tcPr>
          <w:p w14:paraId="28E82B7B" w14:textId="7CAC2CA7"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Кол-во бенефициаров</w:t>
            </w:r>
          </w:p>
        </w:tc>
        <w:tc>
          <w:tcPr>
            <w:tcW w:w="1344" w:type="dxa"/>
            <w:shd w:val="clear" w:color="auto" w:fill="FFFFFF" w:themeFill="background1"/>
            <w:noWrap/>
            <w:vAlign w:val="bottom"/>
            <w:hideMark/>
          </w:tcPr>
          <w:p w14:paraId="6DD8CBA6" w14:textId="35B5A1A8"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Сумма</w:t>
            </w:r>
            <w:r w:rsidR="00A356B8" w:rsidRPr="00736448">
              <w:rPr>
                <w:rFonts w:asciiTheme="majorHAnsi" w:eastAsia="Times New Roman" w:hAnsiTheme="majorHAnsi" w:cstheme="majorHAnsi"/>
                <w:b/>
                <w:bCs/>
                <w:sz w:val="20"/>
                <w:szCs w:val="20"/>
                <w:lang w:val="ro-MD"/>
              </w:rPr>
              <w:t xml:space="preserve">, </w:t>
            </w:r>
            <w:r w:rsidR="007459E2">
              <w:rPr>
                <w:rFonts w:asciiTheme="majorHAnsi" w:eastAsia="Times New Roman" w:hAnsiTheme="majorHAnsi" w:cstheme="majorHAnsi"/>
                <w:b/>
                <w:bCs/>
                <w:sz w:val="20"/>
                <w:szCs w:val="20"/>
                <w:lang w:val="ro-MD"/>
              </w:rPr>
              <w:t>леев</w:t>
            </w:r>
          </w:p>
        </w:tc>
        <w:tc>
          <w:tcPr>
            <w:tcW w:w="1541" w:type="dxa"/>
            <w:shd w:val="clear" w:color="auto" w:fill="FFFFFF" w:themeFill="background1"/>
            <w:noWrap/>
            <w:vAlign w:val="bottom"/>
            <w:hideMark/>
          </w:tcPr>
          <w:p w14:paraId="31098176" w14:textId="432E6D69"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Кол-во бенефициаров</w:t>
            </w:r>
          </w:p>
        </w:tc>
        <w:tc>
          <w:tcPr>
            <w:tcW w:w="1099" w:type="dxa"/>
            <w:shd w:val="clear" w:color="auto" w:fill="FFFFFF" w:themeFill="background1"/>
            <w:noWrap/>
            <w:vAlign w:val="bottom"/>
            <w:hideMark/>
          </w:tcPr>
          <w:p w14:paraId="54B863E8" w14:textId="071ADCA1"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Сумма</w:t>
            </w:r>
            <w:r w:rsidR="00A356B8" w:rsidRPr="00736448">
              <w:rPr>
                <w:rFonts w:asciiTheme="majorHAnsi" w:eastAsia="Times New Roman" w:hAnsiTheme="majorHAnsi" w:cstheme="majorHAnsi"/>
                <w:b/>
                <w:bCs/>
                <w:sz w:val="20"/>
                <w:szCs w:val="20"/>
                <w:lang w:val="ro-MD"/>
              </w:rPr>
              <w:t xml:space="preserve">, </w:t>
            </w:r>
            <w:r w:rsidR="007459E2">
              <w:rPr>
                <w:rFonts w:asciiTheme="majorHAnsi" w:eastAsia="Times New Roman" w:hAnsiTheme="majorHAnsi" w:cstheme="majorHAnsi"/>
                <w:b/>
                <w:bCs/>
                <w:sz w:val="20"/>
                <w:szCs w:val="20"/>
                <w:lang w:val="ro-MD"/>
              </w:rPr>
              <w:t>леев</w:t>
            </w:r>
          </w:p>
        </w:tc>
        <w:tc>
          <w:tcPr>
            <w:tcW w:w="1749" w:type="dxa"/>
            <w:shd w:val="clear" w:color="auto" w:fill="FFFFFF" w:themeFill="background1"/>
            <w:noWrap/>
            <w:vAlign w:val="bottom"/>
            <w:hideMark/>
          </w:tcPr>
          <w:p w14:paraId="40DDA588" w14:textId="71DB7FEE"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Кол-во бенефициаров</w:t>
            </w:r>
          </w:p>
        </w:tc>
        <w:tc>
          <w:tcPr>
            <w:tcW w:w="1491" w:type="dxa"/>
            <w:shd w:val="clear" w:color="auto" w:fill="FFFFFF" w:themeFill="background1"/>
            <w:noWrap/>
            <w:vAlign w:val="bottom"/>
            <w:hideMark/>
          </w:tcPr>
          <w:p w14:paraId="12241B9D" w14:textId="15167008"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Сумма</w:t>
            </w:r>
            <w:r w:rsidR="00A356B8" w:rsidRPr="00736448">
              <w:rPr>
                <w:rFonts w:asciiTheme="majorHAnsi" w:eastAsia="Times New Roman" w:hAnsiTheme="majorHAnsi" w:cstheme="majorHAnsi"/>
                <w:b/>
                <w:bCs/>
                <w:sz w:val="20"/>
                <w:szCs w:val="20"/>
                <w:lang w:val="ro-MD"/>
              </w:rPr>
              <w:t xml:space="preserve">, </w:t>
            </w:r>
            <w:r w:rsidR="007459E2">
              <w:rPr>
                <w:rFonts w:asciiTheme="majorHAnsi" w:eastAsia="Times New Roman" w:hAnsiTheme="majorHAnsi" w:cstheme="majorHAnsi"/>
                <w:b/>
                <w:bCs/>
                <w:sz w:val="20"/>
                <w:szCs w:val="20"/>
                <w:lang w:val="ro-MD"/>
              </w:rPr>
              <w:t>леев</w:t>
            </w:r>
          </w:p>
        </w:tc>
      </w:tr>
      <w:tr w:rsidR="00A356B8" w:rsidRPr="00B7675F" w14:paraId="0258FC7B" w14:textId="77777777" w:rsidTr="00B27804">
        <w:trPr>
          <w:trHeight w:val="264"/>
        </w:trPr>
        <w:tc>
          <w:tcPr>
            <w:tcW w:w="1240" w:type="dxa"/>
            <w:shd w:val="clear" w:color="auto" w:fill="FFFFFF" w:themeFill="background1"/>
            <w:noWrap/>
            <w:vAlign w:val="bottom"/>
            <w:hideMark/>
          </w:tcPr>
          <w:p w14:paraId="65D6F99C" w14:textId="76DAA12F"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АВСТРИЯ</w:t>
            </w:r>
          </w:p>
        </w:tc>
        <w:tc>
          <w:tcPr>
            <w:tcW w:w="1609" w:type="dxa"/>
            <w:shd w:val="clear" w:color="auto" w:fill="FFFFFF" w:themeFill="background1"/>
            <w:noWrap/>
            <w:vAlign w:val="bottom"/>
            <w:hideMark/>
          </w:tcPr>
          <w:p w14:paraId="0332C3D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46</w:t>
            </w:r>
          </w:p>
        </w:tc>
        <w:tc>
          <w:tcPr>
            <w:tcW w:w="1411" w:type="dxa"/>
            <w:shd w:val="clear" w:color="auto" w:fill="FFFFFF" w:themeFill="background1"/>
            <w:noWrap/>
            <w:vAlign w:val="bottom"/>
            <w:hideMark/>
          </w:tcPr>
          <w:p w14:paraId="4D8F033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731785.59</w:t>
            </w:r>
          </w:p>
        </w:tc>
        <w:tc>
          <w:tcPr>
            <w:tcW w:w="1577" w:type="dxa"/>
            <w:shd w:val="clear" w:color="auto" w:fill="FFFFFF" w:themeFill="background1"/>
            <w:noWrap/>
            <w:vAlign w:val="bottom"/>
            <w:hideMark/>
          </w:tcPr>
          <w:p w14:paraId="027B2A1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43</w:t>
            </w:r>
          </w:p>
        </w:tc>
        <w:tc>
          <w:tcPr>
            <w:tcW w:w="1483" w:type="dxa"/>
            <w:shd w:val="clear" w:color="auto" w:fill="FFFFFF" w:themeFill="background1"/>
            <w:noWrap/>
            <w:vAlign w:val="bottom"/>
            <w:hideMark/>
          </w:tcPr>
          <w:p w14:paraId="4A0AFF1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697182.13</w:t>
            </w:r>
          </w:p>
        </w:tc>
        <w:tc>
          <w:tcPr>
            <w:tcW w:w="1576" w:type="dxa"/>
            <w:shd w:val="clear" w:color="auto" w:fill="FFFFFF" w:themeFill="background1"/>
            <w:noWrap/>
            <w:vAlign w:val="bottom"/>
            <w:hideMark/>
          </w:tcPr>
          <w:p w14:paraId="22E9C2F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w:t>
            </w:r>
          </w:p>
        </w:tc>
        <w:tc>
          <w:tcPr>
            <w:tcW w:w="1344" w:type="dxa"/>
            <w:shd w:val="clear" w:color="auto" w:fill="FFFFFF" w:themeFill="background1"/>
            <w:noWrap/>
            <w:vAlign w:val="bottom"/>
            <w:hideMark/>
          </w:tcPr>
          <w:p w14:paraId="7CE88C5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34603.46</w:t>
            </w:r>
          </w:p>
        </w:tc>
        <w:tc>
          <w:tcPr>
            <w:tcW w:w="1541" w:type="dxa"/>
            <w:shd w:val="clear" w:color="auto" w:fill="FFFFFF" w:themeFill="background1"/>
            <w:noWrap/>
            <w:vAlign w:val="bottom"/>
            <w:hideMark/>
          </w:tcPr>
          <w:p w14:paraId="005DAC7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099" w:type="dxa"/>
            <w:shd w:val="clear" w:color="auto" w:fill="FFFFFF" w:themeFill="background1"/>
            <w:noWrap/>
            <w:vAlign w:val="bottom"/>
            <w:hideMark/>
          </w:tcPr>
          <w:p w14:paraId="24AD512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28101B4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0CF3DC5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7B73109C" w14:textId="77777777" w:rsidTr="00B27804">
        <w:trPr>
          <w:trHeight w:val="264"/>
        </w:trPr>
        <w:tc>
          <w:tcPr>
            <w:tcW w:w="1240" w:type="dxa"/>
            <w:shd w:val="clear" w:color="auto" w:fill="FFFFFF" w:themeFill="background1"/>
            <w:noWrap/>
            <w:vAlign w:val="bottom"/>
            <w:hideMark/>
          </w:tcPr>
          <w:p w14:paraId="2ADAAC5D"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BELARUS</w:t>
            </w:r>
          </w:p>
        </w:tc>
        <w:tc>
          <w:tcPr>
            <w:tcW w:w="1609" w:type="dxa"/>
            <w:shd w:val="clear" w:color="auto" w:fill="FFFFFF" w:themeFill="background1"/>
            <w:noWrap/>
            <w:vAlign w:val="bottom"/>
            <w:hideMark/>
          </w:tcPr>
          <w:p w14:paraId="22132FA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31</w:t>
            </w:r>
          </w:p>
        </w:tc>
        <w:tc>
          <w:tcPr>
            <w:tcW w:w="1411" w:type="dxa"/>
            <w:shd w:val="clear" w:color="auto" w:fill="FFFFFF" w:themeFill="background1"/>
            <w:noWrap/>
            <w:vAlign w:val="bottom"/>
            <w:hideMark/>
          </w:tcPr>
          <w:p w14:paraId="5518B9B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343558.5</w:t>
            </w:r>
          </w:p>
        </w:tc>
        <w:tc>
          <w:tcPr>
            <w:tcW w:w="1577" w:type="dxa"/>
            <w:shd w:val="clear" w:color="auto" w:fill="FFFFFF" w:themeFill="background1"/>
            <w:noWrap/>
            <w:vAlign w:val="bottom"/>
            <w:hideMark/>
          </w:tcPr>
          <w:p w14:paraId="30989DD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30</w:t>
            </w:r>
          </w:p>
        </w:tc>
        <w:tc>
          <w:tcPr>
            <w:tcW w:w="1483" w:type="dxa"/>
            <w:shd w:val="clear" w:color="auto" w:fill="FFFFFF" w:themeFill="background1"/>
            <w:noWrap/>
            <w:vAlign w:val="bottom"/>
            <w:hideMark/>
          </w:tcPr>
          <w:p w14:paraId="69EBC8B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332080.56</w:t>
            </w:r>
          </w:p>
        </w:tc>
        <w:tc>
          <w:tcPr>
            <w:tcW w:w="1576" w:type="dxa"/>
            <w:shd w:val="clear" w:color="auto" w:fill="FFFFFF" w:themeFill="background1"/>
            <w:noWrap/>
            <w:vAlign w:val="bottom"/>
            <w:hideMark/>
          </w:tcPr>
          <w:p w14:paraId="1581357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344" w:type="dxa"/>
            <w:shd w:val="clear" w:color="auto" w:fill="FFFFFF" w:themeFill="background1"/>
            <w:noWrap/>
            <w:vAlign w:val="bottom"/>
            <w:hideMark/>
          </w:tcPr>
          <w:p w14:paraId="18EC9CD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541" w:type="dxa"/>
            <w:shd w:val="clear" w:color="auto" w:fill="FFFFFF" w:themeFill="background1"/>
            <w:noWrap/>
            <w:vAlign w:val="bottom"/>
            <w:hideMark/>
          </w:tcPr>
          <w:p w14:paraId="484923E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099" w:type="dxa"/>
            <w:shd w:val="clear" w:color="auto" w:fill="FFFFFF" w:themeFill="background1"/>
            <w:noWrap/>
            <w:vAlign w:val="bottom"/>
            <w:hideMark/>
          </w:tcPr>
          <w:p w14:paraId="38F2C87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11477.94</w:t>
            </w:r>
          </w:p>
        </w:tc>
        <w:tc>
          <w:tcPr>
            <w:tcW w:w="1749" w:type="dxa"/>
            <w:shd w:val="clear" w:color="auto" w:fill="FFFFFF" w:themeFill="background1"/>
            <w:noWrap/>
            <w:vAlign w:val="bottom"/>
            <w:hideMark/>
          </w:tcPr>
          <w:p w14:paraId="5501EAA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w:t>
            </w:r>
          </w:p>
        </w:tc>
        <w:tc>
          <w:tcPr>
            <w:tcW w:w="1491" w:type="dxa"/>
            <w:shd w:val="clear" w:color="auto" w:fill="FFFFFF" w:themeFill="background1"/>
            <w:noWrap/>
            <w:vAlign w:val="bottom"/>
            <w:hideMark/>
          </w:tcPr>
          <w:p w14:paraId="4594E07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67758.89</w:t>
            </w:r>
          </w:p>
        </w:tc>
      </w:tr>
      <w:tr w:rsidR="00A356B8" w:rsidRPr="00B7675F" w14:paraId="7F58667D" w14:textId="77777777" w:rsidTr="00B27804">
        <w:trPr>
          <w:trHeight w:val="264"/>
        </w:trPr>
        <w:tc>
          <w:tcPr>
            <w:tcW w:w="1240" w:type="dxa"/>
            <w:shd w:val="clear" w:color="auto" w:fill="FFFFFF" w:themeFill="background1"/>
            <w:noWrap/>
            <w:vAlign w:val="bottom"/>
            <w:hideMark/>
          </w:tcPr>
          <w:p w14:paraId="08512E68" w14:textId="0DF40EDD"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БЕЛЬГИЯ</w:t>
            </w:r>
          </w:p>
        </w:tc>
        <w:tc>
          <w:tcPr>
            <w:tcW w:w="1609" w:type="dxa"/>
            <w:shd w:val="clear" w:color="auto" w:fill="FFFFFF" w:themeFill="background1"/>
            <w:noWrap/>
            <w:vAlign w:val="bottom"/>
            <w:hideMark/>
          </w:tcPr>
          <w:p w14:paraId="2D6DF77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w:t>
            </w:r>
          </w:p>
        </w:tc>
        <w:tc>
          <w:tcPr>
            <w:tcW w:w="1411" w:type="dxa"/>
            <w:shd w:val="clear" w:color="auto" w:fill="FFFFFF" w:themeFill="background1"/>
            <w:noWrap/>
            <w:vAlign w:val="bottom"/>
            <w:hideMark/>
          </w:tcPr>
          <w:p w14:paraId="6EBB661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17385.28</w:t>
            </w:r>
          </w:p>
        </w:tc>
        <w:tc>
          <w:tcPr>
            <w:tcW w:w="1577" w:type="dxa"/>
            <w:shd w:val="clear" w:color="auto" w:fill="FFFFFF" w:themeFill="background1"/>
            <w:noWrap/>
            <w:vAlign w:val="bottom"/>
            <w:hideMark/>
          </w:tcPr>
          <w:p w14:paraId="2648AD1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w:t>
            </w:r>
          </w:p>
        </w:tc>
        <w:tc>
          <w:tcPr>
            <w:tcW w:w="1483" w:type="dxa"/>
            <w:shd w:val="clear" w:color="auto" w:fill="FFFFFF" w:themeFill="background1"/>
            <w:noWrap/>
            <w:vAlign w:val="bottom"/>
            <w:hideMark/>
          </w:tcPr>
          <w:p w14:paraId="4D2432E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17385.28</w:t>
            </w:r>
          </w:p>
        </w:tc>
        <w:tc>
          <w:tcPr>
            <w:tcW w:w="1576" w:type="dxa"/>
            <w:shd w:val="clear" w:color="auto" w:fill="FFFFFF" w:themeFill="background1"/>
            <w:noWrap/>
            <w:vAlign w:val="bottom"/>
            <w:hideMark/>
          </w:tcPr>
          <w:p w14:paraId="00C0A31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344" w:type="dxa"/>
            <w:shd w:val="clear" w:color="auto" w:fill="FFFFFF" w:themeFill="background1"/>
            <w:noWrap/>
            <w:vAlign w:val="bottom"/>
            <w:hideMark/>
          </w:tcPr>
          <w:p w14:paraId="793CF8B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541" w:type="dxa"/>
            <w:shd w:val="clear" w:color="auto" w:fill="FFFFFF" w:themeFill="background1"/>
            <w:noWrap/>
            <w:vAlign w:val="bottom"/>
            <w:hideMark/>
          </w:tcPr>
          <w:p w14:paraId="331ED5D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099" w:type="dxa"/>
            <w:shd w:val="clear" w:color="auto" w:fill="FFFFFF" w:themeFill="background1"/>
            <w:noWrap/>
            <w:vAlign w:val="bottom"/>
            <w:hideMark/>
          </w:tcPr>
          <w:p w14:paraId="40FE1EB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6FED90F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07DE89C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144386B2" w14:textId="77777777" w:rsidTr="00B27804">
        <w:trPr>
          <w:trHeight w:val="264"/>
        </w:trPr>
        <w:tc>
          <w:tcPr>
            <w:tcW w:w="1240" w:type="dxa"/>
            <w:shd w:val="clear" w:color="auto" w:fill="FFFFFF" w:themeFill="background1"/>
            <w:noWrap/>
            <w:vAlign w:val="bottom"/>
            <w:hideMark/>
          </w:tcPr>
          <w:p w14:paraId="7D60C962" w14:textId="4EA42B45"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БОЛГАРИЯ</w:t>
            </w:r>
          </w:p>
        </w:tc>
        <w:tc>
          <w:tcPr>
            <w:tcW w:w="1609" w:type="dxa"/>
            <w:shd w:val="clear" w:color="auto" w:fill="FFFFFF" w:themeFill="background1"/>
            <w:noWrap/>
            <w:vAlign w:val="bottom"/>
            <w:hideMark/>
          </w:tcPr>
          <w:p w14:paraId="051ABE1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151</w:t>
            </w:r>
          </w:p>
        </w:tc>
        <w:tc>
          <w:tcPr>
            <w:tcW w:w="1411" w:type="dxa"/>
            <w:shd w:val="clear" w:color="auto" w:fill="FFFFFF" w:themeFill="background1"/>
            <w:noWrap/>
            <w:vAlign w:val="bottom"/>
            <w:hideMark/>
          </w:tcPr>
          <w:p w14:paraId="6DFB848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1896499.22</w:t>
            </w:r>
          </w:p>
        </w:tc>
        <w:tc>
          <w:tcPr>
            <w:tcW w:w="1577" w:type="dxa"/>
            <w:shd w:val="clear" w:color="auto" w:fill="FFFFFF" w:themeFill="background1"/>
            <w:noWrap/>
            <w:vAlign w:val="bottom"/>
            <w:hideMark/>
          </w:tcPr>
          <w:p w14:paraId="6518C2E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132</w:t>
            </w:r>
          </w:p>
        </w:tc>
        <w:tc>
          <w:tcPr>
            <w:tcW w:w="1483" w:type="dxa"/>
            <w:shd w:val="clear" w:color="auto" w:fill="FFFFFF" w:themeFill="background1"/>
            <w:noWrap/>
            <w:vAlign w:val="bottom"/>
            <w:hideMark/>
          </w:tcPr>
          <w:p w14:paraId="01FAF6D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1727145.9</w:t>
            </w:r>
          </w:p>
        </w:tc>
        <w:tc>
          <w:tcPr>
            <w:tcW w:w="1576" w:type="dxa"/>
            <w:shd w:val="clear" w:color="auto" w:fill="FFFFFF" w:themeFill="background1"/>
            <w:noWrap/>
            <w:vAlign w:val="bottom"/>
            <w:hideMark/>
          </w:tcPr>
          <w:p w14:paraId="13DB2E9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13</w:t>
            </w:r>
          </w:p>
        </w:tc>
        <w:tc>
          <w:tcPr>
            <w:tcW w:w="1344" w:type="dxa"/>
            <w:shd w:val="clear" w:color="auto" w:fill="FFFFFF" w:themeFill="background1"/>
            <w:noWrap/>
            <w:vAlign w:val="bottom"/>
            <w:hideMark/>
          </w:tcPr>
          <w:p w14:paraId="5A96B34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100243.98</w:t>
            </w:r>
          </w:p>
        </w:tc>
        <w:tc>
          <w:tcPr>
            <w:tcW w:w="1541" w:type="dxa"/>
            <w:shd w:val="clear" w:color="auto" w:fill="FFFFFF" w:themeFill="background1"/>
            <w:noWrap/>
            <w:vAlign w:val="bottom"/>
            <w:hideMark/>
          </w:tcPr>
          <w:p w14:paraId="62681DD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w:t>
            </w:r>
          </w:p>
        </w:tc>
        <w:tc>
          <w:tcPr>
            <w:tcW w:w="1099" w:type="dxa"/>
            <w:shd w:val="clear" w:color="auto" w:fill="FFFFFF" w:themeFill="background1"/>
            <w:noWrap/>
            <w:vAlign w:val="bottom"/>
            <w:hideMark/>
          </w:tcPr>
          <w:p w14:paraId="4F4D3DF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69109.34</w:t>
            </w:r>
          </w:p>
        </w:tc>
        <w:tc>
          <w:tcPr>
            <w:tcW w:w="1749" w:type="dxa"/>
            <w:shd w:val="clear" w:color="auto" w:fill="FFFFFF" w:themeFill="background1"/>
            <w:noWrap/>
            <w:vAlign w:val="bottom"/>
            <w:hideMark/>
          </w:tcPr>
          <w:p w14:paraId="614EC81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7</w:t>
            </w:r>
          </w:p>
        </w:tc>
        <w:tc>
          <w:tcPr>
            <w:tcW w:w="1491" w:type="dxa"/>
            <w:shd w:val="clear" w:color="auto" w:fill="FFFFFF" w:themeFill="background1"/>
            <w:noWrap/>
            <w:vAlign w:val="bottom"/>
            <w:hideMark/>
          </w:tcPr>
          <w:p w14:paraId="265E8C9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311863.61</w:t>
            </w:r>
          </w:p>
        </w:tc>
      </w:tr>
      <w:tr w:rsidR="00A356B8" w:rsidRPr="00B7675F" w14:paraId="58B9BBE4" w14:textId="77777777" w:rsidTr="00B27804">
        <w:trPr>
          <w:trHeight w:val="264"/>
        </w:trPr>
        <w:tc>
          <w:tcPr>
            <w:tcW w:w="1240" w:type="dxa"/>
            <w:shd w:val="clear" w:color="auto" w:fill="FFFFFF" w:themeFill="background1"/>
            <w:noWrap/>
            <w:vAlign w:val="bottom"/>
            <w:hideMark/>
          </w:tcPr>
          <w:p w14:paraId="7D932357" w14:textId="7F4274B3"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ЧЕХИЯ</w:t>
            </w:r>
          </w:p>
        </w:tc>
        <w:tc>
          <w:tcPr>
            <w:tcW w:w="1609" w:type="dxa"/>
            <w:shd w:val="clear" w:color="auto" w:fill="FFFFFF" w:themeFill="background1"/>
            <w:noWrap/>
            <w:vAlign w:val="bottom"/>
            <w:hideMark/>
          </w:tcPr>
          <w:p w14:paraId="10BFC82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84</w:t>
            </w:r>
          </w:p>
        </w:tc>
        <w:tc>
          <w:tcPr>
            <w:tcW w:w="1411" w:type="dxa"/>
            <w:shd w:val="clear" w:color="auto" w:fill="FFFFFF" w:themeFill="background1"/>
            <w:noWrap/>
            <w:vAlign w:val="bottom"/>
            <w:hideMark/>
          </w:tcPr>
          <w:p w14:paraId="286E4A4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1104764.18</w:t>
            </w:r>
          </w:p>
        </w:tc>
        <w:tc>
          <w:tcPr>
            <w:tcW w:w="1577" w:type="dxa"/>
            <w:shd w:val="clear" w:color="auto" w:fill="FFFFFF" w:themeFill="background1"/>
            <w:noWrap/>
            <w:vAlign w:val="bottom"/>
            <w:hideMark/>
          </w:tcPr>
          <w:p w14:paraId="2A242B8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65</w:t>
            </w:r>
          </w:p>
        </w:tc>
        <w:tc>
          <w:tcPr>
            <w:tcW w:w="1483" w:type="dxa"/>
            <w:shd w:val="clear" w:color="auto" w:fill="FFFFFF" w:themeFill="background1"/>
            <w:noWrap/>
            <w:vAlign w:val="bottom"/>
            <w:hideMark/>
          </w:tcPr>
          <w:p w14:paraId="48A7D56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951364.85</w:t>
            </w:r>
          </w:p>
        </w:tc>
        <w:tc>
          <w:tcPr>
            <w:tcW w:w="1576" w:type="dxa"/>
            <w:shd w:val="clear" w:color="auto" w:fill="FFFFFF" w:themeFill="background1"/>
            <w:noWrap/>
            <w:vAlign w:val="bottom"/>
            <w:hideMark/>
          </w:tcPr>
          <w:p w14:paraId="69B2C30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18</w:t>
            </w:r>
          </w:p>
        </w:tc>
        <w:tc>
          <w:tcPr>
            <w:tcW w:w="1344" w:type="dxa"/>
            <w:shd w:val="clear" w:color="auto" w:fill="FFFFFF" w:themeFill="background1"/>
            <w:noWrap/>
            <w:vAlign w:val="bottom"/>
            <w:hideMark/>
          </w:tcPr>
          <w:p w14:paraId="09F1ECD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139027.08</w:t>
            </w:r>
          </w:p>
        </w:tc>
        <w:tc>
          <w:tcPr>
            <w:tcW w:w="1541" w:type="dxa"/>
            <w:shd w:val="clear" w:color="auto" w:fill="FFFFFF" w:themeFill="background1"/>
            <w:noWrap/>
            <w:vAlign w:val="bottom"/>
            <w:hideMark/>
          </w:tcPr>
          <w:p w14:paraId="2117DE8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099" w:type="dxa"/>
            <w:shd w:val="clear" w:color="auto" w:fill="FFFFFF" w:themeFill="background1"/>
            <w:noWrap/>
            <w:vAlign w:val="bottom"/>
            <w:hideMark/>
          </w:tcPr>
          <w:p w14:paraId="2BBFD20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14372.25</w:t>
            </w:r>
          </w:p>
        </w:tc>
        <w:tc>
          <w:tcPr>
            <w:tcW w:w="1749" w:type="dxa"/>
            <w:shd w:val="clear" w:color="auto" w:fill="FFFFFF" w:themeFill="background1"/>
            <w:noWrap/>
            <w:vAlign w:val="bottom"/>
            <w:hideMark/>
          </w:tcPr>
          <w:p w14:paraId="78E853B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03E08E2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4F675957" w14:textId="77777777" w:rsidTr="00B27804">
        <w:trPr>
          <w:trHeight w:val="264"/>
        </w:trPr>
        <w:tc>
          <w:tcPr>
            <w:tcW w:w="1240" w:type="dxa"/>
            <w:shd w:val="clear" w:color="auto" w:fill="FFFFFF" w:themeFill="background1"/>
            <w:noWrap/>
            <w:vAlign w:val="bottom"/>
            <w:hideMark/>
          </w:tcPr>
          <w:p w14:paraId="6869F83C" w14:textId="7CAACDBD"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ЭСТОНИЯ</w:t>
            </w:r>
          </w:p>
        </w:tc>
        <w:tc>
          <w:tcPr>
            <w:tcW w:w="1609" w:type="dxa"/>
            <w:shd w:val="clear" w:color="auto" w:fill="FFFFFF" w:themeFill="background1"/>
            <w:noWrap/>
            <w:vAlign w:val="bottom"/>
            <w:hideMark/>
          </w:tcPr>
          <w:p w14:paraId="446510E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9</w:t>
            </w:r>
          </w:p>
        </w:tc>
        <w:tc>
          <w:tcPr>
            <w:tcW w:w="1411" w:type="dxa"/>
            <w:shd w:val="clear" w:color="auto" w:fill="FFFFFF" w:themeFill="background1"/>
            <w:noWrap/>
            <w:vAlign w:val="bottom"/>
            <w:hideMark/>
          </w:tcPr>
          <w:p w14:paraId="7446587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126307.54</w:t>
            </w:r>
          </w:p>
        </w:tc>
        <w:tc>
          <w:tcPr>
            <w:tcW w:w="1577" w:type="dxa"/>
            <w:shd w:val="clear" w:color="auto" w:fill="FFFFFF" w:themeFill="background1"/>
            <w:noWrap/>
            <w:vAlign w:val="bottom"/>
            <w:hideMark/>
          </w:tcPr>
          <w:p w14:paraId="49BCB24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9</w:t>
            </w:r>
          </w:p>
        </w:tc>
        <w:tc>
          <w:tcPr>
            <w:tcW w:w="1483" w:type="dxa"/>
            <w:shd w:val="clear" w:color="auto" w:fill="FFFFFF" w:themeFill="background1"/>
            <w:noWrap/>
            <w:vAlign w:val="bottom"/>
            <w:hideMark/>
          </w:tcPr>
          <w:p w14:paraId="67115BE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126307.54</w:t>
            </w:r>
          </w:p>
        </w:tc>
        <w:tc>
          <w:tcPr>
            <w:tcW w:w="1576" w:type="dxa"/>
            <w:shd w:val="clear" w:color="auto" w:fill="FFFFFF" w:themeFill="background1"/>
            <w:noWrap/>
            <w:vAlign w:val="bottom"/>
            <w:hideMark/>
          </w:tcPr>
          <w:p w14:paraId="1FFEEF7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344" w:type="dxa"/>
            <w:shd w:val="clear" w:color="auto" w:fill="FFFFFF" w:themeFill="background1"/>
            <w:noWrap/>
            <w:vAlign w:val="bottom"/>
            <w:hideMark/>
          </w:tcPr>
          <w:p w14:paraId="1235F74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541" w:type="dxa"/>
            <w:shd w:val="clear" w:color="auto" w:fill="FFFFFF" w:themeFill="background1"/>
            <w:noWrap/>
            <w:vAlign w:val="bottom"/>
            <w:hideMark/>
          </w:tcPr>
          <w:p w14:paraId="3B5B73F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099" w:type="dxa"/>
            <w:shd w:val="clear" w:color="auto" w:fill="FFFFFF" w:themeFill="background1"/>
            <w:noWrap/>
            <w:vAlign w:val="bottom"/>
            <w:hideMark/>
          </w:tcPr>
          <w:p w14:paraId="3E7BE40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31E6D31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10</w:t>
            </w:r>
          </w:p>
        </w:tc>
        <w:tc>
          <w:tcPr>
            <w:tcW w:w="1491" w:type="dxa"/>
            <w:shd w:val="clear" w:color="auto" w:fill="FFFFFF" w:themeFill="background1"/>
            <w:noWrap/>
            <w:vAlign w:val="bottom"/>
            <w:hideMark/>
          </w:tcPr>
          <w:p w14:paraId="7F3C828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881309</w:t>
            </w:r>
          </w:p>
        </w:tc>
      </w:tr>
      <w:tr w:rsidR="00A356B8" w:rsidRPr="00B7675F" w14:paraId="13EA47AD" w14:textId="77777777" w:rsidTr="00B27804">
        <w:trPr>
          <w:trHeight w:val="264"/>
        </w:trPr>
        <w:tc>
          <w:tcPr>
            <w:tcW w:w="1240" w:type="dxa"/>
            <w:shd w:val="clear" w:color="auto" w:fill="FFFFFF" w:themeFill="background1"/>
            <w:noWrap/>
            <w:vAlign w:val="bottom"/>
            <w:hideMark/>
          </w:tcPr>
          <w:p w14:paraId="4ADB4DB9" w14:textId="53851E96"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ГЕРМАНИЯ</w:t>
            </w:r>
          </w:p>
        </w:tc>
        <w:tc>
          <w:tcPr>
            <w:tcW w:w="1609" w:type="dxa"/>
            <w:shd w:val="clear" w:color="auto" w:fill="FFFFFF" w:themeFill="background1"/>
            <w:noWrap/>
            <w:vAlign w:val="bottom"/>
            <w:hideMark/>
          </w:tcPr>
          <w:p w14:paraId="5A419A5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585</w:t>
            </w:r>
          </w:p>
        </w:tc>
        <w:tc>
          <w:tcPr>
            <w:tcW w:w="1411" w:type="dxa"/>
            <w:shd w:val="clear" w:color="auto" w:fill="FFFFFF" w:themeFill="background1"/>
            <w:noWrap/>
            <w:vAlign w:val="bottom"/>
            <w:hideMark/>
          </w:tcPr>
          <w:p w14:paraId="21CB815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12232570.36</w:t>
            </w:r>
          </w:p>
        </w:tc>
        <w:tc>
          <w:tcPr>
            <w:tcW w:w="1577" w:type="dxa"/>
            <w:shd w:val="clear" w:color="auto" w:fill="FFFFFF" w:themeFill="background1"/>
            <w:noWrap/>
            <w:vAlign w:val="bottom"/>
            <w:hideMark/>
          </w:tcPr>
          <w:p w14:paraId="172D5F6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555</w:t>
            </w:r>
          </w:p>
        </w:tc>
        <w:tc>
          <w:tcPr>
            <w:tcW w:w="1483" w:type="dxa"/>
            <w:shd w:val="clear" w:color="auto" w:fill="FFFFFF" w:themeFill="background1"/>
            <w:noWrap/>
            <w:vAlign w:val="bottom"/>
            <w:hideMark/>
          </w:tcPr>
          <w:p w14:paraId="42B22E9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11660317.88</w:t>
            </w:r>
          </w:p>
        </w:tc>
        <w:tc>
          <w:tcPr>
            <w:tcW w:w="1576" w:type="dxa"/>
            <w:shd w:val="clear" w:color="auto" w:fill="FFFFFF" w:themeFill="background1"/>
            <w:noWrap/>
            <w:vAlign w:val="bottom"/>
            <w:hideMark/>
          </w:tcPr>
          <w:p w14:paraId="48B127F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17</w:t>
            </w:r>
          </w:p>
        </w:tc>
        <w:tc>
          <w:tcPr>
            <w:tcW w:w="1344" w:type="dxa"/>
            <w:shd w:val="clear" w:color="auto" w:fill="FFFFFF" w:themeFill="background1"/>
            <w:noWrap/>
            <w:vAlign w:val="bottom"/>
            <w:hideMark/>
          </w:tcPr>
          <w:p w14:paraId="4F57573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212414.45</w:t>
            </w:r>
          </w:p>
        </w:tc>
        <w:tc>
          <w:tcPr>
            <w:tcW w:w="1541" w:type="dxa"/>
            <w:shd w:val="clear" w:color="auto" w:fill="FFFFFF" w:themeFill="background1"/>
            <w:noWrap/>
            <w:vAlign w:val="bottom"/>
            <w:hideMark/>
          </w:tcPr>
          <w:p w14:paraId="64BAD2E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13</w:t>
            </w:r>
          </w:p>
        </w:tc>
        <w:tc>
          <w:tcPr>
            <w:tcW w:w="1099" w:type="dxa"/>
            <w:shd w:val="clear" w:color="auto" w:fill="FFFFFF" w:themeFill="background1"/>
            <w:noWrap/>
            <w:vAlign w:val="bottom"/>
            <w:hideMark/>
          </w:tcPr>
          <w:p w14:paraId="6E3A62B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359838.03</w:t>
            </w:r>
          </w:p>
        </w:tc>
        <w:tc>
          <w:tcPr>
            <w:tcW w:w="1749" w:type="dxa"/>
            <w:shd w:val="clear" w:color="auto" w:fill="FFFFFF" w:themeFill="background1"/>
            <w:noWrap/>
            <w:vAlign w:val="bottom"/>
            <w:hideMark/>
          </w:tcPr>
          <w:p w14:paraId="50E96B5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25C8657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2695900E" w14:textId="77777777" w:rsidTr="00B27804">
        <w:trPr>
          <w:trHeight w:val="264"/>
        </w:trPr>
        <w:tc>
          <w:tcPr>
            <w:tcW w:w="1240" w:type="dxa"/>
            <w:shd w:val="clear" w:color="auto" w:fill="FFFFFF" w:themeFill="background1"/>
            <w:noWrap/>
            <w:vAlign w:val="bottom"/>
            <w:hideMark/>
          </w:tcPr>
          <w:p w14:paraId="1DCC7478" w14:textId="5720630D"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ЛИТВА</w:t>
            </w:r>
          </w:p>
        </w:tc>
        <w:tc>
          <w:tcPr>
            <w:tcW w:w="1609" w:type="dxa"/>
            <w:shd w:val="clear" w:color="auto" w:fill="FFFFFF" w:themeFill="background1"/>
            <w:noWrap/>
            <w:vAlign w:val="bottom"/>
            <w:hideMark/>
          </w:tcPr>
          <w:p w14:paraId="479CD10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40</w:t>
            </w:r>
          </w:p>
        </w:tc>
        <w:tc>
          <w:tcPr>
            <w:tcW w:w="1411" w:type="dxa"/>
            <w:shd w:val="clear" w:color="auto" w:fill="FFFFFF" w:themeFill="background1"/>
            <w:noWrap/>
            <w:vAlign w:val="bottom"/>
            <w:hideMark/>
          </w:tcPr>
          <w:p w14:paraId="660C8EB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220471.57</w:t>
            </w:r>
          </w:p>
        </w:tc>
        <w:tc>
          <w:tcPr>
            <w:tcW w:w="1577" w:type="dxa"/>
            <w:shd w:val="clear" w:color="auto" w:fill="FFFFFF" w:themeFill="background1"/>
            <w:noWrap/>
            <w:vAlign w:val="bottom"/>
            <w:hideMark/>
          </w:tcPr>
          <w:p w14:paraId="0ACB64F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33</w:t>
            </w:r>
          </w:p>
        </w:tc>
        <w:tc>
          <w:tcPr>
            <w:tcW w:w="1483" w:type="dxa"/>
            <w:shd w:val="clear" w:color="auto" w:fill="FFFFFF" w:themeFill="background1"/>
            <w:noWrap/>
            <w:vAlign w:val="bottom"/>
            <w:hideMark/>
          </w:tcPr>
          <w:p w14:paraId="37ECF57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170936.39</w:t>
            </w:r>
          </w:p>
        </w:tc>
        <w:tc>
          <w:tcPr>
            <w:tcW w:w="1576" w:type="dxa"/>
            <w:shd w:val="clear" w:color="auto" w:fill="FFFFFF" w:themeFill="background1"/>
            <w:noWrap/>
            <w:vAlign w:val="bottom"/>
            <w:hideMark/>
          </w:tcPr>
          <w:p w14:paraId="1892276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w:t>
            </w:r>
          </w:p>
        </w:tc>
        <w:tc>
          <w:tcPr>
            <w:tcW w:w="1344" w:type="dxa"/>
            <w:shd w:val="clear" w:color="auto" w:fill="FFFFFF" w:themeFill="background1"/>
            <w:noWrap/>
            <w:vAlign w:val="bottom"/>
            <w:hideMark/>
          </w:tcPr>
          <w:p w14:paraId="39FF863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44146.08</w:t>
            </w:r>
          </w:p>
        </w:tc>
        <w:tc>
          <w:tcPr>
            <w:tcW w:w="1541" w:type="dxa"/>
            <w:shd w:val="clear" w:color="auto" w:fill="FFFFFF" w:themeFill="background1"/>
            <w:noWrap/>
            <w:vAlign w:val="bottom"/>
            <w:hideMark/>
          </w:tcPr>
          <w:p w14:paraId="1ACC00D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099" w:type="dxa"/>
            <w:shd w:val="clear" w:color="auto" w:fill="FFFFFF" w:themeFill="background1"/>
            <w:noWrap/>
            <w:vAlign w:val="bottom"/>
            <w:hideMark/>
          </w:tcPr>
          <w:p w14:paraId="1F48CEF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5389.1</w:t>
            </w:r>
          </w:p>
        </w:tc>
        <w:tc>
          <w:tcPr>
            <w:tcW w:w="1749" w:type="dxa"/>
            <w:shd w:val="clear" w:color="auto" w:fill="FFFFFF" w:themeFill="background1"/>
            <w:noWrap/>
            <w:vAlign w:val="bottom"/>
            <w:hideMark/>
          </w:tcPr>
          <w:p w14:paraId="4738763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15</w:t>
            </w:r>
          </w:p>
        </w:tc>
        <w:tc>
          <w:tcPr>
            <w:tcW w:w="1491" w:type="dxa"/>
            <w:shd w:val="clear" w:color="auto" w:fill="FFFFFF" w:themeFill="background1"/>
            <w:noWrap/>
            <w:vAlign w:val="bottom"/>
            <w:hideMark/>
          </w:tcPr>
          <w:p w14:paraId="5C1B83A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394338.06</w:t>
            </w:r>
          </w:p>
        </w:tc>
      </w:tr>
      <w:tr w:rsidR="00A356B8" w:rsidRPr="00B7675F" w14:paraId="608A7F6D" w14:textId="77777777" w:rsidTr="00B27804">
        <w:trPr>
          <w:trHeight w:val="264"/>
        </w:trPr>
        <w:tc>
          <w:tcPr>
            <w:tcW w:w="1240" w:type="dxa"/>
            <w:shd w:val="clear" w:color="auto" w:fill="FFFFFF" w:themeFill="background1"/>
            <w:noWrap/>
            <w:vAlign w:val="bottom"/>
            <w:hideMark/>
          </w:tcPr>
          <w:p w14:paraId="52C43763" w14:textId="691AB650"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ПОЛЬША</w:t>
            </w:r>
          </w:p>
        </w:tc>
        <w:tc>
          <w:tcPr>
            <w:tcW w:w="1609" w:type="dxa"/>
            <w:shd w:val="clear" w:color="auto" w:fill="FFFFFF" w:themeFill="background1"/>
            <w:noWrap/>
            <w:vAlign w:val="bottom"/>
            <w:hideMark/>
          </w:tcPr>
          <w:p w14:paraId="4C8DA3A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17</w:t>
            </w:r>
          </w:p>
        </w:tc>
        <w:tc>
          <w:tcPr>
            <w:tcW w:w="1411" w:type="dxa"/>
            <w:shd w:val="clear" w:color="auto" w:fill="FFFFFF" w:themeFill="background1"/>
            <w:noWrap/>
            <w:vAlign w:val="bottom"/>
            <w:hideMark/>
          </w:tcPr>
          <w:p w14:paraId="70CD5EC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263722.75</w:t>
            </w:r>
          </w:p>
        </w:tc>
        <w:tc>
          <w:tcPr>
            <w:tcW w:w="1577" w:type="dxa"/>
            <w:shd w:val="clear" w:color="auto" w:fill="FFFFFF" w:themeFill="background1"/>
            <w:noWrap/>
            <w:vAlign w:val="bottom"/>
            <w:hideMark/>
          </w:tcPr>
          <w:p w14:paraId="11BA730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17</w:t>
            </w:r>
          </w:p>
        </w:tc>
        <w:tc>
          <w:tcPr>
            <w:tcW w:w="1483" w:type="dxa"/>
            <w:shd w:val="clear" w:color="auto" w:fill="FFFFFF" w:themeFill="background1"/>
            <w:noWrap/>
            <w:vAlign w:val="bottom"/>
            <w:hideMark/>
          </w:tcPr>
          <w:p w14:paraId="38DABE8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263722.75</w:t>
            </w:r>
          </w:p>
        </w:tc>
        <w:tc>
          <w:tcPr>
            <w:tcW w:w="1576" w:type="dxa"/>
            <w:shd w:val="clear" w:color="auto" w:fill="FFFFFF" w:themeFill="background1"/>
            <w:noWrap/>
            <w:vAlign w:val="bottom"/>
            <w:hideMark/>
          </w:tcPr>
          <w:p w14:paraId="3ACB769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344" w:type="dxa"/>
            <w:shd w:val="clear" w:color="auto" w:fill="FFFFFF" w:themeFill="background1"/>
            <w:noWrap/>
            <w:vAlign w:val="bottom"/>
            <w:hideMark/>
          </w:tcPr>
          <w:p w14:paraId="2A905D6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541" w:type="dxa"/>
            <w:shd w:val="clear" w:color="auto" w:fill="FFFFFF" w:themeFill="background1"/>
            <w:noWrap/>
            <w:vAlign w:val="bottom"/>
            <w:hideMark/>
          </w:tcPr>
          <w:p w14:paraId="7F5B681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099" w:type="dxa"/>
            <w:shd w:val="clear" w:color="auto" w:fill="FFFFFF" w:themeFill="background1"/>
            <w:noWrap/>
            <w:vAlign w:val="bottom"/>
            <w:hideMark/>
          </w:tcPr>
          <w:p w14:paraId="70B5455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75323F1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23AA8A5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7E54E484" w14:textId="77777777" w:rsidTr="00B27804">
        <w:trPr>
          <w:trHeight w:val="264"/>
        </w:trPr>
        <w:tc>
          <w:tcPr>
            <w:tcW w:w="1240" w:type="dxa"/>
            <w:shd w:val="clear" w:color="auto" w:fill="FFFFFF" w:themeFill="background1"/>
            <w:noWrap/>
            <w:vAlign w:val="bottom"/>
            <w:hideMark/>
          </w:tcPr>
          <w:p w14:paraId="3C47658B" w14:textId="4748A6C5"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ПОРТУГАЛИЯ</w:t>
            </w:r>
          </w:p>
        </w:tc>
        <w:tc>
          <w:tcPr>
            <w:tcW w:w="1609" w:type="dxa"/>
            <w:shd w:val="clear" w:color="auto" w:fill="FFFFFF" w:themeFill="background1"/>
            <w:noWrap/>
            <w:vAlign w:val="bottom"/>
            <w:hideMark/>
          </w:tcPr>
          <w:p w14:paraId="1A0F636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26</w:t>
            </w:r>
          </w:p>
        </w:tc>
        <w:tc>
          <w:tcPr>
            <w:tcW w:w="1411" w:type="dxa"/>
            <w:shd w:val="clear" w:color="auto" w:fill="FFFFFF" w:themeFill="background1"/>
            <w:noWrap/>
            <w:vAlign w:val="bottom"/>
            <w:hideMark/>
          </w:tcPr>
          <w:p w14:paraId="5B6470E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388134.46</w:t>
            </w:r>
          </w:p>
        </w:tc>
        <w:tc>
          <w:tcPr>
            <w:tcW w:w="1577" w:type="dxa"/>
            <w:shd w:val="clear" w:color="auto" w:fill="FFFFFF" w:themeFill="background1"/>
            <w:noWrap/>
            <w:vAlign w:val="bottom"/>
            <w:hideMark/>
          </w:tcPr>
          <w:p w14:paraId="374D3B7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22</w:t>
            </w:r>
          </w:p>
        </w:tc>
        <w:tc>
          <w:tcPr>
            <w:tcW w:w="1483" w:type="dxa"/>
            <w:shd w:val="clear" w:color="auto" w:fill="FFFFFF" w:themeFill="background1"/>
            <w:noWrap/>
            <w:vAlign w:val="bottom"/>
            <w:hideMark/>
          </w:tcPr>
          <w:p w14:paraId="28F0333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317504.2</w:t>
            </w:r>
          </w:p>
        </w:tc>
        <w:tc>
          <w:tcPr>
            <w:tcW w:w="1576" w:type="dxa"/>
            <w:shd w:val="clear" w:color="auto" w:fill="FFFFFF" w:themeFill="background1"/>
            <w:noWrap/>
            <w:vAlign w:val="bottom"/>
            <w:hideMark/>
          </w:tcPr>
          <w:p w14:paraId="21EA2BD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w:t>
            </w:r>
          </w:p>
        </w:tc>
        <w:tc>
          <w:tcPr>
            <w:tcW w:w="1344" w:type="dxa"/>
            <w:shd w:val="clear" w:color="auto" w:fill="FFFFFF" w:themeFill="background1"/>
            <w:noWrap/>
            <w:vAlign w:val="bottom"/>
            <w:hideMark/>
          </w:tcPr>
          <w:p w14:paraId="2FA07C9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70630.26</w:t>
            </w:r>
          </w:p>
        </w:tc>
        <w:tc>
          <w:tcPr>
            <w:tcW w:w="1541" w:type="dxa"/>
            <w:shd w:val="clear" w:color="auto" w:fill="FFFFFF" w:themeFill="background1"/>
            <w:noWrap/>
            <w:vAlign w:val="bottom"/>
            <w:hideMark/>
          </w:tcPr>
          <w:p w14:paraId="3AD7BFF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099" w:type="dxa"/>
            <w:shd w:val="clear" w:color="auto" w:fill="FFFFFF" w:themeFill="background1"/>
            <w:noWrap/>
            <w:vAlign w:val="bottom"/>
            <w:hideMark/>
          </w:tcPr>
          <w:p w14:paraId="01ED035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7CA4C29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57CA135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21F64E08" w14:textId="77777777" w:rsidTr="00B27804">
        <w:trPr>
          <w:trHeight w:val="264"/>
        </w:trPr>
        <w:tc>
          <w:tcPr>
            <w:tcW w:w="1240" w:type="dxa"/>
            <w:shd w:val="clear" w:color="auto" w:fill="FFFFFF" w:themeFill="background1"/>
            <w:noWrap/>
            <w:vAlign w:val="bottom"/>
            <w:hideMark/>
          </w:tcPr>
          <w:p w14:paraId="19CF9C15" w14:textId="0A4FD9E8" w:rsidR="00A356B8" w:rsidRPr="00736448" w:rsidRDefault="00906AD1" w:rsidP="00E15964">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РУМЫНИЯ</w:t>
            </w:r>
          </w:p>
        </w:tc>
        <w:tc>
          <w:tcPr>
            <w:tcW w:w="1609" w:type="dxa"/>
            <w:shd w:val="clear" w:color="auto" w:fill="FFFFFF" w:themeFill="background1"/>
            <w:noWrap/>
            <w:vAlign w:val="bottom"/>
            <w:hideMark/>
          </w:tcPr>
          <w:p w14:paraId="4CA39C7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386</w:t>
            </w:r>
          </w:p>
        </w:tc>
        <w:tc>
          <w:tcPr>
            <w:tcW w:w="1411" w:type="dxa"/>
            <w:shd w:val="clear" w:color="auto" w:fill="FFFFFF" w:themeFill="background1"/>
            <w:noWrap/>
            <w:vAlign w:val="bottom"/>
            <w:hideMark/>
          </w:tcPr>
          <w:p w14:paraId="3BB7062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8769172.05</w:t>
            </w:r>
          </w:p>
        </w:tc>
        <w:tc>
          <w:tcPr>
            <w:tcW w:w="1577" w:type="dxa"/>
            <w:shd w:val="clear" w:color="auto" w:fill="FFFFFF" w:themeFill="background1"/>
            <w:noWrap/>
            <w:vAlign w:val="bottom"/>
            <w:hideMark/>
          </w:tcPr>
          <w:p w14:paraId="77730BF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356</w:t>
            </w:r>
          </w:p>
        </w:tc>
        <w:tc>
          <w:tcPr>
            <w:tcW w:w="1483" w:type="dxa"/>
            <w:shd w:val="clear" w:color="auto" w:fill="FFFFFF" w:themeFill="background1"/>
            <w:noWrap/>
            <w:vAlign w:val="bottom"/>
            <w:hideMark/>
          </w:tcPr>
          <w:p w14:paraId="139EAC6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8234926.52</w:t>
            </w:r>
          </w:p>
        </w:tc>
        <w:tc>
          <w:tcPr>
            <w:tcW w:w="1576" w:type="dxa"/>
            <w:shd w:val="clear" w:color="auto" w:fill="FFFFFF" w:themeFill="background1"/>
            <w:noWrap/>
            <w:vAlign w:val="bottom"/>
            <w:hideMark/>
          </w:tcPr>
          <w:p w14:paraId="494851D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28</w:t>
            </w:r>
          </w:p>
        </w:tc>
        <w:tc>
          <w:tcPr>
            <w:tcW w:w="1344" w:type="dxa"/>
            <w:shd w:val="clear" w:color="auto" w:fill="FFFFFF" w:themeFill="background1"/>
            <w:noWrap/>
            <w:vAlign w:val="bottom"/>
            <w:hideMark/>
          </w:tcPr>
          <w:p w14:paraId="76798DC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517388.09</w:t>
            </w:r>
          </w:p>
        </w:tc>
        <w:tc>
          <w:tcPr>
            <w:tcW w:w="1541" w:type="dxa"/>
            <w:shd w:val="clear" w:color="auto" w:fill="FFFFFF" w:themeFill="background1"/>
            <w:noWrap/>
            <w:vAlign w:val="bottom"/>
            <w:hideMark/>
          </w:tcPr>
          <w:p w14:paraId="3042281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w:t>
            </w:r>
          </w:p>
        </w:tc>
        <w:tc>
          <w:tcPr>
            <w:tcW w:w="1099" w:type="dxa"/>
            <w:shd w:val="clear" w:color="auto" w:fill="FFFFFF" w:themeFill="background1"/>
            <w:noWrap/>
            <w:vAlign w:val="bottom"/>
            <w:hideMark/>
          </w:tcPr>
          <w:p w14:paraId="75082DB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16857.44</w:t>
            </w:r>
          </w:p>
        </w:tc>
        <w:tc>
          <w:tcPr>
            <w:tcW w:w="1749" w:type="dxa"/>
            <w:shd w:val="clear" w:color="auto" w:fill="FFFFFF" w:themeFill="background1"/>
            <w:noWrap/>
            <w:vAlign w:val="bottom"/>
            <w:hideMark/>
          </w:tcPr>
          <w:p w14:paraId="55CE333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628EF91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093C02F0" w14:textId="77777777" w:rsidTr="00B27804">
        <w:trPr>
          <w:trHeight w:val="264"/>
        </w:trPr>
        <w:tc>
          <w:tcPr>
            <w:tcW w:w="1240" w:type="dxa"/>
            <w:shd w:val="clear" w:color="auto" w:fill="FFFFFF" w:themeFill="background1"/>
            <w:noWrap/>
            <w:vAlign w:val="bottom"/>
            <w:hideMark/>
          </w:tcPr>
          <w:p w14:paraId="011C539D" w14:textId="47971560"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ТУРЦИЯ</w:t>
            </w:r>
          </w:p>
        </w:tc>
        <w:tc>
          <w:tcPr>
            <w:tcW w:w="1609" w:type="dxa"/>
            <w:shd w:val="clear" w:color="auto" w:fill="FFFFFF" w:themeFill="background1"/>
            <w:noWrap/>
            <w:vAlign w:val="bottom"/>
            <w:hideMark/>
          </w:tcPr>
          <w:p w14:paraId="36C0652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w:t>
            </w:r>
          </w:p>
        </w:tc>
        <w:tc>
          <w:tcPr>
            <w:tcW w:w="1411" w:type="dxa"/>
            <w:shd w:val="clear" w:color="auto" w:fill="FFFFFF" w:themeFill="background1"/>
            <w:noWrap/>
            <w:vAlign w:val="bottom"/>
            <w:hideMark/>
          </w:tcPr>
          <w:p w14:paraId="0DF689E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59205.62</w:t>
            </w:r>
          </w:p>
        </w:tc>
        <w:tc>
          <w:tcPr>
            <w:tcW w:w="1577" w:type="dxa"/>
            <w:shd w:val="clear" w:color="auto" w:fill="FFFFFF" w:themeFill="background1"/>
            <w:noWrap/>
            <w:vAlign w:val="bottom"/>
            <w:hideMark/>
          </w:tcPr>
          <w:p w14:paraId="461623D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w:t>
            </w:r>
          </w:p>
        </w:tc>
        <w:tc>
          <w:tcPr>
            <w:tcW w:w="1483" w:type="dxa"/>
            <w:shd w:val="clear" w:color="auto" w:fill="FFFFFF" w:themeFill="background1"/>
            <w:noWrap/>
            <w:vAlign w:val="bottom"/>
            <w:hideMark/>
          </w:tcPr>
          <w:p w14:paraId="5A69A14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59205.62</w:t>
            </w:r>
          </w:p>
        </w:tc>
        <w:tc>
          <w:tcPr>
            <w:tcW w:w="1576" w:type="dxa"/>
            <w:shd w:val="clear" w:color="auto" w:fill="FFFFFF" w:themeFill="background1"/>
            <w:noWrap/>
            <w:vAlign w:val="bottom"/>
            <w:hideMark/>
          </w:tcPr>
          <w:p w14:paraId="215E220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344" w:type="dxa"/>
            <w:shd w:val="clear" w:color="auto" w:fill="FFFFFF" w:themeFill="background1"/>
            <w:noWrap/>
            <w:vAlign w:val="bottom"/>
            <w:hideMark/>
          </w:tcPr>
          <w:p w14:paraId="334B2CB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541" w:type="dxa"/>
            <w:shd w:val="clear" w:color="auto" w:fill="FFFFFF" w:themeFill="background1"/>
            <w:noWrap/>
            <w:vAlign w:val="bottom"/>
            <w:hideMark/>
          </w:tcPr>
          <w:p w14:paraId="65FF7D1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099" w:type="dxa"/>
            <w:shd w:val="clear" w:color="auto" w:fill="FFFFFF" w:themeFill="background1"/>
            <w:noWrap/>
            <w:vAlign w:val="bottom"/>
            <w:hideMark/>
          </w:tcPr>
          <w:p w14:paraId="156DB01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2C08738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5B45362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6BF1BD70" w14:textId="77777777" w:rsidTr="00B27804">
        <w:trPr>
          <w:trHeight w:val="264"/>
        </w:trPr>
        <w:tc>
          <w:tcPr>
            <w:tcW w:w="1240" w:type="dxa"/>
            <w:shd w:val="clear" w:color="auto" w:fill="FFFFFF" w:themeFill="background1"/>
            <w:noWrap/>
            <w:vAlign w:val="bottom"/>
            <w:hideMark/>
          </w:tcPr>
          <w:p w14:paraId="5E497991" w14:textId="35FEFC7E"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УКРАИНА</w:t>
            </w:r>
          </w:p>
        </w:tc>
        <w:tc>
          <w:tcPr>
            <w:tcW w:w="1609" w:type="dxa"/>
            <w:shd w:val="clear" w:color="auto" w:fill="FFFFFF" w:themeFill="background1"/>
            <w:noWrap/>
            <w:vAlign w:val="bottom"/>
            <w:hideMark/>
          </w:tcPr>
          <w:p w14:paraId="43C99B5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411" w:type="dxa"/>
            <w:shd w:val="clear" w:color="auto" w:fill="FFFFFF" w:themeFill="background1"/>
            <w:noWrap/>
            <w:vAlign w:val="bottom"/>
            <w:hideMark/>
          </w:tcPr>
          <w:p w14:paraId="28597FD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20615.66</w:t>
            </w:r>
          </w:p>
        </w:tc>
        <w:tc>
          <w:tcPr>
            <w:tcW w:w="1577" w:type="dxa"/>
            <w:shd w:val="clear" w:color="auto" w:fill="FFFFFF" w:themeFill="background1"/>
            <w:noWrap/>
            <w:vAlign w:val="bottom"/>
            <w:hideMark/>
          </w:tcPr>
          <w:p w14:paraId="0C8A6B7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83" w:type="dxa"/>
            <w:shd w:val="clear" w:color="auto" w:fill="FFFFFF" w:themeFill="background1"/>
            <w:noWrap/>
            <w:vAlign w:val="bottom"/>
            <w:hideMark/>
          </w:tcPr>
          <w:p w14:paraId="354A9B7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576" w:type="dxa"/>
            <w:shd w:val="clear" w:color="auto" w:fill="FFFFFF" w:themeFill="background1"/>
            <w:noWrap/>
            <w:vAlign w:val="bottom"/>
            <w:hideMark/>
          </w:tcPr>
          <w:p w14:paraId="0A39E94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344" w:type="dxa"/>
            <w:shd w:val="clear" w:color="auto" w:fill="FFFFFF" w:themeFill="background1"/>
            <w:noWrap/>
            <w:vAlign w:val="bottom"/>
            <w:hideMark/>
          </w:tcPr>
          <w:p w14:paraId="6AB767F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20615.66</w:t>
            </w:r>
          </w:p>
        </w:tc>
        <w:tc>
          <w:tcPr>
            <w:tcW w:w="1541" w:type="dxa"/>
            <w:shd w:val="clear" w:color="auto" w:fill="FFFFFF" w:themeFill="background1"/>
            <w:noWrap/>
            <w:vAlign w:val="bottom"/>
            <w:hideMark/>
          </w:tcPr>
          <w:p w14:paraId="191B5AE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099" w:type="dxa"/>
            <w:shd w:val="clear" w:color="auto" w:fill="FFFFFF" w:themeFill="background1"/>
            <w:noWrap/>
            <w:vAlign w:val="bottom"/>
            <w:hideMark/>
          </w:tcPr>
          <w:p w14:paraId="497AF4E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0D13445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3730F34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02E3F888" w14:textId="77777777" w:rsidTr="00B27804">
        <w:trPr>
          <w:trHeight w:val="264"/>
        </w:trPr>
        <w:tc>
          <w:tcPr>
            <w:tcW w:w="1240" w:type="dxa"/>
            <w:shd w:val="clear" w:color="auto" w:fill="FFFFFF" w:themeFill="background1"/>
            <w:noWrap/>
            <w:vAlign w:val="bottom"/>
            <w:hideMark/>
          </w:tcPr>
          <w:p w14:paraId="33FD58F1" w14:textId="568CD874"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ВЕНГРИЯ</w:t>
            </w:r>
          </w:p>
        </w:tc>
        <w:tc>
          <w:tcPr>
            <w:tcW w:w="1609" w:type="dxa"/>
            <w:shd w:val="clear" w:color="auto" w:fill="FFFFFF" w:themeFill="background1"/>
            <w:noWrap/>
            <w:vAlign w:val="bottom"/>
            <w:hideMark/>
          </w:tcPr>
          <w:p w14:paraId="1949D4B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w:t>
            </w:r>
          </w:p>
        </w:tc>
        <w:tc>
          <w:tcPr>
            <w:tcW w:w="1411" w:type="dxa"/>
            <w:shd w:val="clear" w:color="auto" w:fill="FFFFFF" w:themeFill="background1"/>
            <w:noWrap/>
            <w:vAlign w:val="bottom"/>
            <w:hideMark/>
          </w:tcPr>
          <w:p w14:paraId="40724F0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82275.92</w:t>
            </w:r>
          </w:p>
        </w:tc>
        <w:tc>
          <w:tcPr>
            <w:tcW w:w="1577" w:type="dxa"/>
            <w:shd w:val="clear" w:color="auto" w:fill="FFFFFF" w:themeFill="background1"/>
            <w:noWrap/>
            <w:vAlign w:val="bottom"/>
            <w:hideMark/>
          </w:tcPr>
          <w:p w14:paraId="7C4F154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w:t>
            </w:r>
          </w:p>
        </w:tc>
        <w:tc>
          <w:tcPr>
            <w:tcW w:w="1483" w:type="dxa"/>
            <w:shd w:val="clear" w:color="auto" w:fill="FFFFFF" w:themeFill="background1"/>
            <w:noWrap/>
            <w:vAlign w:val="bottom"/>
            <w:hideMark/>
          </w:tcPr>
          <w:p w14:paraId="00F1805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82275.92</w:t>
            </w:r>
          </w:p>
        </w:tc>
        <w:tc>
          <w:tcPr>
            <w:tcW w:w="1576" w:type="dxa"/>
            <w:shd w:val="clear" w:color="auto" w:fill="FFFFFF" w:themeFill="background1"/>
            <w:noWrap/>
            <w:vAlign w:val="bottom"/>
            <w:hideMark/>
          </w:tcPr>
          <w:p w14:paraId="4BD67BF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344" w:type="dxa"/>
            <w:shd w:val="clear" w:color="auto" w:fill="FFFFFF" w:themeFill="background1"/>
            <w:noWrap/>
            <w:vAlign w:val="bottom"/>
            <w:hideMark/>
          </w:tcPr>
          <w:p w14:paraId="7E5EF9E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541" w:type="dxa"/>
            <w:shd w:val="clear" w:color="auto" w:fill="FFFFFF" w:themeFill="background1"/>
            <w:noWrap/>
            <w:vAlign w:val="bottom"/>
            <w:hideMark/>
          </w:tcPr>
          <w:p w14:paraId="1CA57D7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099" w:type="dxa"/>
            <w:shd w:val="clear" w:color="auto" w:fill="FFFFFF" w:themeFill="background1"/>
            <w:noWrap/>
            <w:vAlign w:val="bottom"/>
            <w:hideMark/>
          </w:tcPr>
          <w:p w14:paraId="13CC005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14362B4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7D28020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7A1D4B4B" w14:textId="77777777" w:rsidTr="00B27804">
        <w:trPr>
          <w:trHeight w:val="264"/>
        </w:trPr>
        <w:tc>
          <w:tcPr>
            <w:tcW w:w="1240" w:type="dxa"/>
            <w:shd w:val="clear" w:color="auto" w:fill="FFFFFF" w:themeFill="background1"/>
            <w:noWrap/>
            <w:vAlign w:val="bottom"/>
            <w:hideMark/>
          </w:tcPr>
          <w:p w14:paraId="7EC22F47" w14:textId="5204707F" w:rsidR="00A356B8" w:rsidRPr="00736448" w:rsidRDefault="0086017F" w:rsidP="00A356B8">
            <w:pPr>
              <w:spacing w:after="0" w:line="240" w:lineRule="auto"/>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ВСЕГО</w:t>
            </w:r>
          </w:p>
        </w:tc>
        <w:tc>
          <w:tcPr>
            <w:tcW w:w="1609" w:type="dxa"/>
            <w:shd w:val="clear" w:color="auto" w:fill="FFFFFF" w:themeFill="background1"/>
            <w:noWrap/>
            <w:vAlign w:val="bottom"/>
            <w:hideMark/>
          </w:tcPr>
          <w:p w14:paraId="7A9CA7A2"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1386</w:t>
            </w:r>
          </w:p>
        </w:tc>
        <w:tc>
          <w:tcPr>
            <w:tcW w:w="1411" w:type="dxa"/>
            <w:shd w:val="clear" w:color="auto" w:fill="FFFFFF" w:themeFill="background1"/>
            <w:noWrap/>
            <w:vAlign w:val="bottom"/>
            <w:hideMark/>
          </w:tcPr>
          <w:p w14:paraId="66D7F7E5"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26256468.7</w:t>
            </w:r>
          </w:p>
        </w:tc>
        <w:tc>
          <w:tcPr>
            <w:tcW w:w="1577" w:type="dxa"/>
            <w:shd w:val="clear" w:color="auto" w:fill="FFFFFF" w:themeFill="background1"/>
            <w:noWrap/>
            <w:vAlign w:val="bottom"/>
            <w:hideMark/>
          </w:tcPr>
          <w:p w14:paraId="064E0AC0"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1272</w:t>
            </w:r>
          </w:p>
        </w:tc>
        <w:tc>
          <w:tcPr>
            <w:tcW w:w="1483" w:type="dxa"/>
            <w:shd w:val="clear" w:color="auto" w:fill="FFFFFF" w:themeFill="background1"/>
            <w:noWrap/>
            <w:vAlign w:val="bottom"/>
            <w:hideMark/>
          </w:tcPr>
          <w:p w14:paraId="7AFF1335"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24640355.54</w:t>
            </w:r>
          </w:p>
        </w:tc>
        <w:tc>
          <w:tcPr>
            <w:tcW w:w="1576" w:type="dxa"/>
            <w:shd w:val="clear" w:color="auto" w:fill="FFFFFF" w:themeFill="background1"/>
            <w:noWrap/>
            <w:vAlign w:val="bottom"/>
            <w:hideMark/>
          </w:tcPr>
          <w:p w14:paraId="2690BF95"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90</w:t>
            </w:r>
          </w:p>
        </w:tc>
        <w:tc>
          <w:tcPr>
            <w:tcW w:w="1344" w:type="dxa"/>
            <w:shd w:val="clear" w:color="auto" w:fill="FFFFFF" w:themeFill="background1"/>
            <w:noWrap/>
            <w:vAlign w:val="bottom"/>
            <w:hideMark/>
          </w:tcPr>
          <w:p w14:paraId="1A127D31"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1139069.06</w:t>
            </w:r>
          </w:p>
        </w:tc>
        <w:tc>
          <w:tcPr>
            <w:tcW w:w="1541" w:type="dxa"/>
            <w:shd w:val="clear" w:color="auto" w:fill="FFFFFF" w:themeFill="background1"/>
            <w:noWrap/>
            <w:vAlign w:val="bottom"/>
            <w:hideMark/>
          </w:tcPr>
          <w:p w14:paraId="52596DE8"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24</w:t>
            </w:r>
          </w:p>
        </w:tc>
        <w:tc>
          <w:tcPr>
            <w:tcW w:w="1099" w:type="dxa"/>
            <w:shd w:val="clear" w:color="auto" w:fill="FFFFFF" w:themeFill="background1"/>
            <w:noWrap/>
            <w:vAlign w:val="bottom"/>
            <w:hideMark/>
          </w:tcPr>
          <w:p w14:paraId="4BDA4475"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477044.1</w:t>
            </w:r>
          </w:p>
        </w:tc>
        <w:tc>
          <w:tcPr>
            <w:tcW w:w="1749" w:type="dxa"/>
            <w:shd w:val="clear" w:color="auto" w:fill="FFFFFF" w:themeFill="background1"/>
            <w:noWrap/>
            <w:vAlign w:val="bottom"/>
            <w:hideMark/>
          </w:tcPr>
          <w:p w14:paraId="0F811AEB"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37</w:t>
            </w:r>
          </w:p>
        </w:tc>
        <w:tc>
          <w:tcPr>
            <w:tcW w:w="1491" w:type="dxa"/>
            <w:shd w:val="clear" w:color="auto" w:fill="FFFFFF" w:themeFill="background1"/>
            <w:noWrap/>
            <w:vAlign w:val="bottom"/>
            <w:hideMark/>
          </w:tcPr>
          <w:p w14:paraId="66F257C0"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1655269.56</w:t>
            </w:r>
          </w:p>
        </w:tc>
      </w:tr>
    </w:tbl>
    <w:p w14:paraId="50DE87B0" w14:textId="77777777" w:rsidR="00A356B8" w:rsidRPr="00736448" w:rsidRDefault="00A356B8" w:rsidP="00A356B8">
      <w:pPr>
        <w:shd w:val="clear" w:color="auto" w:fill="FFFFFF"/>
        <w:spacing w:after="0" w:line="276" w:lineRule="auto"/>
        <w:jc w:val="right"/>
        <w:rPr>
          <w:rFonts w:asciiTheme="majorHAnsi" w:eastAsia="Times New Roman" w:hAnsiTheme="majorHAnsi" w:cstheme="majorHAnsi"/>
          <w:sz w:val="24"/>
          <w:szCs w:val="24"/>
          <w:lang w:val="ro-MD"/>
        </w:rPr>
      </w:pPr>
    </w:p>
    <w:p w14:paraId="7FAACADF" w14:textId="7EC2B008" w:rsidR="00DF67F0" w:rsidRPr="00736448" w:rsidRDefault="00336C93" w:rsidP="00DF67F0">
      <w:pPr>
        <w:pStyle w:val="3"/>
        <w:jc w:val="right"/>
        <w:rPr>
          <w:b/>
          <w:color w:val="000000" w:themeColor="text1"/>
          <w:lang w:val="ro-MD"/>
        </w:rPr>
      </w:pPr>
      <w:r>
        <w:rPr>
          <w:b/>
          <w:color w:val="000000" w:themeColor="text1"/>
          <w:lang w:val="ro-MD"/>
        </w:rPr>
        <w:t>Таблица №</w:t>
      </w:r>
      <w:r w:rsidR="00DF67F0" w:rsidRPr="00736448">
        <w:rPr>
          <w:b/>
          <w:color w:val="000000" w:themeColor="text1"/>
          <w:lang w:val="ro-MD"/>
        </w:rPr>
        <w:t>3</w:t>
      </w:r>
    </w:p>
    <w:p w14:paraId="4A631EDC" w14:textId="548D4C14" w:rsidR="00C57ECC" w:rsidRPr="00736448" w:rsidRDefault="008B7031" w:rsidP="00DF67F0">
      <w:pPr>
        <w:spacing w:after="0" w:line="240" w:lineRule="auto"/>
        <w:jc w:val="center"/>
        <w:rPr>
          <w:rFonts w:asciiTheme="majorHAnsi" w:hAnsiTheme="majorHAnsi"/>
          <w:b/>
          <w:sz w:val="24"/>
          <w:szCs w:val="24"/>
          <w:lang w:val="ro-MD"/>
        </w:rPr>
      </w:pPr>
      <w:r w:rsidRPr="008B7031">
        <w:rPr>
          <w:rFonts w:asciiTheme="majorHAnsi" w:hAnsiTheme="majorHAnsi"/>
          <w:b/>
          <w:sz w:val="24"/>
          <w:szCs w:val="24"/>
          <w:lang w:val="ro-MD"/>
        </w:rPr>
        <w:t xml:space="preserve">Информация о распределении пенсий на основе международных соглашений в 2022 году </w:t>
      </w:r>
    </w:p>
    <w:p w14:paraId="04084621" w14:textId="77777777" w:rsidR="00A356B8" w:rsidRPr="00736448" w:rsidRDefault="00A356B8" w:rsidP="00A356B8">
      <w:pPr>
        <w:shd w:val="clear" w:color="auto" w:fill="FFFFFF"/>
        <w:spacing w:after="0" w:line="276" w:lineRule="auto"/>
        <w:jc w:val="right"/>
        <w:rPr>
          <w:rFonts w:asciiTheme="majorHAnsi" w:eastAsia="Times New Roman" w:hAnsiTheme="majorHAnsi" w:cstheme="majorHAnsi"/>
          <w:sz w:val="24"/>
          <w:szCs w:val="24"/>
          <w:lang w:val="ro-MD"/>
        </w:rPr>
      </w:pPr>
    </w:p>
    <w:tbl>
      <w:tblPr>
        <w:tblW w:w="16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27"/>
        <w:gridCol w:w="1557"/>
        <w:gridCol w:w="1463"/>
        <w:gridCol w:w="1577"/>
        <w:gridCol w:w="1483"/>
        <w:gridCol w:w="1576"/>
        <w:gridCol w:w="1344"/>
        <w:gridCol w:w="1495"/>
        <w:gridCol w:w="1145"/>
        <w:gridCol w:w="1749"/>
        <w:gridCol w:w="1491"/>
      </w:tblGrid>
      <w:tr w:rsidR="00A356B8" w:rsidRPr="00B7675F" w14:paraId="45716359" w14:textId="77777777" w:rsidTr="00B27804">
        <w:trPr>
          <w:trHeight w:val="384"/>
        </w:trPr>
        <w:tc>
          <w:tcPr>
            <w:tcW w:w="1263" w:type="dxa"/>
            <w:shd w:val="clear" w:color="auto" w:fill="FFFFFF" w:themeFill="background1"/>
            <w:noWrap/>
            <w:vAlign w:val="bottom"/>
            <w:hideMark/>
          </w:tcPr>
          <w:p w14:paraId="4C7715A3"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 </w:t>
            </w:r>
          </w:p>
        </w:tc>
        <w:tc>
          <w:tcPr>
            <w:tcW w:w="3020" w:type="dxa"/>
            <w:gridSpan w:val="2"/>
            <w:shd w:val="clear" w:color="auto" w:fill="FFFFFF" w:themeFill="background1"/>
            <w:noWrap/>
            <w:vAlign w:val="center"/>
            <w:hideMark/>
          </w:tcPr>
          <w:p w14:paraId="0F85EA28" w14:textId="0A741985"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Всего</w:t>
            </w:r>
            <w:r w:rsidR="00A356B8" w:rsidRPr="00736448">
              <w:rPr>
                <w:rFonts w:asciiTheme="majorHAnsi" w:eastAsia="Times New Roman" w:hAnsiTheme="majorHAnsi" w:cstheme="majorHAnsi"/>
                <w:b/>
                <w:bCs/>
                <w:sz w:val="20"/>
                <w:szCs w:val="20"/>
                <w:lang w:val="ro-MD"/>
              </w:rPr>
              <w:t xml:space="preserve"> 2022</w:t>
            </w:r>
          </w:p>
        </w:tc>
        <w:tc>
          <w:tcPr>
            <w:tcW w:w="3060" w:type="dxa"/>
            <w:gridSpan w:val="2"/>
            <w:shd w:val="clear" w:color="auto" w:fill="FFFFFF" w:themeFill="background1"/>
            <w:noWrap/>
            <w:vAlign w:val="center"/>
            <w:hideMark/>
          </w:tcPr>
          <w:p w14:paraId="1F74AF24" w14:textId="29CF9A7C"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Пенсии по возрасту</w:t>
            </w:r>
          </w:p>
        </w:tc>
        <w:tc>
          <w:tcPr>
            <w:tcW w:w="2920" w:type="dxa"/>
            <w:gridSpan w:val="2"/>
            <w:shd w:val="clear" w:color="auto" w:fill="FFFFFF" w:themeFill="background1"/>
            <w:noWrap/>
            <w:vAlign w:val="center"/>
            <w:hideMark/>
          </w:tcPr>
          <w:p w14:paraId="5A6FAACE" w14:textId="38F86BD0"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Пенсии по ограниченным возможностям</w:t>
            </w:r>
          </w:p>
        </w:tc>
        <w:tc>
          <w:tcPr>
            <w:tcW w:w="2640" w:type="dxa"/>
            <w:gridSpan w:val="2"/>
            <w:shd w:val="clear" w:color="auto" w:fill="FFFFFF" w:themeFill="background1"/>
            <w:noWrap/>
            <w:vAlign w:val="center"/>
            <w:hideMark/>
          </w:tcPr>
          <w:p w14:paraId="08F8798E" w14:textId="575B2CF1"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Пенсии по потере кормильца</w:t>
            </w:r>
          </w:p>
        </w:tc>
        <w:tc>
          <w:tcPr>
            <w:tcW w:w="3240" w:type="dxa"/>
            <w:gridSpan w:val="2"/>
            <w:shd w:val="clear" w:color="auto" w:fill="FFFFFF" w:themeFill="background1"/>
            <w:noWrap/>
            <w:vAlign w:val="center"/>
            <w:hideMark/>
          </w:tcPr>
          <w:p w14:paraId="3F5BF276" w14:textId="02752EE6"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Пенсии, перечисляемые в РМ</w:t>
            </w:r>
          </w:p>
        </w:tc>
      </w:tr>
      <w:tr w:rsidR="00A356B8" w:rsidRPr="00B7675F" w14:paraId="766B5788" w14:textId="77777777" w:rsidTr="00B27804">
        <w:trPr>
          <w:trHeight w:val="276"/>
        </w:trPr>
        <w:tc>
          <w:tcPr>
            <w:tcW w:w="1263" w:type="dxa"/>
            <w:shd w:val="clear" w:color="auto" w:fill="FFFFFF" w:themeFill="background1"/>
            <w:noWrap/>
            <w:vAlign w:val="bottom"/>
            <w:hideMark/>
          </w:tcPr>
          <w:p w14:paraId="29FD15F0" w14:textId="65A52D67" w:rsidR="00A356B8" w:rsidRPr="00736448" w:rsidRDefault="0086017F" w:rsidP="00A356B8">
            <w:pPr>
              <w:spacing w:after="0" w:line="240" w:lineRule="auto"/>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СТРАНА</w:t>
            </w:r>
          </w:p>
        </w:tc>
        <w:tc>
          <w:tcPr>
            <w:tcW w:w="1557" w:type="dxa"/>
            <w:shd w:val="clear" w:color="auto" w:fill="FFFFFF" w:themeFill="background1"/>
            <w:noWrap/>
            <w:vAlign w:val="bottom"/>
            <w:hideMark/>
          </w:tcPr>
          <w:p w14:paraId="6D3F7266" w14:textId="1C4CD6C9"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Кол-во бенефициаров</w:t>
            </w:r>
          </w:p>
        </w:tc>
        <w:tc>
          <w:tcPr>
            <w:tcW w:w="1463" w:type="dxa"/>
            <w:shd w:val="clear" w:color="auto" w:fill="FFFFFF" w:themeFill="background1"/>
            <w:noWrap/>
            <w:vAlign w:val="bottom"/>
            <w:hideMark/>
          </w:tcPr>
          <w:p w14:paraId="3614A792" w14:textId="1DEA0743"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Сумма</w:t>
            </w:r>
            <w:r w:rsidR="00A356B8" w:rsidRPr="00736448">
              <w:rPr>
                <w:rFonts w:asciiTheme="majorHAnsi" w:eastAsia="Times New Roman" w:hAnsiTheme="majorHAnsi" w:cstheme="majorHAnsi"/>
                <w:b/>
                <w:bCs/>
                <w:sz w:val="20"/>
                <w:szCs w:val="20"/>
                <w:lang w:val="ro-MD"/>
              </w:rPr>
              <w:t xml:space="preserve">, </w:t>
            </w:r>
            <w:r w:rsidR="007459E2">
              <w:rPr>
                <w:rFonts w:asciiTheme="majorHAnsi" w:eastAsia="Times New Roman" w:hAnsiTheme="majorHAnsi" w:cstheme="majorHAnsi"/>
                <w:b/>
                <w:bCs/>
                <w:sz w:val="20"/>
                <w:szCs w:val="20"/>
                <w:lang w:val="ro-MD"/>
              </w:rPr>
              <w:t>леев</w:t>
            </w:r>
          </w:p>
        </w:tc>
        <w:tc>
          <w:tcPr>
            <w:tcW w:w="1577" w:type="dxa"/>
            <w:shd w:val="clear" w:color="auto" w:fill="FFFFFF" w:themeFill="background1"/>
            <w:noWrap/>
            <w:vAlign w:val="bottom"/>
            <w:hideMark/>
          </w:tcPr>
          <w:p w14:paraId="516D50E6" w14:textId="55AEC0CA"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Кол-во бенефициаров</w:t>
            </w:r>
          </w:p>
        </w:tc>
        <w:tc>
          <w:tcPr>
            <w:tcW w:w="1483" w:type="dxa"/>
            <w:shd w:val="clear" w:color="auto" w:fill="FFFFFF" w:themeFill="background1"/>
            <w:noWrap/>
            <w:vAlign w:val="bottom"/>
            <w:hideMark/>
          </w:tcPr>
          <w:p w14:paraId="69C55E9E" w14:textId="2D07E9DE"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Сумма</w:t>
            </w:r>
            <w:r w:rsidR="00A356B8" w:rsidRPr="00736448">
              <w:rPr>
                <w:rFonts w:asciiTheme="majorHAnsi" w:eastAsia="Times New Roman" w:hAnsiTheme="majorHAnsi" w:cstheme="majorHAnsi"/>
                <w:b/>
                <w:bCs/>
                <w:sz w:val="20"/>
                <w:szCs w:val="20"/>
                <w:lang w:val="ro-MD"/>
              </w:rPr>
              <w:t xml:space="preserve">, </w:t>
            </w:r>
            <w:r w:rsidR="007459E2">
              <w:rPr>
                <w:rFonts w:asciiTheme="majorHAnsi" w:eastAsia="Times New Roman" w:hAnsiTheme="majorHAnsi" w:cstheme="majorHAnsi"/>
                <w:b/>
                <w:bCs/>
                <w:sz w:val="20"/>
                <w:szCs w:val="20"/>
                <w:lang w:val="ro-MD"/>
              </w:rPr>
              <w:t>леев</w:t>
            </w:r>
          </w:p>
        </w:tc>
        <w:tc>
          <w:tcPr>
            <w:tcW w:w="1576" w:type="dxa"/>
            <w:shd w:val="clear" w:color="auto" w:fill="FFFFFF" w:themeFill="background1"/>
            <w:noWrap/>
            <w:vAlign w:val="bottom"/>
            <w:hideMark/>
          </w:tcPr>
          <w:p w14:paraId="53CBD626" w14:textId="7EDC6E8C"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Кол-во бенефициаров</w:t>
            </w:r>
          </w:p>
        </w:tc>
        <w:tc>
          <w:tcPr>
            <w:tcW w:w="1344" w:type="dxa"/>
            <w:shd w:val="clear" w:color="auto" w:fill="FFFFFF" w:themeFill="background1"/>
            <w:noWrap/>
            <w:vAlign w:val="bottom"/>
            <w:hideMark/>
          </w:tcPr>
          <w:p w14:paraId="4DE34838" w14:textId="7871A702"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Сумма</w:t>
            </w:r>
            <w:r w:rsidR="00A356B8" w:rsidRPr="00736448">
              <w:rPr>
                <w:rFonts w:asciiTheme="majorHAnsi" w:eastAsia="Times New Roman" w:hAnsiTheme="majorHAnsi" w:cstheme="majorHAnsi"/>
                <w:b/>
                <w:bCs/>
                <w:sz w:val="20"/>
                <w:szCs w:val="20"/>
                <w:lang w:val="ro-MD"/>
              </w:rPr>
              <w:t xml:space="preserve">, </w:t>
            </w:r>
            <w:r w:rsidR="007459E2">
              <w:rPr>
                <w:rFonts w:asciiTheme="majorHAnsi" w:eastAsia="Times New Roman" w:hAnsiTheme="majorHAnsi" w:cstheme="majorHAnsi"/>
                <w:b/>
                <w:bCs/>
                <w:sz w:val="20"/>
                <w:szCs w:val="20"/>
                <w:lang w:val="ro-MD"/>
              </w:rPr>
              <w:t>леев</w:t>
            </w:r>
          </w:p>
        </w:tc>
        <w:tc>
          <w:tcPr>
            <w:tcW w:w="1495" w:type="dxa"/>
            <w:shd w:val="clear" w:color="auto" w:fill="FFFFFF" w:themeFill="background1"/>
            <w:noWrap/>
            <w:vAlign w:val="bottom"/>
            <w:hideMark/>
          </w:tcPr>
          <w:p w14:paraId="23567313" w14:textId="77E8C369"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Кол-во бенефициаров</w:t>
            </w:r>
          </w:p>
        </w:tc>
        <w:tc>
          <w:tcPr>
            <w:tcW w:w="1145" w:type="dxa"/>
            <w:shd w:val="clear" w:color="auto" w:fill="FFFFFF" w:themeFill="background1"/>
            <w:noWrap/>
            <w:vAlign w:val="bottom"/>
            <w:hideMark/>
          </w:tcPr>
          <w:p w14:paraId="46895480" w14:textId="03577349"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Сумма</w:t>
            </w:r>
            <w:r w:rsidR="00A356B8" w:rsidRPr="00736448">
              <w:rPr>
                <w:rFonts w:asciiTheme="majorHAnsi" w:eastAsia="Times New Roman" w:hAnsiTheme="majorHAnsi" w:cstheme="majorHAnsi"/>
                <w:b/>
                <w:bCs/>
                <w:sz w:val="20"/>
                <w:szCs w:val="20"/>
                <w:lang w:val="ro-MD"/>
              </w:rPr>
              <w:t xml:space="preserve">, </w:t>
            </w:r>
            <w:r w:rsidR="007459E2">
              <w:rPr>
                <w:rFonts w:asciiTheme="majorHAnsi" w:eastAsia="Times New Roman" w:hAnsiTheme="majorHAnsi" w:cstheme="majorHAnsi"/>
                <w:b/>
                <w:bCs/>
                <w:sz w:val="20"/>
                <w:szCs w:val="20"/>
                <w:lang w:val="ro-MD"/>
              </w:rPr>
              <w:t>леев</w:t>
            </w:r>
          </w:p>
        </w:tc>
        <w:tc>
          <w:tcPr>
            <w:tcW w:w="1749" w:type="dxa"/>
            <w:shd w:val="clear" w:color="auto" w:fill="FFFFFF" w:themeFill="background1"/>
            <w:noWrap/>
            <w:vAlign w:val="bottom"/>
            <w:hideMark/>
          </w:tcPr>
          <w:p w14:paraId="1D7B9FF9" w14:textId="4C16C693"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Кол-во бенефициаров</w:t>
            </w:r>
          </w:p>
        </w:tc>
        <w:tc>
          <w:tcPr>
            <w:tcW w:w="1491" w:type="dxa"/>
            <w:shd w:val="clear" w:color="auto" w:fill="FFFFFF" w:themeFill="background1"/>
            <w:noWrap/>
            <w:vAlign w:val="bottom"/>
            <w:hideMark/>
          </w:tcPr>
          <w:p w14:paraId="2AB4D565" w14:textId="42C8D54E" w:rsidR="00A356B8" w:rsidRPr="00736448" w:rsidRDefault="0086017F" w:rsidP="00A356B8">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Сумма</w:t>
            </w:r>
            <w:r w:rsidR="00A356B8" w:rsidRPr="00736448">
              <w:rPr>
                <w:rFonts w:asciiTheme="majorHAnsi" w:eastAsia="Times New Roman" w:hAnsiTheme="majorHAnsi" w:cstheme="majorHAnsi"/>
                <w:b/>
                <w:bCs/>
                <w:sz w:val="20"/>
                <w:szCs w:val="20"/>
                <w:lang w:val="ro-MD"/>
              </w:rPr>
              <w:t xml:space="preserve">, </w:t>
            </w:r>
            <w:r w:rsidR="007459E2">
              <w:rPr>
                <w:rFonts w:asciiTheme="majorHAnsi" w:eastAsia="Times New Roman" w:hAnsiTheme="majorHAnsi" w:cstheme="majorHAnsi"/>
                <w:b/>
                <w:bCs/>
                <w:sz w:val="20"/>
                <w:szCs w:val="20"/>
                <w:lang w:val="ro-MD"/>
              </w:rPr>
              <w:t>леев</w:t>
            </w:r>
          </w:p>
        </w:tc>
      </w:tr>
      <w:tr w:rsidR="00A356B8" w:rsidRPr="00B7675F" w14:paraId="3046A58D" w14:textId="77777777" w:rsidTr="00B27804">
        <w:trPr>
          <w:trHeight w:val="264"/>
        </w:trPr>
        <w:tc>
          <w:tcPr>
            <w:tcW w:w="1263" w:type="dxa"/>
            <w:shd w:val="clear" w:color="auto" w:fill="FFFFFF" w:themeFill="background1"/>
            <w:noWrap/>
            <w:vAlign w:val="bottom"/>
            <w:hideMark/>
          </w:tcPr>
          <w:p w14:paraId="0F0A066D" w14:textId="0A8FB9A8"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АВСТРИЯ</w:t>
            </w:r>
          </w:p>
        </w:tc>
        <w:tc>
          <w:tcPr>
            <w:tcW w:w="1557" w:type="dxa"/>
            <w:shd w:val="clear" w:color="auto" w:fill="FFFFFF" w:themeFill="background1"/>
            <w:noWrap/>
            <w:vAlign w:val="bottom"/>
            <w:hideMark/>
          </w:tcPr>
          <w:p w14:paraId="0EA54D8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52</w:t>
            </w:r>
          </w:p>
        </w:tc>
        <w:tc>
          <w:tcPr>
            <w:tcW w:w="1463" w:type="dxa"/>
            <w:shd w:val="clear" w:color="auto" w:fill="FFFFFF" w:themeFill="background1"/>
            <w:noWrap/>
            <w:vAlign w:val="bottom"/>
            <w:hideMark/>
          </w:tcPr>
          <w:p w14:paraId="769CFEC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1181141.37</w:t>
            </w:r>
          </w:p>
        </w:tc>
        <w:tc>
          <w:tcPr>
            <w:tcW w:w="1577" w:type="dxa"/>
            <w:shd w:val="clear" w:color="auto" w:fill="FFFFFF" w:themeFill="background1"/>
            <w:noWrap/>
            <w:vAlign w:val="bottom"/>
            <w:hideMark/>
          </w:tcPr>
          <w:p w14:paraId="7FE6E8F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48</w:t>
            </w:r>
          </w:p>
        </w:tc>
        <w:tc>
          <w:tcPr>
            <w:tcW w:w="1483" w:type="dxa"/>
            <w:shd w:val="clear" w:color="auto" w:fill="FFFFFF" w:themeFill="background1"/>
            <w:noWrap/>
            <w:vAlign w:val="bottom"/>
            <w:hideMark/>
          </w:tcPr>
          <w:p w14:paraId="588523E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1125610.36</w:t>
            </w:r>
          </w:p>
        </w:tc>
        <w:tc>
          <w:tcPr>
            <w:tcW w:w="1576" w:type="dxa"/>
            <w:shd w:val="clear" w:color="auto" w:fill="FFFFFF" w:themeFill="background1"/>
            <w:noWrap/>
            <w:vAlign w:val="bottom"/>
            <w:hideMark/>
          </w:tcPr>
          <w:p w14:paraId="06BE2CD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w:t>
            </w:r>
          </w:p>
        </w:tc>
        <w:tc>
          <w:tcPr>
            <w:tcW w:w="1344" w:type="dxa"/>
            <w:shd w:val="clear" w:color="auto" w:fill="FFFFFF" w:themeFill="background1"/>
            <w:noWrap/>
            <w:vAlign w:val="bottom"/>
            <w:hideMark/>
          </w:tcPr>
          <w:p w14:paraId="48CB974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55531.01</w:t>
            </w:r>
          </w:p>
        </w:tc>
        <w:tc>
          <w:tcPr>
            <w:tcW w:w="1495" w:type="dxa"/>
            <w:shd w:val="clear" w:color="auto" w:fill="FFFFFF" w:themeFill="background1"/>
            <w:noWrap/>
            <w:vAlign w:val="bottom"/>
            <w:hideMark/>
          </w:tcPr>
          <w:p w14:paraId="4577C18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1E485B7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58E9D4F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1D9D22A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4F72FCA6" w14:textId="77777777" w:rsidTr="00B27804">
        <w:trPr>
          <w:trHeight w:val="264"/>
        </w:trPr>
        <w:tc>
          <w:tcPr>
            <w:tcW w:w="1263" w:type="dxa"/>
            <w:shd w:val="clear" w:color="auto" w:fill="FFFFFF" w:themeFill="background1"/>
            <w:noWrap/>
            <w:vAlign w:val="bottom"/>
            <w:hideMark/>
          </w:tcPr>
          <w:p w14:paraId="2149E000" w14:textId="60499374" w:rsidR="00A356B8" w:rsidRPr="00906AD1" w:rsidRDefault="00906AD1" w:rsidP="00A356B8">
            <w:pPr>
              <w:spacing w:after="0" w:line="240" w:lineRule="auto"/>
              <w:rPr>
                <w:rFonts w:asciiTheme="majorHAnsi" w:eastAsia="Times New Roman" w:hAnsiTheme="majorHAnsi" w:cstheme="majorHAnsi"/>
                <w:sz w:val="20"/>
                <w:szCs w:val="20"/>
                <w:lang w:val="ru-RU"/>
              </w:rPr>
            </w:pPr>
            <w:r>
              <w:rPr>
                <w:rFonts w:asciiTheme="majorHAnsi" w:eastAsia="Times New Roman" w:hAnsiTheme="majorHAnsi" w:cstheme="majorHAnsi"/>
                <w:sz w:val="20"/>
                <w:szCs w:val="20"/>
                <w:lang w:val="ru-RU"/>
              </w:rPr>
              <w:t>БЕЛАРУСЬ</w:t>
            </w:r>
          </w:p>
        </w:tc>
        <w:tc>
          <w:tcPr>
            <w:tcW w:w="1557" w:type="dxa"/>
            <w:shd w:val="clear" w:color="auto" w:fill="FFFFFF" w:themeFill="background1"/>
            <w:noWrap/>
            <w:vAlign w:val="bottom"/>
            <w:hideMark/>
          </w:tcPr>
          <w:p w14:paraId="2A23284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66</w:t>
            </w:r>
          </w:p>
        </w:tc>
        <w:tc>
          <w:tcPr>
            <w:tcW w:w="1463" w:type="dxa"/>
            <w:shd w:val="clear" w:color="auto" w:fill="FFFFFF" w:themeFill="background1"/>
            <w:noWrap/>
            <w:vAlign w:val="bottom"/>
            <w:hideMark/>
          </w:tcPr>
          <w:p w14:paraId="21CE1D0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994269.21</w:t>
            </w:r>
          </w:p>
        </w:tc>
        <w:tc>
          <w:tcPr>
            <w:tcW w:w="1577" w:type="dxa"/>
            <w:shd w:val="clear" w:color="auto" w:fill="FFFFFF" w:themeFill="background1"/>
            <w:noWrap/>
            <w:vAlign w:val="bottom"/>
            <w:hideMark/>
          </w:tcPr>
          <w:p w14:paraId="7B3CE74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60</w:t>
            </w:r>
          </w:p>
        </w:tc>
        <w:tc>
          <w:tcPr>
            <w:tcW w:w="1483" w:type="dxa"/>
            <w:shd w:val="clear" w:color="auto" w:fill="FFFFFF" w:themeFill="background1"/>
            <w:noWrap/>
            <w:vAlign w:val="bottom"/>
            <w:hideMark/>
          </w:tcPr>
          <w:p w14:paraId="6A81055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885446.66</w:t>
            </w:r>
          </w:p>
        </w:tc>
        <w:tc>
          <w:tcPr>
            <w:tcW w:w="1576" w:type="dxa"/>
            <w:shd w:val="clear" w:color="auto" w:fill="FFFFFF" w:themeFill="background1"/>
            <w:noWrap/>
            <w:vAlign w:val="bottom"/>
            <w:hideMark/>
          </w:tcPr>
          <w:p w14:paraId="72B72C0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w:t>
            </w:r>
          </w:p>
        </w:tc>
        <w:tc>
          <w:tcPr>
            <w:tcW w:w="1344" w:type="dxa"/>
            <w:shd w:val="clear" w:color="auto" w:fill="FFFFFF" w:themeFill="background1"/>
            <w:noWrap/>
            <w:vAlign w:val="bottom"/>
            <w:hideMark/>
          </w:tcPr>
          <w:p w14:paraId="7820FCA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57072.77</w:t>
            </w:r>
          </w:p>
        </w:tc>
        <w:tc>
          <w:tcPr>
            <w:tcW w:w="1495" w:type="dxa"/>
            <w:shd w:val="clear" w:color="auto" w:fill="FFFFFF" w:themeFill="background1"/>
            <w:noWrap/>
            <w:vAlign w:val="bottom"/>
            <w:hideMark/>
          </w:tcPr>
          <w:p w14:paraId="248A8E0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w:t>
            </w:r>
          </w:p>
        </w:tc>
        <w:tc>
          <w:tcPr>
            <w:tcW w:w="1145" w:type="dxa"/>
            <w:shd w:val="clear" w:color="auto" w:fill="FFFFFF" w:themeFill="background1"/>
            <w:noWrap/>
            <w:vAlign w:val="bottom"/>
            <w:hideMark/>
          </w:tcPr>
          <w:p w14:paraId="7277954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51749.78</w:t>
            </w:r>
          </w:p>
        </w:tc>
        <w:tc>
          <w:tcPr>
            <w:tcW w:w="1749" w:type="dxa"/>
            <w:shd w:val="clear" w:color="auto" w:fill="FFFFFF" w:themeFill="background1"/>
            <w:noWrap/>
            <w:vAlign w:val="bottom"/>
            <w:hideMark/>
          </w:tcPr>
          <w:p w14:paraId="70A5E25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w:t>
            </w:r>
          </w:p>
        </w:tc>
        <w:tc>
          <w:tcPr>
            <w:tcW w:w="1491" w:type="dxa"/>
            <w:shd w:val="clear" w:color="auto" w:fill="FFFFFF" w:themeFill="background1"/>
            <w:noWrap/>
            <w:vAlign w:val="bottom"/>
            <w:hideMark/>
          </w:tcPr>
          <w:p w14:paraId="26E8E3A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171412.09</w:t>
            </w:r>
          </w:p>
        </w:tc>
      </w:tr>
      <w:tr w:rsidR="00A356B8" w:rsidRPr="00B7675F" w14:paraId="2A0CF933" w14:textId="77777777" w:rsidTr="00B27804">
        <w:trPr>
          <w:trHeight w:val="264"/>
        </w:trPr>
        <w:tc>
          <w:tcPr>
            <w:tcW w:w="1263" w:type="dxa"/>
            <w:shd w:val="clear" w:color="auto" w:fill="FFFFFF" w:themeFill="background1"/>
            <w:noWrap/>
            <w:vAlign w:val="bottom"/>
            <w:hideMark/>
          </w:tcPr>
          <w:p w14:paraId="09534ADE" w14:textId="7B78EF2D"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БЕЛЬГИЯ</w:t>
            </w:r>
          </w:p>
        </w:tc>
        <w:tc>
          <w:tcPr>
            <w:tcW w:w="1557" w:type="dxa"/>
            <w:shd w:val="clear" w:color="auto" w:fill="FFFFFF" w:themeFill="background1"/>
            <w:noWrap/>
            <w:vAlign w:val="bottom"/>
            <w:hideMark/>
          </w:tcPr>
          <w:p w14:paraId="5B6BE2F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w:t>
            </w:r>
          </w:p>
        </w:tc>
        <w:tc>
          <w:tcPr>
            <w:tcW w:w="1463" w:type="dxa"/>
            <w:shd w:val="clear" w:color="auto" w:fill="FFFFFF" w:themeFill="background1"/>
            <w:noWrap/>
            <w:vAlign w:val="bottom"/>
            <w:hideMark/>
          </w:tcPr>
          <w:p w14:paraId="54EF000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41709.77</w:t>
            </w:r>
          </w:p>
        </w:tc>
        <w:tc>
          <w:tcPr>
            <w:tcW w:w="1577" w:type="dxa"/>
            <w:shd w:val="clear" w:color="auto" w:fill="FFFFFF" w:themeFill="background1"/>
            <w:noWrap/>
            <w:vAlign w:val="bottom"/>
            <w:hideMark/>
          </w:tcPr>
          <w:p w14:paraId="6FE13F1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w:t>
            </w:r>
          </w:p>
        </w:tc>
        <w:tc>
          <w:tcPr>
            <w:tcW w:w="1483" w:type="dxa"/>
            <w:shd w:val="clear" w:color="auto" w:fill="FFFFFF" w:themeFill="background1"/>
            <w:noWrap/>
            <w:vAlign w:val="bottom"/>
            <w:hideMark/>
          </w:tcPr>
          <w:p w14:paraId="2F3E762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18620.97</w:t>
            </w:r>
          </w:p>
        </w:tc>
        <w:tc>
          <w:tcPr>
            <w:tcW w:w="1576" w:type="dxa"/>
            <w:shd w:val="clear" w:color="auto" w:fill="FFFFFF" w:themeFill="background1"/>
            <w:noWrap/>
            <w:vAlign w:val="bottom"/>
            <w:hideMark/>
          </w:tcPr>
          <w:p w14:paraId="0A47888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344" w:type="dxa"/>
            <w:shd w:val="clear" w:color="auto" w:fill="FFFFFF" w:themeFill="background1"/>
            <w:noWrap/>
            <w:vAlign w:val="bottom"/>
            <w:hideMark/>
          </w:tcPr>
          <w:p w14:paraId="754CFB5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23088.8</w:t>
            </w:r>
          </w:p>
        </w:tc>
        <w:tc>
          <w:tcPr>
            <w:tcW w:w="1495" w:type="dxa"/>
            <w:shd w:val="clear" w:color="auto" w:fill="FFFFFF" w:themeFill="background1"/>
            <w:noWrap/>
            <w:vAlign w:val="bottom"/>
            <w:hideMark/>
          </w:tcPr>
          <w:p w14:paraId="2552BB6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71EB476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6A206D4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790E061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59417CCA" w14:textId="77777777" w:rsidTr="00B27804">
        <w:trPr>
          <w:trHeight w:val="264"/>
        </w:trPr>
        <w:tc>
          <w:tcPr>
            <w:tcW w:w="1263" w:type="dxa"/>
            <w:shd w:val="clear" w:color="auto" w:fill="FFFFFF" w:themeFill="background1"/>
            <w:noWrap/>
            <w:vAlign w:val="bottom"/>
            <w:hideMark/>
          </w:tcPr>
          <w:p w14:paraId="4EC0E6C7" w14:textId="43BB5A43"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БОЛГАРИЯ</w:t>
            </w:r>
          </w:p>
        </w:tc>
        <w:tc>
          <w:tcPr>
            <w:tcW w:w="1557" w:type="dxa"/>
            <w:shd w:val="clear" w:color="auto" w:fill="FFFFFF" w:themeFill="background1"/>
            <w:noWrap/>
            <w:vAlign w:val="bottom"/>
            <w:hideMark/>
          </w:tcPr>
          <w:p w14:paraId="5962448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139</w:t>
            </w:r>
          </w:p>
        </w:tc>
        <w:tc>
          <w:tcPr>
            <w:tcW w:w="1463" w:type="dxa"/>
            <w:shd w:val="clear" w:color="auto" w:fill="FFFFFF" w:themeFill="background1"/>
            <w:noWrap/>
            <w:vAlign w:val="bottom"/>
            <w:hideMark/>
          </w:tcPr>
          <w:p w14:paraId="29EC8A0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2569816.76</w:t>
            </w:r>
          </w:p>
        </w:tc>
        <w:tc>
          <w:tcPr>
            <w:tcW w:w="1577" w:type="dxa"/>
            <w:shd w:val="clear" w:color="auto" w:fill="FFFFFF" w:themeFill="background1"/>
            <w:noWrap/>
            <w:vAlign w:val="bottom"/>
            <w:hideMark/>
          </w:tcPr>
          <w:p w14:paraId="7278CA5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123</w:t>
            </w:r>
          </w:p>
        </w:tc>
        <w:tc>
          <w:tcPr>
            <w:tcW w:w="1483" w:type="dxa"/>
            <w:shd w:val="clear" w:color="auto" w:fill="FFFFFF" w:themeFill="background1"/>
            <w:noWrap/>
            <w:vAlign w:val="bottom"/>
            <w:hideMark/>
          </w:tcPr>
          <w:p w14:paraId="1EF87A7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2362516.7</w:t>
            </w:r>
          </w:p>
        </w:tc>
        <w:tc>
          <w:tcPr>
            <w:tcW w:w="1576" w:type="dxa"/>
            <w:shd w:val="clear" w:color="auto" w:fill="FFFFFF" w:themeFill="background1"/>
            <w:noWrap/>
            <w:vAlign w:val="bottom"/>
            <w:hideMark/>
          </w:tcPr>
          <w:p w14:paraId="3D7E62D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10</w:t>
            </w:r>
          </w:p>
        </w:tc>
        <w:tc>
          <w:tcPr>
            <w:tcW w:w="1344" w:type="dxa"/>
            <w:shd w:val="clear" w:color="auto" w:fill="FFFFFF" w:themeFill="background1"/>
            <w:noWrap/>
            <w:vAlign w:val="bottom"/>
            <w:hideMark/>
          </w:tcPr>
          <w:p w14:paraId="34A1F25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115718.8</w:t>
            </w:r>
          </w:p>
        </w:tc>
        <w:tc>
          <w:tcPr>
            <w:tcW w:w="1495" w:type="dxa"/>
            <w:shd w:val="clear" w:color="auto" w:fill="FFFFFF" w:themeFill="background1"/>
            <w:noWrap/>
            <w:vAlign w:val="bottom"/>
            <w:hideMark/>
          </w:tcPr>
          <w:p w14:paraId="43DB14E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w:t>
            </w:r>
          </w:p>
        </w:tc>
        <w:tc>
          <w:tcPr>
            <w:tcW w:w="1145" w:type="dxa"/>
            <w:shd w:val="clear" w:color="auto" w:fill="FFFFFF" w:themeFill="background1"/>
            <w:noWrap/>
            <w:vAlign w:val="bottom"/>
            <w:hideMark/>
          </w:tcPr>
          <w:p w14:paraId="46BEA4B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91581.26</w:t>
            </w:r>
          </w:p>
        </w:tc>
        <w:tc>
          <w:tcPr>
            <w:tcW w:w="1749" w:type="dxa"/>
            <w:shd w:val="clear" w:color="auto" w:fill="FFFFFF" w:themeFill="background1"/>
            <w:noWrap/>
            <w:vAlign w:val="bottom"/>
            <w:hideMark/>
          </w:tcPr>
          <w:p w14:paraId="1AC1A11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7</w:t>
            </w:r>
          </w:p>
        </w:tc>
        <w:tc>
          <w:tcPr>
            <w:tcW w:w="1491" w:type="dxa"/>
            <w:shd w:val="clear" w:color="auto" w:fill="FFFFFF" w:themeFill="background1"/>
            <w:noWrap/>
            <w:vAlign w:val="bottom"/>
            <w:hideMark/>
          </w:tcPr>
          <w:p w14:paraId="114D304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213963.42</w:t>
            </w:r>
          </w:p>
        </w:tc>
      </w:tr>
      <w:tr w:rsidR="00A356B8" w:rsidRPr="00B7675F" w14:paraId="1A13FB97" w14:textId="77777777" w:rsidTr="00B27804">
        <w:trPr>
          <w:trHeight w:val="264"/>
        </w:trPr>
        <w:tc>
          <w:tcPr>
            <w:tcW w:w="1263" w:type="dxa"/>
            <w:shd w:val="clear" w:color="auto" w:fill="FFFFFF" w:themeFill="background1"/>
            <w:noWrap/>
            <w:vAlign w:val="bottom"/>
            <w:hideMark/>
          </w:tcPr>
          <w:p w14:paraId="405D344A" w14:textId="52BF697D"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ЧЕХИЯ</w:t>
            </w:r>
          </w:p>
        </w:tc>
        <w:tc>
          <w:tcPr>
            <w:tcW w:w="1557" w:type="dxa"/>
            <w:shd w:val="clear" w:color="auto" w:fill="FFFFFF" w:themeFill="background1"/>
            <w:noWrap/>
            <w:vAlign w:val="bottom"/>
            <w:hideMark/>
          </w:tcPr>
          <w:p w14:paraId="52ABCBB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92</w:t>
            </w:r>
          </w:p>
        </w:tc>
        <w:tc>
          <w:tcPr>
            <w:tcW w:w="1463" w:type="dxa"/>
            <w:shd w:val="clear" w:color="auto" w:fill="FFFFFF" w:themeFill="background1"/>
            <w:noWrap/>
            <w:vAlign w:val="bottom"/>
            <w:hideMark/>
          </w:tcPr>
          <w:p w14:paraId="23B39E6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1797182.7</w:t>
            </w:r>
          </w:p>
        </w:tc>
        <w:tc>
          <w:tcPr>
            <w:tcW w:w="1577" w:type="dxa"/>
            <w:shd w:val="clear" w:color="auto" w:fill="FFFFFF" w:themeFill="background1"/>
            <w:noWrap/>
            <w:vAlign w:val="bottom"/>
            <w:hideMark/>
          </w:tcPr>
          <w:p w14:paraId="3CD0844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72</w:t>
            </w:r>
          </w:p>
        </w:tc>
        <w:tc>
          <w:tcPr>
            <w:tcW w:w="1483" w:type="dxa"/>
            <w:shd w:val="clear" w:color="auto" w:fill="FFFFFF" w:themeFill="background1"/>
            <w:noWrap/>
            <w:vAlign w:val="bottom"/>
            <w:hideMark/>
          </w:tcPr>
          <w:p w14:paraId="266E52E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1453529.19</w:t>
            </w:r>
          </w:p>
        </w:tc>
        <w:tc>
          <w:tcPr>
            <w:tcW w:w="1576" w:type="dxa"/>
            <w:shd w:val="clear" w:color="auto" w:fill="FFFFFF" w:themeFill="background1"/>
            <w:noWrap/>
            <w:vAlign w:val="bottom"/>
            <w:hideMark/>
          </w:tcPr>
          <w:p w14:paraId="716E747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19</w:t>
            </w:r>
          </w:p>
        </w:tc>
        <w:tc>
          <w:tcPr>
            <w:tcW w:w="1344" w:type="dxa"/>
            <w:shd w:val="clear" w:color="auto" w:fill="FFFFFF" w:themeFill="background1"/>
            <w:noWrap/>
            <w:vAlign w:val="bottom"/>
            <w:hideMark/>
          </w:tcPr>
          <w:p w14:paraId="3576638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302696.3</w:t>
            </w:r>
          </w:p>
        </w:tc>
        <w:tc>
          <w:tcPr>
            <w:tcW w:w="1495" w:type="dxa"/>
            <w:shd w:val="clear" w:color="auto" w:fill="FFFFFF" w:themeFill="background1"/>
            <w:noWrap/>
            <w:vAlign w:val="bottom"/>
            <w:hideMark/>
          </w:tcPr>
          <w:p w14:paraId="19D40BE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145" w:type="dxa"/>
            <w:shd w:val="clear" w:color="auto" w:fill="FFFFFF" w:themeFill="background1"/>
            <w:noWrap/>
            <w:vAlign w:val="bottom"/>
            <w:hideMark/>
          </w:tcPr>
          <w:p w14:paraId="76DA688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40957.21</w:t>
            </w:r>
          </w:p>
        </w:tc>
        <w:tc>
          <w:tcPr>
            <w:tcW w:w="1749" w:type="dxa"/>
            <w:shd w:val="clear" w:color="auto" w:fill="FFFFFF" w:themeFill="background1"/>
            <w:noWrap/>
            <w:vAlign w:val="bottom"/>
            <w:hideMark/>
          </w:tcPr>
          <w:p w14:paraId="33E9C0D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2996D27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73CB5515" w14:textId="77777777" w:rsidTr="00B27804">
        <w:trPr>
          <w:trHeight w:val="264"/>
        </w:trPr>
        <w:tc>
          <w:tcPr>
            <w:tcW w:w="1263" w:type="dxa"/>
            <w:shd w:val="clear" w:color="auto" w:fill="FFFFFF" w:themeFill="background1"/>
            <w:noWrap/>
            <w:vAlign w:val="bottom"/>
            <w:hideMark/>
          </w:tcPr>
          <w:p w14:paraId="0BA78EB9" w14:textId="463B1AB0"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ЭСТОНИЯ</w:t>
            </w:r>
          </w:p>
        </w:tc>
        <w:tc>
          <w:tcPr>
            <w:tcW w:w="1557" w:type="dxa"/>
            <w:shd w:val="clear" w:color="auto" w:fill="FFFFFF" w:themeFill="background1"/>
            <w:noWrap/>
            <w:vAlign w:val="bottom"/>
            <w:hideMark/>
          </w:tcPr>
          <w:p w14:paraId="361B11E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10</w:t>
            </w:r>
          </w:p>
        </w:tc>
        <w:tc>
          <w:tcPr>
            <w:tcW w:w="1463" w:type="dxa"/>
            <w:shd w:val="clear" w:color="auto" w:fill="FFFFFF" w:themeFill="background1"/>
            <w:noWrap/>
            <w:vAlign w:val="bottom"/>
            <w:hideMark/>
          </w:tcPr>
          <w:p w14:paraId="478A4AF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206034.33</w:t>
            </w:r>
          </w:p>
        </w:tc>
        <w:tc>
          <w:tcPr>
            <w:tcW w:w="1577" w:type="dxa"/>
            <w:shd w:val="clear" w:color="auto" w:fill="FFFFFF" w:themeFill="background1"/>
            <w:noWrap/>
            <w:vAlign w:val="bottom"/>
            <w:hideMark/>
          </w:tcPr>
          <w:p w14:paraId="1F6BD31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10</w:t>
            </w:r>
          </w:p>
        </w:tc>
        <w:tc>
          <w:tcPr>
            <w:tcW w:w="1483" w:type="dxa"/>
            <w:shd w:val="clear" w:color="auto" w:fill="FFFFFF" w:themeFill="background1"/>
            <w:noWrap/>
            <w:vAlign w:val="bottom"/>
            <w:hideMark/>
          </w:tcPr>
          <w:p w14:paraId="068D9A2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206034.33</w:t>
            </w:r>
          </w:p>
        </w:tc>
        <w:tc>
          <w:tcPr>
            <w:tcW w:w="1576" w:type="dxa"/>
            <w:shd w:val="clear" w:color="auto" w:fill="FFFFFF" w:themeFill="background1"/>
            <w:noWrap/>
            <w:vAlign w:val="bottom"/>
            <w:hideMark/>
          </w:tcPr>
          <w:p w14:paraId="0160B07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344" w:type="dxa"/>
            <w:shd w:val="clear" w:color="auto" w:fill="FFFFFF" w:themeFill="background1"/>
            <w:noWrap/>
            <w:vAlign w:val="bottom"/>
            <w:hideMark/>
          </w:tcPr>
          <w:p w14:paraId="755F030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5" w:type="dxa"/>
            <w:shd w:val="clear" w:color="auto" w:fill="FFFFFF" w:themeFill="background1"/>
            <w:noWrap/>
            <w:vAlign w:val="bottom"/>
            <w:hideMark/>
          </w:tcPr>
          <w:p w14:paraId="5903DAB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03E991B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3287018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12</w:t>
            </w:r>
          </w:p>
        </w:tc>
        <w:tc>
          <w:tcPr>
            <w:tcW w:w="1491" w:type="dxa"/>
            <w:shd w:val="clear" w:color="auto" w:fill="FFFFFF" w:themeFill="background1"/>
            <w:noWrap/>
            <w:vAlign w:val="bottom"/>
            <w:hideMark/>
          </w:tcPr>
          <w:p w14:paraId="005263C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973846.4</w:t>
            </w:r>
          </w:p>
        </w:tc>
      </w:tr>
      <w:tr w:rsidR="00A356B8" w:rsidRPr="00B7675F" w14:paraId="7521459A" w14:textId="77777777" w:rsidTr="00B27804">
        <w:trPr>
          <w:trHeight w:val="264"/>
        </w:trPr>
        <w:tc>
          <w:tcPr>
            <w:tcW w:w="1263" w:type="dxa"/>
            <w:shd w:val="clear" w:color="auto" w:fill="FFFFFF" w:themeFill="background1"/>
            <w:noWrap/>
            <w:vAlign w:val="bottom"/>
            <w:hideMark/>
          </w:tcPr>
          <w:p w14:paraId="5A8C0DE0" w14:textId="73C1EBA5"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ГЕРМАНИЯ</w:t>
            </w:r>
          </w:p>
        </w:tc>
        <w:tc>
          <w:tcPr>
            <w:tcW w:w="1557" w:type="dxa"/>
            <w:shd w:val="clear" w:color="auto" w:fill="FFFFFF" w:themeFill="background1"/>
            <w:noWrap/>
            <w:vAlign w:val="bottom"/>
            <w:hideMark/>
          </w:tcPr>
          <w:p w14:paraId="49FD2D5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757</w:t>
            </w:r>
          </w:p>
        </w:tc>
        <w:tc>
          <w:tcPr>
            <w:tcW w:w="1463" w:type="dxa"/>
            <w:shd w:val="clear" w:color="auto" w:fill="FFFFFF" w:themeFill="background1"/>
            <w:noWrap/>
            <w:vAlign w:val="bottom"/>
            <w:hideMark/>
          </w:tcPr>
          <w:p w14:paraId="10C1D3E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18802194.33</w:t>
            </w:r>
          </w:p>
        </w:tc>
        <w:tc>
          <w:tcPr>
            <w:tcW w:w="1577" w:type="dxa"/>
            <w:shd w:val="clear" w:color="auto" w:fill="FFFFFF" w:themeFill="background1"/>
            <w:noWrap/>
            <w:vAlign w:val="bottom"/>
            <w:hideMark/>
          </w:tcPr>
          <w:p w14:paraId="76EA0DB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716</w:t>
            </w:r>
          </w:p>
        </w:tc>
        <w:tc>
          <w:tcPr>
            <w:tcW w:w="1483" w:type="dxa"/>
            <w:shd w:val="clear" w:color="auto" w:fill="FFFFFF" w:themeFill="background1"/>
            <w:noWrap/>
            <w:vAlign w:val="bottom"/>
            <w:hideMark/>
          </w:tcPr>
          <w:p w14:paraId="0C1D216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18144783.96</w:t>
            </w:r>
          </w:p>
        </w:tc>
        <w:tc>
          <w:tcPr>
            <w:tcW w:w="1576" w:type="dxa"/>
            <w:shd w:val="clear" w:color="auto" w:fill="FFFFFF" w:themeFill="background1"/>
            <w:noWrap/>
            <w:vAlign w:val="bottom"/>
            <w:hideMark/>
          </w:tcPr>
          <w:p w14:paraId="5497A3C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23</w:t>
            </w:r>
          </w:p>
        </w:tc>
        <w:tc>
          <w:tcPr>
            <w:tcW w:w="1344" w:type="dxa"/>
            <w:shd w:val="clear" w:color="auto" w:fill="FFFFFF" w:themeFill="background1"/>
            <w:noWrap/>
            <w:vAlign w:val="bottom"/>
            <w:hideMark/>
          </w:tcPr>
          <w:p w14:paraId="5872824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268858.96</w:t>
            </w:r>
          </w:p>
        </w:tc>
        <w:tc>
          <w:tcPr>
            <w:tcW w:w="1495" w:type="dxa"/>
            <w:shd w:val="clear" w:color="auto" w:fill="FFFFFF" w:themeFill="background1"/>
            <w:noWrap/>
            <w:vAlign w:val="bottom"/>
            <w:hideMark/>
          </w:tcPr>
          <w:p w14:paraId="3BFBA83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18</w:t>
            </w:r>
          </w:p>
        </w:tc>
        <w:tc>
          <w:tcPr>
            <w:tcW w:w="1145" w:type="dxa"/>
            <w:shd w:val="clear" w:color="auto" w:fill="FFFFFF" w:themeFill="background1"/>
            <w:noWrap/>
            <w:vAlign w:val="bottom"/>
            <w:hideMark/>
          </w:tcPr>
          <w:p w14:paraId="407227F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388551.41</w:t>
            </w:r>
          </w:p>
        </w:tc>
        <w:tc>
          <w:tcPr>
            <w:tcW w:w="1749" w:type="dxa"/>
            <w:shd w:val="clear" w:color="auto" w:fill="FFFFFF" w:themeFill="background1"/>
            <w:noWrap/>
            <w:vAlign w:val="bottom"/>
            <w:hideMark/>
          </w:tcPr>
          <w:p w14:paraId="7673251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3A62A35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4FFCBC57" w14:textId="77777777" w:rsidTr="00B27804">
        <w:trPr>
          <w:trHeight w:val="264"/>
        </w:trPr>
        <w:tc>
          <w:tcPr>
            <w:tcW w:w="1263" w:type="dxa"/>
            <w:shd w:val="clear" w:color="auto" w:fill="FFFFFF" w:themeFill="background1"/>
            <w:noWrap/>
            <w:vAlign w:val="bottom"/>
            <w:hideMark/>
          </w:tcPr>
          <w:p w14:paraId="18780E99" w14:textId="3AA9EC87"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ЛИТВА</w:t>
            </w:r>
          </w:p>
        </w:tc>
        <w:tc>
          <w:tcPr>
            <w:tcW w:w="1557" w:type="dxa"/>
            <w:shd w:val="clear" w:color="auto" w:fill="FFFFFF" w:themeFill="background1"/>
            <w:noWrap/>
            <w:vAlign w:val="bottom"/>
            <w:hideMark/>
          </w:tcPr>
          <w:p w14:paraId="50D4BB8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42</w:t>
            </w:r>
          </w:p>
        </w:tc>
        <w:tc>
          <w:tcPr>
            <w:tcW w:w="1463" w:type="dxa"/>
            <w:shd w:val="clear" w:color="auto" w:fill="FFFFFF" w:themeFill="background1"/>
            <w:noWrap/>
            <w:vAlign w:val="bottom"/>
            <w:hideMark/>
          </w:tcPr>
          <w:p w14:paraId="0C2C045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286002.89</w:t>
            </w:r>
          </w:p>
        </w:tc>
        <w:tc>
          <w:tcPr>
            <w:tcW w:w="1577" w:type="dxa"/>
            <w:shd w:val="clear" w:color="auto" w:fill="FFFFFF" w:themeFill="background1"/>
            <w:noWrap/>
            <w:vAlign w:val="bottom"/>
            <w:hideMark/>
          </w:tcPr>
          <w:p w14:paraId="0FB02C1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32</w:t>
            </w:r>
          </w:p>
        </w:tc>
        <w:tc>
          <w:tcPr>
            <w:tcW w:w="1483" w:type="dxa"/>
            <w:shd w:val="clear" w:color="auto" w:fill="FFFFFF" w:themeFill="background1"/>
            <w:noWrap/>
            <w:vAlign w:val="bottom"/>
            <w:hideMark/>
          </w:tcPr>
          <w:p w14:paraId="7498530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213673.32</w:t>
            </w:r>
          </w:p>
        </w:tc>
        <w:tc>
          <w:tcPr>
            <w:tcW w:w="1576" w:type="dxa"/>
            <w:shd w:val="clear" w:color="auto" w:fill="FFFFFF" w:themeFill="background1"/>
            <w:noWrap/>
            <w:vAlign w:val="bottom"/>
            <w:hideMark/>
          </w:tcPr>
          <w:p w14:paraId="12B7451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9</w:t>
            </w:r>
          </w:p>
        </w:tc>
        <w:tc>
          <w:tcPr>
            <w:tcW w:w="1344" w:type="dxa"/>
            <w:shd w:val="clear" w:color="auto" w:fill="FFFFFF" w:themeFill="background1"/>
            <w:noWrap/>
            <w:vAlign w:val="bottom"/>
            <w:hideMark/>
          </w:tcPr>
          <w:p w14:paraId="1BE2205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68421.09</w:t>
            </w:r>
          </w:p>
        </w:tc>
        <w:tc>
          <w:tcPr>
            <w:tcW w:w="1495" w:type="dxa"/>
            <w:shd w:val="clear" w:color="auto" w:fill="FFFFFF" w:themeFill="background1"/>
            <w:noWrap/>
            <w:vAlign w:val="bottom"/>
            <w:hideMark/>
          </w:tcPr>
          <w:p w14:paraId="4D0001D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145" w:type="dxa"/>
            <w:shd w:val="clear" w:color="auto" w:fill="FFFFFF" w:themeFill="background1"/>
            <w:noWrap/>
            <w:vAlign w:val="bottom"/>
            <w:hideMark/>
          </w:tcPr>
          <w:p w14:paraId="1453C3E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3908.48</w:t>
            </w:r>
          </w:p>
        </w:tc>
        <w:tc>
          <w:tcPr>
            <w:tcW w:w="1749" w:type="dxa"/>
            <w:shd w:val="clear" w:color="auto" w:fill="FFFFFF" w:themeFill="background1"/>
            <w:noWrap/>
            <w:vAlign w:val="bottom"/>
            <w:hideMark/>
          </w:tcPr>
          <w:p w14:paraId="6C8FB8E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19</w:t>
            </w:r>
          </w:p>
        </w:tc>
        <w:tc>
          <w:tcPr>
            <w:tcW w:w="1491" w:type="dxa"/>
            <w:shd w:val="clear" w:color="auto" w:fill="FFFFFF" w:themeFill="background1"/>
            <w:noWrap/>
            <w:vAlign w:val="bottom"/>
            <w:hideMark/>
          </w:tcPr>
          <w:p w14:paraId="60B662E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855574.98</w:t>
            </w:r>
          </w:p>
        </w:tc>
      </w:tr>
      <w:tr w:rsidR="00A356B8" w:rsidRPr="00B7675F" w14:paraId="41BB899B" w14:textId="77777777" w:rsidTr="00B27804">
        <w:trPr>
          <w:trHeight w:val="264"/>
        </w:trPr>
        <w:tc>
          <w:tcPr>
            <w:tcW w:w="1263" w:type="dxa"/>
            <w:shd w:val="clear" w:color="auto" w:fill="FFFFFF" w:themeFill="background1"/>
            <w:noWrap/>
            <w:vAlign w:val="bottom"/>
            <w:hideMark/>
          </w:tcPr>
          <w:p w14:paraId="2DD22495" w14:textId="2FECDDFA"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ПОЛЬША</w:t>
            </w:r>
          </w:p>
        </w:tc>
        <w:tc>
          <w:tcPr>
            <w:tcW w:w="1557" w:type="dxa"/>
            <w:shd w:val="clear" w:color="auto" w:fill="FFFFFF" w:themeFill="background1"/>
            <w:noWrap/>
            <w:vAlign w:val="bottom"/>
            <w:hideMark/>
          </w:tcPr>
          <w:p w14:paraId="71D22CD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19</w:t>
            </w:r>
          </w:p>
        </w:tc>
        <w:tc>
          <w:tcPr>
            <w:tcW w:w="1463" w:type="dxa"/>
            <w:shd w:val="clear" w:color="auto" w:fill="FFFFFF" w:themeFill="background1"/>
            <w:noWrap/>
            <w:vAlign w:val="bottom"/>
            <w:hideMark/>
          </w:tcPr>
          <w:p w14:paraId="270EFD3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507180.67</w:t>
            </w:r>
          </w:p>
        </w:tc>
        <w:tc>
          <w:tcPr>
            <w:tcW w:w="1577" w:type="dxa"/>
            <w:shd w:val="clear" w:color="auto" w:fill="FFFFFF" w:themeFill="background1"/>
            <w:noWrap/>
            <w:vAlign w:val="bottom"/>
            <w:hideMark/>
          </w:tcPr>
          <w:p w14:paraId="0515CB6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18</w:t>
            </w:r>
          </w:p>
        </w:tc>
        <w:tc>
          <w:tcPr>
            <w:tcW w:w="1483" w:type="dxa"/>
            <w:shd w:val="clear" w:color="auto" w:fill="FFFFFF" w:themeFill="background1"/>
            <w:noWrap/>
            <w:vAlign w:val="bottom"/>
            <w:hideMark/>
          </w:tcPr>
          <w:p w14:paraId="3029EC4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457237.17</w:t>
            </w:r>
          </w:p>
        </w:tc>
        <w:tc>
          <w:tcPr>
            <w:tcW w:w="1576" w:type="dxa"/>
            <w:shd w:val="clear" w:color="auto" w:fill="FFFFFF" w:themeFill="background1"/>
            <w:noWrap/>
            <w:vAlign w:val="bottom"/>
            <w:hideMark/>
          </w:tcPr>
          <w:p w14:paraId="5359B41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344" w:type="dxa"/>
            <w:shd w:val="clear" w:color="auto" w:fill="FFFFFF" w:themeFill="background1"/>
            <w:noWrap/>
            <w:vAlign w:val="bottom"/>
            <w:hideMark/>
          </w:tcPr>
          <w:p w14:paraId="335F73F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49943.5</w:t>
            </w:r>
          </w:p>
        </w:tc>
        <w:tc>
          <w:tcPr>
            <w:tcW w:w="1495" w:type="dxa"/>
            <w:shd w:val="clear" w:color="auto" w:fill="FFFFFF" w:themeFill="background1"/>
            <w:noWrap/>
            <w:vAlign w:val="bottom"/>
            <w:hideMark/>
          </w:tcPr>
          <w:p w14:paraId="6FF14DE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1746A27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0BD25E8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20824C7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103ACAC5" w14:textId="77777777" w:rsidTr="00B27804">
        <w:trPr>
          <w:trHeight w:val="264"/>
        </w:trPr>
        <w:tc>
          <w:tcPr>
            <w:tcW w:w="1263" w:type="dxa"/>
            <w:shd w:val="clear" w:color="auto" w:fill="FFFFFF" w:themeFill="background1"/>
            <w:noWrap/>
            <w:vAlign w:val="bottom"/>
            <w:hideMark/>
          </w:tcPr>
          <w:p w14:paraId="529AD121" w14:textId="121E777D"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ПОРТУГАЛИЯ</w:t>
            </w:r>
          </w:p>
        </w:tc>
        <w:tc>
          <w:tcPr>
            <w:tcW w:w="1557" w:type="dxa"/>
            <w:shd w:val="clear" w:color="auto" w:fill="FFFFFF" w:themeFill="background1"/>
            <w:noWrap/>
            <w:vAlign w:val="bottom"/>
            <w:hideMark/>
          </w:tcPr>
          <w:p w14:paraId="1855C65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25</w:t>
            </w:r>
          </w:p>
        </w:tc>
        <w:tc>
          <w:tcPr>
            <w:tcW w:w="1463" w:type="dxa"/>
            <w:shd w:val="clear" w:color="auto" w:fill="FFFFFF" w:themeFill="background1"/>
            <w:noWrap/>
            <w:vAlign w:val="bottom"/>
            <w:hideMark/>
          </w:tcPr>
          <w:p w14:paraId="2DA5D76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604422.34</w:t>
            </w:r>
          </w:p>
        </w:tc>
        <w:tc>
          <w:tcPr>
            <w:tcW w:w="1577" w:type="dxa"/>
            <w:shd w:val="clear" w:color="auto" w:fill="FFFFFF" w:themeFill="background1"/>
            <w:noWrap/>
            <w:vAlign w:val="bottom"/>
            <w:hideMark/>
          </w:tcPr>
          <w:p w14:paraId="4E45A3A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22</w:t>
            </w:r>
          </w:p>
        </w:tc>
        <w:tc>
          <w:tcPr>
            <w:tcW w:w="1483" w:type="dxa"/>
            <w:shd w:val="clear" w:color="auto" w:fill="FFFFFF" w:themeFill="background1"/>
            <w:noWrap/>
            <w:vAlign w:val="bottom"/>
            <w:hideMark/>
          </w:tcPr>
          <w:p w14:paraId="60A3DC3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543665.9</w:t>
            </w:r>
          </w:p>
        </w:tc>
        <w:tc>
          <w:tcPr>
            <w:tcW w:w="1576" w:type="dxa"/>
            <w:shd w:val="clear" w:color="auto" w:fill="FFFFFF" w:themeFill="background1"/>
            <w:noWrap/>
            <w:vAlign w:val="bottom"/>
            <w:hideMark/>
          </w:tcPr>
          <w:p w14:paraId="0944EE3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w:t>
            </w:r>
          </w:p>
        </w:tc>
        <w:tc>
          <w:tcPr>
            <w:tcW w:w="1344" w:type="dxa"/>
            <w:shd w:val="clear" w:color="auto" w:fill="FFFFFF" w:themeFill="background1"/>
            <w:noWrap/>
            <w:vAlign w:val="bottom"/>
            <w:hideMark/>
          </w:tcPr>
          <w:p w14:paraId="3472CC6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60756.44</w:t>
            </w:r>
          </w:p>
        </w:tc>
        <w:tc>
          <w:tcPr>
            <w:tcW w:w="1495" w:type="dxa"/>
            <w:shd w:val="clear" w:color="auto" w:fill="FFFFFF" w:themeFill="background1"/>
            <w:noWrap/>
            <w:vAlign w:val="bottom"/>
            <w:hideMark/>
          </w:tcPr>
          <w:p w14:paraId="331970C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720758F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1EEC755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705F39D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50EF0191" w14:textId="77777777" w:rsidTr="00B27804">
        <w:trPr>
          <w:trHeight w:val="264"/>
        </w:trPr>
        <w:tc>
          <w:tcPr>
            <w:tcW w:w="1263" w:type="dxa"/>
            <w:shd w:val="clear" w:color="auto" w:fill="FFFFFF" w:themeFill="background1"/>
            <w:noWrap/>
            <w:vAlign w:val="bottom"/>
            <w:hideMark/>
          </w:tcPr>
          <w:p w14:paraId="3A819D24" w14:textId="73B4A3DE" w:rsidR="00A356B8" w:rsidRPr="00736448" w:rsidRDefault="00906AD1" w:rsidP="00E15964">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РУМЫНИЯ</w:t>
            </w:r>
          </w:p>
        </w:tc>
        <w:tc>
          <w:tcPr>
            <w:tcW w:w="1557" w:type="dxa"/>
            <w:shd w:val="clear" w:color="auto" w:fill="FFFFFF" w:themeFill="background1"/>
            <w:noWrap/>
            <w:vAlign w:val="bottom"/>
            <w:hideMark/>
          </w:tcPr>
          <w:p w14:paraId="1976430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424</w:t>
            </w:r>
          </w:p>
        </w:tc>
        <w:tc>
          <w:tcPr>
            <w:tcW w:w="1463" w:type="dxa"/>
            <w:shd w:val="clear" w:color="auto" w:fill="FFFFFF" w:themeFill="background1"/>
            <w:noWrap/>
            <w:vAlign w:val="bottom"/>
            <w:hideMark/>
          </w:tcPr>
          <w:p w14:paraId="68F6FC7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12702006.05</w:t>
            </w:r>
          </w:p>
        </w:tc>
        <w:tc>
          <w:tcPr>
            <w:tcW w:w="1577" w:type="dxa"/>
            <w:shd w:val="clear" w:color="auto" w:fill="FFFFFF" w:themeFill="background1"/>
            <w:noWrap/>
            <w:vAlign w:val="bottom"/>
            <w:hideMark/>
          </w:tcPr>
          <w:p w14:paraId="663FA07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397</w:t>
            </w:r>
          </w:p>
        </w:tc>
        <w:tc>
          <w:tcPr>
            <w:tcW w:w="1483" w:type="dxa"/>
            <w:shd w:val="clear" w:color="auto" w:fill="FFFFFF" w:themeFill="background1"/>
            <w:noWrap/>
            <w:vAlign w:val="bottom"/>
            <w:hideMark/>
          </w:tcPr>
          <w:p w14:paraId="31FCDE0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12101021.36</w:t>
            </w:r>
          </w:p>
        </w:tc>
        <w:tc>
          <w:tcPr>
            <w:tcW w:w="1576" w:type="dxa"/>
            <w:shd w:val="clear" w:color="auto" w:fill="FFFFFF" w:themeFill="background1"/>
            <w:noWrap/>
            <w:vAlign w:val="bottom"/>
            <w:hideMark/>
          </w:tcPr>
          <w:p w14:paraId="4CDDE39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24</w:t>
            </w:r>
          </w:p>
        </w:tc>
        <w:tc>
          <w:tcPr>
            <w:tcW w:w="1344" w:type="dxa"/>
            <w:shd w:val="clear" w:color="auto" w:fill="FFFFFF" w:themeFill="background1"/>
            <w:noWrap/>
            <w:vAlign w:val="bottom"/>
            <w:hideMark/>
          </w:tcPr>
          <w:p w14:paraId="777020A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518278.9</w:t>
            </w:r>
          </w:p>
        </w:tc>
        <w:tc>
          <w:tcPr>
            <w:tcW w:w="1495" w:type="dxa"/>
            <w:shd w:val="clear" w:color="auto" w:fill="FFFFFF" w:themeFill="background1"/>
            <w:noWrap/>
            <w:vAlign w:val="bottom"/>
            <w:hideMark/>
          </w:tcPr>
          <w:p w14:paraId="23A1342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w:t>
            </w:r>
          </w:p>
        </w:tc>
        <w:tc>
          <w:tcPr>
            <w:tcW w:w="1145" w:type="dxa"/>
            <w:shd w:val="clear" w:color="auto" w:fill="FFFFFF" w:themeFill="background1"/>
            <w:noWrap/>
            <w:vAlign w:val="bottom"/>
            <w:hideMark/>
          </w:tcPr>
          <w:p w14:paraId="7A5AB0A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82705.79</w:t>
            </w:r>
          </w:p>
        </w:tc>
        <w:tc>
          <w:tcPr>
            <w:tcW w:w="1749" w:type="dxa"/>
            <w:shd w:val="clear" w:color="auto" w:fill="FFFFFF" w:themeFill="background1"/>
            <w:noWrap/>
            <w:vAlign w:val="bottom"/>
            <w:hideMark/>
          </w:tcPr>
          <w:p w14:paraId="0438EE5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171D0FA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434690C3" w14:textId="77777777" w:rsidTr="00B27804">
        <w:trPr>
          <w:trHeight w:val="264"/>
        </w:trPr>
        <w:tc>
          <w:tcPr>
            <w:tcW w:w="1263" w:type="dxa"/>
            <w:shd w:val="clear" w:color="auto" w:fill="FFFFFF" w:themeFill="background1"/>
            <w:noWrap/>
            <w:vAlign w:val="bottom"/>
            <w:hideMark/>
          </w:tcPr>
          <w:p w14:paraId="7C1BE779" w14:textId="22319F5E"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ТУРЦИЯ</w:t>
            </w:r>
          </w:p>
        </w:tc>
        <w:tc>
          <w:tcPr>
            <w:tcW w:w="1557" w:type="dxa"/>
            <w:shd w:val="clear" w:color="auto" w:fill="FFFFFF" w:themeFill="background1"/>
            <w:noWrap/>
            <w:vAlign w:val="bottom"/>
            <w:hideMark/>
          </w:tcPr>
          <w:p w14:paraId="558BF7F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w:t>
            </w:r>
          </w:p>
        </w:tc>
        <w:tc>
          <w:tcPr>
            <w:tcW w:w="1463" w:type="dxa"/>
            <w:shd w:val="clear" w:color="auto" w:fill="FFFFFF" w:themeFill="background1"/>
            <w:noWrap/>
            <w:vAlign w:val="bottom"/>
            <w:hideMark/>
          </w:tcPr>
          <w:p w14:paraId="75B4342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57450.42</w:t>
            </w:r>
          </w:p>
        </w:tc>
        <w:tc>
          <w:tcPr>
            <w:tcW w:w="1577" w:type="dxa"/>
            <w:shd w:val="clear" w:color="auto" w:fill="FFFFFF" w:themeFill="background1"/>
            <w:noWrap/>
            <w:vAlign w:val="bottom"/>
            <w:hideMark/>
          </w:tcPr>
          <w:p w14:paraId="1D42180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w:t>
            </w:r>
          </w:p>
        </w:tc>
        <w:tc>
          <w:tcPr>
            <w:tcW w:w="1483" w:type="dxa"/>
            <w:shd w:val="clear" w:color="auto" w:fill="FFFFFF" w:themeFill="background1"/>
            <w:noWrap/>
            <w:vAlign w:val="bottom"/>
            <w:hideMark/>
          </w:tcPr>
          <w:p w14:paraId="0B9FDC2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57450.42</w:t>
            </w:r>
          </w:p>
        </w:tc>
        <w:tc>
          <w:tcPr>
            <w:tcW w:w="1576" w:type="dxa"/>
            <w:shd w:val="clear" w:color="auto" w:fill="FFFFFF" w:themeFill="background1"/>
            <w:noWrap/>
            <w:vAlign w:val="bottom"/>
            <w:hideMark/>
          </w:tcPr>
          <w:p w14:paraId="0ECE367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344" w:type="dxa"/>
            <w:shd w:val="clear" w:color="auto" w:fill="FFFFFF" w:themeFill="background1"/>
            <w:noWrap/>
            <w:vAlign w:val="bottom"/>
            <w:hideMark/>
          </w:tcPr>
          <w:p w14:paraId="180D1D3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5" w:type="dxa"/>
            <w:shd w:val="clear" w:color="auto" w:fill="FFFFFF" w:themeFill="background1"/>
            <w:noWrap/>
            <w:vAlign w:val="bottom"/>
            <w:hideMark/>
          </w:tcPr>
          <w:p w14:paraId="4A26D5F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4EEA6E4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1295203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7E028F7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43F3ECBC" w14:textId="77777777" w:rsidTr="00B27804">
        <w:trPr>
          <w:trHeight w:val="264"/>
        </w:trPr>
        <w:tc>
          <w:tcPr>
            <w:tcW w:w="1263" w:type="dxa"/>
            <w:shd w:val="clear" w:color="auto" w:fill="FFFFFF" w:themeFill="background1"/>
            <w:noWrap/>
            <w:vAlign w:val="bottom"/>
            <w:hideMark/>
          </w:tcPr>
          <w:p w14:paraId="052C5C17" w14:textId="53C66D25"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УКРАИНА</w:t>
            </w:r>
          </w:p>
        </w:tc>
        <w:tc>
          <w:tcPr>
            <w:tcW w:w="1557" w:type="dxa"/>
            <w:shd w:val="clear" w:color="auto" w:fill="FFFFFF" w:themeFill="background1"/>
            <w:noWrap/>
            <w:vAlign w:val="bottom"/>
            <w:hideMark/>
          </w:tcPr>
          <w:p w14:paraId="11D58A4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463" w:type="dxa"/>
            <w:shd w:val="clear" w:color="auto" w:fill="FFFFFF" w:themeFill="background1"/>
            <w:noWrap/>
            <w:vAlign w:val="bottom"/>
            <w:hideMark/>
          </w:tcPr>
          <w:p w14:paraId="4826171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26245.05</w:t>
            </w:r>
          </w:p>
        </w:tc>
        <w:tc>
          <w:tcPr>
            <w:tcW w:w="1577" w:type="dxa"/>
            <w:shd w:val="clear" w:color="auto" w:fill="FFFFFF" w:themeFill="background1"/>
            <w:noWrap/>
            <w:vAlign w:val="bottom"/>
            <w:hideMark/>
          </w:tcPr>
          <w:p w14:paraId="7851872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83" w:type="dxa"/>
            <w:shd w:val="clear" w:color="auto" w:fill="FFFFFF" w:themeFill="background1"/>
            <w:noWrap/>
            <w:vAlign w:val="bottom"/>
            <w:hideMark/>
          </w:tcPr>
          <w:p w14:paraId="6ABAD84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576" w:type="dxa"/>
            <w:shd w:val="clear" w:color="auto" w:fill="FFFFFF" w:themeFill="background1"/>
            <w:noWrap/>
            <w:vAlign w:val="bottom"/>
            <w:hideMark/>
          </w:tcPr>
          <w:p w14:paraId="1D08186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344" w:type="dxa"/>
            <w:shd w:val="clear" w:color="auto" w:fill="FFFFFF" w:themeFill="background1"/>
            <w:noWrap/>
            <w:vAlign w:val="bottom"/>
            <w:hideMark/>
          </w:tcPr>
          <w:p w14:paraId="5A9CDD8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26245.05</w:t>
            </w:r>
          </w:p>
        </w:tc>
        <w:tc>
          <w:tcPr>
            <w:tcW w:w="1495" w:type="dxa"/>
            <w:shd w:val="clear" w:color="auto" w:fill="FFFFFF" w:themeFill="background1"/>
            <w:noWrap/>
            <w:vAlign w:val="bottom"/>
            <w:hideMark/>
          </w:tcPr>
          <w:p w14:paraId="4EEAF05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2612F5D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406E612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6592989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163AF906" w14:textId="77777777" w:rsidTr="00B27804">
        <w:trPr>
          <w:trHeight w:val="264"/>
        </w:trPr>
        <w:tc>
          <w:tcPr>
            <w:tcW w:w="1263" w:type="dxa"/>
            <w:shd w:val="clear" w:color="auto" w:fill="FFFFFF" w:themeFill="background1"/>
            <w:noWrap/>
            <w:vAlign w:val="bottom"/>
            <w:hideMark/>
          </w:tcPr>
          <w:p w14:paraId="7FCDBE03" w14:textId="58036415" w:rsidR="00A356B8" w:rsidRPr="00736448" w:rsidRDefault="00906AD1" w:rsidP="00A356B8">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ВЕНГРИЯ</w:t>
            </w:r>
          </w:p>
        </w:tc>
        <w:tc>
          <w:tcPr>
            <w:tcW w:w="1557" w:type="dxa"/>
            <w:shd w:val="clear" w:color="auto" w:fill="FFFFFF" w:themeFill="background1"/>
            <w:noWrap/>
            <w:vAlign w:val="bottom"/>
            <w:hideMark/>
          </w:tcPr>
          <w:p w14:paraId="12FF718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w:t>
            </w:r>
          </w:p>
        </w:tc>
        <w:tc>
          <w:tcPr>
            <w:tcW w:w="1463" w:type="dxa"/>
            <w:shd w:val="clear" w:color="auto" w:fill="FFFFFF" w:themeFill="background1"/>
            <w:noWrap/>
            <w:vAlign w:val="bottom"/>
            <w:hideMark/>
          </w:tcPr>
          <w:p w14:paraId="6CB2117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148839.52</w:t>
            </w:r>
          </w:p>
        </w:tc>
        <w:tc>
          <w:tcPr>
            <w:tcW w:w="1577" w:type="dxa"/>
            <w:shd w:val="clear" w:color="auto" w:fill="FFFFFF" w:themeFill="background1"/>
            <w:noWrap/>
            <w:vAlign w:val="bottom"/>
            <w:hideMark/>
          </w:tcPr>
          <w:p w14:paraId="0654030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w:t>
            </w:r>
          </w:p>
        </w:tc>
        <w:tc>
          <w:tcPr>
            <w:tcW w:w="1483" w:type="dxa"/>
            <w:shd w:val="clear" w:color="auto" w:fill="FFFFFF" w:themeFill="background1"/>
            <w:noWrap/>
            <w:vAlign w:val="bottom"/>
            <w:hideMark/>
          </w:tcPr>
          <w:p w14:paraId="6004070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148839.52</w:t>
            </w:r>
          </w:p>
        </w:tc>
        <w:tc>
          <w:tcPr>
            <w:tcW w:w="1576" w:type="dxa"/>
            <w:shd w:val="clear" w:color="auto" w:fill="FFFFFF" w:themeFill="background1"/>
            <w:noWrap/>
            <w:vAlign w:val="bottom"/>
            <w:hideMark/>
          </w:tcPr>
          <w:p w14:paraId="158E138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344" w:type="dxa"/>
            <w:shd w:val="clear" w:color="auto" w:fill="FFFFFF" w:themeFill="background1"/>
            <w:noWrap/>
            <w:vAlign w:val="bottom"/>
            <w:hideMark/>
          </w:tcPr>
          <w:p w14:paraId="068ED05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5" w:type="dxa"/>
            <w:shd w:val="clear" w:color="auto" w:fill="FFFFFF" w:themeFill="background1"/>
            <w:noWrap/>
            <w:vAlign w:val="bottom"/>
            <w:hideMark/>
          </w:tcPr>
          <w:p w14:paraId="2FDAA3D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71CB747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253F2C5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03956B1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0CD2C641" w14:textId="77777777" w:rsidTr="00B27804">
        <w:trPr>
          <w:trHeight w:val="264"/>
        </w:trPr>
        <w:tc>
          <w:tcPr>
            <w:tcW w:w="1263" w:type="dxa"/>
            <w:shd w:val="clear" w:color="auto" w:fill="FFFFFF" w:themeFill="background1"/>
            <w:noWrap/>
            <w:vAlign w:val="bottom"/>
            <w:hideMark/>
          </w:tcPr>
          <w:p w14:paraId="6F702B93" w14:textId="2E64E646" w:rsidR="00A356B8" w:rsidRPr="00736448" w:rsidRDefault="0086017F" w:rsidP="00A356B8">
            <w:pPr>
              <w:spacing w:after="0" w:line="240" w:lineRule="auto"/>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ВСЕГО</w:t>
            </w:r>
          </w:p>
        </w:tc>
        <w:tc>
          <w:tcPr>
            <w:tcW w:w="1557" w:type="dxa"/>
            <w:shd w:val="clear" w:color="auto" w:fill="FFFFFF" w:themeFill="background1"/>
            <w:noWrap/>
            <w:vAlign w:val="bottom"/>
            <w:hideMark/>
          </w:tcPr>
          <w:p w14:paraId="3D44A2C9"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1642</w:t>
            </w:r>
          </w:p>
        </w:tc>
        <w:tc>
          <w:tcPr>
            <w:tcW w:w="1463" w:type="dxa"/>
            <w:shd w:val="clear" w:color="auto" w:fill="FFFFFF" w:themeFill="background1"/>
            <w:noWrap/>
            <w:vAlign w:val="bottom"/>
            <w:hideMark/>
          </w:tcPr>
          <w:p w14:paraId="0D25C094"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39924495.41</w:t>
            </w:r>
          </w:p>
        </w:tc>
        <w:tc>
          <w:tcPr>
            <w:tcW w:w="1577" w:type="dxa"/>
            <w:shd w:val="clear" w:color="auto" w:fill="FFFFFF" w:themeFill="background1"/>
            <w:noWrap/>
            <w:vAlign w:val="bottom"/>
            <w:hideMark/>
          </w:tcPr>
          <w:p w14:paraId="7C59B325"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1512</w:t>
            </w:r>
          </w:p>
        </w:tc>
        <w:tc>
          <w:tcPr>
            <w:tcW w:w="1483" w:type="dxa"/>
            <w:shd w:val="clear" w:color="auto" w:fill="FFFFFF" w:themeFill="background1"/>
            <w:noWrap/>
            <w:vAlign w:val="bottom"/>
            <w:hideMark/>
          </w:tcPr>
          <w:p w14:paraId="183A9A4A"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37718429.86</w:t>
            </w:r>
          </w:p>
        </w:tc>
        <w:tc>
          <w:tcPr>
            <w:tcW w:w="1576" w:type="dxa"/>
            <w:shd w:val="clear" w:color="auto" w:fill="FFFFFF" w:themeFill="background1"/>
            <w:noWrap/>
            <w:vAlign w:val="bottom"/>
            <w:hideMark/>
          </w:tcPr>
          <w:p w14:paraId="1B3DC880"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99</w:t>
            </w:r>
          </w:p>
        </w:tc>
        <w:tc>
          <w:tcPr>
            <w:tcW w:w="1344" w:type="dxa"/>
            <w:shd w:val="clear" w:color="auto" w:fill="FFFFFF" w:themeFill="background1"/>
            <w:noWrap/>
            <w:vAlign w:val="bottom"/>
            <w:hideMark/>
          </w:tcPr>
          <w:p w14:paraId="2C419225"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1546611.62</w:t>
            </w:r>
          </w:p>
        </w:tc>
        <w:tc>
          <w:tcPr>
            <w:tcW w:w="1495" w:type="dxa"/>
            <w:shd w:val="clear" w:color="auto" w:fill="FFFFFF" w:themeFill="background1"/>
            <w:noWrap/>
            <w:vAlign w:val="bottom"/>
            <w:hideMark/>
          </w:tcPr>
          <w:p w14:paraId="6A905F65"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31</w:t>
            </w:r>
          </w:p>
        </w:tc>
        <w:tc>
          <w:tcPr>
            <w:tcW w:w="1145" w:type="dxa"/>
            <w:shd w:val="clear" w:color="auto" w:fill="FFFFFF" w:themeFill="background1"/>
            <w:noWrap/>
            <w:vAlign w:val="bottom"/>
            <w:hideMark/>
          </w:tcPr>
          <w:p w14:paraId="3FA88A3F"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659453.93</w:t>
            </w:r>
          </w:p>
        </w:tc>
        <w:tc>
          <w:tcPr>
            <w:tcW w:w="1749" w:type="dxa"/>
            <w:shd w:val="clear" w:color="auto" w:fill="FFFFFF" w:themeFill="background1"/>
            <w:noWrap/>
            <w:vAlign w:val="bottom"/>
            <w:hideMark/>
          </w:tcPr>
          <w:p w14:paraId="3FCC6396"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46</w:t>
            </w:r>
          </w:p>
        </w:tc>
        <w:tc>
          <w:tcPr>
            <w:tcW w:w="1491" w:type="dxa"/>
            <w:shd w:val="clear" w:color="auto" w:fill="FFFFFF" w:themeFill="background1"/>
            <w:noWrap/>
            <w:vAlign w:val="bottom"/>
            <w:hideMark/>
          </w:tcPr>
          <w:p w14:paraId="1F153D06"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2214796.89</w:t>
            </w:r>
          </w:p>
        </w:tc>
      </w:tr>
    </w:tbl>
    <w:p w14:paraId="0D0C7280" w14:textId="77777777" w:rsidR="00A356B8" w:rsidRPr="00736448" w:rsidRDefault="00A356B8" w:rsidP="003D0784">
      <w:pPr>
        <w:shd w:val="clear" w:color="auto" w:fill="FFFFFF"/>
        <w:spacing w:after="0" w:line="276" w:lineRule="auto"/>
        <w:rPr>
          <w:rFonts w:asciiTheme="majorHAnsi" w:eastAsia="Times New Roman" w:hAnsiTheme="majorHAnsi" w:cstheme="majorHAnsi"/>
          <w:sz w:val="24"/>
          <w:szCs w:val="24"/>
          <w:lang w:val="ro-MD"/>
        </w:rPr>
        <w:sectPr w:rsidR="00A356B8" w:rsidRPr="00736448" w:rsidSect="00036557">
          <w:pgSz w:w="16838" w:h="11906" w:orient="landscape"/>
          <w:pgMar w:top="720" w:right="360" w:bottom="566" w:left="360" w:header="708" w:footer="708" w:gutter="0"/>
          <w:cols w:space="708"/>
          <w:docGrid w:linePitch="360"/>
        </w:sectPr>
      </w:pPr>
    </w:p>
    <w:p w14:paraId="5739EB32" w14:textId="7CC63906" w:rsidR="003D0784" w:rsidRPr="00736448" w:rsidRDefault="00FC62B3" w:rsidP="003D0784">
      <w:pPr>
        <w:pStyle w:val="2"/>
        <w:spacing w:before="0"/>
        <w:jc w:val="right"/>
        <w:rPr>
          <w:rFonts w:cstheme="majorHAnsi"/>
          <w:b/>
          <w:bCs/>
          <w:color w:val="000000" w:themeColor="text1"/>
          <w:sz w:val="24"/>
          <w:szCs w:val="24"/>
          <w:lang w:val="ro-MD"/>
        </w:rPr>
      </w:pPr>
      <w:r>
        <w:rPr>
          <w:rFonts w:cstheme="majorHAnsi"/>
          <w:b/>
          <w:bCs/>
          <w:color w:val="000000" w:themeColor="text1"/>
          <w:sz w:val="24"/>
          <w:szCs w:val="24"/>
          <w:lang w:val="ro-MD"/>
        </w:rPr>
        <w:t>Приложение №</w:t>
      </w:r>
      <w:r w:rsidR="003D0784" w:rsidRPr="00736448">
        <w:rPr>
          <w:rFonts w:cstheme="majorHAnsi"/>
          <w:b/>
          <w:bCs/>
          <w:color w:val="000000" w:themeColor="text1"/>
          <w:sz w:val="24"/>
          <w:szCs w:val="24"/>
          <w:lang w:val="ro-MD"/>
        </w:rPr>
        <w:t xml:space="preserve"> </w:t>
      </w:r>
      <w:r w:rsidR="00A32714" w:rsidRPr="00736448">
        <w:rPr>
          <w:rFonts w:cstheme="majorHAnsi"/>
          <w:b/>
          <w:bCs/>
          <w:color w:val="000000" w:themeColor="text1"/>
          <w:sz w:val="24"/>
          <w:szCs w:val="24"/>
          <w:lang w:val="ro-MD"/>
        </w:rPr>
        <w:t>9</w:t>
      </w:r>
    </w:p>
    <w:p w14:paraId="6400BD12" w14:textId="380AB7D7" w:rsidR="003D0784" w:rsidRPr="00736448" w:rsidRDefault="00906AD1" w:rsidP="003D0784">
      <w:pPr>
        <w:spacing w:after="0"/>
        <w:jc w:val="center"/>
        <w:rPr>
          <w:rFonts w:asciiTheme="majorHAnsi" w:hAnsiTheme="majorHAnsi" w:cstheme="majorHAnsi"/>
          <w:b/>
          <w:lang w:val="ro-MD"/>
        </w:rPr>
      </w:pPr>
      <w:r w:rsidRPr="00906AD1">
        <w:rPr>
          <w:rFonts w:asciiTheme="majorHAnsi" w:hAnsiTheme="majorHAnsi" w:cstheme="majorHAnsi"/>
          <w:b/>
          <w:lang w:val="ro-MD"/>
        </w:rPr>
        <w:t>Анализ доходов по видам показателей</w:t>
      </w:r>
      <w:r>
        <w:rPr>
          <w:rFonts w:asciiTheme="majorHAnsi" w:hAnsiTheme="majorHAnsi" w:cstheme="majorHAnsi"/>
          <w:b/>
          <w:lang w:val="ru-RU"/>
        </w:rPr>
        <w:t>,</w:t>
      </w:r>
      <w:r w:rsidRPr="00906AD1">
        <w:rPr>
          <w:rFonts w:asciiTheme="majorHAnsi" w:hAnsiTheme="majorHAnsi" w:cstheme="majorHAnsi"/>
          <w:b/>
          <w:lang w:val="ro-MD"/>
        </w:rPr>
        <w:t xml:space="preserve"> </w:t>
      </w:r>
      <w:r>
        <w:rPr>
          <w:rFonts w:asciiTheme="majorHAnsi" w:hAnsiTheme="majorHAnsi" w:cstheme="majorHAnsi"/>
          <w:b/>
          <w:lang w:val="ru-RU"/>
        </w:rPr>
        <w:t>за</w:t>
      </w:r>
      <w:r w:rsidRPr="00906AD1">
        <w:rPr>
          <w:rFonts w:asciiTheme="majorHAnsi" w:hAnsiTheme="majorHAnsi" w:cstheme="majorHAnsi"/>
          <w:b/>
          <w:lang w:val="ro-MD"/>
        </w:rPr>
        <w:t xml:space="preserve"> 2022 год</w:t>
      </w:r>
    </w:p>
    <w:p w14:paraId="0B624890" w14:textId="117F58A1" w:rsidR="003D0784" w:rsidRPr="00736448" w:rsidRDefault="003D0784" w:rsidP="003D0784">
      <w:pPr>
        <w:spacing w:after="0"/>
        <w:jc w:val="right"/>
        <w:rPr>
          <w:rFonts w:asciiTheme="majorHAnsi" w:hAnsiTheme="majorHAnsi" w:cstheme="majorHAnsi"/>
          <w:b/>
          <w:sz w:val="20"/>
          <w:szCs w:val="20"/>
          <w:lang w:val="ro-MD"/>
        </w:rPr>
      </w:pPr>
      <w:r w:rsidRPr="00736448">
        <w:rPr>
          <w:rFonts w:asciiTheme="majorHAnsi" w:hAnsiTheme="majorHAnsi" w:cstheme="majorHAnsi"/>
          <w:b/>
          <w:sz w:val="20"/>
          <w:szCs w:val="20"/>
          <w:lang w:val="ro-MD"/>
        </w:rPr>
        <w:t>(</w:t>
      </w:r>
      <w:r w:rsidR="00906AD1">
        <w:rPr>
          <w:rFonts w:asciiTheme="majorHAnsi" w:hAnsiTheme="majorHAnsi" w:cstheme="majorHAnsi"/>
          <w:b/>
          <w:sz w:val="20"/>
          <w:szCs w:val="20"/>
          <w:lang w:val="ro-MD"/>
        </w:rPr>
        <w:t>тыс. леев</w:t>
      </w:r>
      <w:r w:rsidRPr="00736448">
        <w:rPr>
          <w:rFonts w:asciiTheme="majorHAnsi" w:hAnsiTheme="majorHAnsi" w:cstheme="majorHAnsi"/>
          <w:b/>
          <w:sz w:val="20"/>
          <w:szCs w:val="20"/>
          <w:lang w:val="ro-MD"/>
        </w:rPr>
        <w:t>)</w:t>
      </w:r>
    </w:p>
    <w:tbl>
      <w:tblPr>
        <w:tblW w:w="13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8"/>
        <w:gridCol w:w="764"/>
        <w:gridCol w:w="1142"/>
        <w:gridCol w:w="1082"/>
        <w:gridCol w:w="1082"/>
        <w:gridCol w:w="1095"/>
        <w:gridCol w:w="1321"/>
        <w:gridCol w:w="900"/>
      </w:tblGrid>
      <w:tr w:rsidR="003D0784" w:rsidRPr="00B7675F" w14:paraId="60A469AD" w14:textId="77777777" w:rsidTr="005F6348">
        <w:trPr>
          <w:trHeight w:val="20"/>
        </w:trPr>
        <w:tc>
          <w:tcPr>
            <w:tcW w:w="6941" w:type="dxa"/>
            <w:shd w:val="clear" w:color="auto" w:fill="auto"/>
            <w:vAlign w:val="center"/>
          </w:tcPr>
          <w:p w14:paraId="54867ACD"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p>
        </w:tc>
        <w:tc>
          <w:tcPr>
            <w:tcW w:w="764" w:type="dxa"/>
            <w:shd w:val="clear" w:color="auto" w:fill="auto"/>
            <w:noWrap/>
            <w:vAlign w:val="center"/>
          </w:tcPr>
          <w:p w14:paraId="4621F70B"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p>
        </w:tc>
        <w:tc>
          <w:tcPr>
            <w:tcW w:w="2164" w:type="dxa"/>
            <w:gridSpan w:val="2"/>
            <w:shd w:val="clear" w:color="auto" w:fill="auto"/>
            <w:noWrap/>
            <w:vAlign w:val="center"/>
          </w:tcPr>
          <w:p w14:paraId="200F4268" w14:textId="16E9B5F2" w:rsidR="003D0784" w:rsidRPr="00E15350" w:rsidRDefault="00E15350" w:rsidP="005F6348">
            <w:pPr>
              <w:spacing w:after="0" w:line="240" w:lineRule="auto"/>
              <w:jc w:val="center"/>
              <w:rPr>
                <w:rFonts w:asciiTheme="majorHAnsi" w:eastAsia="Times New Roman" w:hAnsiTheme="majorHAnsi" w:cstheme="majorHAnsi"/>
                <w:b/>
                <w:bCs/>
                <w:sz w:val="18"/>
                <w:szCs w:val="18"/>
                <w:lang w:val="ru-RU"/>
              </w:rPr>
            </w:pPr>
            <w:r>
              <w:rPr>
                <w:rFonts w:asciiTheme="majorHAnsi" w:eastAsia="Times New Roman" w:hAnsiTheme="majorHAnsi" w:cstheme="majorHAnsi"/>
                <w:b/>
                <w:bCs/>
                <w:sz w:val="18"/>
                <w:szCs w:val="18"/>
                <w:lang w:val="ru-RU"/>
              </w:rPr>
              <w:t>План</w:t>
            </w:r>
          </w:p>
        </w:tc>
        <w:tc>
          <w:tcPr>
            <w:tcW w:w="1082" w:type="dxa"/>
            <w:vMerge w:val="restart"/>
            <w:shd w:val="clear" w:color="auto" w:fill="auto"/>
            <w:noWrap/>
            <w:vAlign w:val="center"/>
          </w:tcPr>
          <w:p w14:paraId="0473485B" w14:textId="2D40FDF7" w:rsidR="003D0784" w:rsidRPr="00736448" w:rsidRDefault="00E15350" w:rsidP="005F6348">
            <w:pPr>
              <w:spacing w:after="0" w:line="240" w:lineRule="auto"/>
              <w:jc w:val="center"/>
              <w:rPr>
                <w:rFonts w:asciiTheme="majorHAnsi" w:eastAsia="Times New Roman" w:hAnsiTheme="majorHAnsi" w:cstheme="majorHAnsi"/>
                <w:b/>
                <w:bCs/>
                <w:sz w:val="18"/>
                <w:szCs w:val="18"/>
                <w:lang w:val="ro-MD"/>
              </w:rPr>
            </w:pPr>
            <w:r>
              <w:rPr>
                <w:rFonts w:asciiTheme="majorHAnsi" w:eastAsia="Times New Roman" w:hAnsiTheme="majorHAnsi" w:cstheme="majorHAnsi"/>
                <w:b/>
                <w:bCs/>
                <w:sz w:val="18"/>
                <w:szCs w:val="18"/>
                <w:lang w:val="ru-RU"/>
              </w:rPr>
              <w:t>Исполнено</w:t>
            </w:r>
            <w:r w:rsidR="003D0784" w:rsidRPr="00736448">
              <w:rPr>
                <w:rFonts w:asciiTheme="majorHAnsi" w:eastAsia="Times New Roman" w:hAnsiTheme="majorHAnsi" w:cstheme="majorHAnsi"/>
                <w:b/>
                <w:bCs/>
                <w:sz w:val="18"/>
                <w:szCs w:val="18"/>
                <w:lang w:val="ro-MD"/>
              </w:rPr>
              <w:t xml:space="preserve"> </w:t>
            </w:r>
          </w:p>
        </w:tc>
        <w:tc>
          <w:tcPr>
            <w:tcW w:w="1082" w:type="dxa"/>
            <w:vMerge w:val="restart"/>
            <w:shd w:val="clear" w:color="auto" w:fill="auto"/>
            <w:noWrap/>
            <w:vAlign w:val="center"/>
          </w:tcPr>
          <w:p w14:paraId="55AB83DA" w14:textId="1C51C3C1" w:rsidR="003D0784" w:rsidRPr="00E15350" w:rsidRDefault="00E15350" w:rsidP="005F6348">
            <w:pPr>
              <w:spacing w:after="0" w:line="240" w:lineRule="auto"/>
              <w:jc w:val="center"/>
              <w:rPr>
                <w:rFonts w:asciiTheme="majorHAnsi" w:eastAsia="Times New Roman" w:hAnsiTheme="majorHAnsi" w:cstheme="majorHAnsi"/>
                <w:b/>
                <w:bCs/>
                <w:sz w:val="18"/>
                <w:szCs w:val="18"/>
                <w:lang w:val="ru-RU"/>
              </w:rPr>
            </w:pPr>
            <w:r>
              <w:rPr>
                <w:rFonts w:asciiTheme="majorHAnsi" w:eastAsia="Times New Roman" w:hAnsiTheme="majorHAnsi" w:cstheme="majorHAnsi"/>
                <w:b/>
                <w:bCs/>
                <w:sz w:val="18"/>
                <w:szCs w:val="18"/>
                <w:lang w:val="ru-RU"/>
              </w:rPr>
              <w:t>Фактически</w:t>
            </w:r>
          </w:p>
        </w:tc>
        <w:tc>
          <w:tcPr>
            <w:tcW w:w="1891" w:type="dxa"/>
            <w:gridSpan w:val="2"/>
            <w:shd w:val="clear" w:color="auto" w:fill="auto"/>
            <w:noWrap/>
            <w:vAlign w:val="center"/>
          </w:tcPr>
          <w:p w14:paraId="2FEE3643" w14:textId="07600B9C" w:rsidR="003D0784" w:rsidRPr="00736448" w:rsidRDefault="0086017F" w:rsidP="005F6348">
            <w:pPr>
              <w:spacing w:after="0" w:line="240" w:lineRule="auto"/>
              <w:jc w:val="center"/>
              <w:rPr>
                <w:rFonts w:asciiTheme="majorHAnsi" w:eastAsia="Times New Roman" w:hAnsiTheme="majorHAnsi" w:cstheme="majorHAnsi"/>
                <w:b/>
                <w:bCs/>
                <w:sz w:val="18"/>
                <w:szCs w:val="18"/>
                <w:lang w:val="ro-MD"/>
              </w:rPr>
            </w:pPr>
            <w:r>
              <w:rPr>
                <w:rFonts w:asciiTheme="majorHAnsi" w:eastAsia="Times New Roman" w:hAnsiTheme="majorHAnsi" w:cstheme="majorHAnsi"/>
                <w:b/>
                <w:bCs/>
                <w:sz w:val="18"/>
                <w:szCs w:val="18"/>
                <w:lang w:val="ro-MD"/>
              </w:rPr>
              <w:t>Всего</w:t>
            </w:r>
          </w:p>
        </w:tc>
      </w:tr>
      <w:tr w:rsidR="003D0784" w:rsidRPr="00B7675F" w14:paraId="39C155E2" w14:textId="77777777" w:rsidTr="005F6348">
        <w:trPr>
          <w:trHeight w:val="20"/>
        </w:trPr>
        <w:tc>
          <w:tcPr>
            <w:tcW w:w="6941" w:type="dxa"/>
            <w:shd w:val="clear" w:color="auto" w:fill="auto"/>
            <w:vAlign w:val="center"/>
          </w:tcPr>
          <w:p w14:paraId="1E76FAAD" w14:textId="5D423369" w:rsidR="003D0784" w:rsidRPr="00E15350" w:rsidRDefault="00E15350" w:rsidP="005F6348">
            <w:pPr>
              <w:spacing w:after="0" w:line="240" w:lineRule="auto"/>
              <w:jc w:val="center"/>
              <w:rPr>
                <w:rFonts w:asciiTheme="majorHAnsi" w:eastAsia="Times New Roman" w:hAnsiTheme="majorHAnsi" w:cstheme="majorHAnsi"/>
                <w:b/>
                <w:bCs/>
                <w:sz w:val="18"/>
                <w:szCs w:val="18"/>
                <w:lang w:val="ru-RU"/>
              </w:rPr>
            </w:pPr>
            <w:r>
              <w:rPr>
                <w:rFonts w:asciiTheme="majorHAnsi" w:eastAsia="Times New Roman" w:hAnsiTheme="majorHAnsi" w:cstheme="majorHAnsi"/>
                <w:b/>
                <w:bCs/>
                <w:sz w:val="18"/>
                <w:szCs w:val="18"/>
                <w:lang w:val="ru-RU"/>
              </w:rPr>
              <w:t>Наименование</w:t>
            </w:r>
          </w:p>
        </w:tc>
        <w:tc>
          <w:tcPr>
            <w:tcW w:w="764" w:type="dxa"/>
            <w:shd w:val="clear" w:color="auto" w:fill="auto"/>
            <w:noWrap/>
            <w:vAlign w:val="center"/>
          </w:tcPr>
          <w:p w14:paraId="557B76BE" w14:textId="4553066A" w:rsidR="003D0784" w:rsidRPr="00E15350" w:rsidRDefault="00E15350" w:rsidP="005F6348">
            <w:pPr>
              <w:spacing w:after="0" w:line="240" w:lineRule="auto"/>
              <w:jc w:val="right"/>
              <w:rPr>
                <w:rFonts w:asciiTheme="majorHAnsi" w:eastAsia="Times New Roman" w:hAnsiTheme="majorHAnsi" w:cstheme="majorHAnsi"/>
                <w:b/>
                <w:bCs/>
                <w:sz w:val="18"/>
                <w:szCs w:val="18"/>
                <w:lang w:val="ru-RU"/>
              </w:rPr>
            </w:pPr>
            <w:r>
              <w:rPr>
                <w:rFonts w:asciiTheme="majorHAnsi" w:eastAsia="Times New Roman" w:hAnsiTheme="majorHAnsi" w:cstheme="majorHAnsi"/>
                <w:b/>
                <w:bCs/>
                <w:sz w:val="18"/>
                <w:szCs w:val="18"/>
                <w:lang w:val="ru-RU"/>
              </w:rPr>
              <w:t>ЭКО</w:t>
            </w:r>
          </w:p>
        </w:tc>
        <w:tc>
          <w:tcPr>
            <w:tcW w:w="1082" w:type="dxa"/>
            <w:shd w:val="clear" w:color="auto" w:fill="auto"/>
            <w:noWrap/>
            <w:vAlign w:val="center"/>
          </w:tcPr>
          <w:p w14:paraId="7C874431" w14:textId="0995768C" w:rsidR="003D0784" w:rsidRPr="00736448" w:rsidRDefault="00E15350" w:rsidP="005F6348">
            <w:pPr>
              <w:spacing w:after="0" w:line="240" w:lineRule="auto"/>
              <w:jc w:val="center"/>
              <w:rPr>
                <w:rFonts w:asciiTheme="majorHAnsi" w:eastAsia="Times New Roman" w:hAnsiTheme="majorHAnsi" w:cstheme="majorHAnsi"/>
                <w:b/>
                <w:bCs/>
                <w:sz w:val="18"/>
                <w:szCs w:val="18"/>
                <w:lang w:val="ro-MD"/>
              </w:rPr>
            </w:pPr>
            <w:r>
              <w:rPr>
                <w:rFonts w:asciiTheme="majorHAnsi" w:eastAsia="Times New Roman" w:hAnsiTheme="majorHAnsi" w:cstheme="majorHAnsi"/>
                <w:b/>
                <w:bCs/>
                <w:sz w:val="18"/>
                <w:szCs w:val="18"/>
                <w:lang w:val="ru-RU"/>
              </w:rPr>
              <w:t>Утверждено на год</w:t>
            </w:r>
            <w:r w:rsidR="003D0784" w:rsidRPr="00736448">
              <w:rPr>
                <w:rFonts w:asciiTheme="majorHAnsi" w:eastAsia="Times New Roman" w:hAnsiTheme="majorHAnsi" w:cstheme="majorHAnsi"/>
                <w:b/>
                <w:bCs/>
                <w:sz w:val="18"/>
                <w:szCs w:val="18"/>
                <w:lang w:val="ro-MD"/>
              </w:rPr>
              <w:t xml:space="preserve"> </w:t>
            </w:r>
          </w:p>
        </w:tc>
        <w:tc>
          <w:tcPr>
            <w:tcW w:w="1082" w:type="dxa"/>
            <w:shd w:val="clear" w:color="auto" w:fill="auto"/>
            <w:noWrap/>
            <w:vAlign w:val="center"/>
          </w:tcPr>
          <w:p w14:paraId="6C4FFE97" w14:textId="3693A72B" w:rsidR="003D0784" w:rsidRPr="00736448" w:rsidRDefault="00E15350" w:rsidP="005F6348">
            <w:pPr>
              <w:spacing w:after="0" w:line="240" w:lineRule="auto"/>
              <w:jc w:val="center"/>
              <w:rPr>
                <w:rFonts w:asciiTheme="majorHAnsi" w:eastAsia="Times New Roman" w:hAnsiTheme="majorHAnsi" w:cstheme="majorHAnsi"/>
                <w:b/>
                <w:bCs/>
                <w:sz w:val="18"/>
                <w:szCs w:val="18"/>
                <w:lang w:val="ro-MD"/>
              </w:rPr>
            </w:pPr>
            <w:r>
              <w:rPr>
                <w:rFonts w:asciiTheme="majorHAnsi" w:eastAsia="Times New Roman" w:hAnsiTheme="majorHAnsi" w:cstheme="majorHAnsi"/>
                <w:b/>
                <w:bCs/>
                <w:sz w:val="18"/>
                <w:szCs w:val="18"/>
                <w:lang w:val="ru-RU"/>
              </w:rPr>
              <w:t>Уточнено на год</w:t>
            </w:r>
            <w:r w:rsidR="003D0784" w:rsidRPr="00736448">
              <w:rPr>
                <w:rFonts w:asciiTheme="majorHAnsi" w:eastAsia="Times New Roman" w:hAnsiTheme="majorHAnsi" w:cstheme="majorHAnsi"/>
                <w:b/>
                <w:bCs/>
                <w:sz w:val="18"/>
                <w:szCs w:val="18"/>
                <w:lang w:val="ro-MD"/>
              </w:rPr>
              <w:t xml:space="preserve"> </w:t>
            </w:r>
          </w:p>
        </w:tc>
        <w:tc>
          <w:tcPr>
            <w:tcW w:w="1082" w:type="dxa"/>
            <w:vMerge/>
            <w:shd w:val="clear" w:color="auto" w:fill="auto"/>
            <w:noWrap/>
            <w:vAlign w:val="center"/>
          </w:tcPr>
          <w:p w14:paraId="53E6CB2F"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p>
        </w:tc>
        <w:tc>
          <w:tcPr>
            <w:tcW w:w="1082" w:type="dxa"/>
            <w:vMerge/>
            <w:shd w:val="clear" w:color="auto" w:fill="auto"/>
            <w:noWrap/>
            <w:vAlign w:val="center"/>
          </w:tcPr>
          <w:p w14:paraId="580DAC4E"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p>
        </w:tc>
        <w:tc>
          <w:tcPr>
            <w:tcW w:w="991" w:type="dxa"/>
            <w:shd w:val="clear" w:color="auto" w:fill="auto"/>
            <w:noWrap/>
            <w:vAlign w:val="center"/>
          </w:tcPr>
          <w:p w14:paraId="1F980B33" w14:textId="648C4649" w:rsidR="003D0784" w:rsidRPr="00E15350" w:rsidRDefault="00E15350" w:rsidP="005F6348">
            <w:pPr>
              <w:spacing w:after="0" w:line="240" w:lineRule="auto"/>
              <w:jc w:val="center"/>
              <w:rPr>
                <w:rFonts w:asciiTheme="majorHAnsi" w:eastAsia="Times New Roman" w:hAnsiTheme="majorHAnsi" w:cstheme="majorHAnsi"/>
                <w:b/>
                <w:bCs/>
                <w:sz w:val="18"/>
                <w:szCs w:val="18"/>
                <w:lang w:val="ru-RU"/>
              </w:rPr>
            </w:pPr>
            <w:r>
              <w:rPr>
                <w:rFonts w:asciiTheme="majorHAnsi" w:eastAsia="Times New Roman" w:hAnsiTheme="majorHAnsi" w:cstheme="majorHAnsi"/>
                <w:b/>
                <w:bCs/>
                <w:sz w:val="18"/>
                <w:szCs w:val="18"/>
                <w:lang w:val="ru-RU"/>
              </w:rPr>
              <w:t>Обязательства</w:t>
            </w:r>
          </w:p>
        </w:tc>
        <w:tc>
          <w:tcPr>
            <w:tcW w:w="900" w:type="dxa"/>
            <w:shd w:val="clear" w:color="auto" w:fill="auto"/>
            <w:noWrap/>
            <w:vAlign w:val="center"/>
          </w:tcPr>
          <w:p w14:paraId="26F2555B" w14:textId="770156F1" w:rsidR="003D0784" w:rsidRPr="00E15350" w:rsidRDefault="003D0784" w:rsidP="00E15350">
            <w:pPr>
              <w:spacing w:after="0" w:line="240" w:lineRule="auto"/>
              <w:jc w:val="center"/>
              <w:rPr>
                <w:rFonts w:asciiTheme="majorHAnsi" w:eastAsia="Times New Roman" w:hAnsiTheme="majorHAnsi" w:cstheme="majorHAnsi"/>
                <w:b/>
                <w:bCs/>
                <w:sz w:val="18"/>
                <w:szCs w:val="18"/>
                <w:lang w:val="ru-RU"/>
              </w:rPr>
            </w:pPr>
            <w:r w:rsidRPr="00736448">
              <w:rPr>
                <w:rFonts w:asciiTheme="majorHAnsi" w:eastAsia="Times New Roman" w:hAnsiTheme="majorHAnsi" w:cstheme="majorHAnsi"/>
                <w:b/>
                <w:bCs/>
                <w:sz w:val="18"/>
                <w:szCs w:val="18"/>
                <w:lang w:val="ro-MD"/>
              </w:rPr>
              <w:t xml:space="preserve"> </w:t>
            </w:r>
            <w:r w:rsidR="00E15350">
              <w:rPr>
                <w:rFonts w:asciiTheme="majorHAnsi" w:eastAsia="Times New Roman" w:hAnsiTheme="majorHAnsi" w:cstheme="majorHAnsi"/>
                <w:b/>
                <w:bCs/>
                <w:sz w:val="18"/>
                <w:szCs w:val="18"/>
                <w:lang w:val="ru-RU"/>
              </w:rPr>
              <w:t>Долги</w:t>
            </w:r>
          </w:p>
        </w:tc>
      </w:tr>
      <w:tr w:rsidR="003D0784" w:rsidRPr="00B7675F" w14:paraId="5FCD471C" w14:textId="77777777" w:rsidTr="005F6348">
        <w:trPr>
          <w:trHeight w:val="20"/>
        </w:trPr>
        <w:tc>
          <w:tcPr>
            <w:tcW w:w="6941" w:type="dxa"/>
            <w:shd w:val="clear" w:color="auto" w:fill="auto"/>
            <w:vAlign w:val="center"/>
            <w:hideMark/>
          </w:tcPr>
          <w:p w14:paraId="49088010"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w:t>
            </w:r>
          </w:p>
        </w:tc>
        <w:tc>
          <w:tcPr>
            <w:tcW w:w="764" w:type="dxa"/>
            <w:shd w:val="clear" w:color="auto" w:fill="auto"/>
            <w:noWrap/>
            <w:vAlign w:val="center"/>
            <w:hideMark/>
          </w:tcPr>
          <w:p w14:paraId="6625D228"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2</w:t>
            </w:r>
          </w:p>
        </w:tc>
        <w:tc>
          <w:tcPr>
            <w:tcW w:w="1082" w:type="dxa"/>
            <w:shd w:val="clear" w:color="auto" w:fill="auto"/>
            <w:noWrap/>
            <w:vAlign w:val="center"/>
            <w:hideMark/>
          </w:tcPr>
          <w:p w14:paraId="53FC3B65"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3</w:t>
            </w:r>
          </w:p>
        </w:tc>
        <w:tc>
          <w:tcPr>
            <w:tcW w:w="1082" w:type="dxa"/>
            <w:shd w:val="clear" w:color="auto" w:fill="auto"/>
            <w:noWrap/>
            <w:vAlign w:val="center"/>
            <w:hideMark/>
          </w:tcPr>
          <w:p w14:paraId="0E7F7CFE"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4</w:t>
            </w:r>
          </w:p>
        </w:tc>
        <w:tc>
          <w:tcPr>
            <w:tcW w:w="1082" w:type="dxa"/>
            <w:shd w:val="clear" w:color="auto" w:fill="auto"/>
            <w:noWrap/>
            <w:vAlign w:val="center"/>
            <w:hideMark/>
          </w:tcPr>
          <w:p w14:paraId="4BEAD3F2"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5</w:t>
            </w:r>
          </w:p>
        </w:tc>
        <w:tc>
          <w:tcPr>
            <w:tcW w:w="1082" w:type="dxa"/>
            <w:shd w:val="clear" w:color="auto" w:fill="auto"/>
            <w:noWrap/>
            <w:vAlign w:val="center"/>
            <w:hideMark/>
          </w:tcPr>
          <w:p w14:paraId="0AD1C32F"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6</w:t>
            </w:r>
          </w:p>
        </w:tc>
        <w:tc>
          <w:tcPr>
            <w:tcW w:w="991" w:type="dxa"/>
            <w:shd w:val="clear" w:color="auto" w:fill="auto"/>
            <w:noWrap/>
            <w:vAlign w:val="center"/>
            <w:hideMark/>
          </w:tcPr>
          <w:p w14:paraId="2C399481"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7</w:t>
            </w:r>
          </w:p>
        </w:tc>
        <w:tc>
          <w:tcPr>
            <w:tcW w:w="900" w:type="dxa"/>
            <w:shd w:val="clear" w:color="auto" w:fill="auto"/>
            <w:noWrap/>
            <w:vAlign w:val="center"/>
            <w:hideMark/>
          </w:tcPr>
          <w:p w14:paraId="3802D5B5"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8</w:t>
            </w:r>
          </w:p>
        </w:tc>
      </w:tr>
      <w:tr w:rsidR="003D0784" w:rsidRPr="00B7675F" w14:paraId="2833618D" w14:textId="77777777" w:rsidTr="005F6348">
        <w:trPr>
          <w:trHeight w:val="20"/>
        </w:trPr>
        <w:tc>
          <w:tcPr>
            <w:tcW w:w="6941" w:type="dxa"/>
            <w:shd w:val="clear" w:color="auto" w:fill="auto"/>
            <w:vAlign w:val="center"/>
            <w:hideMark/>
          </w:tcPr>
          <w:p w14:paraId="612DEC83" w14:textId="0882CBD5" w:rsidR="003D0784" w:rsidRPr="00EF6813" w:rsidRDefault="003D0784" w:rsidP="00EF6813">
            <w:pPr>
              <w:spacing w:after="0" w:line="240" w:lineRule="auto"/>
              <w:rPr>
                <w:rFonts w:asciiTheme="majorHAnsi" w:eastAsia="Times New Roman" w:hAnsiTheme="majorHAnsi" w:cstheme="majorHAnsi"/>
                <w:b/>
                <w:bCs/>
                <w:sz w:val="18"/>
                <w:szCs w:val="18"/>
                <w:lang w:val="ru-RU"/>
              </w:rPr>
            </w:pPr>
            <w:r w:rsidRPr="00736448">
              <w:rPr>
                <w:rFonts w:asciiTheme="majorHAnsi" w:eastAsia="Times New Roman" w:hAnsiTheme="majorHAnsi" w:cstheme="majorHAnsi"/>
                <w:b/>
                <w:bCs/>
                <w:sz w:val="18"/>
                <w:szCs w:val="18"/>
                <w:lang w:val="ro-MD"/>
              </w:rPr>
              <w:t xml:space="preserve">I.  </w:t>
            </w:r>
            <w:r w:rsidR="00EF6813">
              <w:rPr>
                <w:rFonts w:asciiTheme="majorHAnsi" w:eastAsia="Times New Roman" w:hAnsiTheme="majorHAnsi" w:cstheme="majorHAnsi"/>
                <w:b/>
                <w:bCs/>
                <w:sz w:val="18"/>
                <w:szCs w:val="18"/>
                <w:lang w:val="ru-RU"/>
              </w:rPr>
              <w:t>ДОХОДЫ</w:t>
            </w:r>
          </w:p>
        </w:tc>
        <w:tc>
          <w:tcPr>
            <w:tcW w:w="764" w:type="dxa"/>
            <w:shd w:val="clear" w:color="auto" w:fill="auto"/>
            <w:noWrap/>
            <w:vAlign w:val="center"/>
            <w:hideMark/>
          </w:tcPr>
          <w:p w14:paraId="39D75AA5"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w:t>
            </w:r>
          </w:p>
        </w:tc>
        <w:tc>
          <w:tcPr>
            <w:tcW w:w="1082" w:type="dxa"/>
            <w:shd w:val="clear" w:color="auto" w:fill="auto"/>
            <w:noWrap/>
            <w:vAlign w:val="center"/>
          </w:tcPr>
          <w:p w14:paraId="15BD4BDA"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31224240,7</w:t>
            </w:r>
          </w:p>
        </w:tc>
        <w:tc>
          <w:tcPr>
            <w:tcW w:w="1082" w:type="dxa"/>
            <w:shd w:val="clear" w:color="auto" w:fill="auto"/>
            <w:noWrap/>
            <w:vAlign w:val="center"/>
          </w:tcPr>
          <w:p w14:paraId="1A13B0DB"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34200589,4</w:t>
            </w:r>
          </w:p>
        </w:tc>
        <w:tc>
          <w:tcPr>
            <w:tcW w:w="1082" w:type="dxa"/>
            <w:shd w:val="clear" w:color="auto" w:fill="auto"/>
            <w:noWrap/>
            <w:vAlign w:val="center"/>
          </w:tcPr>
          <w:p w14:paraId="0074800E"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33796071,0</w:t>
            </w:r>
          </w:p>
        </w:tc>
        <w:tc>
          <w:tcPr>
            <w:tcW w:w="1082" w:type="dxa"/>
            <w:shd w:val="clear" w:color="auto" w:fill="auto"/>
            <w:noWrap/>
            <w:vAlign w:val="center"/>
          </w:tcPr>
          <w:p w14:paraId="106138EF"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19244051,2</w:t>
            </w:r>
          </w:p>
        </w:tc>
        <w:tc>
          <w:tcPr>
            <w:tcW w:w="991" w:type="dxa"/>
            <w:shd w:val="clear" w:color="auto" w:fill="auto"/>
            <w:noWrap/>
            <w:vAlign w:val="center"/>
          </w:tcPr>
          <w:p w14:paraId="7CD1E3DE"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2171824,6</w:t>
            </w:r>
          </w:p>
        </w:tc>
        <w:tc>
          <w:tcPr>
            <w:tcW w:w="900" w:type="dxa"/>
            <w:shd w:val="clear" w:color="auto" w:fill="auto"/>
            <w:noWrap/>
            <w:vAlign w:val="center"/>
          </w:tcPr>
          <w:p w14:paraId="1B1FA616"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154249,6</w:t>
            </w:r>
          </w:p>
        </w:tc>
      </w:tr>
      <w:tr w:rsidR="003D0784" w:rsidRPr="00B7675F" w14:paraId="756C832C" w14:textId="77777777" w:rsidTr="005F6348">
        <w:trPr>
          <w:trHeight w:val="20"/>
        </w:trPr>
        <w:tc>
          <w:tcPr>
            <w:tcW w:w="6941" w:type="dxa"/>
            <w:shd w:val="clear" w:color="auto" w:fill="auto"/>
            <w:vAlign w:val="bottom"/>
            <w:hideMark/>
          </w:tcPr>
          <w:p w14:paraId="5632239B" w14:textId="2A200331" w:rsidR="003D0784" w:rsidRPr="00736448" w:rsidRDefault="00C80E00" w:rsidP="005F6348">
            <w:pPr>
              <w:spacing w:after="0" w:line="240" w:lineRule="auto"/>
              <w:rPr>
                <w:rFonts w:asciiTheme="majorHAnsi" w:eastAsia="Times New Roman" w:hAnsiTheme="majorHAnsi" w:cstheme="majorHAnsi"/>
                <w:b/>
                <w:bCs/>
                <w:sz w:val="18"/>
                <w:szCs w:val="18"/>
                <w:lang w:val="ro-MD"/>
              </w:rPr>
            </w:pPr>
            <w:r w:rsidRPr="00C80E00">
              <w:rPr>
                <w:rFonts w:asciiTheme="majorHAnsi" w:eastAsia="Times New Roman" w:hAnsiTheme="majorHAnsi" w:cstheme="majorHAnsi"/>
                <w:b/>
                <w:bCs/>
                <w:sz w:val="18"/>
                <w:szCs w:val="18"/>
                <w:lang w:val="ro-MD"/>
              </w:rPr>
              <w:t>ОБЯЗАТЕЛЬНЫЕ СТРАХОВЫЕ ВЗНОСЫ И ПРЕМИИ</w:t>
            </w:r>
          </w:p>
        </w:tc>
        <w:tc>
          <w:tcPr>
            <w:tcW w:w="764" w:type="dxa"/>
            <w:shd w:val="clear" w:color="auto" w:fill="auto"/>
            <w:noWrap/>
            <w:vAlign w:val="center"/>
            <w:hideMark/>
          </w:tcPr>
          <w:p w14:paraId="5C8CD2CA"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12</w:t>
            </w:r>
          </w:p>
        </w:tc>
        <w:tc>
          <w:tcPr>
            <w:tcW w:w="1082" w:type="dxa"/>
            <w:shd w:val="clear" w:color="auto" w:fill="auto"/>
            <w:noWrap/>
            <w:vAlign w:val="center"/>
          </w:tcPr>
          <w:p w14:paraId="217F754A"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18367738,2</w:t>
            </w:r>
          </w:p>
        </w:tc>
        <w:tc>
          <w:tcPr>
            <w:tcW w:w="1082" w:type="dxa"/>
            <w:shd w:val="clear" w:color="auto" w:fill="auto"/>
            <w:noWrap/>
            <w:vAlign w:val="center"/>
          </w:tcPr>
          <w:p w14:paraId="31C34C8F"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18553038,2</w:t>
            </w:r>
          </w:p>
        </w:tc>
        <w:tc>
          <w:tcPr>
            <w:tcW w:w="1082" w:type="dxa"/>
            <w:shd w:val="clear" w:color="auto" w:fill="auto"/>
            <w:noWrap/>
            <w:vAlign w:val="center"/>
          </w:tcPr>
          <w:p w14:paraId="2C5CD807"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18573343,6</w:t>
            </w:r>
          </w:p>
        </w:tc>
        <w:tc>
          <w:tcPr>
            <w:tcW w:w="1082" w:type="dxa"/>
            <w:shd w:val="clear" w:color="auto" w:fill="auto"/>
            <w:noWrap/>
            <w:vAlign w:val="center"/>
          </w:tcPr>
          <w:p w14:paraId="00D8425D"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18800697,6</w:t>
            </w:r>
          </w:p>
        </w:tc>
        <w:tc>
          <w:tcPr>
            <w:tcW w:w="991" w:type="dxa"/>
            <w:shd w:val="clear" w:color="auto" w:fill="auto"/>
            <w:noWrap/>
            <w:vAlign w:val="center"/>
          </w:tcPr>
          <w:p w14:paraId="037697A5"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2092166,1</w:t>
            </w:r>
          </w:p>
        </w:tc>
        <w:tc>
          <w:tcPr>
            <w:tcW w:w="900" w:type="dxa"/>
            <w:shd w:val="clear" w:color="auto" w:fill="auto"/>
            <w:noWrap/>
            <w:vAlign w:val="center"/>
          </w:tcPr>
          <w:p w14:paraId="77A44EB6"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147286,9</w:t>
            </w:r>
          </w:p>
        </w:tc>
      </w:tr>
      <w:tr w:rsidR="003D0784" w:rsidRPr="00B7675F" w14:paraId="61DDD73E" w14:textId="77777777" w:rsidTr="005F6348">
        <w:trPr>
          <w:trHeight w:val="20"/>
        </w:trPr>
        <w:tc>
          <w:tcPr>
            <w:tcW w:w="6941" w:type="dxa"/>
            <w:shd w:val="clear" w:color="auto" w:fill="auto"/>
            <w:vAlign w:val="bottom"/>
            <w:hideMark/>
          </w:tcPr>
          <w:p w14:paraId="5EF134E1" w14:textId="0F86B865" w:rsidR="003D0784" w:rsidRPr="00736448" w:rsidRDefault="00C80E00" w:rsidP="005F6348">
            <w:pPr>
              <w:spacing w:after="0" w:line="240" w:lineRule="auto"/>
              <w:rPr>
                <w:rFonts w:asciiTheme="majorHAnsi" w:eastAsia="Times New Roman" w:hAnsiTheme="majorHAnsi" w:cstheme="majorHAnsi"/>
                <w:b/>
                <w:bCs/>
                <w:sz w:val="18"/>
                <w:szCs w:val="18"/>
                <w:lang w:val="ro-MD"/>
              </w:rPr>
            </w:pPr>
            <w:r w:rsidRPr="00C80E00">
              <w:rPr>
                <w:rFonts w:asciiTheme="majorHAnsi" w:eastAsia="Times New Roman" w:hAnsiTheme="majorHAnsi" w:cstheme="majorHAnsi"/>
                <w:b/>
                <w:bCs/>
                <w:sz w:val="18"/>
                <w:szCs w:val="18"/>
                <w:lang w:val="ro-MD"/>
              </w:rPr>
              <w:t>ОБЯЗАТЕЛЬНЫЕ ВЗНОСЫ ГОСУДАРСТВЕННОГО СОЦИАЛЬНОГО СТРАХОВАНИЯ</w:t>
            </w:r>
          </w:p>
        </w:tc>
        <w:tc>
          <w:tcPr>
            <w:tcW w:w="764" w:type="dxa"/>
            <w:shd w:val="clear" w:color="auto" w:fill="auto"/>
            <w:noWrap/>
            <w:vAlign w:val="center"/>
            <w:hideMark/>
          </w:tcPr>
          <w:p w14:paraId="66868C5A"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121</w:t>
            </w:r>
          </w:p>
        </w:tc>
        <w:tc>
          <w:tcPr>
            <w:tcW w:w="1082" w:type="dxa"/>
            <w:shd w:val="clear" w:color="auto" w:fill="auto"/>
            <w:noWrap/>
            <w:vAlign w:val="center"/>
          </w:tcPr>
          <w:p w14:paraId="52C3591F"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18367738,2</w:t>
            </w:r>
          </w:p>
        </w:tc>
        <w:tc>
          <w:tcPr>
            <w:tcW w:w="1082" w:type="dxa"/>
            <w:shd w:val="clear" w:color="000000" w:fill="FFFFFF"/>
            <w:noWrap/>
            <w:vAlign w:val="center"/>
          </w:tcPr>
          <w:p w14:paraId="2B3EE0D7"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18553038,2</w:t>
            </w:r>
          </w:p>
        </w:tc>
        <w:tc>
          <w:tcPr>
            <w:tcW w:w="1082" w:type="dxa"/>
            <w:shd w:val="clear" w:color="000000" w:fill="FFFFFF"/>
            <w:noWrap/>
            <w:vAlign w:val="center"/>
          </w:tcPr>
          <w:p w14:paraId="26446522"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18573343,6</w:t>
            </w:r>
          </w:p>
        </w:tc>
        <w:tc>
          <w:tcPr>
            <w:tcW w:w="1082" w:type="dxa"/>
            <w:shd w:val="clear" w:color="000000" w:fill="FFFFFF"/>
            <w:noWrap/>
            <w:vAlign w:val="center"/>
          </w:tcPr>
          <w:p w14:paraId="28E898B4"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18800697,6</w:t>
            </w:r>
          </w:p>
        </w:tc>
        <w:tc>
          <w:tcPr>
            <w:tcW w:w="991" w:type="dxa"/>
            <w:shd w:val="clear" w:color="000000" w:fill="FFFFFF"/>
            <w:noWrap/>
            <w:vAlign w:val="center"/>
          </w:tcPr>
          <w:p w14:paraId="7E36F293"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2092166,1</w:t>
            </w:r>
          </w:p>
        </w:tc>
        <w:tc>
          <w:tcPr>
            <w:tcW w:w="900" w:type="dxa"/>
            <w:shd w:val="clear" w:color="000000" w:fill="FFFFFF"/>
            <w:noWrap/>
            <w:vAlign w:val="center"/>
          </w:tcPr>
          <w:p w14:paraId="1D04F2A8"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147286,9</w:t>
            </w:r>
          </w:p>
        </w:tc>
      </w:tr>
      <w:tr w:rsidR="00EF6813" w:rsidRPr="00B7675F" w14:paraId="7EB8EEB6" w14:textId="77777777" w:rsidTr="006C75B2">
        <w:trPr>
          <w:trHeight w:val="20"/>
        </w:trPr>
        <w:tc>
          <w:tcPr>
            <w:tcW w:w="6941" w:type="dxa"/>
            <w:shd w:val="clear" w:color="auto" w:fill="auto"/>
            <w:hideMark/>
          </w:tcPr>
          <w:p w14:paraId="169758EA" w14:textId="4EFB6478" w:rsidR="00EF6813" w:rsidRPr="00EF6813" w:rsidRDefault="00EF6813" w:rsidP="00EF6813">
            <w:pPr>
              <w:spacing w:after="0" w:line="240" w:lineRule="auto"/>
              <w:rPr>
                <w:rFonts w:asciiTheme="majorHAnsi" w:eastAsia="Times New Roman" w:hAnsiTheme="majorHAnsi" w:cstheme="majorHAnsi"/>
                <w:sz w:val="18"/>
                <w:szCs w:val="18"/>
                <w:lang w:val="ro-MD"/>
              </w:rPr>
            </w:pPr>
            <w:r w:rsidRPr="00EF6813">
              <w:rPr>
                <w:rFonts w:asciiTheme="majorHAnsi" w:hAnsiTheme="majorHAnsi" w:cstheme="majorHAnsi"/>
                <w:sz w:val="18"/>
                <w:szCs w:val="18"/>
                <w:lang w:val="ru-MD"/>
              </w:rPr>
              <w:t>Взносы обязательного государственного социального страхования, перечисленные работодателями</w:t>
            </w:r>
          </w:p>
        </w:tc>
        <w:tc>
          <w:tcPr>
            <w:tcW w:w="764" w:type="dxa"/>
            <w:shd w:val="clear" w:color="auto" w:fill="auto"/>
            <w:noWrap/>
            <w:vAlign w:val="center"/>
            <w:hideMark/>
          </w:tcPr>
          <w:p w14:paraId="473AD85B"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121100</w:t>
            </w:r>
          </w:p>
        </w:tc>
        <w:tc>
          <w:tcPr>
            <w:tcW w:w="1082" w:type="dxa"/>
            <w:shd w:val="clear" w:color="auto" w:fill="auto"/>
            <w:noWrap/>
            <w:vAlign w:val="center"/>
          </w:tcPr>
          <w:p w14:paraId="378B029C"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18180412,6</w:t>
            </w:r>
          </w:p>
        </w:tc>
        <w:tc>
          <w:tcPr>
            <w:tcW w:w="1082" w:type="dxa"/>
            <w:shd w:val="clear" w:color="000000" w:fill="FFFFFF"/>
            <w:noWrap/>
            <w:vAlign w:val="center"/>
          </w:tcPr>
          <w:p w14:paraId="6AEFF58F"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18335712,6</w:t>
            </w:r>
          </w:p>
        </w:tc>
        <w:tc>
          <w:tcPr>
            <w:tcW w:w="1082" w:type="dxa"/>
            <w:shd w:val="clear" w:color="auto" w:fill="auto"/>
            <w:noWrap/>
            <w:vAlign w:val="center"/>
          </w:tcPr>
          <w:p w14:paraId="12AC5574"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18335593,4</w:t>
            </w:r>
          </w:p>
        </w:tc>
        <w:tc>
          <w:tcPr>
            <w:tcW w:w="1082" w:type="dxa"/>
            <w:shd w:val="clear" w:color="auto" w:fill="auto"/>
            <w:noWrap/>
            <w:vAlign w:val="center"/>
          </w:tcPr>
          <w:p w14:paraId="78570932"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18546012,5</w:t>
            </w:r>
          </w:p>
        </w:tc>
        <w:tc>
          <w:tcPr>
            <w:tcW w:w="991" w:type="dxa"/>
            <w:shd w:val="clear" w:color="auto" w:fill="auto"/>
            <w:noWrap/>
            <w:vAlign w:val="center"/>
          </w:tcPr>
          <w:p w14:paraId="3E08BCFF"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1723036,3</w:t>
            </w:r>
          </w:p>
        </w:tc>
        <w:tc>
          <w:tcPr>
            <w:tcW w:w="900" w:type="dxa"/>
            <w:shd w:val="clear" w:color="auto" w:fill="auto"/>
            <w:noWrap/>
            <w:vAlign w:val="center"/>
          </w:tcPr>
          <w:p w14:paraId="704769F6"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111269,5</w:t>
            </w:r>
          </w:p>
        </w:tc>
      </w:tr>
      <w:tr w:rsidR="00EF6813" w:rsidRPr="00B7675F" w14:paraId="3F4A7E64" w14:textId="77777777" w:rsidTr="005F6348">
        <w:trPr>
          <w:trHeight w:val="20"/>
        </w:trPr>
        <w:tc>
          <w:tcPr>
            <w:tcW w:w="6941" w:type="dxa"/>
            <w:shd w:val="clear" w:color="auto" w:fill="auto"/>
            <w:vAlign w:val="bottom"/>
            <w:hideMark/>
          </w:tcPr>
          <w:p w14:paraId="17AAAF23" w14:textId="3F8C2B5C" w:rsidR="00EF6813" w:rsidRPr="00EF6813" w:rsidRDefault="00EF6813" w:rsidP="00EF6813">
            <w:pPr>
              <w:spacing w:after="0" w:line="240" w:lineRule="auto"/>
              <w:rPr>
                <w:rFonts w:asciiTheme="majorHAnsi" w:eastAsia="Times New Roman" w:hAnsiTheme="majorHAnsi" w:cstheme="majorHAnsi"/>
                <w:sz w:val="18"/>
                <w:szCs w:val="18"/>
                <w:lang w:val="ro-MD"/>
              </w:rPr>
            </w:pPr>
            <w:r w:rsidRPr="00EF6813">
              <w:rPr>
                <w:rFonts w:asciiTheme="majorHAnsi" w:hAnsiTheme="majorHAnsi" w:cstheme="majorHAnsi"/>
                <w:sz w:val="18"/>
                <w:szCs w:val="18"/>
                <w:lang w:val="ru-MD"/>
              </w:rPr>
              <w:t>Взносы обязательного государственного социального страхования, уплачиваемые физическими лицами, осуществляющими свою деятельность самостоятельно</w:t>
            </w:r>
          </w:p>
        </w:tc>
        <w:tc>
          <w:tcPr>
            <w:tcW w:w="764" w:type="dxa"/>
            <w:shd w:val="clear" w:color="auto" w:fill="auto"/>
            <w:vAlign w:val="center"/>
            <w:hideMark/>
          </w:tcPr>
          <w:p w14:paraId="0A0D7E4D"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121310</w:t>
            </w:r>
          </w:p>
        </w:tc>
        <w:tc>
          <w:tcPr>
            <w:tcW w:w="1082" w:type="dxa"/>
            <w:shd w:val="clear" w:color="auto" w:fill="auto"/>
            <w:vAlign w:val="center"/>
          </w:tcPr>
          <w:p w14:paraId="42B3065F"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130690,7</w:t>
            </w:r>
          </w:p>
        </w:tc>
        <w:tc>
          <w:tcPr>
            <w:tcW w:w="1082" w:type="dxa"/>
            <w:shd w:val="clear" w:color="000000" w:fill="FFFFFF"/>
            <w:vAlign w:val="center"/>
          </w:tcPr>
          <w:p w14:paraId="69083F67"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130690,7</w:t>
            </w:r>
          </w:p>
        </w:tc>
        <w:tc>
          <w:tcPr>
            <w:tcW w:w="1082" w:type="dxa"/>
            <w:shd w:val="clear" w:color="auto" w:fill="auto"/>
            <w:vAlign w:val="center"/>
          </w:tcPr>
          <w:p w14:paraId="7C754AE6"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128237,7</w:t>
            </w:r>
          </w:p>
        </w:tc>
        <w:tc>
          <w:tcPr>
            <w:tcW w:w="1082" w:type="dxa"/>
            <w:shd w:val="clear" w:color="auto" w:fill="auto"/>
            <w:vAlign w:val="center"/>
          </w:tcPr>
          <w:p w14:paraId="3AC75CC1"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130616,2</w:t>
            </w:r>
          </w:p>
        </w:tc>
        <w:tc>
          <w:tcPr>
            <w:tcW w:w="991" w:type="dxa"/>
            <w:shd w:val="clear" w:color="auto" w:fill="auto"/>
            <w:noWrap/>
            <w:vAlign w:val="center"/>
          </w:tcPr>
          <w:p w14:paraId="0D3E340E"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24038,0</w:t>
            </w:r>
          </w:p>
        </w:tc>
        <w:tc>
          <w:tcPr>
            <w:tcW w:w="900" w:type="dxa"/>
            <w:shd w:val="clear" w:color="auto" w:fill="auto"/>
            <w:noWrap/>
            <w:vAlign w:val="center"/>
          </w:tcPr>
          <w:p w14:paraId="265FABB1"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17736,1</w:t>
            </w:r>
          </w:p>
        </w:tc>
      </w:tr>
      <w:tr w:rsidR="00EF6813" w:rsidRPr="00B7675F" w14:paraId="3FF1CC93" w14:textId="77777777" w:rsidTr="006C75B2">
        <w:trPr>
          <w:trHeight w:val="20"/>
        </w:trPr>
        <w:tc>
          <w:tcPr>
            <w:tcW w:w="6941" w:type="dxa"/>
            <w:shd w:val="clear" w:color="auto" w:fill="auto"/>
            <w:hideMark/>
          </w:tcPr>
          <w:p w14:paraId="27DF9B0C" w14:textId="5F2745F9" w:rsidR="00EF6813" w:rsidRPr="00EF6813" w:rsidRDefault="00EF6813" w:rsidP="00EF6813">
            <w:pPr>
              <w:spacing w:after="0" w:line="240" w:lineRule="auto"/>
              <w:rPr>
                <w:rFonts w:asciiTheme="majorHAnsi" w:eastAsia="Times New Roman" w:hAnsiTheme="majorHAnsi" w:cstheme="majorHAnsi"/>
                <w:sz w:val="18"/>
                <w:szCs w:val="18"/>
                <w:lang w:val="ro-MD"/>
              </w:rPr>
            </w:pPr>
            <w:r w:rsidRPr="00EF6813">
              <w:rPr>
                <w:rFonts w:asciiTheme="majorHAnsi" w:eastAsia="Times New Roman" w:hAnsiTheme="majorHAnsi" w:cstheme="majorHAnsi"/>
                <w:color w:val="000000"/>
                <w:sz w:val="18"/>
                <w:szCs w:val="18"/>
                <w:lang w:val="ru-MD"/>
              </w:rPr>
              <w:t>Индивидуальные взносы государственного социального страхования, перечисленные физическими лицами, заключившими индивидуальный договор</w:t>
            </w:r>
          </w:p>
        </w:tc>
        <w:tc>
          <w:tcPr>
            <w:tcW w:w="764" w:type="dxa"/>
            <w:shd w:val="clear" w:color="auto" w:fill="auto"/>
            <w:noWrap/>
            <w:vAlign w:val="center"/>
            <w:hideMark/>
          </w:tcPr>
          <w:p w14:paraId="484BD13C"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121320</w:t>
            </w:r>
          </w:p>
        </w:tc>
        <w:tc>
          <w:tcPr>
            <w:tcW w:w="1082" w:type="dxa"/>
            <w:shd w:val="clear" w:color="auto" w:fill="auto"/>
            <w:noWrap/>
            <w:vAlign w:val="center"/>
          </w:tcPr>
          <w:p w14:paraId="1FA6B547"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5329,6</w:t>
            </w:r>
          </w:p>
        </w:tc>
        <w:tc>
          <w:tcPr>
            <w:tcW w:w="1082" w:type="dxa"/>
            <w:shd w:val="clear" w:color="000000" w:fill="FFFFFF"/>
            <w:noWrap/>
            <w:vAlign w:val="center"/>
          </w:tcPr>
          <w:p w14:paraId="59852D66"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5329,6</w:t>
            </w:r>
          </w:p>
        </w:tc>
        <w:tc>
          <w:tcPr>
            <w:tcW w:w="1082" w:type="dxa"/>
            <w:shd w:val="clear" w:color="auto" w:fill="auto"/>
            <w:noWrap/>
            <w:vAlign w:val="center"/>
          </w:tcPr>
          <w:p w14:paraId="652B7C44"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4891,5</w:t>
            </w:r>
          </w:p>
        </w:tc>
        <w:tc>
          <w:tcPr>
            <w:tcW w:w="1082" w:type="dxa"/>
            <w:shd w:val="clear" w:color="auto" w:fill="auto"/>
            <w:noWrap/>
            <w:vAlign w:val="center"/>
          </w:tcPr>
          <w:p w14:paraId="504B3137"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4767,7</w:t>
            </w:r>
          </w:p>
        </w:tc>
        <w:tc>
          <w:tcPr>
            <w:tcW w:w="991" w:type="dxa"/>
            <w:shd w:val="clear" w:color="auto" w:fill="auto"/>
            <w:noWrap/>
            <w:vAlign w:val="center"/>
          </w:tcPr>
          <w:p w14:paraId="6FABF620"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109,9</w:t>
            </w:r>
          </w:p>
        </w:tc>
        <w:tc>
          <w:tcPr>
            <w:tcW w:w="900" w:type="dxa"/>
            <w:shd w:val="clear" w:color="auto" w:fill="auto"/>
            <w:noWrap/>
            <w:vAlign w:val="center"/>
          </w:tcPr>
          <w:p w14:paraId="330E2016"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1733,3</w:t>
            </w:r>
          </w:p>
        </w:tc>
      </w:tr>
      <w:tr w:rsidR="00EF6813" w:rsidRPr="00B7675F" w14:paraId="5CCF4877" w14:textId="77777777" w:rsidTr="006C75B2">
        <w:trPr>
          <w:trHeight w:val="20"/>
        </w:trPr>
        <w:tc>
          <w:tcPr>
            <w:tcW w:w="6941" w:type="dxa"/>
            <w:shd w:val="clear" w:color="auto" w:fill="auto"/>
            <w:hideMark/>
          </w:tcPr>
          <w:p w14:paraId="3A420269" w14:textId="213077CC" w:rsidR="00EF6813" w:rsidRPr="00EF6813" w:rsidRDefault="00EF6813" w:rsidP="00EF6813">
            <w:pPr>
              <w:spacing w:after="0" w:line="240" w:lineRule="auto"/>
              <w:rPr>
                <w:rFonts w:asciiTheme="majorHAnsi" w:eastAsia="Times New Roman" w:hAnsiTheme="majorHAnsi" w:cstheme="majorHAnsi"/>
                <w:sz w:val="18"/>
                <w:szCs w:val="18"/>
                <w:lang w:val="ro-MD"/>
              </w:rPr>
            </w:pPr>
            <w:r w:rsidRPr="00EF6813">
              <w:rPr>
                <w:rFonts w:asciiTheme="majorHAnsi" w:eastAsia="Times New Roman" w:hAnsiTheme="majorHAnsi" w:cstheme="majorHAnsi"/>
                <w:iCs/>
                <w:color w:val="000000"/>
                <w:sz w:val="18"/>
                <w:szCs w:val="18"/>
                <w:lang w:val="ru-MD"/>
              </w:rPr>
              <w:t>Взносы обязательного государственного социального страхования, перечисленные обладателями предпринимательского патента</w:t>
            </w:r>
          </w:p>
        </w:tc>
        <w:tc>
          <w:tcPr>
            <w:tcW w:w="764" w:type="dxa"/>
            <w:shd w:val="clear" w:color="auto" w:fill="auto"/>
            <w:vAlign w:val="center"/>
            <w:hideMark/>
          </w:tcPr>
          <w:p w14:paraId="11635C46"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121330</w:t>
            </w:r>
          </w:p>
        </w:tc>
        <w:tc>
          <w:tcPr>
            <w:tcW w:w="1082" w:type="dxa"/>
            <w:shd w:val="clear" w:color="auto" w:fill="auto"/>
            <w:vAlign w:val="center"/>
          </w:tcPr>
          <w:p w14:paraId="2BD7B303"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51305,3</w:t>
            </w:r>
          </w:p>
        </w:tc>
        <w:tc>
          <w:tcPr>
            <w:tcW w:w="1082" w:type="dxa"/>
            <w:shd w:val="clear" w:color="000000" w:fill="FFFFFF"/>
            <w:vAlign w:val="center"/>
          </w:tcPr>
          <w:p w14:paraId="0CFB3BCE"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51305,3</w:t>
            </w:r>
          </w:p>
        </w:tc>
        <w:tc>
          <w:tcPr>
            <w:tcW w:w="1082" w:type="dxa"/>
            <w:shd w:val="clear" w:color="auto" w:fill="auto"/>
            <w:vAlign w:val="center"/>
          </w:tcPr>
          <w:p w14:paraId="1D320CC7"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43201,6</w:t>
            </w:r>
          </w:p>
        </w:tc>
        <w:tc>
          <w:tcPr>
            <w:tcW w:w="1082" w:type="dxa"/>
            <w:shd w:val="clear" w:color="auto" w:fill="auto"/>
            <w:vAlign w:val="center"/>
          </w:tcPr>
          <w:p w14:paraId="2420F7F3"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41831,0</w:t>
            </w:r>
          </w:p>
        </w:tc>
        <w:tc>
          <w:tcPr>
            <w:tcW w:w="991" w:type="dxa"/>
            <w:shd w:val="clear" w:color="auto" w:fill="auto"/>
            <w:noWrap/>
            <w:vAlign w:val="center"/>
          </w:tcPr>
          <w:p w14:paraId="1FD4EDF6"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2630,2</w:t>
            </w:r>
          </w:p>
        </w:tc>
        <w:tc>
          <w:tcPr>
            <w:tcW w:w="900" w:type="dxa"/>
            <w:shd w:val="clear" w:color="auto" w:fill="auto"/>
            <w:noWrap/>
            <w:vAlign w:val="center"/>
          </w:tcPr>
          <w:p w14:paraId="46B9B130"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13048,7</w:t>
            </w:r>
          </w:p>
        </w:tc>
      </w:tr>
      <w:tr w:rsidR="00EF6813" w:rsidRPr="00B7675F" w14:paraId="516E3D48" w14:textId="77777777" w:rsidTr="005F6348">
        <w:trPr>
          <w:trHeight w:val="20"/>
        </w:trPr>
        <w:tc>
          <w:tcPr>
            <w:tcW w:w="6941" w:type="dxa"/>
            <w:shd w:val="clear" w:color="auto" w:fill="auto"/>
            <w:vAlign w:val="bottom"/>
            <w:hideMark/>
          </w:tcPr>
          <w:p w14:paraId="171BE8C1" w14:textId="06359557" w:rsidR="00EF6813" w:rsidRPr="00EF6813" w:rsidRDefault="00EF6813" w:rsidP="00EF6813">
            <w:pPr>
              <w:spacing w:after="0" w:line="240" w:lineRule="auto"/>
              <w:rPr>
                <w:rFonts w:asciiTheme="majorHAnsi" w:eastAsia="Times New Roman" w:hAnsiTheme="majorHAnsi" w:cstheme="majorHAnsi"/>
                <w:sz w:val="18"/>
                <w:szCs w:val="18"/>
                <w:lang w:val="ro-MD"/>
              </w:rPr>
            </w:pPr>
            <w:r w:rsidRPr="00EF6813">
              <w:rPr>
                <w:rFonts w:asciiTheme="majorHAnsi" w:hAnsiTheme="majorHAnsi" w:cstheme="majorHAnsi"/>
                <w:sz w:val="18"/>
                <w:szCs w:val="18"/>
                <w:lang w:val="ru-MD"/>
              </w:rPr>
              <w:t>Взносы обязательного государственного социального страхования, взимаемые физическими лицами, владельцами сельскохозяйственных угодий</w:t>
            </w:r>
          </w:p>
        </w:tc>
        <w:tc>
          <w:tcPr>
            <w:tcW w:w="764" w:type="dxa"/>
            <w:shd w:val="clear" w:color="auto" w:fill="auto"/>
            <w:vAlign w:val="center"/>
            <w:hideMark/>
          </w:tcPr>
          <w:p w14:paraId="24BD00B1"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121340</w:t>
            </w:r>
          </w:p>
        </w:tc>
        <w:tc>
          <w:tcPr>
            <w:tcW w:w="1082" w:type="dxa"/>
            <w:shd w:val="clear" w:color="auto" w:fill="auto"/>
            <w:vAlign w:val="center"/>
          </w:tcPr>
          <w:p w14:paraId="01D05235"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c>
          <w:tcPr>
            <w:tcW w:w="1082" w:type="dxa"/>
            <w:shd w:val="clear" w:color="000000" w:fill="FFFFFF"/>
            <w:vAlign w:val="center"/>
          </w:tcPr>
          <w:p w14:paraId="2FEE6ECE"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c>
          <w:tcPr>
            <w:tcW w:w="1082" w:type="dxa"/>
            <w:shd w:val="clear" w:color="auto" w:fill="auto"/>
            <w:vAlign w:val="center"/>
          </w:tcPr>
          <w:p w14:paraId="691DAD7A"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201,5</w:t>
            </w:r>
          </w:p>
        </w:tc>
        <w:tc>
          <w:tcPr>
            <w:tcW w:w="1082" w:type="dxa"/>
            <w:shd w:val="clear" w:color="auto" w:fill="auto"/>
            <w:vAlign w:val="center"/>
          </w:tcPr>
          <w:p w14:paraId="32950D98"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8,2</w:t>
            </w:r>
          </w:p>
        </w:tc>
        <w:tc>
          <w:tcPr>
            <w:tcW w:w="991" w:type="dxa"/>
            <w:shd w:val="clear" w:color="auto" w:fill="auto"/>
            <w:noWrap/>
            <w:vAlign w:val="center"/>
          </w:tcPr>
          <w:p w14:paraId="1B3745C1"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3,4</w:t>
            </w:r>
          </w:p>
        </w:tc>
        <w:tc>
          <w:tcPr>
            <w:tcW w:w="900" w:type="dxa"/>
            <w:shd w:val="clear" w:color="auto" w:fill="auto"/>
            <w:noWrap/>
            <w:vAlign w:val="center"/>
          </w:tcPr>
          <w:p w14:paraId="327BC62B"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917,2</w:t>
            </w:r>
          </w:p>
        </w:tc>
      </w:tr>
      <w:tr w:rsidR="00EF6813" w:rsidRPr="00B7675F" w14:paraId="5E6A2F8A" w14:textId="77777777" w:rsidTr="006C75B2">
        <w:trPr>
          <w:trHeight w:val="20"/>
        </w:trPr>
        <w:tc>
          <w:tcPr>
            <w:tcW w:w="6941" w:type="dxa"/>
            <w:shd w:val="clear" w:color="auto" w:fill="auto"/>
            <w:hideMark/>
          </w:tcPr>
          <w:p w14:paraId="0D31CEF2" w14:textId="620BA076" w:rsidR="00EF6813" w:rsidRPr="00EF6813" w:rsidRDefault="00EF6813" w:rsidP="00EF6813">
            <w:pPr>
              <w:spacing w:after="0" w:line="240" w:lineRule="auto"/>
              <w:rPr>
                <w:rFonts w:asciiTheme="majorHAnsi" w:eastAsia="Times New Roman" w:hAnsiTheme="majorHAnsi" w:cstheme="majorHAnsi"/>
                <w:sz w:val="18"/>
                <w:szCs w:val="18"/>
                <w:lang w:val="ro-MD"/>
              </w:rPr>
            </w:pPr>
            <w:r w:rsidRPr="00EF6813">
              <w:rPr>
                <w:rFonts w:asciiTheme="majorHAnsi" w:hAnsiTheme="majorHAnsi" w:cstheme="majorHAnsi"/>
                <w:sz w:val="18"/>
                <w:szCs w:val="18"/>
                <w:lang w:val="ru-MD"/>
              </w:rPr>
              <w:t>Увеличение за просрочку (пеня), начисленное за неуплату работодателями взносов обязательного государственного социального страхования в срок</w:t>
            </w:r>
          </w:p>
        </w:tc>
        <w:tc>
          <w:tcPr>
            <w:tcW w:w="764" w:type="dxa"/>
            <w:shd w:val="clear" w:color="auto" w:fill="auto"/>
            <w:vAlign w:val="center"/>
            <w:hideMark/>
          </w:tcPr>
          <w:p w14:paraId="4ADCE0F2"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121410</w:t>
            </w:r>
          </w:p>
        </w:tc>
        <w:tc>
          <w:tcPr>
            <w:tcW w:w="1082" w:type="dxa"/>
            <w:shd w:val="clear" w:color="auto" w:fill="auto"/>
            <w:vAlign w:val="center"/>
          </w:tcPr>
          <w:p w14:paraId="16AE8540"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c>
          <w:tcPr>
            <w:tcW w:w="1082" w:type="dxa"/>
            <w:shd w:val="clear" w:color="000000" w:fill="FFFFFF"/>
            <w:vAlign w:val="center"/>
          </w:tcPr>
          <w:p w14:paraId="403A99DA"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30000,0</w:t>
            </w:r>
          </w:p>
        </w:tc>
        <w:tc>
          <w:tcPr>
            <w:tcW w:w="1082" w:type="dxa"/>
            <w:shd w:val="clear" w:color="auto" w:fill="auto"/>
            <w:vAlign w:val="center"/>
          </w:tcPr>
          <w:p w14:paraId="232D237A"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61217,9</w:t>
            </w:r>
          </w:p>
        </w:tc>
        <w:tc>
          <w:tcPr>
            <w:tcW w:w="1082" w:type="dxa"/>
            <w:shd w:val="clear" w:color="auto" w:fill="auto"/>
            <w:vAlign w:val="center"/>
          </w:tcPr>
          <w:p w14:paraId="15B6CCA6"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77462,0</w:t>
            </w:r>
          </w:p>
        </w:tc>
        <w:tc>
          <w:tcPr>
            <w:tcW w:w="991" w:type="dxa"/>
            <w:shd w:val="clear" w:color="auto" w:fill="auto"/>
            <w:noWrap/>
            <w:vAlign w:val="center"/>
          </w:tcPr>
          <w:p w14:paraId="20D5C12B"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342348,3</w:t>
            </w:r>
          </w:p>
        </w:tc>
        <w:tc>
          <w:tcPr>
            <w:tcW w:w="900" w:type="dxa"/>
            <w:shd w:val="clear" w:color="auto" w:fill="auto"/>
            <w:noWrap/>
            <w:vAlign w:val="center"/>
          </w:tcPr>
          <w:p w14:paraId="43603F53" w14:textId="77777777" w:rsidR="00EF6813" w:rsidRPr="00736448" w:rsidRDefault="00EF6813" w:rsidP="00EF6813">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2582,1</w:t>
            </w:r>
          </w:p>
        </w:tc>
      </w:tr>
      <w:tr w:rsidR="003D0784" w:rsidRPr="00B7675F" w14:paraId="3F8EAEC1" w14:textId="77777777" w:rsidTr="005F6348">
        <w:trPr>
          <w:trHeight w:val="20"/>
        </w:trPr>
        <w:tc>
          <w:tcPr>
            <w:tcW w:w="6941" w:type="dxa"/>
            <w:shd w:val="clear" w:color="auto" w:fill="auto"/>
            <w:vAlign w:val="bottom"/>
            <w:hideMark/>
          </w:tcPr>
          <w:p w14:paraId="2AAE998D" w14:textId="417BB7B0" w:rsidR="003D0784" w:rsidRPr="00736448" w:rsidRDefault="00C80E00" w:rsidP="00C80E00">
            <w:pPr>
              <w:spacing w:after="0" w:line="240" w:lineRule="auto"/>
              <w:rPr>
                <w:rFonts w:asciiTheme="majorHAnsi" w:eastAsia="Times New Roman" w:hAnsiTheme="majorHAnsi" w:cstheme="majorHAnsi"/>
                <w:b/>
                <w:bCs/>
                <w:sz w:val="18"/>
                <w:szCs w:val="18"/>
                <w:lang w:val="ro-MD"/>
              </w:rPr>
            </w:pPr>
            <w:r>
              <w:rPr>
                <w:rFonts w:asciiTheme="majorHAnsi" w:eastAsia="Times New Roman" w:hAnsiTheme="majorHAnsi" w:cstheme="majorHAnsi"/>
                <w:b/>
                <w:bCs/>
                <w:sz w:val="18"/>
                <w:szCs w:val="18"/>
                <w:lang w:val="ru-RU"/>
              </w:rPr>
              <w:t>ПРОЧИЕ ДОХОДЫ</w:t>
            </w:r>
          </w:p>
        </w:tc>
        <w:tc>
          <w:tcPr>
            <w:tcW w:w="764" w:type="dxa"/>
            <w:shd w:val="clear" w:color="auto" w:fill="auto"/>
            <w:noWrap/>
            <w:vAlign w:val="center"/>
            <w:hideMark/>
          </w:tcPr>
          <w:p w14:paraId="07457697"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14</w:t>
            </w:r>
          </w:p>
        </w:tc>
        <w:tc>
          <w:tcPr>
            <w:tcW w:w="1082" w:type="dxa"/>
            <w:shd w:val="clear" w:color="auto" w:fill="auto"/>
            <w:noWrap/>
            <w:vAlign w:val="center"/>
          </w:tcPr>
          <w:p w14:paraId="0EE33375"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306490,0</w:t>
            </w:r>
          </w:p>
        </w:tc>
        <w:tc>
          <w:tcPr>
            <w:tcW w:w="1082" w:type="dxa"/>
            <w:shd w:val="clear" w:color="000000" w:fill="FFFFFF"/>
            <w:noWrap/>
            <w:vAlign w:val="center"/>
          </w:tcPr>
          <w:p w14:paraId="3D39D69D"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345190,0</w:t>
            </w:r>
          </w:p>
        </w:tc>
        <w:tc>
          <w:tcPr>
            <w:tcW w:w="1082" w:type="dxa"/>
            <w:shd w:val="clear" w:color="000000" w:fill="FFFFFF"/>
            <w:noWrap/>
            <w:vAlign w:val="center"/>
          </w:tcPr>
          <w:p w14:paraId="6EEB06F8"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428700,3</w:t>
            </w:r>
          </w:p>
        </w:tc>
        <w:tc>
          <w:tcPr>
            <w:tcW w:w="1082" w:type="dxa"/>
            <w:shd w:val="clear" w:color="000000" w:fill="FFFFFF"/>
            <w:noWrap/>
            <w:vAlign w:val="center"/>
          </w:tcPr>
          <w:p w14:paraId="4977524D"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443353,6</w:t>
            </w:r>
          </w:p>
        </w:tc>
        <w:tc>
          <w:tcPr>
            <w:tcW w:w="991" w:type="dxa"/>
            <w:shd w:val="clear" w:color="000000" w:fill="FFFFFF"/>
            <w:noWrap/>
            <w:vAlign w:val="center"/>
          </w:tcPr>
          <w:p w14:paraId="019D37B5"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79658,5</w:t>
            </w:r>
          </w:p>
        </w:tc>
        <w:tc>
          <w:tcPr>
            <w:tcW w:w="900" w:type="dxa"/>
            <w:shd w:val="clear" w:color="000000" w:fill="FFFFFF"/>
            <w:noWrap/>
            <w:vAlign w:val="center"/>
          </w:tcPr>
          <w:p w14:paraId="076EC52B"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6962,7</w:t>
            </w:r>
          </w:p>
        </w:tc>
      </w:tr>
      <w:tr w:rsidR="003D0784" w:rsidRPr="00B7675F" w14:paraId="65C6C3CC" w14:textId="77777777" w:rsidTr="005F6348">
        <w:trPr>
          <w:trHeight w:val="20"/>
        </w:trPr>
        <w:tc>
          <w:tcPr>
            <w:tcW w:w="6941" w:type="dxa"/>
            <w:shd w:val="clear" w:color="auto" w:fill="auto"/>
            <w:vAlign w:val="bottom"/>
            <w:hideMark/>
          </w:tcPr>
          <w:p w14:paraId="5FD306ED" w14:textId="3B38D069" w:rsidR="003D0784" w:rsidRPr="00736448" w:rsidRDefault="00C80E00" w:rsidP="005F6348">
            <w:pPr>
              <w:spacing w:after="0" w:line="240" w:lineRule="auto"/>
              <w:rPr>
                <w:rFonts w:asciiTheme="majorHAnsi" w:eastAsia="Times New Roman" w:hAnsiTheme="majorHAnsi" w:cstheme="majorHAnsi"/>
                <w:b/>
                <w:bCs/>
                <w:sz w:val="18"/>
                <w:szCs w:val="18"/>
                <w:lang w:val="ro-MD"/>
              </w:rPr>
            </w:pPr>
            <w:r w:rsidRPr="00C80E00">
              <w:rPr>
                <w:rFonts w:asciiTheme="majorHAnsi" w:eastAsia="Times New Roman" w:hAnsiTheme="majorHAnsi" w:cstheme="majorHAnsi"/>
                <w:b/>
                <w:bCs/>
                <w:sz w:val="18"/>
                <w:szCs w:val="18"/>
                <w:lang w:val="ro-MD"/>
              </w:rPr>
              <w:t>ДОХОДЫ ОТ СОБСТВЕННОСТИ</w:t>
            </w:r>
          </w:p>
        </w:tc>
        <w:tc>
          <w:tcPr>
            <w:tcW w:w="764" w:type="dxa"/>
            <w:shd w:val="clear" w:color="auto" w:fill="auto"/>
            <w:noWrap/>
            <w:vAlign w:val="center"/>
            <w:hideMark/>
          </w:tcPr>
          <w:p w14:paraId="3DBDAE54"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141</w:t>
            </w:r>
          </w:p>
        </w:tc>
        <w:tc>
          <w:tcPr>
            <w:tcW w:w="1082" w:type="dxa"/>
            <w:shd w:val="clear" w:color="auto" w:fill="auto"/>
            <w:noWrap/>
            <w:vAlign w:val="center"/>
          </w:tcPr>
          <w:p w14:paraId="30D5AC80"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3000,0</w:t>
            </w:r>
          </w:p>
        </w:tc>
        <w:tc>
          <w:tcPr>
            <w:tcW w:w="1082" w:type="dxa"/>
            <w:shd w:val="clear" w:color="000000" w:fill="FFFFFF"/>
            <w:noWrap/>
            <w:vAlign w:val="center"/>
          </w:tcPr>
          <w:p w14:paraId="10477821"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3000,0</w:t>
            </w:r>
          </w:p>
        </w:tc>
        <w:tc>
          <w:tcPr>
            <w:tcW w:w="1082" w:type="dxa"/>
            <w:shd w:val="clear" w:color="000000" w:fill="FFFFFF"/>
            <w:noWrap/>
            <w:vAlign w:val="center"/>
          </w:tcPr>
          <w:p w14:paraId="20D8445C"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6014,1</w:t>
            </w:r>
          </w:p>
        </w:tc>
        <w:tc>
          <w:tcPr>
            <w:tcW w:w="1082" w:type="dxa"/>
            <w:shd w:val="clear" w:color="000000" w:fill="FFFFFF"/>
            <w:noWrap/>
            <w:vAlign w:val="center"/>
          </w:tcPr>
          <w:p w14:paraId="23C34402"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6014,1</w:t>
            </w:r>
          </w:p>
        </w:tc>
        <w:tc>
          <w:tcPr>
            <w:tcW w:w="991" w:type="dxa"/>
            <w:shd w:val="clear" w:color="000000" w:fill="FFFFFF"/>
            <w:noWrap/>
            <w:vAlign w:val="center"/>
          </w:tcPr>
          <w:p w14:paraId="1514B840"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0,0</w:t>
            </w:r>
          </w:p>
        </w:tc>
        <w:tc>
          <w:tcPr>
            <w:tcW w:w="900" w:type="dxa"/>
            <w:shd w:val="clear" w:color="000000" w:fill="FFFFFF"/>
            <w:noWrap/>
            <w:vAlign w:val="center"/>
          </w:tcPr>
          <w:p w14:paraId="56ED3994"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0,0</w:t>
            </w:r>
          </w:p>
        </w:tc>
      </w:tr>
      <w:tr w:rsidR="003D0784" w:rsidRPr="00B7675F" w14:paraId="647A21FF" w14:textId="77777777" w:rsidTr="005F6348">
        <w:trPr>
          <w:trHeight w:val="20"/>
        </w:trPr>
        <w:tc>
          <w:tcPr>
            <w:tcW w:w="6941" w:type="dxa"/>
            <w:shd w:val="clear" w:color="auto" w:fill="auto"/>
            <w:vAlign w:val="bottom"/>
            <w:hideMark/>
          </w:tcPr>
          <w:p w14:paraId="15524B91" w14:textId="22CA01B2" w:rsidR="003D0784" w:rsidRPr="00736448" w:rsidRDefault="00C80E00" w:rsidP="005F6348">
            <w:pPr>
              <w:spacing w:after="0" w:line="240" w:lineRule="auto"/>
              <w:rPr>
                <w:rFonts w:asciiTheme="majorHAnsi" w:eastAsia="Times New Roman" w:hAnsiTheme="majorHAnsi" w:cstheme="majorHAnsi"/>
                <w:sz w:val="18"/>
                <w:szCs w:val="18"/>
                <w:lang w:val="ro-MD"/>
              </w:rPr>
            </w:pPr>
            <w:r w:rsidRPr="00C80E00">
              <w:rPr>
                <w:rFonts w:asciiTheme="majorHAnsi" w:eastAsia="Times New Roman" w:hAnsiTheme="majorHAnsi" w:cstheme="majorHAnsi"/>
                <w:sz w:val="18"/>
                <w:szCs w:val="18"/>
                <w:lang w:val="ro-MD"/>
              </w:rPr>
              <w:t>Проценты, начисленные на остатки денежных средств на банковских счетах бюджета государственного социального страхования</w:t>
            </w:r>
          </w:p>
        </w:tc>
        <w:tc>
          <w:tcPr>
            <w:tcW w:w="764" w:type="dxa"/>
            <w:shd w:val="clear" w:color="auto" w:fill="auto"/>
            <w:noWrap/>
            <w:vAlign w:val="center"/>
            <w:hideMark/>
          </w:tcPr>
          <w:p w14:paraId="1129C714"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141115</w:t>
            </w:r>
          </w:p>
        </w:tc>
        <w:tc>
          <w:tcPr>
            <w:tcW w:w="1082" w:type="dxa"/>
            <w:shd w:val="clear" w:color="auto" w:fill="auto"/>
            <w:noWrap/>
            <w:vAlign w:val="center"/>
          </w:tcPr>
          <w:p w14:paraId="0AC71619"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3000,0</w:t>
            </w:r>
          </w:p>
        </w:tc>
        <w:tc>
          <w:tcPr>
            <w:tcW w:w="1082" w:type="dxa"/>
            <w:shd w:val="clear" w:color="000000" w:fill="FFFFFF"/>
            <w:noWrap/>
            <w:vAlign w:val="center"/>
          </w:tcPr>
          <w:p w14:paraId="12A769AB"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3000,0</w:t>
            </w:r>
          </w:p>
        </w:tc>
        <w:tc>
          <w:tcPr>
            <w:tcW w:w="1082" w:type="dxa"/>
            <w:shd w:val="clear" w:color="auto" w:fill="auto"/>
            <w:noWrap/>
            <w:vAlign w:val="center"/>
          </w:tcPr>
          <w:p w14:paraId="3B8D7B85"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6014,1</w:t>
            </w:r>
          </w:p>
        </w:tc>
        <w:tc>
          <w:tcPr>
            <w:tcW w:w="1082" w:type="dxa"/>
            <w:shd w:val="clear" w:color="auto" w:fill="auto"/>
            <w:noWrap/>
            <w:vAlign w:val="center"/>
          </w:tcPr>
          <w:p w14:paraId="3DC87236"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6014,1</w:t>
            </w:r>
          </w:p>
        </w:tc>
        <w:tc>
          <w:tcPr>
            <w:tcW w:w="991" w:type="dxa"/>
            <w:shd w:val="clear" w:color="auto" w:fill="auto"/>
            <w:noWrap/>
            <w:vAlign w:val="center"/>
          </w:tcPr>
          <w:p w14:paraId="4DD253BD"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c>
          <w:tcPr>
            <w:tcW w:w="900" w:type="dxa"/>
            <w:shd w:val="clear" w:color="auto" w:fill="auto"/>
            <w:noWrap/>
            <w:vAlign w:val="center"/>
          </w:tcPr>
          <w:p w14:paraId="18E35680"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r>
      <w:tr w:rsidR="003D0784" w:rsidRPr="00B7675F" w14:paraId="0E28F296" w14:textId="77777777" w:rsidTr="005F6348">
        <w:trPr>
          <w:trHeight w:val="20"/>
        </w:trPr>
        <w:tc>
          <w:tcPr>
            <w:tcW w:w="6941" w:type="dxa"/>
            <w:shd w:val="clear" w:color="auto" w:fill="auto"/>
            <w:vAlign w:val="bottom"/>
            <w:hideMark/>
          </w:tcPr>
          <w:p w14:paraId="3C772800" w14:textId="28ACCBC9" w:rsidR="003D0784" w:rsidRPr="00736448" w:rsidRDefault="00EF6813" w:rsidP="005F6348">
            <w:pPr>
              <w:spacing w:after="0" w:line="240" w:lineRule="auto"/>
              <w:rPr>
                <w:rFonts w:asciiTheme="majorHAnsi" w:eastAsia="Times New Roman" w:hAnsiTheme="majorHAnsi" w:cstheme="majorHAnsi"/>
                <w:b/>
                <w:bCs/>
                <w:sz w:val="18"/>
                <w:szCs w:val="18"/>
                <w:lang w:val="ro-MD"/>
              </w:rPr>
            </w:pPr>
            <w:r w:rsidRPr="00EF6813">
              <w:rPr>
                <w:rFonts w:asciiTheme="majorHAnsi" w:eastAsia="Times New Roman" w:hAnsiTheme="majorHAnsi" w:cstheme="majorHAnsi"/>
                <w:b/>
                <w:bCs/>
                <w:sz w:val="18"/>
                <w:szCs w:val="18"/>
                <w:lang w:val="ro-MD"/>
              </w:rPr>
              <w:t>ДОХОДЫ ОТ ПРОДАЖИ ТОВАРОВ И УСЛУГ</w:t>
            </w:r>
          </w:p>
        </w:tc>
        <w:tc>
          <w:tcPr>
            <w:tcW w:w="764" w:type="dxa"/>
            <w:shd w:val="clear" w:color="auto" w:fill="auto"/>
            <w:noWrap/>
            <w:vAlign w:val="center"/>
            <w:hideMark/>
          </w:tcPr>
          <w:p w14:paraId="42466536"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142</w:t>
            </w:r>
          </w:p>
        </w:tc>
        <w:tc>
          <w:tcPr>
            <w:tcW w:w="1082" w:type="dxa"/>
            <w:shd w:val="clear" w:color="auto" w:fill="auto"/>
            <w:noWrap/>
            <w:vAlign w:val="center"/>
          </w:tcPr>
          <w:p w14:paraId="21A5A0F6"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c>
          <w:tcPr>
            <w:tcW w:w="1082" w:type="dxa"/>
            <w:shd w:val="clear" w:color="000000" w:fill="FFFFFF"/>
            <w:noWrap/>
            <w:vAlign w:val="center"/>
          </w:tcPr>
          <w:p w14:paraId="6A1CB6C3"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0,0</w:t>
            </w:r>
          </w:p>
        </w:tc>
        <w:tc>
          <w:tcPr>
            <w:tcW w:w="1082" w:type="dxa"/>
            <w:shd w:val="clear" w:color="000000" w:fill="FFFFFF"/>
            <w:noWrap/>
            <w:vAlign w:val="center"/>
          </w:tcPr>
          <w:p w14:paraId="6A9C35EC"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54,6</w:t>
            </w:r>
          </w:p>
        </w:tc>
        <w:tc>
          <w:tcPr>
            <w:tcW w:w="1082" w:type="dxa"/>
            <w:shd w:val="clear" w:color="000000" w:fill="FFFFFF"/>
            <w:noWrap/>
            <w:vAlign w:val="center"/>
          </w:tcPr>
          <w:p w14:paraId="05CD8BD5"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1947,3</w:t>
            </w:r>
          </w:p>
        </w:tc>
        <w:tc>
          <w:tcPr>
            <w:tcW w:w="991" w:type="dxa"/>
            <w:shd w:val="clear" w:color="000000" w:fill="FFFFFF"/>
            <w:noWrap/>
            <w:vAlign w:val="center"/>
          </w:tcPr>
          <w:p w14:paraId="397A2FD7"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11263,4</w:t>
            </w:r>
          </w:p>
        </w:tc>
        <w:tc>
          <w:tcPr>
            <w:tcW w:w="900" w:type="dxa"/>
            <w:shd w:val="clear" w:color="000000" w:fill="FFFFFF"/>
            <w:noWrap/>
            <w:vAlign w:val="center"/>
          </w:tcPr>
          <w:p w14:paraId="1F8A0D32"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3,3</w:t>
            </w:r>
          </w:p>
        </w:tc>
      </w:tr>
      <w:tr w:rsidR="003D0784" w:rsidRPr="00B7675F" w14:paraId="5078F126" w14:textId="77777777" w:rsidTr="005F6348">
        <w:trPr>
          <w:trHeight w:val="20"/>
        </w:trPr>
        <w:tc>
          <w:tcPr>
            <w:tcW w:w="6941" w:type="dxa"/>
            <w:shd w:val="clear" w:color="auto" w:fill="auto"/>
            <w:vAlign w:val="bottom"/>
            <w:hideMark/>
          </w:tcPr>
          <w:p w14:paraId="53EF198A" w14:textId="7A996716" w:rsidR="003D0784" w:rsidRPr="00736448" w:rsidRDefault="00C80E00" w:rsidP="005F6348">
            <w:pPr>
              <w:spacing w:after="0" w:line="240" w:lineRule="auto"/>
              <w:rPr>
                <w:rFonts w:asciiTheme="majorHAnsi" w:eastAsia="Times New Roman" w:hAnsiTheme="majorHAnsi" w:cstheme="majorHAnsi"/>
                <w:sz w:val="18"/>
                <w:szCs w:val="18"/>
                <w:lang w:val="ro-MD"/>
              </w:rPr>
            </w:pPr>
            <w:r w:rsidRPr="00C80E00">
              <w:rPr>
                <w:rFonts w:asciiTheme="majorHAnsi" w:eastAsia="Times New Roman" w:hAnsiTheme="majorHAnsi" w:cstheme="majorHAnsi"/>
                <w:sz w:val="18"/>
                <w:szCs w:val="18"/>
                <w:lang w:val="ro-MD"/>
              </w:rPr>
              <w:t>Средства, поступившие в бюджет государственного социального страхования по исполнительным документам о субсидиарной ответственности</w:t>
            </w:r>
          </w:p>
        </w:tc>
        <w:tc>
          <w:tcPr>
            <w:tcW w:w="764" w:type="dxa"/>
            <w:shd w:val="clear" w:color="auto" w:fill="auto"/>
            <w:noWrap/>
            <w:vAlign w:val="center"/>
            <w:hideMark/>
          </w:tcPr>
          <w:p w14:paraId="16B3B40D"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142237</w:t>
            </w:r>
          </w:p>
        </w:tc>
        <w:tc>
          <w:tcPr>
            <w:tcW w:w="1082" w:type="dxa"/>
            <w:shd w:val="clear" w:color="auto" w:fill="auto"/>
            <w:noWrap/>
            <w:vAlign w:val="center"/>
          </w:tcPr>
          <w:p w14:paraId="070F264D"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c>
          <w:tcPr>
            <w:tcW w:w="1082" w:type="dxa"/>
            <w:shd w:val="clear" w:color="000000" w:fill="FFFFFF"/>
            <w:noWrap/>
            <w:vAlign w:val="center"/>
          </w:tcPr>
          <w:p w14:paraId="6B3D07B3"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c>
          <w:tcPr>
            <w:tcW w:w="1082" w:type="dxa"/>
            <w:shd w:val="clear" w:color="auto" w:fill="auto"/>
            <w:noWrap/>
            <w:vAlign w:val="center"/>
          </w:tcPr>
          <w:p w14:paraId="1F5D52EB"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54,6</w:t>
            </w:r>
          </w:p>
        </w:tc>
        <w:tc>
          <w:tcPr>
            <w:tcW w:w="1082" w:type="dxa"/>
            <w:shd w:val="clear" w:color="auto" w:fill="auto"/>
            <w:noWrap/>
            <w:vAlign w:val="center"/>
          </w:tcPr>
          <w:p w14:paraId="5A42C2A2"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1947,3</w:t>
            </w:r>
          </w:p>
        </w:tc>
        <w:tc>
          <w:tcPr>
            <w:tcW w:w="991" w:type="dxa"/>
            <w:shd w:val="clear" w:color="auto" w:fill="auto"/>
            <w:noWrap/>
            <w:vAlign w:val="center"/>
          </w:tcPr>
          <w:p w14:paraId="4E31A2B5"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11263,4</w:t>
            </w:r>
          </w:p>
        </w:tc>
        <w:tc>
          <w:tcPr>
            <w:tcW w:w="900" w:type="dxa"/>
            <w:shd w:val="clear" w:color="auto" w:fill="auto"/>
            <w:noWrap/>
            <w:vAlign w:val="center"/>
          </w:tcPr>
          <w:p w14:paraId="613BDC22"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3,3</w:t>
            </w:r>
          </w:p>
        </w:tc>
      </w:tr>
      <w:tr w:rsidR="003D0784" w:rsidRPr="00B7675F" w14:paraId="0F8A41CA" w14:textId="77777777" w:rsidTr="005F6348">
        <w:trPr>
          <w:trHeight w:val="20"/>
        </w:trPr>
        <w:tc>
          <w:tcPr>
            <w:tcW w:w="6941" w:type="dxa"/>
            <w:shd w:val="clear" w:color="auto" w:fill="auto"/>
            <w:vAlign w:val="bottom"/>
            <w:hideMark/>
          </w:tcPr>
          <w:p w14:paraId="4AC80EC1" w14:textId="204D9360" w:rsidR="003D0784" w:rsidRPr="00736448" w:rsidRDefault="00EF6813" w:rsidP="005F6348">
            <w:pPr>
              <w:spacing w:after="0" w:line="240" w:lineRule="auto"/>
              <w:rPr>
                <w:rFonts w:asciiTheme="majorHAnsi" w:eastAsia="Times New Roman" w:hAnsiTheme="majorHAnsi" w:cstheme="majorHAnsi"/>
                <w:b/>
                <w:bCs/>
                <w:sz w:val="18"/>
                <w:szCs w:val="18"/>
                <w:lang w:val="ro-MD"/>
              </w:rPr>
            </w:pPr>
            <w:r w:rsidRPr="00EF6813">
              <w:rPr>
                <w:rFonts w:asciiTheme="majorHAnsi" w:eastAsia="Times New Roman" w:hAnsiTheme="majorHAnsi" w:cstheme="majorHAnsi"/>
                <w:b/>
                <w:bCs/>
                <w:sz w:val="18"/>
                <w:szCs w:val="18"/>
                <w:lang w:val="ro-MD"/>
              </w:rPr>
              <w:t>ШТРАФЫ И САНКЦИИ</w:t>
            </w:r>
          </w:p>
        </w:tc>
        <w:tc>
          <w:tcPr>
            <w:tcW w:w="764" w:type="dxa"/>
            <w:shd w:val="clear" w:color="auto" w:fill="auto"/>
            <w:noWrap/>
            <w:vAlign w:val="center"/>
            <w:hideMark/>
          </w:tcPr>
          <w:p w14:paraId="77EAD4AE"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143</w:t>
            </w:r>
          </w:p>
        </w:tc>
        <w:tc>
          <w:tcPr>
            <w:tcW w:w="1082" w:type="dxa"/>
            <w:shd w:val="clear" w:color="auto" w:fill="auto"/>
            <w:noWrap/>
            <w:vAlign w:val="center"/>
          </w:tcPr>
          <w:p w14:paraId="06EE1DDC"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2900,0</w:t>
            </w:r>
          </w:p>
        </w:tc>
        <w:tc>
          <w:tcPr>
            <w:tcW w:w="1082" w:type="dxa"/>
            <w:shd w:val="clear" w:color="000000" w:fill="FFFFFF"/>
            <w:noWrap/>
            <w:vAlign w:val="center"/>
          </w:tcPr>
          <w:p w14:paraId="77FC4421"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2900,0</w:t>
            </w:r>
          </w:p>
        </w:tc>
        <w:tc>
          <w:tcPr>
            <w:tcW w:w="1082" w:type="dxa"/>
            <w:shd w:val="clear" w:color="auto" w:fill="auto"/>
            <w:noWrap/>
            <w:vAlign w:val="center"/>
          </w:tcPr>
          <w:p w14:paraId="23CEA392"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935,7</w:t>
            </w:r>
          </w:p>
        </w:tc>
        <w:tc>
          <w:tcPr>
            <w:tcW w:w="1082" w:type="dxa"/>
            <w:shd w:val="clear" w:color="000000" w:fill="FFFFFF"/>
            <w:noWrap/>
            <w:vAlign w:val="center"/>
          </w:tcPr>
          <w:p w14:paraId="4965DC00"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1556,0</w:t>
            </w:r>
          </w:p>
        </w:tc>
        <w:tc>
          <w:tcPr>
            <w:tcW w:w="991" w:type="dxa"/>
            <w:shd w:val="clear" w:color="000000" w:fill="FFFFFF"/>
            <w:noWrap/>
            <w:vAlign w:val="center"/>
          </w:tcPr>
          <w:p w14:paraId="63B5BC2C"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28202,1</w:t>
            </w:r>
          </w:p>
        </w:tc>
        <w:tc>
          <w:tcPr>
            <w:tcW w:w="900" w:type="dxa"/>
            <w:shd w:val="clear" w:color="000000" w:fill="FFFFFF"/>
            <w:noWrap/>
            <w:vAlign w:val="center"/>
          </w:tcPr>
          <w:p w14:paraId="4E00CB76"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622,6</w:t>
            </w:r>
          </w:p>
        </w:tc>
      </w:tr>
      <w:tr w:rsidR="003D0784" w:rsidRPr="00B7675F" w14:paraId="77E9B67F" w14:textId="77777777" w:rsidTr="005F6348">
        <w:trPr>
          <w:trHeight w:val="20"/>
        </w:trPr>
        <w:tc>
          <w:tcPr>
            <w:tcW w:w="6941" w:type="dxa"/>
            <w:shd w:val="clear" w:color="auto" w:fill="auto"/>
            <w:hideMark/>
          </w:tcPr>
          <w:p w14:paraId="460AA6A4" w14:textId="4F7E031E" w:rsidR="003D0784" w:rsidRPr="00736448" w:rsidRDefault="00EF6813" w:rsidP="005F6348">
            <w:pPr>
              <w:spacing w:after="0" w:line="240" w:lineRule="auto"/>
              <w:rPr>
                <w:rFonts w:asciiTheme="majorHAnsi" w:eastAsia="Times New Roman" w:hAnsiTheme="majorHAnsi" w:cstheme="majorHAnsi"/>
                <w:sz w:val="18"/>
                <w:szCs w:val="18"/>
                <w:lang w:val="ro-MD"/>
              </w:rPr>
            </w:pPr>
            <w:r w:rsidRPr="00EF6813">
              <w:rPr>
                <w:rFonts w:asciiTheme="majorHAnsi" w:eastAsia="Times New Roman" w:hAnsiTheme="majorHAnsi" w:cstheme="majorHAnsi"/>
                <w:sz w:val="18"/>
                <w:szCs w:val="18"/>
                <w:lang w:val="ro-MD"/>
              </w:rPr>
              <w:t>Штрафы и санкции за правонарушения, взимаемые в бюджет государственного социального страхования</w:t>
            </w:r>
          </w:p>
        </w:tc>
        <w:tc>
          <w:tcPr>
            <w:tcW w:w="764" w:type="dxa"/>
            <w:shd w:val="clear" w:color="auto" w:fill="auto"/>
            <w:noWrap/>
            <w:vAlign w:val="center"/>
            <w:hideMark/>
          </w:tcPr>
          <w:p w14:paraId="21A7CDA0"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143150</w:t>
            </w:r>
          </w:p>
        </w:tc>
        <w:tc>
          <w:tcPr>
            <w:tcW w:w="1082" w:type="dxa"/>
            <w:shd w:val="clear" w:color="auto" w:fill="auto"/>
            <w:noWrap/>
            <w:vAlign w:val="center"/>
          </w:tcPr>
          <w:p w14:paraId="3D884A1E"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100,0</w:t>
            </w:r>
          </w:p>
        </w:tc>
        <w:tc>
          <w:tcPr>
            <w:tcW w:w="1082" w:type="dxa"/>
            <w:shd w:val="clear" w:color="000000" w:fill="FFFFFF"/>
            <w:noWrap/>
            <w:vAlign w:val="center"/>
          </w:tcPr>
          <w:p w14:paraId="30903651"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100,0</w:t>
            </w:r>
          </w:p>
        </w:tc>
        <w:tc>
          <w:tcPr>
            <w:tcW w:w="1082" w:type="dxa"/>
            <w:shd w:val="clear" w:color="auto" w:fill="auto"/>
            <w:noWrap/>
            <w:vAlign w:val="center"/>
          </w:tcPr>
          <w:p w14:paraId="27809DF7"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40,3</w:t>
            </w:r>
          </w:p>
        </w:tc>
        <w:tc>
          <w:tcPr>
            <w:tcW w:w="1082" w:type="dxa"/>
            <w:shd w:val="clear" w:color="auto" w:fill="auto"/>
            <w:noWrap/>
            <w:vAlign w:val="center"/>
          </w:tcPr>
          <w:p w14:paraId="0C38CCB9"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c>
          <w:tcPr>
            <w:tcW w:w="991" w:type="dxa"/>
            <w:shd w:val="clear" w:color="auto" w:fill="auto"/>
            <w:noWrap/>
            <w:vAlign w:val="center"/>
          </w:tcPr>
          <w:p w14:paraId="7A128D53"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c>
          <w:tcPr>
            <w:tcW w:w="900" w:type="dxa"/>
            <w:shd w:val="clear" w:color="auto" w:fill="auto"/>
            <w:noWrap/>
            <w:vAlign w:val="center"/>
          </w:tcPr>
          <w:p w14:paraId="34C4AB3B"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r>
      <w:tr w:rsidR="003D0784" w:rsidRPr="00B7675F" w14:paraId="333938A0" w14:textId="77777777" w:rsidTr="005F6348">
        <w:trPr>
          <w:trHeight w:val="20"/>
        </w:trPr>
        <w:tc>
          <w:tcPr>
            <w:tcW w:w="6941" w:type="dxa"/>
            <w:shd w:val="clear" w:color="auto" w:fill="auto"/>
            <w:vAlign w:val="bottom"/>
            <w:hideMark/>
          </w:tcPr>
          <w:p w14:paraId="5C0B0B97" w14:textId="50EA18E2" w:rsidR="003D0784" w:rsidRPr="00736448" w:rsidRDefault="00EF6813" w:rsidP="005F6348">
            <w:pPr>
              <w:spacing w:after="0" w:line="240" w:lineRule="auto"/>
              <w:rPr>
                <w:rFonts w:asciiTheme="majorHAnsi" w:eastAsia="Times New Roman" w:hAnsiTheme="majorHAnsi" w:cstheme="majorHAnsi"/>
                <w:sz w:val="18"/>
                <w:szCs w:val="18"/>
                <w:lang w:val="ro-MD"/>
              </w:rPr>
            </w:pPr>
            <w:r w:rsidRPr="00EF6813">
              <w:rPr>
                <w:rFonts w:asciiTheme="majorHAnsi" w:eastAsia="Times New Roman" w:hAnsiTheme="majorHAnsi" w:cstheme="majorHAnsi"/>
                <w:sz w:val="18"/>
                <w:szCs w:val="18"/>
                <w:lang w:val="ro-MD"/>
              </w:rPr>
              <w:t>Штрафы, связанные с платежами в бюджет государственного социального страхования</w:t>
            </w:r>
          </w:p>
        </w:tc>
        <w:tc>
          <w:tcPr>
            <w:tcW w:w="764" w:type="dxa"/>
            <w:shd w:val="clear" w:color="auto" w:fill="auto"/>
            <w:noWrap/>
            <w:vAlign w:val="center"/>
            <w:hideMark/>
          </w:tcPr>
          <w:p w14:paraId="2EC87799"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143430</w:t>
            </w:r>
          </w:p>
        </w:tc>
        <w:tc>
          <w:tcPr>
            <w:tcW w:w="1082" w:type="dxa"/>
            <w:shd w:val="clear" w:color="auto" w:fill="auto"/>
            <w:noWrap/>
            <w:vAlign w:val="center"/>
          </w:tcPr>
          <w:p w14:paraId="5BA0F6F5"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2800,0</w:t>
            </w:r>
          </w:p>
        </w:tc>
        <w:tc>
          <w:tcPr>
            <w:tcW w:w="1082" w:type="dxa"/>
            <w:shd w:val="clear" w:color="000000" w:fill="FFFFFF"/>
            <w:noWrap/>
            <w:vAlign w:val="center"/>
          </w:tcPr>
          <w:p w14:paraId="492EEEB1"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2800,0</w:t>
            </w:r>
          </w:p>
        </w:tc>
        <w:tc>
          <w:tcPr>
            <w:tcW w:w="1082" w:type="dxa"/>
            <w:shd w:val="clear" w:color="auto" w:fill="auto"/>
            <w:noWrap/>
            <w:vAlign w:val="center"/>
          </w:tcPr>
          <w:p w14:paraId="2887E667"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895,4</w:t>
            </w:r>
          </w:p>
        </w:tc>
        <w:tc>
          <w:tcPr>
            <w:tcW w:w="1082" w:type="dxa"/>
            <w:shd w:val="clear" w:color="auto" w:fill="auto"/>
            <w:noWrap/>
            <w:vAlign w:val="center"/>
          </w:tcPr>
          <w:p w14:paraId="009EB8B1"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1556,0</w:t>
            </w:r>
          </w:p>
        </w:tc>
        <w:tc>
          <w:tcPr>
            <w:tcW w:w="991" w:type="dxa"/>
            <w:shd w:val="clear" w:color="auto" w:fill="auto"/>
            <w:noWrap/>
            <w:vAlign w:val="center"/>
          </w:tcPr>
          <w:p w14:paraId="64200569"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28202,1</w:t>
            </w:r>
          </w:p>
        </w:tc>
        <w:tc>
          <w:tcPr>
            <w:tcW w:w="900" w:type="dxa"/>
            <w:shd w:val="clear" w:color="auto" w:fill="auto"/>
            <w:noWrap/>
            <w:vAlign w:val="center"/>
          </w:tcPr>
          <w:p w14:paraId="3B7C864E"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622,6</w:t>
            </w:r>
          </w:p>
        </w:tc>
      </w:tr>
      <w:tr w:rsidR="003D0784" w:rsidRPr="00B7675F" w14:paraId="123F4581" w14:textId="77777777" w:rsidTr="005F6348">
        <w:trPr>
          <w:trHeight w:val="20"/>
        </w:trPr>
        <w:tc>
          <w:tcPr>
            <w:tcW w:w="6941" w:type="dxa"/>
            <w:shd w:val="clear" w:color="auto" w:fill="auto"/>
            <w:vAlign w:val="bottom"/>
            <w:hideMark/>
          </w:tcPr>
          <w:p w14:paraId="353E273F" w14:textId="5FBBA90A" w:rsidR="003D0784" w:rsidRPr="00736448" w:rsidRDefault="00EF6813" w:rsidP="005F6348">
            <w:pPr>
              <w:spacing w:after="0" w:line="240" w:lineRule="auto"/>
              <w:rPr>
                <w:rFonts w:asciiTheme="majorHAnsi" w:eastAsia="Times New Roman" w:hAnsiTheme="majorHAnsi" w:cstheme="majorHAnsi"/>
                <w:b/>
                <w:bCs/>
                <w:sz w:val="18"/>
                <w:szCs w:val="18"/>
                <w:lang w:val="ro-MD"/>
              </w:rPr>
            </w:pPr>
            <w:r w:rsidRPr="00EF6813">
              <w:rPr>
                <w:rFonts w:asciiTheme="majorHAnsi" w:eastAsia="Times New Roman" w:hAnsiTheme="majorHAnsi" w:cstheme="majorHAnsi"/>
                <w:b/>
                <w:bCs/>
                <w:sz w:val="18"/>
                <w:szCs w:val="18"/>
                <w:lang w:val="ro-MD"/>
              </w:rPr>
              <w:t>ПРОЧИЕ ДОХОДЫ И НЕВЫЯСНЕННЫЕ ДОХОДЫ</w:t>
            </w:r>
          </w:p>
        </w:tc>
        <w:tc>
          <w:tcPr>
            <w:tcW w:w="764" w:type="dxa"/>
            <w:shd w:val="clear" w:color="auto" w:fill="auto"/>
            <w:noWrap/>
            <w:vAlign w:val="center"/>
            <w:hideMark/>
          </w:tcPr>
          <w:p w14:paraId="2C745C8D"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145</w:t>
            </w:r>
          </w:p>
        </w:tc>
        <w:tc>
          <w:tcPr>
            <w:tcW w:w="1082" w:type="dxa"/>
            <w:shd w:val="clear" w:color="auto" w:fill="auto"/>
            <w:noWrap/>
            <w:vAlign w:val="center"/>
          </w:tcPr>
          <w:p w14:paraId="070F5DB3"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300590,0</w:t>
            </w:r>
          </w:p>
        </w:tc>
        <w:tc>
          <w:tcPr>
            <w:tcW w:w="1082" w:type="dxa"/>
            <w:shd w:val="clear" w:color="000000" w:fill="FFFFFF"/>
            <w:noWrap/>
            <w:vAlign w:val="center"/>
          </w:tcPr>
          <w:p w14:paraId="738A52A6"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339290,0</w:t>
            </w:r>
          </w:p>
        </w:tc>
        <w:tc>
          <w:tcPr>
            <w:tcW w:w="1082" w:type="dxa"/>
            <w:shd w:val="clear" w:color="000000" w:fill="FFFFFF"/>
            <w:noWrap/>
            <w:vAlign w:val="center"/>
          </w:tcPr>
          <w:p w14:paraId="1C91941B"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421695,9</w:t>
            </w:r>
          </w:p>
        </w:tc>
        <w:tc>
          <w:tcPr>
            <w:tcW w:w="1082" w:type="dxa"/>
            <w:shd w:val="clear" w:color="000000" w:fill="FFFFFF"/>
            <w:noWrap/>
            <w:vAlign w:val="center"/>
          </w:tcPr>
          <w:p w14:paraId="17EB9592"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433836,2</w:t>
            </w:r>
          </w:p>
        </w:tc>
        <w:tc>
          <w:tcPr>
            <w:tcW w:w="991" w:type="dxa"/>
            <w:shd w:val="clear" w:color="000000" w:fill="FFFFFF"/>
            <w:noWrap/>
            <w:vAlign w:val="center"/>
          </w:tcPr>
          <w:p w14:paraId="43D5B9A3"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40193,0</w:t>
            </w:r>
          </w:p>
        </w:tc>
        <w:tc>
          <w:tcPr>
            <w:tcW w:w="900" w:type="dxa"/>
            <w:shd w:val="clear" w:color="000000" w:fill="FFFFFF"/>
            <w:noWrap/>
            <w:vAlign w:val="center"/>
          </w:tcPr>
          <w:p w14:paraId="793F7382"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6336,8</w:t>
            </w:r>
          </w:p>
        </w:tc>
      </w:tr>
      <w:tr w:rsidR="003D0784" w:rsidRPr="00B7675F" w14:paraId="0FE0D3E2" w14:textId="77777777" w:rsidTr="005F6348">
        <w:trPr>
          <w:trHeight w:val="20"/>
        </w:trPr>
        <w:tc>
          <w:tcPr>
            <w:tcW w:w="6941" w:type="dxa"/>
            <w:shd w:val="clear" w:color="auto" w:fill="auto"/>
            <w:vAlign w:val="bottom"/>
            <w:hideMark/>
          </w:tcPr>
          <w:p w14:paraId="205A2255" w14:textId="37EA8D02" w:rsidR="003D0784" w:rsidRPr="00736448" w:rsidRDefault="00EF6813" w:rsidP="005F6348">
            <w:pPr>
              <w:spacing w:after="0" w:line="240" w:lineRule="auto"/>
              <w:rPr>
                <w:rFonts w:asciiTheme="majorHAnsi" w:eastAsia="Times New Roman" w:hAnsiTheme="majorHAnsi" w:cstheme="majorHAnsi"/>
                <w:sz w:val="18"/>
                <w:szCs w:val="18"/>
                <w:lang w:val="ro-MD"/>
              </w:rPr>
            </w:pPr>
            <w:r w:rsidRPr="00EF6813">
              <w:rPr>
                <w:rFonts w:asciiTheme="majorHAnsi" w:eastAsia="Times New Roman" w:hAnsiTheme="majorHAnsi" w:cstheme="majorHAnsi"/>
                <w:sz w:val="18"/>
                <w:szCs w:val="18"/>
                <w:lang w:val="ro-MD"/>
              </w:rPr>
              <w:t>Прочие доходы, поступающие в бюджет государственного социального страхования</w:t>
            </w:r>
          </w:p>
        </w:tc>
        <w:tc>
          <w:tcPr>
            <w:tcW w:w="764" w:type="dxa"/>
            <w:shd w:val="clear" w:color="auto" w:fill="auto"/>
            <w:noWrap/>
            <w:vAlign w:val="center"/>
            <w:hideMark/>
          </w:tcPr>
          <w:p w14:paraId="3CE3E0C2"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145120</w:t>
            </w:r>
          </w:p>
        </w:tc>
        <w:tc>
          <w:tcPr>
            <w:tcW w:w="1082" w:type="dxa"/>
            <w:shd w:val="clear" w:color="auto" w:fill="auto"/>
            <w:noWrap/>
            <w:vAlign w:val="center"/>
          </w:tcPr>
          <w:p w14:paraId="0D325011"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2040,0</w:t>
            </w:r>
          </w:p>
        </w:tc>
        <w:tc>
          <w:tcPr>
            <w:tcW w:w="1082" w:type="dxa"/>
            <w:shd w:val="clear" w:color="000000" w:fill="FFFFFF"/>
            <w:noWrap/>
            <w:vAlign w:val="center"/>
          </w:tcPr>
          <w:p w14:paraId="5E364AA1"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640,0</w:t>
            </w:r>
          </w:p>
        </w:tc>
        <w:tc>
          <w:tcPr>
            <w:tcW w:w="1082" w:type="dxa"/>
            <w:shd w:val="clear" w:color="auto" w:fill="auto"/>
            <w:noWrap/>
            <w:vAlign w:val="center"/>
          </w:tcPr>
          <w:p w14:paraId="63D9F401"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884,5</w:t>
            </w:r>
          </w:p>
        </w:tc>
        <w:tc>
          <w:tcPr>
            <w:tcW w:w="1082" w:type="dxa"/>
            <w:shd w:val="clear" w:color="auto" w:fill="auto"/>
            <w:noWrap/>
            <w:vAlign w:val="center"/>
          </w:tcPr>
          <w:p w14:paraId="3B72AB52"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926,5</w:t>
            </w:r>
          </w:p>
        </w:tc>
        <w:tc>
          <w:tcPr>
            <w:tcW w:w="991" w:type="dxa"/>
            <w:shd w:val="clear" w:color="auto" w:fill="auto"/>
            <w:noWrap/>
            <w:vAlign w:val="center"/>
          </w:tcPr>
          <w:p w14:paraId="39234447"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72,7</w:t>
            </w:r>
          </w:p>
        </w:tc>
        <w:tc>
          <w:tcPr>
            <w:tcW w:w="900" w:type="dxa"/>
            <w:shd w:val="clear" w:color="auto" w:fill="auto"/>
            <w:noWrap/>
            <w:vAlign w:val="center"/>
          </w:tcPr>
          <w:p w14:paraId="18FF2951"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r>
      <w:tr w:rsidR="003D0784" w:rsidRPr="00B7675F" w14:paraId="0E9E3E7E" w14:textId="77777777" w:rsidTr="005F6348">
        <w:trPr>
          <w:trHeight w:val="20"/>
        </w:trPr>
        <w:tc>
          <w:tcPr>
            <w:tcW w:w="6941" w:type="dxa"/>
            <w:shd w:val="clear" w:color="auto" w:fill="auto"/>
            <w:vAlign w:val="bottom"/>
            <w:hideMark/>
          </w:tcPr>
          <w:p w14:paraId="3F2D3535" w14:textId="607D0FFB" w:rsidR="003D0784" w:rsidRPr="00736448" w:rsidRDefault="00EF6813" w:rsidP="005F6348">
            <w:pPr>
              <w:spacing w:after="0" w:line="240" w:lineRule="auto"/>
              <w:rPr>
                <w:rFonts w:asciiTheme="majorHAnsi" w:eastAsia="Times New Roman" w:hAnsiTheme="majorHAnsi" w:cstheme="majorHAnsi"/>
                <w:sz w:val="18"/>
                <w:szCs w:val="18"/>
                <w:lang w:val="ro-MD"/>
              </w:rPr>
            </w:pPr>
            <w:r w:rsidRPr="00EF6813">
              <w:rPr>
                <w:rFonts w:asciiTheme="majorHAnsi" w:eastAsia="Times New Roman" w:hAnsiTheme="majorHAnsi" w:cstheme="majorHAnsi"/>
                <w:sz w:val="18"/>
                <w:szCs w:val="18"/>
                <w:lang w:val="ro-MD"/>
              </w:rPr>
              <w:t>Единый налог, взимаемый с резидентов информационно-технологических парков</w:t>
            </w:r>
          </w:p>
        </w:tc>
        <w:tc>
          <w:tcPr>
            <w:tcW w:w="764" w:type="dxa"/>
            <w:shd w:val="clear" w:color="auto" w:fill="auto"/>
            <w:noWrap/>
            <w:vAlign w:val="center"/>
            <w:hideMark/>
          </w:tcPr>
          <w:p w14:paraId="445EFD42"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145161</w:t>
            </w:r>
          </w:p>
        </w:tc>
        <w:tc>
          <w:tcPr>
            <w:tcW w:w="1082" w:type="dxa"/>
            <w:shd w:val="clear" w:color="auto" w:fill="auto"/>
            <w:noWrap/>
            <w:vAlign w:val="center"/>
          </w:tcPr>
          <w:p w14:paraId="0B26A000"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298550,0</w:t>
            </w:r>
          </w:p>
        </w:tc>
        <w:tc>
          <w:tcPr>
            <w:tcW w:w="1082" w:type="dxa"/>
            <w:shd w:val="clear" w:color="000000" w:fill="FFFFFF"/>
            <w:noWrap/>
            <w:vAlign w:val="center"/>
          </w:tcPr>
          <w:p w14:paraId="63D4DD5D"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338650,0</w:t>
            </w:r>
          </w:p>
        </w:tc>
        <w:tc>
          <w:tcPr>
            <w:tcW w:w="1082" w:type="dxa"/>
            <w:shd w:val="clear" w:color="auto" w:fill="auto"/>
            <w:noWrap/>
            <w:vAlign w:val="center"/>
          </w:tcPr>
          <w:p w14:paraId="783D2FEB"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420811,4</w:t>
            </w:r>
          </w:p>
        </w:tc>
        <w:tc>
          <w:tcPr>
            <w:tcW w:w="1082" w:type="dxa"/>
            <w:shd w:val="clear" w:color="auto" w:fill="auto"/>
            <w:noWrap/>
            <w:vAlign w:val="center"/>
          </w:tcPr>
          <w:p w14:paraId="5E64433B"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432909,7</w:t>
            </w:r>
          </w:p>
        </w:tc>
        <w:tc>
          <w:tcPr>
            <w:tcW w:w="991" w:type="dxa"/>
            <w:shd w:val="clear" w:color="auto" w:fill="auto"/>
            <w:noWrap/>
            <w:vAlign w:val="center"/>
          </w:tcPr>
          <w:p w14:paraId="477407D3"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40120,3</w:t>
            </w:r>
          </w:p>
        </w:tc>
        <w:tc>
          <w:tcPr>
            <w:tcW w:w="900" w:type="dxa"/>
            <w:shd w:val="clear" w:color="auto" w:fill="auto"/>
            <w:noWrap/>
            <w:vAlign w:val="center"/>
          </w:tcPr>
          <w:p w14:paraId="495CF7E1"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6336,8</w:t>
            </w:r>
          </w:p>
        </w:tc>
      </w:tr>
      <w:tr w:rsidR="003D0784" w:rsidRPr="00B7675F" w14:paraId="2D7446EF" w14:textId="77777777" w:rsidTr="005F6348">
        <w:trPr>
          <w:trHeight w:val="20"/>
        </w:trPr>
        <w:tc>
          <w:tcPr>
            <w:tcW w:w="6941" w:type="dxa"/>
            <w:shd w:val="clear" w:color="auto" w:fill="auto"/>
            <w:hideMark/>
          </w:tcPr>
          <w:p w14:paraId="67D033C0" w14:textId="54895CFA" w:rsidR="003D0784" w:rsidRPr="00736448" w:rsidRDefault="00EF6813" w:rsidP="005F6348">
            <w:pPr>
              <w:spacing w:after="0" w:line="240" w:lineRule="auto"/>
              <w:rPr>
                <w:rFonts w:asciiTheme="majorHAnsi" w:eastAsia="Times New Roman" w:hAnsiTheme="majorHAnsi" w:cstheme="majorHAnsi"/>
                <w:b/>
                <w:bCs/>
                <w:sz w:val="18"/>
                <w:szCs w:val="18"/>
                <w:lang w:val="ro-MD"/>
              </w:rPr>
            </w:pPr>
            <w:r w:rsidRPr="00EF6813">
              <w:rPr>
                <w:rFonts w:asciiTheme="majorHAnsi" w:eastAsia="Times New Roman" w:hAnsiTheme="majorHAnsi" w:cstheme="majorHAnsi"/>
                <w:b/>
                <w:bCs/>
                <w:sz w:val="18"/>
                <w:szCs w:val="18"/>
                <w:lang w:val="ru-MD"/>
              </w:rPr>
              <w:t>ТРАНСФЕРТЫ ПОЛУЧЕННЫЕ В РАМКАХ НАЦИОНАЛЬНОГО ПУБЛИЧНОГО БЮДЖЕТА</w:t>
            </w:r>
          </w:p>
        </w:tc>
        <w:tc>
          <w:tcPr>
            <w:tcW w:w="764" w:type="dxa"/>
            <w:shd w:val="clear" w:color="auto" w:fill="auto"/>
            <w:noWrap/>
            <w:vAlign w:val="center"/>
            <w:hideMark/>
          </w:tcPr>
          <w:p w14:paraId="395E2DA2"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19</w:t>
            </w:r>
          </w:p>
        </w:tc>
        <w:tc>
          <w:tcPr>
            <w:tcW w:w="1082" w:type="dxa"/>
            <w:shd w:val="clear" w:color="auto" w:fill="auto"/>
            <w:noWrap/>
            <w:vAlign w:val="center"/>
          </w:tcPr>
          <w:p w14:paraId="6D09745E"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12550012,5</w:t>
            </w:r>
          </w:p>
        </w:tc>
        <w:tc>
          <w:tcPr>
            <w:tcW w:w="1082" w:type="dxa"/>
            <w:shd w:val="clear" w:color="000000" w:fill="FFFFFF"/>
            <w:noWrap/>
            <w:vAlign w:val="center"/>
          </w:tcPr>
          <w:p w14:paraId="1EC23628"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15302361,2</w:t>
            </w:r>
          </w:p>
        </w:tc>
        <w:tc>
          <w:tcPr>
            <w:tcW w:w="1082" w:type="dxa"/>
            <w:shd w:val="clear" w:color="auto" w:fill="auto"/>
            <w:noWrap/>
            <w:vAlign w:val="center"/>
          </w:tcPr>
          <w:p w14:paraId="1BA467B0"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14794027,1</w:t>
            </w:r>
          </w:p>
        </w:tc>
        <w:tc>
          <w:tcPr>
            <w:tcW w:w="1082" w:type="dxa"/>
            <w:shd w:val="clear" w:color="auto" w:fill="auto"/>
            <w:noWrap/>
            <w:vAlign w:val="center"/>
          </w:tcPr>
          <w:p w14:paraId="0D2A8589"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0,0</w:t>
            </w:r>
          </w:p>
        </w:tc>
        <w:tc>
          <w:tcPr>
            <w:tcW w:w="991" w:type="dxa"/>
            <w:shd w:val="clear" w:color="auto" w:fill="auto"/>
            <w:noWrap/>
            <w:vAlign w:val="center"/>
          </w:tcPr>
          <w:p w14:paraId="33518DE5"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c>
          <w:tcPr>
            <w:tcW w:w="900" w:type="dxa"/>
            <w:shd w:val="clear" w:color="auto" w:fill="auto"/>
            <w:noWrap/>
            <w:vAlign w:val="center"/>
          </w:tcPr>
          <w:p w14:paraId="5ABD5BB6"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0,0</w:t>
            </w:r>
          </w:p>
        </w:tc>
      </w:tr>
      <w:tr w:rsidR="003D0784" w:rsidRPr="00B7675F" w14:paraId="77C15282" w14:textId="77777777" w:rsidTr="005F6348">
        <w:trPr>
          <w:trHeight w:val="20"/>
        </w:trPr>
        <w:tc>
          <w:tcPr>
            <w:tcW w:w="6941" w:type="dxa"/>
            <w:shd w:val="clear" w:color="auto" w:fill="auto"/>
            <w:vAlign w:val="bottom"/>
            <w:hideMark/>
          </w:tcPr>
          <w:p w14:paraId="60D2154A" w14:textId="4FC8CB1F" w:rsidR="003D0784" w:rsidRPr="00736448" w:rsidRDefault="00EF6813" w:rsidP="005F6348">
            <w:pPr>
              <w:spacing w:after="0" w:line="240" w:lineRule="auto"/>
              <w:rPr>
                <w:rFonts w:asciiTheme="majorHAnsi" w:eastAsia="Times New Roman" w:hAnsiTheme="majorHAnsi" w:cstheme="majorHAnsi"/>
                <w:b/>
                <w:bCs/>
                <w:sz w:val="18"/>
                <w:szCs w:val="18"/>
                <w:lang w:val="ro-MD"/>
              </w:rPr>
            </w:pPr>
            <w:r w:rsidRPr="00EF6813">
              <w:rPr>
                <w:rFonts w:asciiTheme="majorHAnsi" w:eastAsia="Times New Roman" w:hAnsiTheme="majorHAnsi" w:cstheme="majorHAnsi"/>
                <w:b/>
                <w:bCs/>
                <w:sz w:val="18"/>
                <w:szCs w:val="18"/>
                <w:lang w:val="ro-MD"/>
              </w:rPr>
              <w:t>Трансферты, полученные в рамках центрального консолидированного бюджета</w:t>
            </w:r>
          </w:p>
        </w:tc>
        <w:tc>
          <w:tcPr>
            <w:tcW w:w="764" w:type="dxa"/>
            <w:shd w:val="clear" w:color="auto" w:fill="auto"/>
            <w:noWrap/>
            <w:vAlign w:val="center"/>
            <w:hideMark/>
          </w:tcPr>
          <w:p w14:paraId="7687A93F"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192</w:t>
            </w:r>
          </w:p>
        </w:tc>
        <w:tc>
          <w:tcPr>
            <w:tcW w:w="1082" w:type="dxa"/>
            <w:shd w:val="clear" w:color="auto" w:fill="auto"/>
            <w:noWrap/>
            <w:vAlign w:val="center"/>
          </w:tcPr>
          <w:p w14:paraId="4D74CF45"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12550012,5</w:t>
            </w:r>
          </w:p>
        </w:tc>
        <w:tc>
          <w:tcPr>
            <w:tcW w:w="1082" w:type="dxa"/>
            <w:shd w:val="clear" w:color="000000" w:fill="FFFFFF"/>
            <w:noWrap/>
            <w:vAlign w:val="center"/>
          </w:tcPr>
          <w:p w14:paraId="15406DCD"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15302361,2</w:t>
            </w:r>
          </w:p>
        </w:tc>
        <w:tc>
          <w:tcPr>
            <w:tcW w:w="1082" w:type="dxa"/>
            <w:shd w:val="clear" w:color="auto" w:fill="auto"/>
            <w:noWrap/>
            <w:vAlign w:val="center"/>
          </w:tcPr>
          <w:p w14:paraId="63C0FBE1"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14794027,1</w:t>
            </w:r>
          </w:p>
        </w:tc>
        <w:tc>
          <w:tcPr>
            <w:tcW w:w="1082" w:type="dxa"/>
            <w:shd w:val="clear" w:color="auto" w:fill="auto"/>
            <w:noWrap/>
            <w:vAlign w:val="center"/>
          </w:tcPr>
          <w:p w14:paraId="7D8BDF98"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0,0</w:t>
            </w:r>
          </w:p>
        </w:tc>
        <w:tc>
          <w:tcPr>
            <w:tcW w:w="991" w:type="dxa"/>
            <w:shd w:val="clear" w:color="auto" w:fill="auto"/>
            <w:noWrap/>
            <w:vAlign w:val="center"/>
          </w:tcPr>
          <w:p w14:paraId="7A0DC9E5"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c>
          <w:tcPr>
            <w:tcW w:w="900" w:type="dxa"/>
            <w:shd w:val="clear" w:color="auto" w:fill="auto"/>
            <w:noWrap/>
            <w:vAlign w:val="center"/>
          </w:tcPr>
          <w:p w14:paraId="7E0743CF"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0,0</w:t>
            </w:r>
          </w:p>
        </w:tc>
      </w:tr>
      <w:tr w:rsidR="003D0784" w:rsidRPr="00B7675F" w14:paraId="17CA964F" w14:textId="77777777" w:rsidTr="005F6348">
        <w:trPr>
          <w:trHeight w:val="20"/>
        </w:trPr>
        <w:tc>
          <w:tcPr>
            <w:tcW w:w="6941" w:type="dxa"/>
            <w:shd w:val="clear" w:color="auto" w:fill="auto"/>
            <w:vAlign w:val="bottom"/>
            <w:hideMark/>
          </w:tcPr>
          <w:p w14:paraId="4E873E3C" w14:textId="748E942E" w:rsidR="003D0784" w:rsidRPr="00EF6813" w:rsidRDefault="00EF6813" w:rsidP="005F6348">
            <w:pPr>
              <w:spacing w:after="0" w:line="240" w:lineRule="auto"/>
              <w:rPr>
                <w:rFonts w:asciiTheme="majorHAnsi" w:eastAsia="Times New Roman" w:hAnsiTheme="majorHAnsi" w:cstheme="majorHAnsi"/>
                <w:sz w:val="18"/>
                <w:szCs w:val="18"/>
                <w:lang w:val="ro-MD"/>
              </w:rPr>
            </w:pPr>
            <w:r w:rsidRPr="00EF6813">
              <w:rPr>
                <w:rFonts w:asciiTheme="majorHAnsi" w:eastAsia="Times New Roman" w:hAnsiTheme="majorHAnsi" w:cstheme="majorHAnsi"/>
                <w:iCs/>
                <w:sz w:val="18"/>
                <w:szCs w:val="18"/>
                <w:lang w:val="ru-MD"/>
              </w:rPr>
              <w:t>Полученные текущие трансферты специального назначения между государственным бюджетом и бюджетом государственного социального страхования</w:t>
            </w:r>
          </w:p>
        </w:tc>
        <w:tc>
          <w:tcPr>
            <w:tcW w:w="764" w:type="dxa"/>
            <w:shd w:val="clear" w:color="auto" w:fill="auto"/>
            <w:vAlign w:val="center"/>
            <w:hideMark/>
          </w:tcPr>
          <w:p w14:paraId="356B6B20"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192110</w:t>
            </w:r>
          </w:p>
        </w:tc>
        <w:tc>
          <w:tcPr>
            <w:tcW w:w="1082" w:type="dxa"/>
            <w:shd w:val="clear" w:color="auto" w:fill="auto"/>
            <w:vAlign w:val="center"/>
          </w:tcPr>
          <w:p w14:paraId="74F9709B"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9618885,0</w:t>
            </w:r>
          </w:p>
        </w:tc>
        <w:tc>
          <w:tcPr>
            <w:tcW w:w="1082" w:type="dxa"/>
            <w:shd w:val="clear" w:color="000000" w:fill="FFFFFF"/>
            <w:vAlign w:val="center"/>
          </w:tcPr>
          <w:p w14:paraId="2061DD2D"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10483234,5</w:t>
            </w:r>
          </w:p>
        </w:tc>
        <w:tc>
          <w:tcPr>
            <w:tcW w:w="1082" w:type="dxa"/>
            <w:shd w:val="clear" w:color="auto" w:fill="auto"/>
            <w:vAlign w:val="center"/>
          </w:tcPr>
          <w:p w14:paraId="656ECC5B"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10359900,4</w:t>
            </w:r>
          </w:p>
        </w:tc>
        <w:tc>
          <w:tcPr>
            <w:tcW w:w="1082" w:type="dxa"/>
            <w:shd w:val="clear" w:color="auto" w:fill="auto"/>
            <w:vAlign w:val="center"/>
          </w:tcPr>
          <w:p w14:paraId="66A2A40F"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p>
        </w:tc>
        <w:tc>
          <w:tcPr>
            <w:tcW w:w="991" w:type="dxa"/>
            <w:shd w:val="clear" w:color="auto" w:fill="auto"/>
            <w:noWrap/>
            <w:vAlign w:val="center"/>
          </w:tcPr>
          <w:p w14:paraId="087CCDF6"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p>
        </w:tc>
        <w:tc>
          <w:tcPr>
            <w:tcW w:w="900" w:type="dxa"/>
            <w:shd w:val="clear" w:color="auto" w:fill="auto"/>
            <w:noWrap/>
            <w:vAlign w:val="center"/>
          </w:tcPr>
          <w:p w14:paraId="36F6092B"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p>
        </w:tc>
      </w:tr>
      <w:tr w:rsidR="003D0784" w:rsidRPr="00B7675F" w14:paraId="52573B60" w14:textId="77777777" w:rsidTr="005F6348">
        <w:trPr>
          <w:trHeight w:val="20"/>
        </w:trPr>
        <w:tc>
          <w:tcPr>
            <w:tcW w:w="6941" w:type="dxa"/>
            <w:shd w:val="clear" w:color="auto" w:fill="auto"/>
            <w:vAlign w:val="bottom"/>
            <w:hideMark/>
          </w:tcPr>
          <w:p w14:paraId="51F50673" w14:textId="113B6BF0" w:rsidR="003D0784" w:rsidRPr="00EF6813" w:rsidRDefault="00EF6813" w:rsidP="005F6348">
            <w:pPr>
              <w:spacing w:after="0" w:line="240" w:lineRule="auto"/>
              <w:rPr>
                <w:rFonts w:asciiTheme="majorHAnsi" w:eastAsia="Times New Roman" w:hAnsiTheme="majorHAnsi" w:cstheme="majorHAnsi"/>
                <w:sz w:val="18"/>
                <w:szCs w:val="18"/>
                <w:lang w:val="ro-MD"/>
              </w:rPr>
            </w:pPr>
            <w:r w:rsidRPr="00EF6813">
              <w:rPr>
                <w:rFonts w:asciiTheme="majorHAnsi" w:eastAsia="Times New Roman" w:hAnsiTheme="majorHAnsi" w:cstheme="majorHAnsi"/>
                <w:iCs/>
                <w:sz w:val="18"/>
                <w:szCs w:val="18"/>
                <w:lang w:val="ru-MD"/>
              </w:rPr>
              <w:t>Полученные текущие трансферты общего назначения  между государственным бюджетом и бюджетом государственного социального страхования</w:t>
            </w:r>
          </w:p>
        </w:tc>
        <w:tc>
          <w:tcPr>
            <w:tcW w:w="764" w:type="dxa"/>
            <w:shd w:val="clear" w:color="auto" w:fill="auto"/>
            <w:vAlign w:val="center"/>
            <w:hideMark/>
          </w:tcPr>
          <w:p w14:paraId="40055AFF"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192130</w:t>
            </w:r>
          </w:p>
        </w:tc>
        <w:tc>
          <w:tcPr>
            <w:tcW w:w="1082" w:type="dxa"/>
            <w:shd w:val="clear" w:color="auto" w:fill="auto"/>
            <w:vAlign w:val="center"/>
          </w:tcPr>
          <w:p w14:paraId="2880ADB9"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2931127,5</w:t>
            </w:r>
          </w:p>
        </w:tc>
        <w:tc>
          <w:tcPr>
            <w:tcW w:w="1082" w:type="dxa"/>
            <w:shd w:val="clear" w:color="000000" w:fill="FFFFFF"/>
            <w:vAlign w:val="center"/>
          </w:tcPr>
          <w:p w14:paraId="6B9557D0"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4819126,7</w:t>
            </w:r>
          </w:p>
        </w:tc>
        <w:tc>
          <w:tcPr>
            <w:tcW w:w="1082" w:type="dxa"/>
            <w:shd w:val="clear" w:color="auto" w:fill="auto"/>
            <w:vAlign w:val="center"/>
          </w:tcPr>
          <w:p w14:paraId="5B56BCF3"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4434126,7</w:t>
            </w:r>
          </w:p>
        </w:tc>
        <w:tc>
          <w:tcPr>
            <w:tcW w:w="1082" w:type="dxa"/>
            <w:shd w:val="clear" w:color="auto" w:fill="auto"/>
            <w:vAlign w:val="center"/>
          </w:tcPr>
          <w:p w14:paraId="299B8FD1"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p>
        </w:tc>
        <w:tc>
          <w:tcPr>
            <w:tcW w:w="991" w:type="dxa"/>
            <w:shd w:val="clear" w:color="auto" w:fill="auto"/>
            <w:noWrap/>
            <w:vAlign w:val="center"/>
          </w:tcPr>
          <w:p w14:paraId="4FE92116"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p>
        </w:tc>
        <w:tc>
          <w:tcPr>
            <w:tcW w:w="900" w:type="dxa"/>
            <w:shd w:val="clear" w:color="auto" w:fill="auto"/>
            <w:noWrap/>
            <w:vAlign w:val="center"/>
          </w:tcPr>
          <w:p w14:paraId="3DA732DE"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p>
        </w:tc>
      </w:tr>
    </w:tbl>
    <w:p w14:paraId="778DABB6" w14:textId="1BFFB7B8" w:rsidR="003D0784" w:rsidRPr="00736448" w:rsidRDefault="00863CC5" w:rsidP="003D0784">
      <w:pPr>
        <w:rPr>
          <w:rFonts w:ascii="Calibri Light" w:eastAsia="Calibri" w:hAnsi="Calibri Light" w:cs="Calibri Light"/>
          <w:i/>
          <w:szCs w:val="16"/>
          <w:lang w:val="ro-MD"/>
        </w:rPr>
      </w:pPr>
      <w:r>
        <w:rPr>
          <w:rFonts w:ascii="Calibri Light" w:eastAsia="Calibri" w:hAnsi="Calibri Light" w:cs="Calibri Light"/>
          <w:b/>
          <w:bCs/>
          <w:i/>
          <w:szCs w:val="16"/>
          <w:lang w:val="ro-MD"/>
        </w:rPr>
        <w:t>Источник</w:t>
      </w:r>
      <w:r w:rsidR="003D0784" w:rsidRPr="00736448">
        <w:rPr>
          <w:rFonts w:ascii="Calibri Light" w:eastAsia="Calibri" w:hAnsi="Calibri Light" w:cs="Calibri Light"/>
          <w:b/>
          <w:bCs/>
          <w:i/>
          <w:szCs w:val="16"/>
          <w:lang w:val="ro-MD"/>
        </w:rPr>
        <w:t>:</w:t>
      </w:r>
      <w:r w:rsidR="006A199B" w:rsidRPr="006A199B">
        <w:rPr>
          <w:rFonts w:ascii="Calibri Light" w:eastAsia="Calibri" w:hAnsi="Calibri Light" w:cs="Calibri Light"/>
          <w:b/>
          <w:bCs/>
          <w:i/>
          <w:szCs w:val="16"/>
          <w:lang w:val="ru-RU"/>
        </w:rPr>
        <w:t xml:space="preserve"> </w:t>
      </w:r>
      <w:r w:rsidR="006A199B" w:rsidRPr="006A199B">
        <w:rPr>
          <w:rFonts w:ascii="Calibri Light" w:eastAsia="Calibri" w:hAnsi="Calibri Light" w:cs="Calibri Light"/>
          <w:bCs/>
          <w:i/>
          <w:szCs w:val="16"/>
          <w:lang w:val="ru-RU"/>
        </w:rPr>
        <w:t xml:space="preserve">Отчет об исполнении бюджета государственного социального страхования </w:t>
      </w:r>
      <w:r w:rsidR="006A199B">
        <w:rPr>
          <w:rFonts w:ascii="Calibri Light" w:eastAsia="Calibri" w:hAnsi="Calibri Light" w:cs="Calibri Light"/>
          <w:bCs/>
          <w:i/>
          <w:szCs w:val="16"/>
          <w:lang w:val="ru-RU"/>
        </w:rPr>
        <w:t>н</w:t>
      </w:r>
      <w:r w:rsidR="006A199B" w:rsidRPr="006A199B">
        <w:rPr>
          <w:rFonts w:ascii="Calibri Light" w:eastAsia="Calibri" w:hAnsi="Calibri Light" w:cs="Calibri Light"/>
          <w:bCs/>
          <w:i/>
          <w:szCs w:val="16"/>
          <w:lang w:val="ru-RU"/>
        </w:rPr>
        <w:t xml:space="preserve">а 2022 год (Форма №4.2 </w:t>
      </w:r>
      <w:r w:rsidR="006A199B">
        <w:rPr>
          <w:rFonts w:ascii="Calibri Light" w:eastAsia="Calibri" w:hAnsi="Calibri Light" w:cs="Calibri Light"/>
          <w:bCs/>
          <w:i/>
          <w:szCs w:val="16"/>
          <w:lang w:val="ru-RU"/>
        </w:rPr>
        <w:t>НКСС</w:t>
      </w:r>
      <w:r w:rsidR="006A199B" w:rsidRPr="006A199B">
        <w:rPr>
          <w:rFonts w:ascii="Calibri Light" w:eastAsia="Calibri" w:hAnsi="Calibri Light" w:cs="Calibri Light"/>
          <w:bCs/>
          <w:i/>
          <w:szCs w:val="16"/>
          <w:lang w:val="ru-RU"/>
        </w:rPr>
        <w:t>)</w:t>
      </w:r>
      <w:r w:rsidR="003D0784" w:rsidRPr="00736448">
        <w:rPr>
          <w:rFonts w:ascii="Calibri Light" w:eastAsia="Calibri" w:hAnsi="Calibri Light" w:cs="Calibri Light"/>
          <w:i/>
          <w:szCs w:val="16"/>
          <w:lang w:val="ro-MD"/>
        </w:rPr>
        <w:t>.</w:t>
      </w:r>
    </w:p>
    <w:p w14:paraId="11015D28" w14:textId="32A97D0E" w:rsidR="003D0784" w:rsidRPr="00736448" w:rsidRDefault="00FC62B3" w:rsidP="003D0784">
      <w:pPr>
        <w:tabs>
          <w:tab w:val="left" w:pos="162"/>
        </w:tabs>
        <w:spacing w:after="0" w:line="276" w:lineRule="auto"/>
        <w:jc w:val="right"/>
        <w:outlineLvl w:val="1"/>
        <w:rPr>
          <w:rFonts w:ascii="Calibri Light" w:eastAsia="Times New Roman" w:hAnsi="Calibri Light" w:cs="Calibri Light"/>
          <w:b/>
          <w:sz w:val="24"/>
          <w:szCs w:val="24"/>
          <w:lang w:val="ro-MD"/>
        </w:rPr>
      </w:pPr>
      <w:r>
        <w:rPr>
          <w:rFonts w:ascii="Calibri Light" w:eastAsia="Times New Roman" w:hAnsi="Calibri Light" w:cs="Calibri Light"/>
          <w:b/>
          <w:sz w:val="24"/>
          <w:szCs w:val="24"/>
          <w:lang w:val="ro-MD"/>
        </w:rPr>
        <w:t>Приложение №</w:t>
      </w:r>
      <w:r w:rsidR="003D0784" w:rsidRPr="00736448">
        <w:rPr>
          <w:rFonts w:ascii="Calibri Light" w:eastAsia="Times New Roman" w:hAnsi="Calibri Light" w:cs="Calibri Light"/>
          <w:b/>
          <w:sz w:val="24"/>
          <w:szCs w:val="24"/>
          <w:lang w:val="ro-MD"/>
        </w:rPr>
        <w:t xml:space="preserve"> </w:t>
      </w:r>
      <w:r w:rsidR="008B5EDB" w:rsidRPr="00736448">
        <w:rPr>
          <w:rFonts w:ascii="Calibri Light" w:eastAsia="Times New Roman" w:hAnsi="Calibri Light" w:cs="Calibri Light"/>
          <w:b/>
          <w:sz w:val="24"/>
          <w:szCs w:val="24"/>
          <w:lang w:val="ro-MD"/>
        </w:rPr>
        <w:t>10</w:t>
      </w:r>
    </w:p>
    <w:p w14:paraId="7C5F7AB4" w14:textId="54485E60" w:rsidR="003D0784" w:rsidRPr="00736448" w:rsidRDefault="00C0319C" w:rsidP="003D0784">
      <w:pPr>
        <w:spacing w:after="0" w:line="240" w:lineRule="auto"/>
        <w:jc w:val="center"/>
        <w:rPr>
          <w:rFonts w:ascii="Calibri Light" w:eastAsia="Times New Roman" w:hAnsi="Calibri Light" w:cs="Calibri Light"/>
          <w:b/>
          <w:bCs/>
          <w:color w:val="000000"/>
          <w:sz w:val="24"/>
          <w:szCs w:val="20"/>
          <w:lang w:val="ro-MD"/>
        </w:rPr>
      </w:pPr>
      <w:r w:rsidRPr="00D868E6">
        <w:rPr>
          <w:rFonts w:ascii="Calibri Light" w:eastAsia="Times New Roman" w:hAnsi="Calibri Light" w:cs="Calibri Light"/>
          <w:b/>
          <w:bCs/>
          <w:color w:val="000000"/>
          <w:sz w:val="24"/>
          <w:szCs w:val="20"/>
          <w:lang w:val="ro-MD"/>
        </w:rPr>
        <w:t>Анализ изменений, внесенных в Закон о бюджете государственного социального страхования на 2022 год</w:t>
      </w:r>
      <w:r w:rsidRPr="00736448">
        <w:rPr>
          <w:rFonts w:ascii="Calibri Light" w:eastAsia="Times New Roman" w:hAnsi="Calibri Light" w:cs="Calibri Light"/>
          <w:b/>
          <w:bCs/>
          <w:color w:val="000000"/>
          <w:sz w:val="24"/>
          <w:szCs w:val="20"/>
          <w:lang w:val="ro-MD"/>
        </w:rPr>
        <w:t xml:space="preserve"> </w:t>
      </w:r>
    </w:p>
    <w:p w14:paraId="75F34DEA" w14:textId="43919BB7" w:rsidR="003D0784" w:rsidRPr="00736448" w:rsidRDefault="003D0784" w:rsidP="003D0784">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w:t>
      </w:r>
      <w:r w:rsidR="00C0319C">
        <w:rPr>
          <w:rFonts w:ascii="Calibri Light" w:eastAsia="Times New Roman" w:hAnsi="Calibri Light" w:cs="Calibri Light"/>
          <w:b/>
          <w:bCs/>
          <w:color w:val="000000"/>
          <w:sz w:val="20"/>
          <w:szCs w:val="20"/>
          <w:lang w:val="ro-MD"/>
        </w:rPr>
        <w:t>тыс. леев</w:t>
      </w:r>
      <w:r w:rsidRPr="00736448">
        <w:rPr>
          <w:rFonts w:ascii="Calibri Light" w:eastAsia="Times New Roman" w:hAnsi="Calibri Light" w:cs="Calibri Light"/>
          <w:b/>
          <w:bCs/>
          <w:color w:val="000000"/>
          <w:sz w:val="20"/>
          <w:szCs w:val="20"/>
          <w:lang w:val="ro-MD"/>
        </w:rPr>
        <w:t>)</w:t>
      </w: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1900"/>
        <w:gridCol w:w="1900"/>
        <w:gridCol w:w="1880"/>
        <w:gridCol w:w="1700"/>
        <w:gridCol w:w="2340"/>
      </w:tblGrid>
      <w:tr w:rsidR="003D0784" w:rsidRPr="00B7675F" w14:paraId="095CA9C4" w14:textId="77777777" w:rsidTr="00D06DEE">
        <w:trPr>
          <w:trHeight w:val="20"/>
        </w:trPr>
        <w:tc>
          <w:tcPr>
            <w:tcW w:w="4800" w:type="dxa"/>
            <w:vMerge w:val="restart"/>
            <w:shd w:val="clear" w:color="auto" w:fill="auto"/>
            <w:noWrap/>
            <w:vAlign w:val="center"/>
            <w:hideMark/>
          </w:tcPr>
          <w:p w14:paraId="1200F409" w14:textId="45434CCC" w:rsidR="003D0784" w:rsidRPr="00736448" w:rsidRDefault="00FC62B3" w:rsidP="005F6348">
            <w:pPr>
              <w:spacing w:after="0" w:line="240" w:lineRule="auto"/>
              <w:jc w:val="center"/>
              <w:rPr>
                <w:rFonts w:ascii="Calibri Light" w:eastAsia="Times New Roman" w:hAnsi="Calibri Light" w:cs="Calibri Light"/>
                <w:b/>
                <w:bCs/>
                <w:color w:val="000000"/>
                <w:sz w:val="20"/>
                <w:szCs w:val="20"/>
                <w:lang w:val="ro-MD"/>
              </w:rPr>
            </w:pPr>
            <w:r>
              <w:rPr>
                <w:rFonts w:ascii="Calibri Light" w:eastAsia="Times New Roman" w:hAnsi="Calibri Light" w:cs="Calibri Light"/>
                <w:b/>
                <w:bCs/>
                <w:color w:val="000000"/>
                <w:sz w:val="20"/>
                <w:szCs w:val="20"/>
                <w:lang w:val="ro-MD"/>
              </w:rPr>
              <w:t>Показатели</w:t>
            </w:r>
          </w:p>
        </w:tc>
        <w:tc>
          <w:tcPr>
            <w:tcW w:w="1900" w:type="dxa"/>
            <w:shd w:val="clear" w:color="auto" w:fill="auto"/>
            <w:noWrap/>
            <w:vAlign w:val="bottom"/>
            <w:hideMark/>
          </w:tcPr>
          <w:p w14:paraId="499EB1A5" w14:textId="3387E14A" w:rsidR="003D0784" w:rsidRPr="00736448" w:rsidRDefault="00C0319C" w:rsidP="005F6348">
            <w:pPr>
              <w:spacing w:after="0" w:line="240" w:lineRule="auto"/>
              <w:jc w:val="center"/>
              <w:rPr>
                <w:rFonts w:ascii="Calibri Light" w:eastAsia="Times New Roman" w:hAnsi="Calibri Light" w:cs="Calibri Light"/>
                <w:b/>
                <w:bCs/>
                <w:color w:val="000000"/>
                <w:sz w:val="20"/>
                <w:szCs w:val="20"/>
                <w:lang w:val="ro-MD"/>
              </w:rPr>
            </w:pPr>
            <w:r>
              <w:rPr>
                <w:rFonts w:ascii="Calibri Light" w:eastAsia="Times New Roman" w:hAnsi="Calibri Light" w:cs="Calibri Light"/>
                <w:b/>
                <w:bCs/>
                <w:color w:val="000000"/>
                <w:sz w:val="20"/>
                <w:szCs w:val="20"/>
                <w:lang w:val="ro-MD"/>
              </w:rPr>
              <w:t>Утверждено</w:t>
            </w:r>
          </w:p>
        </w:tc>
        <w:tc>
          <w:tcPr>
            <w:tcW w:w="5480" w:type="dxa"/>
            <w:gridSpan w:val="3"/>
            <w:shd w:val="clear" w:color="auto" w:fill="auto"/>
            <w:noWrap/>
            <w:vAlign w:val="bottom"/>
            <w:hideMark/>
          </w:tcPr>
          <w:p w14:paraId="6811DF81" w14:textId="2D1D4A9A" w:rsidR="003D0784" w:rsidRPr="00736448" w:rsidRDefault="00F8695F" w:rsidP="005F6348">
            <w:pPr>
              <w:spacing w:after="0" w:line="240" w:lineRule="auto"/>
              <w:jc w:val="center"/>
              <w:rPr>
                <w:rFonts w:ascii="Calibri Light" w:eastAsia="Times New Roman" w:hAnsi="Calibri Light" w:cs="Calibri Light"/>
                <w:b/>
                <w:bCs/>
                <w:color w:val="000000"/>
                <w:sz w:val="20"/>
                <w:szCs w:val="20"/>
                <w:lang w:val="ro-MD"/>
              </w:rPr>
            </w:pPr>
            <w:r w:rsidRPr="00F8695F">
              <w:rPr>
                <w:rFonts w:ascii="Calibri Light" w:eastAsia="Times New Roman" w:hAnsi="Calibri Light" w:cs="Calibri Light"/>
                <w:b/>
                <w:bCs/>
                <w:color w:val="000000"/>
                <w:sz w:val="20"/>
                <w:szCs w:val="20"/>
                <w:lang w:val="ro-RO"/>
              </w:rPr>
              <w:t xml:space="preserve">Изменения, внесенные </w:t>
            </w:r>
            <w:r w:rsidRPr="00F8695F">
              <w:rPr>
                <w:rFonts w:ascii="Calibri Light" w:eastAsia="Times New Roman" w:hAnsi="Calibri Light" w:cs="Calibri Light"/>
                <w:b/>
                <w:bCs/>
                <w:color w:val="000000"/>
                <w:sz w:val="20"/>
                <w:szCs w:val="20"/>
                <w:lang w:val="ru-RU"/>
              </w:rPr>
              <w:t>П</w:t>
            </w:r>
            <w:r w:rsidRPr="00F8695F">
              <w:rPr>
                <w:rFonts w:ascii="Calibri Light" w:eastAsia="Times New Roman" w:hAnsi="Calibri Light" w:cs="Calibri Light"/>
                <w:b/>
                <w:bCs/>
                <w:color w:val="000000"/>
                <w:sz w:val="20"/>
                <w:szCs w:val="20"/>
                <w:lang w:val="ro-RO"/>
              </w:rPr>
              <w:t>арламентом</w:t>
            </w:r>
          </w:p>
        </w:tc>
        <w:tc>
          <w:tcPr>
            <w:tcW w:w="2340" w:type="dxa"/>
            <w:shd w:val="clear" w:color="auto" w:fill="auto"/>
            <w:noWrap/>
            <w:vAlign w:val="bottom"/>
            <w:hideMark/>
          </w:tcPr>
          <w:p w14:paraId="10B84C88" w14:textId="3F49FA94" w:rsidR="003D0784" w:rsidRPr="00736448" w:rsidRDefault="003B3DFD" w:rsidP="005F6348">
            <w:pPr>
              <w:spacing w:after="0" w:line="240" w:lineRule="auto"/>
              <w:jc w:val="center"/>
              <w:rPr>
                <w:rFonts w:ascii="Calibri Light" w:eastAsia="Times New Roman" w:hAnsi="Calibri Light" w:cs="Calibri Light"/>
                <w:b/>
                <w:bCs/>
                <w:color w:val="000000"/>
                <w:sz w:val="20"/>
                <w:szCs w:val="20"/>
                <w:lang w:val="ro-MD"/>
              </w:rPr>
            </w:pPr>
            <w:r>
              <w:rPr>
                <w:rFonts w:ascii="Calibri Light" w:eastAsia="Times New Roman" w:hAnsi="Calibri Light" w:cs="Calibri Light"/>
                <w:b/>
                <w:bCs/>
                <w:color w:val="000000"/>
                <w:sz w:val="20"/>
                <w:szCs w:val="20"/>
                <w:lang w:val="ro-MD"/>
              </w:rPr>
              <w:t>Отклонения</w:t>
            </w:r>
            <w:r w:rsidR="003D0784" w:rsidRPr="00736448">
              <w:rPr>
                <w:rFonts w:ascii="Calibri Light" w:eastAsia="Times New Roman" w:hAnsi="Calibri Light" w:cs="Calibri Light"/>
                <w:b/>
                <w:bCs/>
                <w:color w:val="000000"/>
                <w:sz w:val="20"/>
                <w:szCs w:val="20"/>
                <w:lang w:val="ro-MD"/>
              </w:rPr>
              <w:t xml:space="preserve"> (+/-)</w:t>
            </w:r>
          </w:p>
        </w:tc>
      </w:tr>
      <w:tr w:rsidR="003D0784" w:rsidRPr="00B7675F" w14:paraId="014F4241" w14:textId="77777777" w:rsidTr="00D06DEE">
        <w:trPr>
          <w:trHeight w:val="20"/>
        </w:trPr>
        <w:tc>
          <w:tcPr>
            <w:tcW w:w="4800" w:type="dxa"/>
            <w:vMerge/>
            <w:shd w:val="clear" w:color="auto" w:fill="auto"/>
            <w:vAlign w:val="center"/>
            <w:hideMark/>
          </w:tcPr>
          <w:p w14:paraId="42E98C0F" w14:textId="77777777" w:rsidR="003D0784" w:rsidRPr="00736448" w:rsidRDefault="003D0784" w:rsidP="005F6348">
            <w:pPr>
              <w:spacing w:after="0" w:line="240" w:lineRule="auto"/>
              <w:rPr>
                <w:rFonts w:ascii="Calibri Light" w:eastAsia="Times New Roman" w:hAnsi="Calibri Light" w:cs="Calibri Light"/>
                <w:b/>
                <w:bCs/>
                <w:color w:val="000000"/>
                <w:sz w:val="20"/>
                <w:szCs w:val="20"/>
                <w:lang w:val="ro-MD"/>
              </w:rPr>
            </w:pPr>
          </w:p>
        </w:tc>
        <w:tc>
          <w:tcPr>
            <w:tcW w:w="1900" w:type="dxa"/>
            <w:shd w:val="clear" w:color="auto" w:fill="auto"/>
            <w:vAlign w:val="bottom"/>
            <w:hideMark/>
          </w:tcPr>
          <w:p w14:paraId="14AEFCB6" w14:textId="6EF9965E" w:rsidR="003D0784" w:rsidRPr="00736448" w:rsidRDefault="00F8695F" w:rsidP="00F8695F">
            <w:pPr>
              <w:spacing w:after="0" w:line="240" w:lineRule="auto"/>
              <w:jc w:val="center"/>
              <w:rPr>
                <w:rFonts w:ascii="Calibri Light" w:eastAsia="Times New Roman" w:hAnsi="Calibri Light" w:cs="Calibri Light"/>
                <w:i/>
                <w:iCs/>
                <w:color w:val="000000"/>
                <w:sz w:val="20"/>
                <w:szCs w:val="20"/>
                <w:lang w:val="ro-MD"/>
              </w:rPr>
            </w:pPr>
            <w:r>
              <w:rPr>
                <w:rFonts w:ascii="Calibri Light" w:eastAsia="Times New Roman" w:hAnsi="Calibri Light" w:cs="Calibri Light"/>
                <w:i/>
                <w:iCs/>
                <w:color w:val="000000"/>
                <w:sz w:val="20"/>
                <w:szCs w:val="20"/>
                <w:lang w:val="ru-RU"/>
              </w:rPr>
              <w:t>Законом №</w:t>
            </w:r>
            <w:r w:rsidR="003D0784" w:rsidRPr="00736448">
              <w:rPr>
                <w:rFonts w:ascii="Calibri Light" w:eastAsia="Times New Roman" w:hAnsi="Calibri Light" w:cs="Calibri Light"/>
                <w:i/>
                <w:iCs/>
                <w:color w:val="000000"/>
                <w:sz w:val="20"/>
                <w:szCs w:val="20"/>
                <w:lang w:val="ro-MD"/>
              </w:rPr>
              <w:t xml:space="preserve">206 </w:t>
            </w:r>
            <w:r>
              <w:rPr>
                <w:rFonts w:ascii="Calibri Light" w:eastAsia="Times New Roman" w:hAnsi="Calibri Light" w:cs="Calibri Light"/>
                <w:i/>
                <w:iCs/>
                <w:color w:val="000000"/>
                <w:sz w:val="20"/>
                <w:szCs w:val="20"/>
                <w:lang w:val="ru-RU"/>
              </w:rPr>
              <w:t>от</w:t>
            </w:r>
            <w:r w:rsidR="003D0784" w:rsidRPr="00736448">
              <w:rPr>
                <w:rFonts w:ascii="Calibri Light" w:eastAsia="Times New Roman" w:hAnsi="Calibri Light" w:cs="Calibri Light"/>
                <w:i/>
                <w:iCs/>
                <w:color w:val="000000"/>
                <w:sz w:val="20"/>
                <w:szCs w:val="20"/>
                <w:lang w:val="ro-MD"/>
              </w:rPr>
              <w:t xml:space="preserve"> 06.12.2021</w:t>
            </w:r>
          </w:p>
        </w:tc>
        <w:tc>
          <w:tcPr>
            <w:tcW w:w="1900" w:type="dxa"/>
            <w:shd w:val="clear" w:color="auto" w:fill="auto"/>
            <w:vAlign w:val="bottom"/>
            <w:hideMark/>
          </w:tcPr>
          <w:p w14:paraId="18217CC1" w14:textId="749118F4" w:rsidR="003D0784" w:rsidRPr="00736448" w:rsidRDefault="00F8695F" w:rsidP="00F8695F">
            <w:pPr>
              <w:spacing w:after="0" w:line="240" w:lineRule="auto"/>
              <w:jc w:val="center"/>
              <w:rPr>
                <w:rFonts w:ascii="Calibri Light" w:eastAsia="Times New Roman" w:hAnsi="Calibri Light" w:cs="Calibri Light"/>
                <w:i/>
                <w:iCs/>
                <w:color w:val="000000"/>
                <w:sz w:val="20"/>
                <w:szCs w:val="20"/>
                <w:lang w:val="ro-MD"/>
              </w:rPr>
            </w:pPr>
            <w:r>
              <w:rPr>
                <w:rFonts w:ascii="Calibri Light" w:eastAsia="Times New Roman" w:hAnsi="Calibri Light" w:cs="Calibri Light"/>
                <w:i/>
                <w:iCs/>
                <w:color w:val="000000"/>
                <w:sz w:val="20"/>
                <w:szCs w:val="20"/>
                <w:lang w:val="ru-RU"/>
              </w:rPr>
              <w:t>Законом №</w:t>
            </w:r>
            <w:r w:rsidR="003D0784" w:rsidRPr="00736448">
              <w:rPr>
                <w:rFonts w:ascii="Calibri Light" w:eastAsia="Times New Roman" w:hAnsi="Calibri Light" w:cs="Calibri Light"/>
                <w:i/>
                <w:iCs/>
                <w:color w:val="000000"/>
                <w:sz w:val="20"/>
                <w:szCs w:val="20"/>
                <w:lang w:val="ro-MD"/>
              </w:rPr>
              <w:t xml:space="preserve">113 </w:t>
            </w:r>
            <w:r>
              <w:rPr>
                <w:rFonts w:ascii="Calibri Light" w:eastAsia="Times New Roman" w:hAnsi="Calibri Light" w:cs="Calibri Light"/>
                <w:i/>
                <w:iCs/>
                <w:color w:val="000000"/>
                <w:sz w:val="20"/>
                <w:szCs w:val="20"/>
                <w:lang w:val="ru-RU"/>
              </w:rPr>
              <w:t>от</w:t>
            </w:r>
            <w:r w:rsidR="003D0784" w:rsidRPr="00736448">
              <w:rPr>
                <w:rFonts w:ascii="Calibri Light" w:eastAsia="Times New Roman" w:hAnsi="Calibri Light" w:cs="Calibri Light"/>
                <w:i/>
                <w:iCs/>
                <w:color w:val="000000"/>
                <w:sz w:val="20"/>
                <w:szCs w:val="20"/>
                <w:lang w:val="ro-MD"/>
              </w:rPr>
              <w:t xml:space="preserve"> 05.05.2022</w:t>
            </w:r>
          </w:p>
        </w:tc>
        <w:tc>
          <w:tcPr>
            <w:tcW w:w="1880" w:type="dxa"/>
            <w:shd w:val="clear" w:color="auto" w:fill="auto"/>
            <w:vAlign w:val="bottom"/>
            <w:hideMark/>
          </w:tcPr>
          <w:p w14:paraId="57BBB926" w14:textId="6DD8E25F" w:rsidR="003D0784" w:rsidRPr="00736448" w:rsidRDefault="003D0784" w:rsidP="00F8695F">
            <w:pPr>
              <w:spacing w:after="0" w:line="240" w:lineRule="auto"/>
              <w:jc w:val="center"/>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 xml:space="preserve"> </w:t>
            </w:r>
            <w:r w:rsidR="00F8695F">
              <w:rPr>
                <w:rFonts w:ascii="Calibri Light" w:eastAsia="Times New Roman" w:hAnsi="Calibri Light" w:cs="Calibri Light"/>
                <w:i/>
                <w:iCs/>
                <w:color w:val="000000"/>
                <w:sz w:val="20"/>
                <w:szCs w:val="20"/>
                <w:lang w:val="ru-RU"/>
              </w:rPr>
              <w:t>Законом №</w:t>
            </w:r>
            <w:r w:rsidRPr="00736448">
              <w:rPr>
                <w:rFonts w:ascii="Calibri Light" w:eastAsia="Times New Roman" w:hAnsi="Calibri Light" w:cs="Calibri Light"/>
                <w:i/>
                <w:iCs/>
                <w:color w:val="000000"/>
                <w:sz w:val="20"/>
                <w:szCs w:val="20"/>
                <w:lang w:val="ro-MD"/>
              </w:rPr>
              <w:t xml:space="preserve">160 </w:t>
            </w:r>
            <w:r w:rsidR="00F8695F">
              <w:rPr>
                <w:rFonts w:ascii="Calibri Light" w:eastAsia="Times New Roman" w:hAnsi="Calibri Light" w:cs="Calibri Light"/>
                <w:i/>
                <w:iCs/>
                <w:color w:val="000000"/>
                <w:sz w:val="20"/>
                <w:szCs w:val="20"/>
                <w:lang w:val="ru-RU"/>
              </w:rPr>
              <w:t>от</w:t>
            </w:r>
            <w:r w:rsidRPr="00736448">
              <w:rPr>
                <w:rFonts w:ascii="Calibri Light" w:eastAsia="Times New Roman" w:hAnsi="Calibri Light" w:cs="Calibri Light"/>
                <w:i/>
                <w:iCs/>
                <w:color w:val="000000"/>
                <w:sz w:val="20"/>
                <w:szCs w:val="20"/>
                <w:lang w:val="ro-MD"/>
              </w:rPr>
              <w:t xml:space="preserve"> 07.07.2022</w:t>
            </w:r>
          </w:p>
        </w:tc>
        <w:tc>
          <w:tcPr>
            <w:tcW w:w="1700" w:type="dxa"/>
            <w:shd w:val="clear" w:color="auto" w:fill="auto"/>
            <w:vAlign w:val="bottom"/>
            <w:hideMark/>
          </w:tcPr>
          <w:p w14:paraId="57BADA1E" w14:textId="779330CF" w:rsidR="003D0784" w:rsidRPr="00736448" w:rsidRDefault="00F8695F" w:rsidP="00F8695F">
            <w:pPr>
              <w:spacing w:after="0" w:line="240" w:lineRule="auto"/>
              <w:jc w:val="center"/>
              <w:rPr>
                <w:rFonts w:ascii="Calibri Light" w:eastAsia="Times New Roman" w:hAnsi="Calibri Light" w:cs="Calibri Light"/>
                <w:i/>
                <w:iCs/>
                <w:color w:val="000000"/>
                <w:sz w:val="20"/>
                <w:szCs w:val="20"/>
                <w:lang w:val="ro-MD"/>
              </w:rPr>
            </w:pPr>
            <w:r>
              <w:rPr>
                <w:rFonts w:ascii="Calibri Light" w:eastAsia="Times New Roman" w:hAnsi="Calibri Light" w:cs="Calibri Light"/>
                <w:i/>
                <w:iCs/>
                <w:color w:val="000000"/>
                <w:sz w:val="20"/>
                <w:szCs w:val="20"/>
                <w:lang w:val="ru-RU"/>
              </w:rPr>
              <w:t>Законом №</w:t>
            </w:r>
            <w:r w:rsidR="003D0784" w:rsidRPr="00736448">
              <w:rPr>
                <w:rFonts w:ascii="Calibri Light" w:eastAsia="Times New Roman" w:hAnsi="Calibri Light" w:cs="Calibri Light"/>
                <w:i/>
                <w:iCs/>
                <w:color w:val="000000"/>
                <w:sz w:val="20"/>
                <w:szCs w:val="20"/>
                <w:lang w:val="ro-MD"/>
              </w:rPr>
              <w:t xml:space="preserve">261 </w:t>
            </w:r>
            <w:r>
              <w:rPr>
                <w:rFonts w:ascii="Calibri Light" w:eastAsia="Times New Roman" w:hAnsi="Calibri Light" w:cs="Calibri Light"/>
                <w:i/>
                <w:iCs/>
                <w:color w:val="000000"/>
                <w:sz w:val="20"/>
                <w:szCs w:val="20"/>
                <w:lang w:val="ru-RU"/>
              </w:rPr>
              <w:t>от</w:t>
            </w:r>
            <w:r w:rsidR="003D0784" w:rsidRPr="00736448">
              <w:rPr>
                <w:rFonts w:ascii="Calibri Light" w:eastAsia="Times New Roman" w:hAnsi="Calibri Light" w:cs="Calibri Light"/>
                <w:i/>
                <w:iCs/>
                <w:color w:val="000000"/>
                <w:sz w:val="20"/>
                <w:szCs w:val="20"/>
                <w:lang w:val="ro-MD"/>
              </w:rPr>
              <w:t xml:space="preserve"> 08.09.2022</w:t>
            </w:r>
          </w:p>
        </w:tc>
        <w:tc>
          <w:tcPr>
            <w:tcW w:w="2340" w:type="dxa"/>
            <w:shd w:val="clear" w:color="auto" w:fill="auto"/>
            <w:vAlign w:val="bottom"/>
            <w:hideMark/>
          </w:tcPr>
          <w:p w14:paraId="364E9FA5" w14:textId="7637D31A" w:rsidR="003D0784" w:rsidRPr="00F8695F" w:rsidRDefault="00F8695F" w:rsidP="00F8695F">
            <w:pPr>
              <w:spacing w:after="0" w:line="240" w:lineRule="auto"/>
              <w:jc w:val="center"/>
              <w:rPr>
                <w:rFonts w:ascii="Calibri Light" w:eastAsia="Times New Roman" w:hAnsi="Calibri Light" w:cs="Calibri Light"/>
                <w:b/>
                <w:bCs/>
                <w:color w:val="000000"/>
                <w:sz w:val="20"/>
                <w:szCs w:val="20"/>
                <w:lang w:val="ru-RU"/>
              </w:rPr>
            </w:pPr>
            <w:r>
              <w:rPr>
                <w:rFonts w:ascii="Calibri Light" w:eastAsia="Times New Roman" w:hAnsi="Calibri Light" w:cs="Calibri Light"/>
                <w:b/>
                <w:bCs/>
                <w:color w:val="000000"/>
                <w:sz w:val="20"/>
                <w:szCs w:val="20"/>
                <w:lang w:val="ru-RU"/>
              </w:rPr>
              <w:t>Последнее</w:t>
            </w:r>
            <w:r w:rsidR="003D0784" w:rsidRPr="00736448">
              <w:rPr>
                <w:rFonts w:ascii="Calibri Light" w:eastAsia="Times New Roman" w:hAnsi="Calibri Light" w:cs="Calibri Light"/>
                <w:b/>
                <w:bCs/>
                <w:color w:val="000000"/>
                <w:sz w:val="20"/>
                <w:szCs w:val="20"/>
                <w:lang w:val="ro-MD"/>
              </w:rPr>
              <w:t xml:space="preserve"> </w:t>
            </w:r>
            <w:r>
              <w:rPr>
                <w:rFonts w:ascii="Calibri Light" w:eastAsia="Times New Roman" w:hAnsi="Calibri Light" w:cs="Calibri Light"/>
                <w:b/>
                <w:bCs/>
                <w:color w:val="000000"/>
                <w:sz w:val="20"/>
                <w:szCs w:val="20"/>
                <w:lang w:val="ru-RU"/>
              </w:rPr>
              <w:t>изменение</w:t>
            </w:r>
            <w:r w:rsidR="003D0784" w:rsidRPr="00736448">
              <w:rPr>
                <w:rFonts w:ascii="Calibri Light" w:eastAsia="Times New Roman" w:hAnsi="Calibri Light" w:cs="Calibri Light"/>
                <w:b/>
                <w:bCs/>
                <w:color w:val="000000"/>
                <w:sz w:val="20"/>
                <w:szCs w:val="20"/>
                <w:lang w:val="ro-MD"/>
              </w:rPr>
              <w:t>/</w:t>
            </w:r>
            <w:r>
              <w:rPr>
                <w:rFonts w:ascii="Calibri Light" w:eastAsia="Times New Roman" w:hAnsi="Calibri Light" w:cs="Calibri Light"/>
                <w:b/>
                <w:bCs/>
                <w:color w:val="000000"/>
                <w:sz w:val="20"/>
                <w:szCs w:val="20"/>
                <w:lang w:val="ru-RU"/>
              </w:rPr>
              <w:t>у</w:t>
            </w:r>
            <w:r w:rsidR="00C0319C">
              <w:rPr>
                <w:rFonts w:ascii="Calibri Light" w:eastAsia="Times New Roman" w:hAnsi="Calibri Light" w:cs="Calibri Light"/>
                <w:b/>
                <w:bCs/>
                <w:color w:val="000000"/>
                <w:sz w:val="20"/>
                <w:szCs w:val="20"/>
                <w:lang w:val="ro-MD"/>
              </w:rPr>
              <w:t>твержден</w:t>
            </w:r>
            <w:r>
              <w:rPr>
                <w:rFonts w:ascii="Calibri Light" w:eastAsia="Times New Roman" w:hAnsi="Calibri Light" w:cs="Calibri Light"/>
                <w:b/>
                <w:bCs/>
                <w:color w:val="000000"/>
                <w:sz w:val="20"/>
                <w:szCs w:val="20"/>
                <w:lang w:val="ru-RU"/>
              </w:rPr>
              <w:t>ие</w:t>
            </w:r>
          </w:p>
        </w:tc>
      </w:tr>
      <w:tr w:rsidR="003D0784" w:rsidRPr="00B7675F" w14:paraId="7C93A656" w14:textId="77777777" w:rsidTr="00D06DEE">
        <w:trPr>
          <w:trHeight w:val="20"/>
        </w:trPr>
        <w:tc>
          <w:tcPr>
            <w:tcW w:w="4800" w:type="dxa"/>
            <w:shd w:val="clear" w:color="auto" w:fill="auto"/>
            <w:noWrap/>
            <w:vAlign w:val="bottom"/>
            <w:hideMark/>
          </w:tcPr>
          <w:p w14:paraId="58AD6BC3" w14:textId="77777777" w:rsidR="003D0784" w:rsidRPr="00736448" w:rsidRDefault="003D0784" w:rsidP="005F6348">
            <w:pPr>
              <w:spacing w:after="0" w:line="240" w:lineRule="auto"/>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1</w:t>
            </w:r>
          </w:p>
        </w:tc>
        <w:tc>
          <w:tcPr>
            <w:tcW w:w="1900" w:type="dxa"/>
            <w:shd w:val="clear" w:color="auto" w:fill="auto"/>
            <w:vAlign w:val="bottom"/>
            <w:hideMark/>
          </w:tcPr>
          <w:p w14:paraId="100C01DE" w14:textId="77777777" w:rsidR="003D0784" w:rsidRPr="00736448" w:rsidRDefault="003D0784" w:rsidP="005F6348">
            <w:pPr>
              <w:spacing w:after="0" w:line="240" w:lineRule="auto"/>
              <w:jc w:val="center"/>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2</w:t>
            </w:r>
          </w:p>
        </w:tc>
        <w:tc>
          <w:tcPr>
            <w:tcW w:w="1900" w:type="dxa"/>
            <w:shd w:val="clear" w:color="auto" w:fill="auto"/>
            <w:vAlign w:val="bottom"/>
            <w:hideMark/>
          </w:tcPr>
          <w:p w14:paraId="37B0616A" w14:textId="77777777" w:rsidR="003D0784" w:rsidRPr="00736448" w:rsidRDefault="003D0784" w:rsidP="005F6348">
            <w:pPr>
              <w:spacing w:after="0" w:line="240" w:lineRule="auto"/>
              <w:jc w:val="center"/>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3</w:t>
            </w:r>
          </w:p>
        </w:tc>
        <w:tc>
          <w:tcPr>
            <w:tcW w:w="1880" w:type="dxa"/>
            <w:shd w:val="clear" w:color="auto" w:fill="auto"/>
            <w:vAlign w:val="bottom"/>
            <w:hideMark/>
          </w:tcPr>
          <w:p w14:paraId="0495E917" w14:textId="77777777" w:rsidR="003D0784" w:rsidRPr="00736448" w:rsidRDefault="003D0784" w:rsidP="005F6348">
            <w:pPr>
              <w:spacing w:after="0" w:line="240" w:lineRule="auto"/>
              <w:jc w:val="center"/>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4</w:t>
            </w:r>
          </w:p>
        </w:tc>
        <w:tc>
          <w:tcPr>
            <w:tcW w:w="1700" w:type="dxa"/>
            <w:shd w:val="clear" w:color="auto" w:fill="auto"/>
            <w:vAlign w:val="bottom"/>
            <w:hideMark/>
          </w:tcPr>
          <w:p w14:paraId="061BD912" w14:textId="77777777" w:rsidR="003D0784" w:rsidRPr="00736448" w:rsidRDefault="003D0784" w:rsidP="005F6348">
            <w:pPr>
              <w:spacing w:after="0" w:line="240" w:lineRule="auto"/>
              <w:jc w:val="center"/>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5</w:t>
            </w:r>
          </w:p>
        </w:tc>
        <w:tc>
          <w:tcPr>
            <w:tcW w:w="2340" w:type="dxa"/>
            <w:shd w:val="clear" w:color="auto" w:fill="auto"/>
            <w:noWrap/>
            <w:vAlign w:val="bottom"/>
            <w:hideMark/>
          </w:tcPr>
          <w:p w14:paraId="7563467A" w14:textId="77777777" w:rsidR="003D0784" w:rsidRPr="00736448" w:rsidRDefault="003D0784" w:rsidP="005F6348">
            <w:pPr>
              <w:spacing w:after="0" w:line="240" w:lineRule="auto"/>
              <w:jc w:val="center"/>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6=5-2</w:t>
            </w:r>
          </w:p>
        </w:tc>
      </w:tr>
      <w:tr w:rsidR="00D06DEE" w:rsidRPr="00B7675F" w14:paraId="553B3C79" w14:textId="77777777" w:rsidTr="00D06DEE">
        <w:trPr>
          <w:trHeight w:val="20"/>
        </w:trPr>
        <w:tc>
          <w:tcPr>
            <w:tcW w:w="4800" w:type="dxa"/>
            <w:shd w:val="clear" w:color="auto" w:fill="auto"/>
            <w:hideMark/>
          </w:tcPr>
          <w:p w14:paraId="4761205C" w14:textId="56352C1F" w:rsidR="00D06DEE" w:rsidRPr="00736448" w:rsidRDefault="00D06DEE" w:rsidP="00D06DEE">
            <w:pPr>
              <w:spacing w:after="0" w:line="240" w:lineRule="auto"/>
              <w:rPr>
                <w:rFonts w:ascii="Calibri Light" w:eastAsia="Times New Roman" w:hAnsi="Calibri Light" w:cs="Calibri Light"/>
                <w:b/>
                <w:bCs/>
                <w:color w:val="000000"/>
                <w:sz w:val="20"/>
                <w:szCs w:val="20"/>
                <w:lang w:val="ro-MD"/>
              </w:rPr>
            </w:pPr>
            <w:r w:rsidRPr="00E82CC1">
              <w:rPr>
                <w:rFonts w:ascii="Calibri Light" w:eastAsia="Times New Roman" w:hAnsi="Calibri Light" w:cs="Calibri Light"/>
                <w:b/>
                <w:bCs/>
                <w:color w:val="000000"/>
                <w:sz w:val="20"/>
                <w:szCs w:val="20"/>
                <w:lang w:val="ro-RO"/>
              </w:rPr>
              <w:t xml:space="preserve">I. </w:t>
            </w:r>
            <w:r w:rsidRPr="00261430">
              <w:rPr>
                <w:rFonts w:ascii="Calibri Light" w:eastAsia="Times New Roman" w:hAnsi="Calibri Light" w:cs="Calibri Light"/>
                <w:b/>
                <w:bCs/>
                <w:color w:val="000000"/>
                <w:sz w:val="20"/>
                <w:szCs w:val="20"/>
                <w:lang w:val="ro-RO"/>
              </w:rPr>
              <w:t>Доход</w:t>
            </w:r>
            <w:r>
              <w:rPr>
                <w:rFonts w:ascii="Calibri Light" w:eastAsia="Times New Roman" w:hAnsi="Calibri Light" w:cs="Calibri Light"/>
                <w:b/>
                <w:bCs/>
                <w:color w:val="000000"/>
                <w:sz w:val="20"/>
                <w:szCs w:val="20"/>
                <w:lang w:val="ru-RU"/>
              </w:rPr>
              <w:t>ы</w:t>
            </w:r>
            <w:r w:rsidRPr="00261430">
              <w:rPr>
                <w:rFonts w:ascii="Calibri Light" w:eastAsia="Times New Roman" w:hAnsi="Calibri Light" w:cs="Calibri Light"/>
                <w:b/>
                <w:bCs/>
                <w:color w:val="000000"/>
                <w:sz w:val="20"/>
                <w:szCs w:val="20"/>
                <w:lang w:val="ro-RO"/>
              </w:rPr>
              <w:t>, всего</w:t>
            </w:r>
          </w:p>
        </w:tc>
        <w:tc>
          <w:tcPr>
            <w:tcW w:w="1900" w:type="dxa"/>
            <w:shd w:val="clear" w:color="auto" w:fill="auto"/>
          </w:tcPr>
          <w:p w14:paraId="742351A5"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31224240.7</w:t>
            </w:r>
          </w:p>
        </w:tc>
        <w:tc>
          <w:tcPr>
            <w:tcW w:w="1900" w:type="dxa"/>
            <w:shd w:val="clear" w:color="auto" w:fill="auto"/>
            <w:noWrap/>
          </w:tcPr>
          <w:p w14:paraId="0A001A2F"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33042332.4</w:t>
            </w:r>
          </w:p>
        </w:tc>
        <w:tc>
          <w:tcPr>
            <w:tcW w:w="1880" w:type="dxa"/>
            <w:shd w:val="clear" w:color="auto" w:fill="auto"/>
            <w:noWrap/>
          </w:tcPr>
          <w:p w14:paraId="40F93EA3"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33042332.4</w:t>
            </w:r>
          </w:p>
        </w:tc>
        <w:tc>
          <w:tcPr>
            <w:tcW w:w="1700" w:type="dxa"/>
            <w:shd w:val="clear" w:color="auto" w:fill="auto"/>
            <w:noWrap/>
          </w:tcPr>
          <w:p w14:paraId="34E4CA95"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34197925.4</w:t>
            </w:r>
          </w:p>
        </w:tc>
        <w:tc>
          <w:tcPr>
            <w:tcW w:w="2340" w:type="dxa"/>
            <w:shd w:val="clear" w:color="auto" w:fill="auto"/>
            <w:noWrap/>
            <w:vAlign w:val="bottom"/>
          </w:tcPr>
          <w:p w14:paraId="483C8806" w14:textId="77777777" w:rsidR="00D06DEE" w:rsidRPr="00736448" w:rsidRDefault="00D06DEE" w:rsidP="00D06DEE">
            <w:pPr>
              <w:spacing w:after="0"/>
              <w:jc w:val="right"/>
              <w:rPr>
                <w:rFonts w:ascii="Calibri" w:hAnsi="Calibri" w:cs="Calibri"/>
                <w:color w:val="000000"/>
                <w:lang w:val="ro-MD"/>
              </w:rPr>
            </w:pPr>
            <w:r w:rsidRPr="00736448">
              <w:rPr>
                <w:rFonts w:ascii="Calibri" w:hAnsi="Calibri" w:cs="Calibri"/>
                <w:color w:val="000000"/>
                <w:lang w:val="ro-MD"/>
              </w:rPr>
              <w:t>2973684.7</w:t>
            </w:r>
          </w:p>
        </w:tc>
      </w:tr>
      <w:tr w:rsidR="00D06DEE" w:rsidRPr="00B7675F" w14:paraId="65EE22EA" w14:textId="77777777" w:rsidTr="00D06DEE">
        <w:trPr>
          <w:trHeight w:val="20"/>
        </w:trPr>
        <w:tc>
          <w:tcPr>
            <w:tcW w:w="4800" w:type="dxa"/>
            <w:shd w:val="clear" w:color="auto" w:fill="auto"/>
            <w:hideMark/>
          </w:tcPr>
          <w:p w14:paraId="5C8BD62E" w14:textId="4F72DB41" w:rsidR="00D06DEE" w:rsidRPr="00736448" w:rsidRDefault="00D06DEE" w:rsidP="00D06DEE">
            <w:pPr>
              <w:spacing w:after="0" w:line="240" w:lineRule="auto"/>
              <w:rPr>
                <w:rFonts w:ascii="Calibri Light" w:eastAsia="Times New Roman" w:hAnsi="Calibri Light" w:cs="Calibri Light"/>
                <w:i/>
                <w:iCs/>
                <w:color w:val="000000"/>
                <w:sz w:val="20"/>
                <w:szCs w:val="20"/>
                <w:lang w:val="ro-MD"/>
              </w:rPr>
            </w:pPr>
            <w:r w:rsidRPr="00261430">
              <w:rPr>
                <w:rFonts w:ascii="Calibri Light" w:eastAsia="Times New Roman" w:hAnsi="Calibri Light" w:cs="Calibri Light"/>
                <w:i/>
                <w:iCs/>
                <w:color w:val="000000"/>
                <w:sz w:val="20"/>
                <w:szCs w:val="20"/>
                <w:lang w:val="ro-RO"/>
              </w:rPr>
              <w:t>в том числе трансферты из государственного бюджета</w:t>
            </w:r>
          </w:p>
        </w:tc>
        <w:tc>
          <w:tcPr>
            <w:tcW w:w="1900" w:type="dxa"/>
            <w:shd w:val="clear" w:color="auto" w:fill="auto"/>
          </w:tcPr>
          <w:p w14:paraId="7BA495F3" w14:textId="77777777" w:rsidR="00D06DEE" w:rsidRPr="00736448" w:rsidRDefault="00D06DEE" w:rsidP="00D06DEE">
            <w:pPr>
              <w:spacing w:after="0" w:line="240" w:lineRule="auto"/>
              <w:jc w:val="right"/>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12550012.5</w:t>
            </w:r>
          </w:p>
        </w:tc>
        <w:tc>
          <w:tcPr>
            <w:tcW w:w="1900" w:type="dxa"/>
            <w:shd w:val="clear" w:color="auto" w:fill="auto"/>
            <w:noWrap/>
          </w:tcPr>
          <w:p w14:paraId="7419730D" w14:textId="77777777" w:rsidR="00D06DEE" w:rsidRPr="00736448" w:rsidRDefault="00D06DEE" w:rsidP="00D06DEE">
            <w:pPr>
              <w:spacing w:after="0" w:line="240" w:lineRule="auto"/>
              <w:jc w:val="right"/>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14207104.2</w:t>
            </w:r>
          </w:p>
        </w:tc>
        <w:tc>
          <w:tcPr>
            <w:tcW w:w="1880" w:type="dxa"/>
            <w:shd w:val="clear" w:color="auto" w:fill="auto"/>
            <w:noWrap/>
          </w:tcPr>
          <w:p w14:paraId="0F5FA998" w14:textId="77777777" w:rsidR="00D06DEE" w:rsidRPr="00736448" w:rsidRDefault="00D06DEE" w:rsidP="00D06DEE">
            <w:pPr>
              <w:spacing w:after="0" w:line="240" w:lineRule="auto"/>
              <w:jc w:val="right"/>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14207104.2</w:t>
            </w:r>
          </w:p>
        </w:tc>
        <w:tc>
          <w:tcPr>
            <w:tcW w:w="1700" w:type="dxa"/>
            <w:shd w:val="clear" w:color="auto" w:fill="auto"/>
            <w:noWrap/>
          </w:tcPr>
          <w:p w14:paraId="63F9E709" w14:textId="77777777" w:rsidR="00D06DEE" w:rsidRPr="00736448" w:rsidRDefault="00D06DEE" w:rsidP="00D06DEE">
            <w:pPr>
              <w:spacing w:after="0" w:line="240" w:lineRule="auto"/>
              <w:jc w:val="right"/>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15299697.2</w:t>
            </w:r>
          </w:p>
        </w:tc>
        <w:tc>
          <w:tcPr>
            <w:tcW w:w="2340" w:type="dxa"/>
            <w:shd w:val="clear" w:color="auto" w:fill="auto"/>
            <w:noWrap/>
            <w:vAlign w:val="bottom"/>
          </w:tcPr>
          <w:p w14:paraId="052134AA" w14:textId="77777777" w:rsidR="00D06DEE" w:rsidRPr="00736448" w:rsidRDefault="00D06DEE" w:rsidP="00D06DEE">
            <w:pPr>
              <w:spacing w:after="0"/>
              <w:jc w:val="right"/>
              <w:rPr>
                <w:rFonts w:ascii="Calibri" w:hAnsi="Calibri" w:cs="Calibri"/>
                <w:color w:val="000000"/>
                <w:lang w:val="ro-MD"/>
              </w:rPr>
            </w:pPr>
            <w:r w:rsidRPr="00736448">
              <w:rPr>
                <w:rFonts w:ascii="Calibri" w:hAnsi="Calibri" w:cs="Calibri"/>
                <w:color w:val="000000"/>
                <w:lang w:val="ro-MD"/>
              </w:rPr>
              <w:t>2749684.7</w:t>
            </w:r>
          </w:p>
        </w:tc>
      </w:tr>
      <w:tr w:rsidR="00D06DEE" w:rsidRPr="00B7675F" w14:paraId="20DD5C8D" w14:textId="77777777" w:rsidTr="00D06DEE">
        <w:trPr>
          <w:trHeight w:val="20"/>
        </w:trPr>
        <w:tc>
          <w:tcPr>
            <w:tcW w:w="4800" w:type="dxa"/>
            <w:shd w:val="clear" w:color="auto" w:fill="auto"/>
            <w:hideMark/>
          </w:tcPr>
          <w:p w14:paraId="7BBE5DF2" w14:textId="5E664424" w:rsidR="00D06DEE" w:rsidRPr="00736448" w:rsidRDefault="00D06DEE" w:rsidP="00D06DEE">
            <w:pPr>
              <w:spacing w:after="0" w:line="240" w:lineRule="auto"/>
              <w:rPr>
                <w:rFonts w:ascii="Calibri Light" w:eastAsia="Times New Roman" w:hAnsi="Calibri Light" w:cs="Calibri Light"/>
                <w:b/>
                <w:bCs/>
                <w:color w:val="000000"/>
                <w:sz w:val="20"/>
                <w:szCs w:val="20"/>
                <w:lang w:val="ro-MD"/>
              </w:rPr>
            </w:pPr>
            <w:r w:rsidRPr="00E82CC1">
              <w:rPr>
                <w:rFonts w:ascii="Calibri Light" w:eastAsia="Times New Roman" w:hAnsi="Calibri Light" w:cs="Calibri Light"/>
                <w:b/>
                <w:bCs/>
                <w:color w:val="000000"/>
                <w:sz w:val="20"/>
                <w:szCs w:val="20"/>
                <w:lang w:val="ro-RO"/>
              </w:rPr>
              <w:t xml:space="preserve">II. </w:t>
            </w:r>
            <w:r>
              <w:rPr>
                <w:rFonts w:ascii="Calibri Light" w:eastAsia="Times New Roman" w:hAnsi="Calibri Light" w:cs="Calibri Light"/>
                <w:b/>
                <w:bCs/>
                <w:color w:val="000000"/>
                <w:sz w:val="20"/>
                <w:szCs w:val="20"/>
                <w:lang w:val="ru-RU"/>
              </w:rPr>
              <w:t>Расходы, всего</w:t>
            </w:r>
          </w:p>
        </w:tc>
        <w:tc>
          <w:tcPr>
            <w:tcW w:w="1900" w:type="dxa"/>
            <w:shd w:val="clear" w:color="auto" w:fill="auto"/>
          </w:tcPr>
          <w:p w14:paraId="5126FF2E"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31224240.7</w:t>
            </w:r>
          </w:p>
        </w:tc>
        <w:tc>
          <w:tcPr>
            <w:tcW w:w="1900" w:type="dxa"/>
            <w:shd w:val="clear" w:color="auto" w:fill="auto"/>
            <w:noWrap/>
          </w:tcPr>
          <w:p w14:paraId="601861B3"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33042332.4</w:t>
            </w:r>
          </w:p>
        </w:tc>
        <w:tc>
          <w:tcPr>
            <w:tcW w:w="1880" w:type="dxa"/>
            <w:shd w:val="clear" w:color="auto" w:fill="auto"/>
            <w:noWrap/>
          </w:tcPr>
          <w:p w14:paraId="2268EFA3"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33042332.4</w:t>
            </w:r>
          </w:p>
        </w:tc>
        <w:tc>
          <w:tcPr>
            <w:tcW w:w="1700" w:type="dxa"/>
            <w:shd w:val="clear" w:color="auto" w:fill="auto"/>
            <w:noWrap/>
          </w:tcPr>
          <w:p w14:paraId="2EBE115D"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34197925.4</w:t>
            </w:r>
          </w:p>
        </w:tc>
        <w:tc>
          <w:tcPr>
            <w:tcW w:w="2340" w:type="dxa"/>
            <w:shd w:val="clear" w:color="auto" w:fill="auto"/>
            <w:noWrap/>
            <w:vAlign w:val="bottom"/>
          </w:tcPr>
          <w:p w14:paraId="4CACEBC2" w14:textId="77777777" w:rsidR="00D06DEE" w:rsidRPr="00736448" w:rsidRDefault="00D06DEE" w:rsidP="00D06DEE">
            <w:pPr>
              <w:spacing w:after="0"/>
              <w:jc w:val="right"/>
              <w:rPr>
                <w:rFonts w:ascii="Calibri" w:hAnsi="Calibri" w:cs="Calibri"/>
                <w:color w:val="000000"/>
                <w:lang w:val="ro-MD"/>
              </w:rPr>
            </w:pPr>
            <w:r w:rsidRPr="00736448">
              <w:rPr>
                <w:rFonts w:ascii="Calibri" w:hAnsi="Calibri" w:cs="Calibri"/>
                <w:color w:val="000000"/>
                <w:lang w:val="ro-MD"/>
              </w:rPr>
              <w:t>2973684.7</w:t>
            </w:r>
          </w:p>
        </w:tc>
      </w:tr>
      <w:tr w:rsidR="00D06DEE" w:rsidRPr="00B7675F" w14:paraId="67EAB65D" w14:textId="77777777" w:rsidTr="00D06DEE">
        <w:trPr>
          <w:trHeight w:val="20"/>
        </w:trPr>
        <w:tc>
          <w:tcPr>
            <w:tcW w:w="4800" w:type="dxa"/>
            <w:shd w:val="clear" w:color="auto" w:fill="auto"/>
            <w:hideMark/>
          </w:tcPr>
          <w:p w14:paraId="6734565A" w14:textId="0010F838" w:rsidR="00D06DEE" w:rsidRPr="00736448" w:rsidRDefault="00D06DEE" w:rsidP="00D06DEE">
            <w:pPr>
              <w:spacing w:after="0" w:line="240" w:lineRule="auto"/>
              <w:rPr>
                <w:rFonts w:ascii="Calibri Light" w:eastAsia="Times New Roman" w:hAnsi="Calibri Light" w:cs="Calibri Light"/>
                <w:i/>
                <w:iCs/>
                <w:color w:val="000000"/>
                <w:sz w:val="20"/>
                <w:szCs w:val="20"/>
                <w:lang w:val="ro-MD"/>
              </w:rPr>
            </w:pPr>
            <w:r>
              <w:rPr>
                <w:rFonts w:ascii="Calibri Light" w:eastAsia="Times New Roman" w:hAnsi="Calibri Light" w:cs="Calibri Light"/>
                <w:i/>
                <w:iCs/>
                <w:color w:val="000000"/>
                <w:sz w:val="20"/>
                <w:szCs w:val="20"/>
                <w:lang w:val="ru-RU"/>
              </w:rPr>
              <w:t>В том числе расходы на персонал</w:t>
            </w:r>
          </w:p>
        </w:tc>
        <w:tc>
          <w:tcPr>
            <w:tcW w:w="1900" w:type="dxa"/>
            <w:shd w:val="clear" w:color="auto" w:fill="auto"/>
          </w:tcPr>
          <w:p w14:paraId="5DE19F53" w14:textId="77777777" w:rsidR="00D06DEE" w:rsidRPr="00736448" w:rsidRDefault="00D06DEE" w:rsidP="00D06DEE">
            <w:pPr>
              <w:spacing w:after="0" w:line="240" w:lineRule="auto"/>
              <w:jc w:val="right"/>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184859.9</w:t>
            </w:r>
          </w:p>
        </w:tc>
        <w:tc>
          <w:tcPr>
            <w:tcW w:w="1900" w:type="dxa"/>
            <w:shd w:val="clear" w:color="auto" w:fill="auto"/>
            <w:noWrap/>
          </w:tcPr>
          <w:p w14:paraId="33AA0AD2" w14:textId="77777777" w:rsidR="00D06DEE" w:rsidRPr="00736448" w:rsidRDefault="00D06DEE" w:rsidP="00D06DEE">
            <w:pPr>
              <w:spacing w:after="0" w:line="240" w:lineRule="auto"/>
              <w:jc w:val="right"/>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186170.4</w:t>
            </w:r>
          </w:p>
        </w:tc>
        <w:tc>
          <w:tcPr>
            <w:tcW w:w="1880" w:type="dxa"/>
            <w:shd w:val="clear" w:color="auto" w:fill="auto"/>
            <w:noWrap/>
          </w:tcPr>
          <w:p w14:paraId="1D6DE1B3" w14:textId="77777777" w:rsidR="00D06DEE" w:rsidRPr="00736448" w:rsidRDefault="00D06DEE" w:rsidP="00D06DEE">
            <w:pPr>
              <w:spacing w:after="0" w:line="240" w:lineRule="auto"/>
              <w:jc w:val="right"/>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186170.4</w:t>
            </w:r>
          </w:p>
        </w:tc>
        <w:tc>
          <w:tcPr>
            <w:tcW w:w="1700" w:type="dxa"/>
            <w:shd w:val="clear" w:color="auto" w:fill="auto"/>
            <w:noWrap/>
          </w:tcPr>
          <w:p w14:paraId="1B78477A"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186170.4</w:t>
            </w:r>
          </w:p>
        </w:tc>
        <w:tc>
          <w:tcPr>
            <w:tcW w:w="2340" w:type="dxa"/>
            <w:shd w:val="clear" w:color="auto" w:fill="auto"/>
            <w:noWrap/>
            <w:vAlign w:val="bottom"/>
          </w:tcPr>
          <w:p w14:paraId="705AD6AE" w14:textId="77777777" w:rsidR="00D06DEE" w:rsidRPr="00736448" w:rsidRDefault="00D06DEE" w:rsidP="00D06DEE">
            <w:pPr>
              <w:spacing w:after="0"/>
              <w:jc w:val="right"/>
              <w:rPr>
                <w:rFonts w:ascii="Calibri" w:hAnsi="Calibri" w:cs="Calibri"/>
                <w:color w:val="000000"/>
                <w:lang w:val="ro-MD"/>
              </w:rPr>
            </w:pPr>
            <w:r w:rsidRPr="00736448">
              <w:rPr>
                <w:rFonts w:ascii="Calibri" w:hAnsi="Calibri" w:cs="Calibri"/>
                <w:color w:val="000000"/>
                <w:lang w:val="ro-MD"/>
              </w:rPr>
              <w:t>1310.5</w:t>
            </w:r>
          </w:p>
        </w:tc>
      </w:tr>
      <w:tr w:rsidR="00D06DEE" w:rsidRPr="00B7675F" w14:paraId="22E4980B" w14:textId="77777777" w:rsidTr="00D06DEE">
        <w:trPr>
          <w:trHeight w:val="20"/>
        </w:trPr>
        <w:tc>
          <w:tcPr>
            <w:tcW w:w="4800" w:type="dxa"/>
            <w:shd w:val="clear" w:color="auto" w:fill="auto"/>
            <w:noWrap/>
            <w:hideMark/>
          </w:tcPr>
          <w:p w14:paraId="3262F004" w14:textId="314E0A15" w:rsidR="00D06DEE" w:rsidRPr="00736448" w:rsidRDefault="00D06DEE" w:rsidP="00D06DEE">
            <w:pPr>
              <w:spacing w:after="0" w:line="240" w:lineRule="auto"/>
              <w:rPr>
                <w:rFonts w:ascii="Calibri Light" w:eastAsia="Times New Roman" w:hAnsi="Calibri Light" w:cs="Calibri Light"/>
                <w:b/>
                <w:bCs/>
                <w:color w:val="000000"/>
                <w:sz w:val="20"/>
                <w:szCs w:val="20"/>
                <w:lang w:val="ro-MD"/>
              </w:rPr>
            </w:pPr>
            <w:r>
              <w:rPr>
                <w:rFonts w:ascii="Calibri Light" w:eastAsia="Times New Roman" w:hAnsi="Calibri Light" w:cs="Calibri Light"/>
                <w:b/>
                <w:bCs/>
                <w:color w:val="000000"/>
                <w:sz w:val="20"/>
                <w:szCs w:val="20"/>
                <w:lang w:val="ru-RU"/>
              </w:rPr>
              <w:t>Социальная защита</w:t>
            </w:r>
          </w:p>
        </w:tc>
        <w:tc>
          <w:tcPr>
            <w:tcW w:w="1900" w:type="dxa"/>
            <w:shd w:val="clear" w:color="auto" w:fill="auto"/>
          </w:tcPr>
          <w:p w14:paraId="189EA851"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31224240.7</w:t>
            </w:r>
          </w:p>
        </w:tc>
        <w:tc>
          <w:tcPr>
            <w:tcW w:w="1900" w:type="dxa"/>
            <w:shd w:val="clear" w:color="auto" w:fill="auto"/>
            <w:noWrap/>
          </w:tcPr>
          <w:p w14:paraId="19ABDD41"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33042332.4</w:t>
            </w:r>
          </w:p>
        </w:tc>
        <w:tc>
          <w:tcPr>
            <w:tcW w:w="1880" w:type="dxa"/>
            <w:shd w:val="clear" w:color="auto" w:fill="auto"/>
            <w:noWrap/>
          </w:tcPr>
          <w:p w14:paraId="7153D86F"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33042332.4</w:t>
            </w:r>
          </w:p>
        </w:tc>
        <w:tc>
          <w:tcPr>
            <w:tcW w:w="1700" w:type="dxa"/>
            <w:shd w:val="clear" w:color="auto" w:fill="auto"/>
            <w:noWrap/>
          </w:tcPr>
          <w:p w14:paraId="38A301A7"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34197925.4</w:t>
            </w:r>
          </w:p>
        </w:tc>
        <w:tc>
          <w:tcPr>
            <w:tcW w:w="2340" w:type="dxa"/>
            <w:shd w:val="clear" w:color="auto" w:fill="auto"/>
            <w:noWrap/>
            <w:vAlign w:val="bottom"/>
          </w:tcPr>
          <w:p w14:paraId="608329B9" w14:textId="77777777" w:rsidR="00D06DEE" w:rsidRPr="00736448" w:rsidRDefault="00D06DEE" w:rsidP="00D06DEE">
            <w:pPr>
              <w:spacing w:after="0"/>
              <w:jc w:val="right"/>
              <w:rPr>
                <w:rFonts w:ascii="Calibri" w:hAnsi="Calibri" w:cs="Calibri"/>
                <w:color w:val="000000"/>
                <w:lang w:val="ro-MD"/>
              </w:rPr>
            </w:pPr>
            <w:r w:rsidRPr="00736448">
              <w:rPr>
                <w:rFonts w:ascii="Calibri" w:hAnsi="Calibri" w:cs="Calibri"/>
                <w:color w:val="000000"/>
                <w:lang w:val="ro-MD"/>
              </w:rPr>
              <w:t>2973684.7</w:t>
            </w:r>
          </w:p>
        </w:tc>
      </w:tr>
      <w:tr w:rsidR="00D06DEE" w:rsidRPr="00B7675F" w14:paraId="5CDF288E" w14:textId="77777777" w:rsidTr="00D06DEE">
        <w:trPr>
          <w:trHeight w:val="20"/>
        </w:trPr>
        <w:tc>
          <w:tcPr>
            <w:tcW w:w="4800" w:type="dxa"/>
            <w:shd w:val="clear" w:color="auto" w:fill="auto"/>
            <w:hideMark/>
          </w:tcPr>
          <w:p w14:paraId="36A99ECF" w14:textId="177C20C5" w:rsidR="00D06DEE" w:rsidRPr="00736448" w:rsidRDefault="00D06DEE" w:rsidP="00D06DEE">
            <w:pPr>
              <w:spacing w:after="0" w:line="240" w:lineRule="auto"/>
              <w:rPr>
                <w:rFonts w:ascii="Calibri Light" w:eastAsia="Times New Roman" w:hAnsi="Calibri Light" w:cs="Calibri Light"/>
                <w:color w:val="000000"/>
                <w:sz w:val="20"/>
                <w:szCs w:val="20"/>
                <w:lang w:val="ro-MD"/>
              </w:rPr>
            </w:pPr>
            <w:r w:rsidRPr="00261430">
              <w:rPr>
                <w:rFonts w:ascii="Calibri Light" w:eastAsia="Times New Roman" w:hAnsi="Calibri Light" w:cs="Calibri Light"/>
                <w:color w:val="000000"/>
                <w:sz w:val="20"/>
                <w:szCs w:val="20"/>
                <w:lang w:val="ro-RO"/>
              </w:rPr>
              <w:t xml:space="preserve">Управление </w:t>
            </w:r>
            <w:r>
              <w:rPr>
                <w:rFonts w:ascii="Calibri Light" w:eastAsia="Times New Roman" w:hAnsi="Calibri Light" w:cs="Calibri Light"/>
                <w:color w:val="000000"/>
                <w:sz w:val="20"/>
                <w:szCs w:val="20"/>
                <w:lang w:val="ru-RU"/>
              </w:rPr>
              <w:t>публич</w:t>
            </w:r>
            <w:r w:rsidRPr="00261430">
              <w:rPr>
                <w:rFonts w:ascii="Calibri Light" w:eastAsia="Times New Roman" w:hAnsi="Calibri Light" w:cs="Calibri Light"/>
                <w:color w:val="000000"/>
                <w:sz w:val="20"/>
                <w:szCs w:val="20"/>
                <w:lang w:val="ro-RO"/>
              </w:rPr>
              <w:t>ной системой социального страхования</w:t>
            </w:r>
          </w:p>
        </w:tc>
        <w:tc>
          <w:tcPr>
            <w:tcW w:w="1900" w:type="dxa"/>
            <w:shd w:val="clear" w:color="auto" w:fill="auto"/>
          </w:tcPr>
          <w:p w14:paraId="243E499C"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252745.2</w:t>
            </w:r>
          </w:p>
        </w:tc>
        <w:tc>
          <w:tcPr>
            <w:tcW w:w="1900" w:type="dxa"/>
            <w:shd w:val="clear" w:color="auto" w:fill="auto"/>
            <w:noWrap/>
          </w:tcPr>
          <w:p w14:paraId="049ABA6B"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258451.9</w:t>
            </w:r>
          </w:p>
        </w:tc>
        <w:tc>
          <w:tcPr>
            <w:tcW w:w="1880" w:type="dxa"/>
            <w:shd w:val="clear" w:color="auto" w:fill="auto"/>
            <w:noWrap/>
          </w:tcPr>
          <w:p w14:paraId="3EEE5F0E"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258451.9</w:t>
            </w:r>
          </w:p>
        </w:tc>
        <w:tc>
          <w:tcPr>
            <w:tcW w:w="1700" w:type="dxa"/>
            <w:shd w:val="clear" w:color="auto" w:fill="auto"/>
            <w:noWrap/>
          </w:tcPr>
          <w:p w14:paraId="59C1812A"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258451.9</w:t>
            </w:r>
          </w:p>
        </w:tc>
        <w:tc>
          <w:tcPr>
            <w:tcW w:w="2340" w:type="dxa"/>
            <w:shd w:val="clear" w:color="auto" w:fill="auto"/>
            <w:noWrap/>
            <w:vAlign w:val="bottom"/>
          </w:tcPr>
          <w:p w14:paraId="6F85035E" w14:textId="77777777" w:rsidR="00D06DEE" w:rsidRPr="00736448" w:rsidRDefault="00D06DEE" w:rsidP="00D06DEE">
            <w:pPr>
              <w:spacing w:after="0"/>
              <w:jc w:val="right"/>
              <w:rPr>
                <w:rFonts w:ascii="Calibri" w:hAnsi="Calibri" w:cs="Calibri"/>
                <w:color w:val="000000"/>
                <w:lang w:val="ro-MD"/>
              </w:rPr>
            </w:pPr>
            <w:r w:rsidRPr="00736448">
              <w:rPr>
                <w:rFonts w:ascii="Calibri" w:hAnsi="Calibri" w:cs="Calibri"/>
                <w:color w:val="000000"/>
                <w:lang w:val="ro-MD"/>
              </w:rPr>
              <w:t>5706.7</w:t>
            </w:r>
          </w:p>
        </w:tc>
      </w:tr>
      <w:tr w:rsidR="00D06DEE" w:rsidRPr="00B7675F" w14:paraId="32A8DF9B" w14:textId="77777777" w:rsidTr="00D06DEE">
        <w:trPr>
          <w:trHeight w:val="20"/>
        </w:trPr>
        <w:tc>
          <w:tcPr>
            <w:tcW w:w="4800" w:type="dxa"/>
            <w:shd w:val="clear" w:color="auto" w:fill="auto"/>
            <w:hideMark/>
          </w:tcPr>
          <w:p w14:paraId="7823AFB7" w14:textId="35D89FAA" w:rsidR="00D06DEE" w:rsidRPr="00736448" w:rsidRDefault="00D06DEE" w:rsidP="00D06DEE">
            <w:pPr>
              <w:spacing w:after="0" w:line="240" w:lineRule="auto"/>
              <w:rPr>
                <w:rFonts w:ascii="Calibri Light" w:eastAsia="Times New Roman" w:hAnsi="Calibri Light" w:cs="Calibri Light"/>
                <w:color w:val="000000"/>
                <w:sz w:val="20"/>
                <w:szCs w:val="20"/>
                <w:lang w:val="ro-MD"/>
              </w:rPr>
            </w:pPr>
            <w:r w:rsidRPr="00261430">
              <w:rPr>
                <w:rFonts w:ascii="Calibri Light" w:eastAsia="Times New Roman" w:hAnsi="Calibri Light" w:cs="Calibri Light"/>
                <w:color w:val="000000"/>
                <w:sz w:val="20"/>
                <w:szCs w:val="20"/>
                <w:lang w:val="ro-RO"/>
              </w:rPr>
              <w:t>Защита в случае временной нетрудоспособности</w:t>
            </w:r>
          </w:p>
        </w:tc>
        <w:tc>
          <w:tcPr>
            <w:tcW w:w="1900" w:type="dxa"/>
            <w:shd w:val="clear" w:color="auto" w:fill="auto"/>
          </w:tcPr>
          <w:p w14:paraId="0C190169"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1009652.2</w:t>
            </w:r>
          </w:p>
        </w:tc>
        <w:tc>
          <w:tcPr>
            <w:tcW w:w="1900" w:type="dxa"/>
            <w:shd w:val="clear" w:color="auto" w:fill="auto"/>
            <w:noWrap/>
          </w:tcPr>
          <w:p w14:paraId="3657CB6C"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1009652.2</w:t>
            </w:r>
          </w:p>
        </w:tc>
        <w:tc>
          <w:tcPr>
            <w:tcW w:w="1880" w:type="dxa"/>
            <w:shd w:val="clear" w:color="auto" w:fill="auto"/>
            <w:noWrap/>
          </w:tcPr>
          <w:p w14:paraId="6123C380"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1009652.2</w:t>
            </w:r>
          </w:p>
        </w:tc>
        <w:tc>
          <w:tcPr>
            <w:tcW w:w="1700" w:type="dxa"/>
            <w:shd w:val="clear" w:color="auto" w:fill="auto"/>
            <w:noWrap/>
          </w:tcPr>
          <w:p w14:paraId="340FFA77"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907267.8</w:t>
            </w:r>
          </w:p>
        </w:tc>
        <w:tc>
          <w:tcPr>
            <w:tcW w:w="2340" w:type="dxa"/>
            <w:shd w:val="clear" w:color="auto" w:fill="auto"/>
            <w:noWrap/>
            <w:vAlign w:val="bottom"/>
          </w:tcPr>
          <w:p w14:paraId="64086F76" w14:textId="77777777" w:rsidR="00D06DEE" w:rsidRPr="00736448" w:rsidRDefault="00D06DEE" w:rsidP="00D06DEE">
            <w:pPr>
              <w:spacing w:after="0"/>
              <w:jc w:val="right"/>
              <w:rPr>
                <w:rFonts w:ascii="Calibri" w:hAnsi="Calibri" w:cs="Calibri"/>
                <w:color w:val="000000"/>
                <w:lang w:val="ro-MD"/>
              </w:rPr>
            </w:pPr>
            <w:r w:rsidRPr="00736448">
              <w:rPr>
                <w:rFonts w:ascii="Calibri" w:hAnsi="Calibri" w:cs="Calibri"/>
                <w:color w:val="000000"/>
                <w:lang w:val="ro-MD"/>
              </w:rPr>
              <w:t>-102384.4</w:t>
            </w:r>
          </w:p>
        </w:tc>
      </w:tr>
      <w:tr w:rsidR="00D06DEE" w:rsidRPr="00B7675F" w14:paraId="228C9826" w14:textId="77777777" w:rsidTr="00D06DEE">
        <w:trPr>
          <w:trHeight w:val="20"/>
        </w:trPr>
        <w:tc>
          <w:tcPr>
            <w:tcW w:w="4800" w:type="dxa"/>
            <w:shd w:val="clear" w:color="auto" w:fill="auto"/>
            <w:hideMark/>
          </w:tcPr>
          <w:p w14:paraId="1396F9B4" w14:textId="7B951760" w:rsidR="00D06DEE" w:rsidRPr="00736448" w:rsidRDefault="00D06DEE" w:rsidP="00D06DEE">
            <w:pPr>
              <w:spacing w:after="0" w:line="240" w:lineRule="auto"/>
              <w:rPr>
                <w:rFonts w:ascii="Calibri Light" w:eastAsia="Times New Roman" w:hAnsi="Calibri Light" w:cs="Calibri Light"/>
                <w:color w:val="000000"/>
                <w:sz w:val="20"/>
                <w:szCs w:val="20"/>
                <w:lang w:val="ro-MD"/>
              </w:rPr>
            </w:pPr>
            <w:r w:rsidRPr="00261430">
              <w:rPr>
                <w:rFonts w:ascii="Calibri Light" w:eastAsia="Times New Roman" w:hAnsi="Calibri Light" w:cs="Calibri Light"/>
                <w:color w:val="000000"/>
                <w:sz w:val="20"/>
                <w:szCs w:val="20"/>
                <w:lang w:val="ro-RO"/>
              </w:rPr>
              <w:t>Защита пожилых людей</w:t>
            </w:r>
          </w:p>
        </w:tc>
        <w:tc>
          <w:tcPr>
            <w:tcW w:w="1900" w:type="dxa"/>
            <w:shd w:val="clear" w:color="auto" w:fill="auto"/>
          </w:tcPr>
          <w:p w14:paraId="21F6314E"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19876609.3</w:t>
            </w:r>
          </w:p>
        </w:tc>
        <w:tc>
          <w:tcPr>
            <w:tcW w:w="1900" w:type="dxa"/>
            <w:shd w:val="clear" w:color="auto" w:fill="auto"/>
            <w:noWrap/>
          </w:tcPr>
          <w:p w14:paraId="7CCE38AD"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21848458.6</w:t>
            </w:r>
          </w:p>
        </w:tc>
        <w:tc>
          <w:tcPr>
            <w:tcW w:w="1880" w:type="dxa"/>
            <w:shd w:val="clear" w:color="auto" w:fill="auto"/>
            <w:noWrap/>
          </w:tcPr>
          <w:p w14:paraId="0E613FA9"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21848458.6</w:t>
            </w:r>
          </w:p>
        </w:tc>
        <w:tc>
          <w:tcPr>
            <w:tcW w:w="1700" w:type="dxa"/>
            <w:shd w:val="clear" w:color="auto" w:fill="auto"/>
            <w:noWrap/>
          </w:tcPr>
          <w:p w14:paraId="43D3DEC8"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22134749.4</w:t>
            </w:r>
          </w:p>
        </w:tc>
        <w:tc>
          <w:tcPr>
            <w:tcW w:w="2340" w:type="dxa"/>
            <w:shd w:val="clear" w:color="auto" w:fill="auto"/>
            <w:noWrap/>
            <w:vAlign w:val="bottom"/>
          </w:tcPr>
          <w:p w14:paraId="321674D3" w14:textId="77777777" w:rsidR="00D06DEE" w:rsidRPr="00736448" w:rsidRDefault="00D06DEE" w:rsidP="00D06DEE">
            <w:pPr>
              <w:spacing w:after="0"/>
              <w:jc w:val="right"/>
              <w:rPr>
                <w:rFonts w:ascii="Calibri" w:hAnsi="Calibri" w:cs="Calibri"/>
                <w:color w:val="000000"/>
                <w:lang w:val="ro-MD"/>
              </w:rPr>
            </w:pPr>
            <w:r w:rsidRPr="00736448">
              <w:rPr>
                <w:rFonts w:ascii="Calibri" w:hAnsi="Calibri" w:cs="Calibri"/>
                <w:color w:val="000000"/>
                <w:lang w:val="ro-MD"/>
              </w:rPr>
              <w:t>2258140.1</w:t>
            </w:r>
          </w:p>
        </w:tc>
      </w:tr>
      <w:tr w:rsidR="00D06DEE" w:rsidRPr="00B7675F" w14:paraId="36C34E06" w14:textId="77777777" w:rsidTr="00D06DEE">
        <w:trPr>
          <w:trHeight w:val="20"/>
        </w:trPr>
        <w:tc>
          <w:tcPr>
            <w:tcW w:w="4800" w:type="dxa"/>
            <w:shd w:val="clear" w:color="auto" w:fill="auto"/>
            <w:hideMark/>
          </w:tcPr>
          <w:p w14:paraId="06B5A6F3" w14:textId="45F2EBB4" w:rsidR="00D06DEE" w:rsidRPr="00736448" w:rsidRDefault="00D06DEE" w:rsidP="00D06DEE">
            <w:pPr>
              <w:spacing w:after="0" w:line="240" w:lineRule="auto"/>
              <w:rPr>
                <w:rFonts w:ascii="Calibri Light" w:eastAsia="Times New Roman" w:hAnsi="Calibri Light" w:cs="Calibri Light"/>
                <w:color w:val="000000"/>
                <w:sz w:val="20"/>
                <w:szCs w:val="20"/>
                <w:lang w:val="ro-MD"/>
              </w:rPr>
            </w:pPr>
            <w:r w:rsidRPr="00261430">
              <w:rPr>
                <w:rFonts w:ascii="Calibri Light" w:eastAsia="Times New Roman" w:hAnsi="Calibri Light" w:cs="Calibri Light"/>
                <w:color w:val="000000"/>
                <w:sz w:val="20"/>
                <w:szCs w:val="20"/>
                <w:lang w:val="ro-RO"/>
              </w:rPr>
              <w:t xml:space="preserve">Защита в связи с потерей </w:t>
            </w:r>
            <w:r>
              <w:rPr>
                <w:rFonts w:ascii="Calibri Light" w:eastAsia="Times New Roman" w:hAnsi="Calibri Light" w:cs="Calibri Light"/>
                <w:color w:val="000000"/>
                <w:sz w:val="20"/>
                <w:szCs w:val="20"/>
                <w:lang w:val="ru-RU"/>
              </w:rPr>
              <w:t>кормильца</w:t>
            </w:r>
          </w:p>
        </w:tc>
        <w:tc>
          <w:tcPr>
            <w:tcW w:w="1900" w:type="dxa"/>
            <w:shd w:val="clear" w:color="auto" w:fill="auto"/>
          </w:tcPr>
          <w:p w14:paraId="01D27426"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439516.3</w:t>
            </w:r>
          </w:p>
        </w:tc>
        <w:tc>
          <w:tcPr>
            <w:tcW w:w="1900" w:type="dxa"/>
            <w:shd w:val="clear" w:color="auto" w:fill="auto"/>
            <w:noWrap/>
          </w:tcPr>
          <w:p w14:paraId="01BE8E4E"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460234.0</w:t>
            </w:r>
          </w:p>
        </w:tc>
        <w:tc>
          <w:tcPr>
            <w:tcW w:w="1880" w:type="dxa"/>
            <w:shd w:val="clear" w:color="auto" w:fill="auto"/>
            <w:noWrap/>
          </w:tcPr>
          <w:p w14:paraId="0665F82B"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460234.0</w:t>
            </w:r>
          </w:p>
        </w:tc>
        <w:tc>
          <w:tcPr>
            <w:tcW w:w="1700" w:type="dxa"/>
            <w:shd w:val="clear" w:color="auto" w:fill="auto"/>
            <w:noWrap/>
          </w:tcPr>
          <w:p w14:paraId="10EE4C15"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464249.9</w:t>
            </w:r>
          </w:p>
        </w:tc>
        <w:tc>
          <w:tcPr>
            <w:tcW w:w="2340" w:type="dxa"/>
            <w:shd w:val="clear" w:color="auto" w:fill="auto"/>
            <w:noWrap/>
            <w:vAlign w:val="bottom"/>
          </w:tcPr>
          <w:p w14:paraId="20E971E6" w14:textId="77777777" w:rsidR="00D06DEE" w:rsidRPr="00736448" w:rsidRDefault="00D06DEE" w:rsidP="00D06DEE">
            <w:pPr>
              <w:spacing w:after="0"/>
              <w:jc w:val="right"/>
              <w:rPr>
                <w:rFonts w:ascii="Calibri" w:hAnsi="Calibri" w:cs="Calibri"/>
                <w:color w:val="000000"/>
                <w:lang w:val="ro-MD"/>
              </w:rPr>
            </w:pPr>
            <w:r w:rsidRPr="00736448">
              <w:rPr>
                <w:rFonts w:ascii="Calibri" w:hAnsi="Calibri" w:cs="Calibri"/>
                <w:color w:val="000000"/>
                <w:lang w:val="ro-MD"/>
              </w:rPr>
              <w:t>24733.6</w:t>
            </w:r>
          </w:p>
        </w:tc>
      </w:tr>
      <w:tr w:rsidR="00D06DEE" w:rsidRPr="00B7675F" w14:paraId="1D37A89A" w14:textId="77777777" w:rsidTr="00D06DEE">
        <w:trPr>
          <w:trHeight w:val="20"/>
        </w:trPr>
        <w:tc>
          <w:tcPr>
            <w:tcW w:w="4800" w:type="dxa"/>
            <w:shd w:val="clear" w:color="auto" w:fill="auto"/>
            <w:hideMark/>
          </w:tcPr>
          <w:p w14:paraId="7D95069E" w14:textId="7C26DB6F" w:rsidR="00D06DEE" w:rsidRPr="00736448" w:rsidRDefault="00D06DEE" w:rsidP="00D06DEE">
            <w:pPr>
              <w:spacing w:after="0" w:line="240" w:lineRule="auto"/>
              <w:rPr>
                <w:rFonts w:ascii="Calibri Light" w:eastAsia="Times New Roman" w:hAnsi="Calibri Light" w:cs="Calibri Light"/>
                <w:color w:val="000000"/>
                <w:sz w:val="20"/>
                <w:szCs w:val="20"/>
                <w:lang w:val="ro-MD"/>
              </w:rPr>
            </w:pPr>
            <w:r w:rsidRPr="00261430">
              <w:rPr>
                <w:rFonts w:ascii="Calibri Light" w:eastAsia="Times New Roman" w:hAnsi="Calibri Light" w:cs="Calibri Light"/>
                <w:color w:val="000000"/>
                <w:sz w:val="20"/>
                <w:szCs w:val="20"/>
                <w:lang w:val="ro-RO"/>
              </w:rPr>
              <w:t>Защита семьи и ребенка</w:t>
            </w:r>
          </w:p>
        </w:tc>
        <w:tc>
          <w:tcPr>
            <w:tcW w:w="1900" w:type="dxa"/>
            <w:shd w:val="clear" w:color="auto" w:fill="auto"/>
          </w:tcPr>
          <w:p w14:paraId="592BDA07"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3190691.7</w:t>
            </w:r>
          </w:p>
        </w:tc>
        <w:tc>
          <w:tcPr>
            <w:tcW w:w="1900" w:type="dxa"/>
            <w:shd w:val="clear" w:color="auto" w:fill="auto"/>
            <w:noWrap/>
          </w:tcPr>
          <w:p w14:paraId="0258177D"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3190691.7</w:t>
            </w:r>
          </w:p>
        </w:tc>
        <w:tc>
          <w:tcPr>
            <w:tcW w:w="1880" w:type="dxa"/>
            <w:shd w:val="clear" w:color="auto" w:fill="auto"/>
            <w:noWrap/>
          </w:tcPr>
          <w:p w14:paraId="0889BAD4"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3190691.7</w:t>
            </w:r>
          </w:p>
        </w:tc>
        <w:tc>
          <w:tcPr>
            <w:tcW w:w="1700" w:type="dxa"/>
            <w:shd w:val="clear" w:color="auto" w:fill="auto"/>
            <w:noWrap/>
          </w:tcPr>
          <w:p w14:paraId="26D11523"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3135675.8</w:t>
            </w:r>
          </w:p>
        </w:tc>
        <w:tc>
          <w:tcPr>
            <w:tcW w:w="2340" w:type="dxa"/>
            <w:shd w:val="clear" w:color="auto" w:fill="auto"/>
            <w:noWrap/>
            <w:vAlign w:val="bottom"/>
          </w:tcPr>
          <w:p w14:paraId="3E249A13" w14:textId="77777777" w:rsidR="00D06DEE" w:rsidRPr="00736448" w:rsidRDefault="00D06DEE" w:rsidP="00D06DEE">
            <w:pPr>
              <w:spacing w:after="0"/>
              <w:jc w:val="right"/>
              <w:rPr>
                <w:rFonts w:ascii="Calibri" w:hAnsi="Calibri" w:cs="Calibri"/>
                <w:color w:val="000000"/>
                <w:lang w:val="ro-MD"/>
              </w:rPr>
            </w:pPr>
            <w:r w:rsidRPr="00736448">
              <w:rPr>
                <w:rFonts w:ascii="Calibri" w:hAnsi="Calibri" w:cs="Calibri"/>
                <w:color w:val="000000"/>
                <w:lang w:val="ro-MD"/>
              </w:rPr>
              <w:t>-55015.9</w:t>
            </w:r>
          </w:p>
        </w:tc>
      </w:tr>
      <w:tr w:rsidR="00D06DEE" w:rsidRPr="00B7675F" w14:paraId="5629D3FA" w14:textId="77777777" w:rsidTr="00D06DEE">
        <w:trPr>
          <w:trHeight w:val="20"/>
        </w:trPr>
        <w:tc>
          <w:tcPr>
            <w:tcW w:w="4800" w:type="dxa"/>
            <w:shd w:val="clear" w:color="auto" w:fill="auto"/>
            <w:hideMark/>
          </w:tcPr>
          <w:p w14:paraId="7B4BE812" w14:textId="6C07A3DB" w:rsidR="00D06DEE" w:rsidRPr="00736448" w:rsidRDefault="00D06DEE" w:rsidP="00D06DEE">
            <w:pPr>
              <w:spacing w:after="0" w:line="240" w:lineRule="auto"/>
              <w:rPr>
                <w:rFonts w:ascii="Calibri Light" w:eastAsia="Times New Roman" w:hAnsi="Calibri Light" w:cs="Calibri Light"/>
                <w:color w:val="000000"/>
                <w:sz w:val="20"/>
                <w:szCs w:val="20"/>
                <w:lang w:val="ro-MD"/>
              </w:rPr>
            </w:pPr>
            <w:r w:rsidRPr="00261430">
              <w:rPr>
                <w:rFonts w:ascii="Calibri Light" w:eastAsia="Times New Roman" w:hAnsi="Calibri Light" w:cs="Calibri Light"/>
                <w:color w:val="000000"/>
                <w:sz w:val="20"/>
                <w:szCs w:val="20"/>
                <w:lang w:val="ro-RO"/>
              </w:rPr>
              <w:t>Защита безработных</w:t>
            </w:r>
          </w:p>
        </w:tc>
        <w:tc>
          <w:tcPr>
            <w:tcW w:w="1900" w:type="dxa"/>
            <w:shd w:val="clear" w:color="auto" w:fill="auto"/>
          </w:tcPr>
          <w:p w14:paraId="2A12E95C"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78763.2</w:t>
            </w:r>
          </w:p>
        </w:tc>
        <w:tc>
          <w:tcPr>
            <w:tcW w:w="1900" w:type="dxa"/>
            <w:shd w:val="clear" w:color="auto" w:fill="auto"/>
            <w:noWrap/>
          </w:tcPr>
          <w:p w14:paraId="328F3AC6"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60763.2</w:t>
            </w:r>
          </w:p>
        </w:tc>
        <w:tc>
          <w:tcPr>
            <w:tcW w:w="1880" w:type="dxa"/>
            <w:shd w:val="clear" w:color="auto" w:fill="auto"/>
            <w:noWrap/>
          </w:tcPr>
          <w:p w14:paraId="3BCE9B4A"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60763.2</w:t>
            </w:r>
          </w:p>
        </w:tc>
        <w:tc>
          <w:tcPr>
            <w:tcW w:w="1700" w:type="dxa"/>
            <w:shd w:val="clear" w:color="auto" w:fill="auto"/>
            <w:noWrap/>
          </w:tcPr>
          <w:p w14:paraId="00284C2A"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47094.6</w:t>
            </w:r>
          </w:p>
        </w:tc>
        <w:tc>
          <w:tcPr>
            <w:tcW w:w="2340" w:type="dxa"/>
            <w:shd w:val="clear" w:color="auto" w:fill="auto"/>
            <w:noWrap/>
            <w:vAlign w:val="bottom"/>
          </w:tcPr>
          <w:p w14:paraId="24FE986A" w14:textId="77777777" w:rsidR="00D06DEE" w:rsidRPr="00736448" w:rsidRDefault="00D06DEE" w:rsidP="00D06DEE">
            <w:pPr>
              <w:spacing w:after="0"/>
              <w:jc w:val="right"/>
              <w:rPr>
                <w:rFonts w:ascii="Calibri" w:hAnsi="Calibri" w:cs="Calibri"/>
                <w:color w:val="000000"/>
                <w:lang w:val="ro-MD"/>
              </w:rPr>
            </w:pPr>
            <w:r w:rsidRPr="00736448">
              <w:rPr>
                <w:rFonts w:ascii="Calibri" w:hAnsi="Calibri" w:cs="Calibri"/>
                <w:color w:val="000000"/>
                <w:lang w:val="ro-MD"/>
              </w:rPr>
              <w:t>-31668.6</w:t>
            </w:r>
          </w:p>
        </w:tc>
      </w:tr>
      <w:tr w:rsidR="00D06DEE" w:rsidRPr="00B7675F" w14:paraId="721E3AD7" w14:textId="77777777" w:rsidTr="00D06DEE">
        <w:trPr>
          <w:trHeight w:val="20"/>
        </w:trPr>
        <w:tc>
          <w:tcPr>
            <w:tcW w:w="4800" w:type="dxa"/>
            <w:shd w:val="clear" w:color="auto" w:fill="auto"/>
            <w:hideMark/>
          </w:tcPr>
          <w:p w14:paraId="1DB61243" w14:textId="59397D73" w:rsidR="00D06DEE" w:rsidRPr="00736448" w:rsidRDefault="00D06DEE" w:rsidP="00D06DEE">
            <w:pPr>
              <w:spacing w:after="0" w:line="240" w:lineRule="auto"/>
              <w:rPr>
                <w:rFonts w:ascii="Calibri Light" w:eastAsia="Times New Roman" w:hAnsi="Calibri Light" w:cs="Calibri Light"/>
                <w:color w:val="000000"/>
                <w:sz w:val="20"/>
                <w:szCs w:val="20"/>
                <w:lang w:val="ro-MD"/>
              </w:rPr>
            </w:pPr>
            <w:r w:rsidRPr="00261430">
              <w:rPr>
                <w:rFonts w:ascii="Calibri Light" w:eastAsia="Times New Roman" w:hAnsi="Calibri Light" w:cs="Calibri Light"/>
                <w:color w:val="000000"/>
                <w:sz w:val="20"/>
                <w:szCs w:val="20"/>
                <w:lang w:val="ro-RO"/>
              </w:rPr>
              <w:t>Социальная защита людей с ограниченными возможностями</w:t>
            </w:r>
          </w:p>
        </w:tc>
        <w:tc>
          <w:tcPr>
            <w:tcW w:w="1900" w:type="dxa"/>
            <w:shd w:val="clear" w:color="auto" w:fill="auto"/>
          </w:tcPr>
          <w:p w14:paraId="6CE75227"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3845484.6</w:t>
            </w:r>
          </w:p>
        </w:tc>
        <w:tc>
          <w:tcPr>
            <w:tcW w:w="1900" w:type="dxa"/>
            <w:shd w:val="clear" w:color="auto" w:fill="auto"/>
            <w:noWrap/>
          </w:tcPr>
          <w:p w14:paraId="01479CC1"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3956081.2</w:t>
            </w:r>
          </w:p>
        </w:tc>
        <w:tc>
          <w:tcPr>
            <w:tcW w:w="1880" w:type="dxa"/>
            <w:shd w:val="clear" w:color="auto" w:fill="auto"/>
            <w:noWrap/>
          </w:tcPr>
          <w:p w14:paraId="335551E2"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3956081.2</w:t>
            </w:r>
          </w:p>
        </w:tc>
        <w:tc>
          <w:tcPr>
            <w:tcW w:w="1700" w:type="dxa"/>
            <w:shd w:val="clear" w:color="auto" w:fill="auto"/>
            <w:noWrap/>
          </w:tcPr>
          <w:p w14:paraId="6B3326AA"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3993730.0</w:t>
            </w:r>
          </w:p>
        </w:tc>
        <w:tc>
          <w:tcPr>
            <w:tcW w:w="2340" w:type="dxa"/>
            <w:shd w:val="clear" w:color="auto" w:fill="auto"/>
            <w:noWrap/>
            <w:vAlign w:val="bottom"/>
          </w:tcPr>
          <w:p w14:paraId="245F2BC0" w14:textId="77777777" w:rsidR="00D06DEE" w:rsidRPr="00736448" w:rsidRDefault="00D06DEE" w:rsidP="00D06DEE">
            <w:pPr>
              <w:spacing w:after="0"/>
              <w:jc w:val="right"/>
              <w:rPr>
                <w:rFonts w:ascii="Calibri" w:hAnsi="Calibri" w:cs="Calibri"/>
                <w:color w:val="000000"/>
                <w:lang w:val="ro-MD"/>
              </w:rPr>
            </w:pPr>
            <w:r w:rsidRPr="00736448">
              <w:rPr>
                <w:rFonts w:ascii="Calibri" w:hAnsi="Calibri" w:cs="Calibri"/>
                <w:color w:val="000000"/>
                <w:lang w:val="ro-MD"/>
              </w:rPr>
              <w:t>148245.4</w:t>
            </w:r>
          </w:p>
        </w:tc>
      </w:tr>
      <w:tr w:rsidR="00D06DEE" w:rsidRPr="00B7675F" w14:paraId="5D2C22B6" w14:textId="77777777" w:rsidTr="00D06DEE">
        <w:trPr>
          <w:trHeight w:val="20"/>
        </w:trPr>
        <w:tc>
          <w:tcPr>
            <w:tcW w:w="4800" w:type="dxa"/>
            <w:shd w:val="clear" w:color="auto" w:fill="auto"/>
            <w:hideMark/>
          </w:tcPr>
          <w:p w14:paraId="0CC43EFF" w14:textId="2FBBB824" w:rsidR="00D06DEE" w:rsidRPr="00736448" w:rsidRDefault="00D06DEE" w:rsidP="00D06DEE">
            <w:pPr>
              <w:spacing w:after="0" w:line="240" w:lineRule="auto"/>
              <w:rPr>
                <w:rFonts w:ascii="Calibri Light" w:eastAsia="Times New Roman" w:hAnsi="Calibri Light" w:cs="Calibri Light"/>
                <w:color w:val="000000"/>
                <w:sz w:val="20"/>
                <w:szCs w:val="20"/>
                <w:lang w:val="ro-MD"/>
              </w:rPr>
            </w:pPr>
            <w:r w:rsidRPr="00261430">
              <w:rPr>
                <w:rFonts w:ascii="Calibri Light" w:eastAsia="Times New Roman" w:hAnsi="Calibri Light" w:cs="Calibri Light"/>
                <w:color w:val="000000"/>
                <w:sz w:val="20"/>
                <w:szCs w:val="20"/>
                <w:lang w:val="ro-RO"/>
              </w:rPr>
              <w:t>Дополнительная поддержка некоторых категорий населения</w:t>
            </w:r>
          </w:p>
        </w:tc>
        <w:tc>
          <w:tcPr>
            <w:tcW w:w="1900" w:type="dxa"/>
            <w:shd w:val="clear" w:color="auto" w:fill="auto"/>
          </w:tcPr>
          <w:p w14:paraId="5FB17DE6"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224724.6</w:t>
            </w:r>
          </w:p>
        </w:tc>
        <w:tc>
          <w:tcPr>
            <w:tcW w:w="1900" w:type="dxa"/>
            <w:shd w:val="clear" w:color="auto" w:fill="auto"/>
            <w:noWrap/>
          </w:tcPr>
          <w:p w14:paraId="3737C269"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224724.6</w:t>
            </w:r>
          </w:p>
        </w:tc>
        <w:tc>
          <w:tcPr>
            <w:tcW w:w="1880" w:type="dxa"/>
            <w:shd w:val="clear" w:color="auto" w:fill="auto"/>
            <w:noWrap/>
          </w:tcPr>
          <w:p w14:paraId="712A1886"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224724.6</w:t>
            </w:r>
          </w:p>
        </w:tc>
        <w:tc>
          <w:tcPr>
            <w:tcW w:w="1700" w:type="dxa"/>
            <w:shd w:val="clear" w:color="auto" w:fill="auto"/>
            <w:noWrap/>
          </w:tcPr>
          <w:p w14:paraId="76FBB979"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1172868.0</w:t>
            </w:r>
          </w:p>
        </w:tc>
        <w:tc>
          <w:tcPr>
            <w:tcW w:w="2340" w:type="dxa"/>
            <w:shd w:val="clear" w:color="auto" w:fill="auto"/>
            <w:noWrap/>
            <w:vAlign w:val="bottom"/>
          </w:tcPr>
          <w:p w14:paraId="32074D45" w14:textId="77777777" w:rsidR="00D06DEE" w:rsidRPr="00736448" w:rsidRDefault="00D06DEE" w:rsidP="00D06DEE">
            <w:pPr>
              <w:spacing w:after="0"/>
              <w:jc w:val="right"/>
              <w:rPr>
                <w:rFonts w:ascii="Calibri" w:hAnsi="Calibri" w:cs="Calibri"/>
                <w:color w:val="000000"/>
                <w:lang w:val="ro-MD"/>
              </w:rPr>
            </w:pPr>
            <w:r w:rsidRPr="00736448">
              <w:rPr>
                <w:rFonts w:ascii="Calibri" w:hAnsi="Calibri" w:cs="Calibri"/>
                <w:color w:val="000000"/>
                <w:lang w:val="ro-MD"/>
              </w:rPr>
              <w:t>948143.4</w:t>
            </w:r>
          </w:p>
        </w:tc>
      </w:tr>
      <w:tr w:rsidR="00D06DEE" w:rsidRPr="00B7675F" w14:paraId="070868A2" w14:textId="77777777" w:rsidTr="00D06DEE">
        <w:trPr>
          <w:trHeight w:val="20"/>
        </w:trPr>
        <w:tc>
          <w:tcPr>
            <w:tcW w:w="4800" w:type="dxa"/>
            <w:shd w:val="clear" w:color="auto" w:fill="auto"/>
            <w:hideMark/>
          </w:tcPr>
          <w:p w14:paraId="013C875F" w14:textId="7AEA78F6" w:rsidR="00D06DEE" w:rsidRPr="00736448" w:rsidRDefault="00D06DEE" w:rsidP="00D06DEE">
            <w:pPr>
              <w:spacing w:after="0" w:line="240" w:lineRule="auto"/>
              <w:rPr>
                <w:rFonts w:ascii="Calibri Light" w:eastAsia="Times New Roman" w:hAnsi="Calibri Light" w:cs="Calibri Light"/>
                <w:color w:val="000000"/>
                <w:sz w:val="20"/>
                <w:szCs w:val="20"/>
                <w:lang w:val="ro-MD"/>
              </w:rPr>
            </w:pPr>
            <w:r w:rsidRPr="00F23102">
              <w:rPr>
                <w:rFonts w:ascii="Calibri Light" w:eastAsia="Times New Roman" w:hAnsi="Calibri Light" w:cs="Calibri Light"/>
                <w:color w:val="000000"/>
                <w:sz w:val="20"/>
                <w:szCs w:val="20"/>
                <w:lang w:val="ro-RO"/>
              </w:rPr>
              <w:t>Социальная защита в исключительных случаях</w:t>
            </w:r>
          </w:p>
        </w:tc>
        <w:tc>
          <w:tcPr>
            <w:tcW w:w="1900" w:type="dxa"/>
            <w:shd w:val="clear" w:color="auto" w:fill="auto"/>
          </w:tcPr>
          <w:p w14:paraId="0A220688"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1628716.0</w:t>
            </w:r>
          </w:p>
        </w:tc>
        <w:tc>
          <w:tcPr>
            <w:tcW w:w="1900" w:type="dxa"/>
            <w:shd w:val="clear" w:color="auto" w:fill="auto"/>
            <w:noWrap/>
          </w:tcPr>
          <w:p w14:paraId="566139AA"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1378600.6</w:t>
            </w:r>
          </w:p>
        </w:tc>
        <w:tc>
          <w:tcPr>
            <w:tcW w:w="1880" w:type="dxa"/>
            <w:shd w:val="clear" w:color="auto" w:fill="auto"/>
            <w:noWrap/>
          </w:tcPr>
          <w:p w14:paraId="6AEE252E"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1378600.6</w:t>
            </w:r>
          </w:p>
        </w:tc>
        <w:tc>
          <w:tcPr>
            <w:tcW w:w="1700" w:type="dxa"/>
            <w:shd w:val="clear" w:color="auto" w:fill="auto"/>
            <w:noWrap/>
          </w:tcPr>
          <w:p w14:paraId="4D1545F4"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1428850.1</w:t>
            </w:r>
          </w:p>
        </w:tc>
        <w:tc>
          <w:tcPr>
            <w:tcW w:w="2340" w:type="dxa"/>
            <w:shd w:val="clear" w:color="auto" w:fill="auto"/>
            <w:noWrap/>
            <w:vAlign w:val="bottom"/>
          </w:tcPr>
          <w:p w14:paraId="44297F60" w14:textId="77777777" w:rsidR="00D06DEE" w:rsidRPr="00736448" w:rsidRDefault="00D06DEE" w:rsidP="00D06DEE">
            <w:pPr>
              <w:spacing w:after="0"/>
              <w:jc w:val="right"/>
              <w:rPr>
                <w:rFonts w:ascii="Calibri" w:hAnsi="Calibri" w:cs="Calibri"/>
                <w:color w:val="000000"/>
                <w:lang w:val="ro-MD"/>
              </w:rPr>
            </w:pPr>
            <w:r w:rsidRPr="00736448">
              <w:rPr>
                <w:rFonts w:ascii="Calibri" w:hAnsi="Calibri" w:cs="Calibri"/>
                <w:color w:val="000000"/>
                <w:lang w:val="ro-MD"/>
              </w:rPr>
              <w:t>-199865.9</w:t>
            </w:r>
          </w:p>
        </w:tc>
      </w:tr>
      <w:tr w:rsidR="00D06DEE" w:rsidRPr="00B7675F" w14:paraId="11F2E245" w14:textId="77777777" w:rsidTr="00D06DEE">
        <w:trPr>
          <w:trHeight w:val="20"/>
        </w:trPr>
        <w:tc>
          <w:tcPr>
            <w:tcW w:w="4800" w:type="dxa"/>
            <w:shd w:val="clear" w:color="auto" w:fill="auto"/>
            <w:hideMark/>
          </w:tcPr>
          <w:p w14:paraId="68A2D1C3" w14:textId="04995800" w:rsidR="00D06DEE" w:rsidRPr="00736448" w:rsidRDefault="00D06DEE" w:rsidP="00D06DEE">
            <w:pPr>
              <w:spacing w:after="0" w:line="240" w:lineRule="auto"/>
              <w:rPr>
                <w:rFonts w:ascii="Calibri Light" w:eastAsia="Times New Roman" w:hAnsi="Calibri Light" w:cs="Calibri Light"/>
                <w:color w:val="000000"/>
                <w:sz w:val="20"/>
                <w:szCs w:val="20"/>
                <w:lang w:val="ro-MD"/>
              </w:rPr>
            </w:pPr>
            <w:r w:rsidRPr="00F23102">
              <w:rPr>
                <w:rFonts w:ascii="Calibri Light" w:eastAsia="Times New Roman" w:hAnsi="Calibri Light" w:cs="Calibri Light"/>
                <w:color w:val="000000"/>
                <w:sz w:val="20"/>
                <w:szCs w:val="20"/>
                <w:lang w:val="ro-RO"/>
              </w:rPr>
              <w:t>Социальная защита некоторых категорий граждан</w:t>
            </w:r>
          </w:p>
        </w:tc>
        <w:tc>
          <w:tcPr>
            <w:tcW w:w="1900" w:type="dxa"/>
            <w:shd w:val="clear" w:color="auto" w:fill="auto"/>
          </w:tcPr>
          <w:p w14:paraId="4956078C"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677337.6</w:t>
            </w:r>
          </w:p>
        </w:tc>
        <w:tc>
          <w:tcPr>
            <w:tcW w:w="1900" w:type="dxa"/>
            <w:shd w:val="clear" w:color="auto" w:fill="auto"/>
            <w:noWrap/>
          </w:tcPr>
          <w:p w14:paraId="046C5A4F"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654674.4</w:t>
            </w:r>
          </w:p>
        </w:tc>
        <w:tc>
          <w:tcPr>
            <w:tcW w:w="1880" w:type="dxa"/>
            <w:shd w:val="clear" w:color="auto" w:fill="auto"/>
            <w:noWrap/>
          </w:tcPr>
          <w:p w14:paraId="4BD13103"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654674.4</w:t>
            </w:r>
          </w:p>
        </w:tc>
        <w:tc>
          <w:tcPr>
            <w:tcW w:w="1700" w:type="dxa"/>
            <w:shd w:val="clear" w:color="auto" w:fill="auto"/>
            <w:noWrap/>
          </w:tcPr>
          <w:p w14:paraId="33520F4A" w14:textId="77777777" w:rsidR="00D06DEE" w:rsidRPr="00736448" w:rsidRDefault="00D06DEE" w:rsidP="00D06DEE">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65487.9</w:t>
            </w:r>
          </w:p>
        </w:tc>
        <w:tc>
          <w:tcPr>
            <w:tcW w:w="2340" w:type="dxa"/>
            <w:shd w:val="clear" w:color="auto" w:fill="auto"/>
            <w:noWrap/>
            <w:vAlign w:val="bottom"/>
          </w:tcPr>
          <w:p w14:paraId="6E21637F" w14:textId="77777777" w:rsidR="00D06DEE" w:rsidRPr="00736448" w:rsidRDefault="00D06DEE" w:rsidP="00D06DEE">
            <w:pPr>
              <w:spacing w:after="0"/>
              <w:jc w:val="right"/>
              <w:rPr>
                <w:rFonts w:ascii="Calibri" w:hAnsi="Calibri" w:cs="Calibri"/>
                <w:color w:val="000000"/>
                <w:lang w:val="ro-MD"/>
              </w:rPr>
            </w:pPr>
            <w:r w:rsidRPr="00736448">
              <w:rPr>
                <w:rFonts w:ascii="Calibri" w:hAnsi="Calibri" w:cs="Calibri"/>
                <w:color w:val="000000"/>
                <w:lang w:val="ro-MD"/>
              </w:rPr>
              <w:t>-611849.7</w:t>
            </w:r>
          </w:p>
        </w:tc>
      </w:tr>
      <w:tr w:rsidR="00D06DEE" w:rsidRPr="00B7675F" w14:paraId="217DA289" w14:textId="77777777" w:rsidTr="00D06DEE">
        <w:trPr>
          <w:trHeight w:val="20"/>
        </w:trPr>
        <w:tc>
          <w:tcPr>
            <w:tcW w:w="4800" w:type="dxa"/>
            <w:shd w:val="clear" w:color="auto" w:fill="auto"/>
            <w:hideMark/>
          </w:tcPr>
          <w:p w14:paraId="2DDF3088" w14:textId="72B2F59B" w:rsidR="00D06DEE" w:rsidRPr="00736448" w:rsidRDefault="00D06DEE" w:rsidP="00D06DEE">
            <w:pPr>
              <w:spacing w:after="0" w:line="240" w:lineRule="auto"/>
              <w:rPr>
                <w:rFonts w:ascii="Calibri Light" w:eastAsia="Times New Roman" w:hAnsi="Calibri Light" w:cs="Calibri Light"/>
                <w:b/>
                <w:bCs/>
                <w:color w:val="000000"/>
                <w:sz w:val="20"/>
                <w:szCs w:val="20"/>
                <w:lang w:val="ro-MD"/>
              </w:rPr>
            </w:pPr>
            <w:r w:rsidRPr="00E82CC1">
              <w:rPr>
                <w:rFonts w:ascii="Calibri Light" w:eastAsia="Times New Roman" w:hAnsi="Calibri Light" w:cs="Calibri Light"/>
                <w:b/>
                <w:bCs/>
                <w:color w:val="000000"/>
                <w:sz w:val="20"/>
                <w:szCs w:val="20"/>
                <w:lang w:val="ro-RO"/>
              </w:rPr>
              <w:t xml:space="preserve">III. </w:t>
            </w:r>
            <w:r>
              <w:rPr>
                <w:rFonts w:ascii="Calibri Light" w:eastAsia="Times New Roman" w:hAnsi="Calibri Light" w:cs="Calibri Light"/>
                <w:b/>
                <w:bCs/>
                <w:color w:val="000000"/>
                <w:sz w:val="20"/>
                <w:szCs w:val="20"/>
                <w:lang w:val="ru-RU"/>
              </w:rPr>
              <w:t>Остаток бюджета</w:t>
            </w:r>
          </w:p>
        </w:tc>
        <w:tc>
          <w:tcPr>
            <w:tcW w:w="1900" w:type="dxa"/>
            <w:shd w:val="clear" w:color="auto" w:fill="auto"/>
          </w:tcPr>
          <w:p w14:paraId="6655A579"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900" w:type="dxa"/>
            <w:shd w:val="clear" w:color="auto" w:fill="auto"/>
          </w:tcPr>
          <w:p w14:paraId="7EBA0B83"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880" w:type="dxa"/>
            <w:shd w:val="clear" w:color="auto" w:fill="auto"/>
            <w:noWrap/>
          </w:tcPr>
          <w:p w14:paraId="4258AAC2"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700" w:type="dxa"/>
            <w:shd w:val="clear" w:color="auto" w:fill="auto"/>
            <w:noWrap/>
          </w:tcPr>
          <w:p w14:paraId="5E9BAC37"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2340" w:type="dxa"/>
            <w:shd w:val="clear" w:color="auto" w:fill="auto"/>
            <w:noWrap/>
          </w:tcPr>
          <w:p w14:paraId="152AAEB9"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r>
      <w:tr w:rsidR="00D06DEE" w:rsidRPr="00B7675F" w14:paraId="2D740449" w14:textId="77777777" w:rsidTr="00D06DEE">
        <w:trPr>
          <w:trHeight w:val="20"/>
        </w:trPr>
        <w:tc>
          <w:tcPr>
            <w:tcW w:w="4800" w:type="dxa"/>
            <w:shd w:val="clear" w:color="auto" w:fill="auto"/>
            <w:hideMark/>
          </w:tcPr>
          <w:p w14:paraId="6BD12581" w14:textId="4CF048E0" w:rsidR="00D06DEE" w:rsidRPr="00736448" w:rsidRDefault="00D06DEE" w:rsidP="00D06DEE">
            <w:pPr>
              <w:spacing w:after="0" w:line="240" w:lineRule="auto"/>
              <w:rPr>
                <w:rFonts w:ascii="Calibri Light" w:eastAsia="Times New Roman" w:hAnsi="Calibri Light" w:cs="Calibri Light"/>
                <w:b/>
                <w:bCs/>
                <w:color w:val="000000"/>
                <w:sz w:val="20"/>
                <w:szCs w:val="20"/>
                <w:lang w:val="ro-MD"/>
              </w:rPr>
            </w:pPr>
            <w:r w:rsidRPr="00E82CC1">
              <w:rPr>
                <w:rFonts w:ascii="Calibri Light" w:eastAsia="Times New Roman" w:hAnsi="Calibri Light" w:cs="Calibri Light"/>
                <w:b/>
                <w:bCs/>
                <w:color w:val="000000"/>
                <w:sz w:val="20"/>
                <w:szCs w:val="20"/>
                <w:lang w:val="ro-RO"/>
              </w:rPr>
              <w:t xml:space="preserve">IV. </w:t>
            </w:r>
            <w:r>
              <w:rPr>
                <w:rFonts w:ascii="Calibri Light" w:eastAsia="Times New Roman" w:hAnsi="Calibri Light" w:cs="Calibri Light"/>
                <w:b/>
                <w:bCs/>
                <w:color w:val="000000"/>
                <w:sz w:val="20"/>
                <w:szCs w:val="20"/>
                <w:lang w:val="ru-RU"/>
              </w:rPr>
              <w:t>Источники финансирования, всего</w:t>
            </w:r>
          </w:p>
        </w:tc>
        <w:tc>
          <w:tcPr>
            <w:tcW w:w="1900" w:type="dxa"/>
            <w:shd w:val="clear" w:color="auto" w:fill="auto"/>
          </w:tcPr>
          <w:p w14:paraId="5198A77E"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900" w:type="dxa"/>
            <w:shd w:val="clear" w:color="auto" w:fill="auto"/>
          </w:tcPr>
          <w:p w14:paraId="685E80AF"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880" w:type="dxa"/>
            <w:shd w:val="clear" w:color="auto" w:fill="auto"/>
            <w:noWrap/>
          </w:tcPr>
          <w:p w14:paraId="0C7BB9B4"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700" w:type="dxa"/>
            <w:shd w:val="clear" w:color="auto" w:fill="auto"/>
            <w:noWrap/>
          </w:tcPr>
          <w:p w14:paraId="018FF919"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2340" w:type="dxa"/>
            <w:shd w:val="clear" w:color="auto" w:fill="auto"/>
            <w:noWrap/>
          </w:tcPr>
          <w:p w14:paraId="0B53EB3C"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r>
      <w:tr w:rsidR="00D06DEE" w:rsidRPr="00B7675F" w14:paraId="24F0ACEC" w14:textId="77777777" w:rsidTr="00D06DEE">
        <w:trPr>
          <w:trHeight w:val="20"/>
        </w:trPr>
        <w:tc>
          <w:tcPr>
            <w:tcW w:w="4800" w:type="dxa"/>
            <w:shd w:val="clear" w:color="auto" w:fill="auto"/>
            <w:hideMark/>
          </w:tcPr>
          <w:p w14:paraId="56D53F4B" w14:textId="65AFCA9F" w:rsidR="00D06DEE" w:rsidRPr="00736448" w:rsidRDefault="00D06DEE" w:rsidP="00D06DEE">
            <w:pPr>
              <w:spacing w:after="0" w:line="240" w:lineRule="auto"/>
              <w:rPr>
                <w:rFonts w:ascii="Calibri Light" w:eastAsia="Times New Roman" w:hAnsi="Calibri Light" w:cs="Calibri Light"/>
                <w:b/>
                <w:bCs/>
                <w:color w:val="000000"/>
                <w:sz w:val="20"/>
                <w:szCs w:val="20"/>
                <w:lang w:val="ro-MD"/>
              </w:rPr>
            </w:pPr>
            <w:r>
              <w:rPr>
                <w:rFonts w:ascii="Calibri Light" w:eastAsia="Times New Roman" w:hAnsi="Calibri Light" w:cs="Calibri Light"/>
                <w:b/>
                <w:bCs/>
                <w:color w:val="000000"/>
                <w:sz w:val="20"/>
                <w:szCs w:val="20"/>
                <w:lang w:val="ru-RU"/>
              </w:rPr>
              <w:t>Финансовые активы</w:t>
            </w:r>
          </w:p>
        </w:tc>
        <w:tc>
          <w:tcPr>
            <w:tcW w:w="1900" w:type="dxa"/>
            <w:shd w:val="clear" w:color="auto" w:fill="auto"/>
          </w:tcPr>
          <w:p w14:paraId="4DEA0F7A"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900" w:type="dxa"/>
            <w:shd w:val="clear" w:color="auto" w:fill="auto"/>
            <w:noWrap/>
          </w:tcPr>
          <w:p w14:paraId="27609AC8"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-60376.5</w:t>
            </w:r>
          </w:p>
        </w:tc>
        <w:tc>
          <w:tcPr>
            <w:tcW w:w="1880" w:type="dxa"/>
            <w:shd w:val="clear" w:color="auto" w:fill="auto"/>
            <w:noWrap/>
          </w:tcPr>
          <w:p w14:paraId="401EADDE"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-60376.5</w:t>
            </w:r>
          </w:p>
        </w:tc>
        <w:tc>
          <w:tcPr>
            <w:tcW w:w="1700" w:type="dxa"/>
            <w:shd w:val="clear" w:color="auto" w:fill="auto"/>
            <w:noWrap/>
          </w:tcPr>
          <w:p w14:paraId="7400F4DD"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-60376.5</w:t>
            </w:r>
          </w:p>
        </w:tc>
        <w:tc>
          <w:tcPr>
            <w:tcW w:w="2340" w:type="dxa"/>
            <w:shd w:val="clear" w:color="auto" w:fill="auto"/>
            <w:noWrap/>
          </w:tcPr>
          <w:p w14:paraId="63BEAC9B"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-60376.5</w:t>
            </w:r>
          </w:p>
        </w:tc>
      </w:tr>
      <w:tr w:rsidR="00D06DEE" w:rsidRPr="00B7675F" w14:paraId="5EAB1D11" w14:textId="77777777" w:rsidTr="00D06DEE">
        <w:trPr>
          <w:trHeight w:val="20"/>
        </w:trPr>
        <w:tc>
          <w:tcPr>
            <w:tcW w:w="4800" w:type="dxa"/>
            <w:shd w:val="clear" w:color="auto" w:fill="auto"/>
            <w:hideMark/>
          </w:tcPr>
          <w:p w14:paraId="4026A1D1" w14:textId="4B93FB9A" w:rsidR="00D06DEE" w:rsidRPr="00736448" w:rsidRDefault="00D06DEE" w:rsidP="00D06DEE">
            <w:pPr>
              <w:spacing w:after="0" w:line="240" w:lineRule="auto"/>
              <w:rPr>
                <w:rFonts w:ascii="Calibri Light" w:eastAsia="Times New Roman" w:hAnsi="Calibri Light" w:cs="Calibri Light"/>
                <w:b/>
                <w:bCs/>
                <w:color w:val="000000"/>
                <w:sz w:val="20"/>
                <w:szCs w:val="20"/>
                <w:lang w:val="ro-MD"/>
              </w:rPr>
            </w:pPr>
            <w:r>
              <w:rPr>
                <w:rFonts w:ascii="Calibri Light" w:eastAsia="Times New Roman" w:hAnsi="Calibri Light" w:cs="Calibri Light"/>
                <w:b/>
                <w:bCs/>
                <w:color w:val="000000"/>
                <w:sz w:val="20"/>
                <w:szCs w:val="20"/>
                <w:lang w:val="ru-RU"/>
              </w:rPr>
              <w:t>Долги</w:t>
            </w:r>
          </w:p>
        </w:tc>
        <w:tc>
          <w:tcPr>
            <w:tcW w:w="1900" w:type="dxa"/>
            <w:shd w:val="clear" w:color="auto" w:fill="auto"/>
          </w:tcPr>
          <w:p w14:paraId="251A9EBA"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900" w:type="dxa"/>
            <w:shd w:val="clear" w:color="auto" w:fill="auto"/>
          </w:tcPr>
          <w:p w14:paraId="09480A35"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880" w:type="dxa"/>
            <w:shd w:val="clear" w:color="auto" w:fill="auto"/>
            <w:noWrap/>
          </w:tcPr>
          <w:p w14:paraId="2BBC556B"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700" w:type="dxa"/>
            <w:shd w:val="clear" w:color="auto" w:fill="auto"/>
            <w:noWrap/>
          </w:tcPr>
          <w:p w14:paraId="7325AC41"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2340" w:type="dxa"/>
            <w:shd w:val="clear" w:color="auto" w:fill="auto"/>
            <w:noWrap/>
          </w:tcPr>
          <w:p w14:paraId="074E3746"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r>
      <w:tr w:rsidR="00D06DEE" w:rsidRPr="00B7675F" w14:paraId="6CAE0A8D" w14:textId="77777777" w:rsidTr="00D06DEE">
        <w:trPr>
          <w:trHeight w:val="20"/>
        </w:trPr>
        <w:tc>
          <w:tcPr>
            <w:tcW w:w="4800" w:type="dxa"/>
            <w:shd w:val="clear" w:color="auto" w:fill="auto"/>
            <w:hideMark/>
          </w:tcPr>
          <w:p w14:paraId="65870E8F" w14:textId="2B7D1ED2" w:rsidR="00D06DEE" w:rsidRPr="00736448" w:rsidRDefault="00D06DEE" w:rsidP="00D06DEE">
            <w:pPr>
              <w:spacing w:after="0" w:line="240" w:lineRule="auto"/>
              <w:rPr>
                <w:rFonts w:ascii="Calibri Light" w:eastAsia="Times New Roman" w:hAnsi="Calibri Light" w:cs="Calibri Light"/>
                <w:b/>
                <w:bCs/>
                <w:color w:val="000000"/>
                <w:sz w:val="20"/>
                <w:szCs w:val="20"/>
                <w:lang w:val="ro-MD"/>
              </w:rPr>
            </w:pPr>
            <w:r w:rsidRPr="00F23102">
              <w:rPr>
                <w:rFonts w:ascii="Calibri Light" w:eastAsia="Times New Roman" w:hAnsi="Calibri Light" w:cs="Calibri Light"/>
                <w:b/>
                <w:bCs/>
                <w:color w:val="000000"/>
                <w:sz w:val="20"/>
                <w:szCs w:val="20"/>
                <w:lang w:val="ro-RO"/>
              </w:rPr>
              <w:t>Изменение остатка денежных средств</w:t>
            </w:r>
          </w:p>
        </w:tc>
        <w:tc>
          <w:tcPr>
            <w:tcW w:w="1900" w:type="dxa"/>
            <w:shd w:val="clear" w:color="auto" w:fill="auto"/>
          </w:tcPr>
          <w:p w14:paraId="094667AF"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900" w:type="dxa"/>
            <w:shd w:val="clear" w:color="auto" w:fill="auto"/>
            <w:noWrap/>
          </w:tcPr>
          <w:p w14:paraId="6D044EFB"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60376.5</w:t>
            </w:r>
          </w:p>
        </w:tc>
        <w:tc>
          <w:tcPr>
            <w:tcW w:w="1880" w:type="dxa"/>
            <w:shd w:val="clear" w:color="auto" w:fill="auto"/>
            <w:noWrap/>
          </w:tcPr>
          <w:p w14:paraId="5956EC0B"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60376.5</w:t>
            </w:r>
          </w:p>
        </w:tc>
        <w:tc>
          <w:tcPr>
            <w:tcW w:w="1700" w:type="dxa"/>
            <w:shd w:val="clear" w:color="auto" w:fill="auto"/>
            <w:noWrap/>
          </w:tcPr>
          <w:p w14:paraId="76AA3B62"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60376.5</w:t>
            </w:r>
          </w:p>
        </w:tc>
        <w:tc>
          <w:tcPr>
            <w:tcW w:w="2340" w:type="dxa"/>
            <w:shd w:val="clear" w:color="auto" w:fill="auto"/>
            <w:noWrap/>
          </w:tcPr>
          <w:p w14:paraId="7BB51330"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60376.5</w:t>
            </w:r>
          </w:p>
        </w:tc>
      </w:tr>
      <w:tr w:rsidR="00D06DEE" w:rsidRPr="00B7675F" w14:paraId="1AF87F88" w14:textId="77777777" w:rsidTr="00D06DEE">
        <w:trPr>
          <w:trHeight w:val="20"/>
        </w:trPr>
        <w:tc>
          <w:tcPr>
            <w:tcW w:w="4800" w:type="dxa"/>
            <w:shd w:val="clear" w:color="auto" w:fill="auto"/>
            <w:hideMark/>
          </w:tcPr>
          <w:p w14:paraId="6BD7B5A3" w14:textId="6FFA325D" w:rsidR="00D06DEE" w:rsidRPr="00736448" w:rsidRDefault="00D06DEE" w:rsidP="00D06DEE">
            <w:pPr>
              <w:spacing w:after="0" w:line="240" w:lineRule="auto"/>
              <w:rPr>
                <w:rFonts w:ascii="Calibri Light" w:eastAsia="Times New Roman" w:hAnsi="Calibri Light" w:cs="Calibri Light"/>
                <w:b/>
                <w:bCs/>
                <w:color w:val="000000"/>
                <w:sz w:val="20"/>
                <w:szCs w:val="20"/>
                <w:lang w:val="ro-MD"/>
              </w:rPr>
            </w:pPr>
            <w:r w:rsidRPr="00F23102">
              <w:rPr>
                <w:rFonts w:ascii="Calibri Light" w:eastAsia="Times New Roman" w:hAnsi="Calibri Light" w:cs="Calibri Light"/>
                <w:b/>
                <w:bCs/>
                <w:color w:val="000000"/>
                <w:sz w:val="20"/>
                <w:szCs w:val="20"/>
                <w:lang w:val="ro-RO"/>
              </w:rPr>
              <w:t>Остаток денежных средств на начало периода</w:t>
            </w:r>
          </w:p>
        </w:tc>
        <w:tc>
          <w:tcPr>
            <w:tcW w:w="1900" w:type="dxa"/>
            <w:shd w:val="clear" w:color="auto" w:fill="auto"/>
          </w:tcPr>
          <w:p w14:paraId="4D601624"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900" w:type="dxa"/>
            <w:shd w:val="clear" w:color="auto" w:fill="auto"/>
            <w:noWrap/>
          </w:tcPr>
          <w:p w14:paraId="7A3E3A84"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60376.5</w:t>
            </w:r>
          </w:p>
        </w:tc>
        <w:tc>
          <w:tcPr>
            <w:tcW w:w="1880" w:type="dxa"/>
            <w:shd w:val="clear" w:color="auto" w:fill="auto"/>
            <w:noWrap/>
          </w:tcPr>
          <w:p w14:paraId="4057D92F"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60376.5</w:t>
            </w:r>
          </w:p>
        </w:tc>
        <w:tc>
          <w:tcPr>
            <w:tcW w:w="1700" w:type="dxa"/>
            <w:shd w:val="clear" w:color="auto" w:fill="auto"/>
            <w:noWrap/>
          </w:tcPr>
          <w:p w14:paraId="0533A40A"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60376.5</w:t>
            </w:r>
          </w:p>
        </w:tc>
        <w:tc>
          <w:tcPr>
            <w:tcW w:w="2340" w:type="dxa"/>
            <w:shd w:val="clear" w:color="auto" w:fill="auto"/>
            <w:noWrap/>
          </w:tcPr>
          <w:p w14:paraId="2928BD72"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60376.5</w:t>
            </w:r>
          </w:p>
        </w:tc>
      </w:tr>
      <w:tr w:rsidR="00D06DEE" w:rsidRPr="00B7675F" w14:paraId="0E9BD11E" w14:textId="77777777" w:rsidTr="00D06DEE">
        <w:trPr>
          <w:trHeight w:val="20"/>
        </w:trPr>
        <w:tc>
          <w:tcPr>
            <w:tcW w:w="4800" w:type="dxa"/>
            <w:shd w:val="clear" w:color="auto" w:fill="auto"/>
            <w:hideMark/>
          </w:tcPr>
          <w:p w14:paraId="4A4131F6" w14:textId="6089766B" w:rsidR="00D06DEE" w:rsidRPr="00736448" w:rsidRDefault="00D06DEE" w:rsidP="00D06DEE">
            <w:pPr>
              <w:spacing w:after="0" w:line="240" w:lineRule="auto"/>
              <w:rPr>
                <w:rFonts w:ascii="Calibri Light" w:eastAsia="Times New Roman" w:hAnsi="Calibri Light" w:cs="Calibri Light"/>
                <w:b/>
                <w:bCs/>
                <w:color w:val="000000"/>
                <w:sz w:val="20"/>
                <w:szCs w:val="20"/>
                <w:lang w:val="ro-MD"/>
              </w:rPr>
            </w:pPr>
            <w:r w:rsidRPr="00F23102">
              <w:rPr>
                <w:rFonts w:ascii="Calibri Light" w:eastAsia="Times New Roman" w:hAnsi="Calibri Light" w:cs="Calibri Light"/>
                <w:b/>
                <w:bCs/>
                <w:color w:val="000000"/>
                <w:sz w:val="20"/>
                <w:szCs w:val="20"/>
                <w:lang w:val="ro-RO"/>
              </w:rPr>
              <w:t>Остаток денежных средств на конец периода</w:t>
            </w:r>
          </w:p>
        </w:tc>
        <w:tc>
          <w:tcPr>
            <w:tcW w:w="1900" w:type="dxa"/>
            <w:shd w:val="clear" w:color="auto" w:fill="auto"/>
          </w:tcPr>
          <w:p w14:paraId="422694FE"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900" w:type="dxa"/>
            <w:shd w:val="clear" w:color="auto" w:fill="auto"/>
          </w:tcPr>
          <w:p w14:paraId="5D2E99F5"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880" w:type="dxa"/>
            <w:shd w:val="clear" w:color="auto" w:fill="auto"/>
            <w:noWrap/>
          </w:tcPr>
          <w:p w14:paraId="5FD522FE"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700" w:type="dxa"/>
            <w:shd w:val="clear" w:color="auto" w:fill="auto"/>
            <w:noWrap/>
          </w:tcPr>
          <w:p w14:paraId="0EAC660F"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2340" w:type="dxa"/>
            <w:shd w:val="clear" w:color="auto" w:fill="auto"/>
            <w:noWrap/>
          </w:tcPr>
          <w:p w14:paraId="06D403A0" w14:textId="77777777" w:rsidR="00D06DEE" w:rsidRPr="00736448" w:rsidRDefault="00D06DEE" w:rsidP="00D06DEE">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r>
    </w:tbl>
    <w:p w14:paraId="3A86B478" w14:textId="552114E3" w:rsidR="003D0784" w:rsidRPr="00736448" w:rsidRDefault="00863CC5" w:rsidP="003D0784">
      <w:pPr>
        <w:rPr>
          <w:rFonts w:ascii="Calibri" w:eastAsia="Calibri" w:hAnsi="Calibri" w:cs="Times New Roman"/>
          <w:lang w:val="ro-MD"/>
        </w:rPr>
      </w:pPr>
      <w:r>
        <w:rPr>
          <w:rFonts w:ascii="Calibri Light" w:eastAsia="Times New Roman" w:hAnsi="Calibri Light" w:cs="Calibri Light"/>
          <w:b/>
          <w:bCs/>
          <w:i/>
          <w:iCs/>
          <w:color w:val="000000"/>
          <w:sz w:val="20"/>
          <w:szCs w:val="20"/>
          <w:lang w:val="ro-MD"/>
        </w:rPr>
        <w:t>Источник</w:t>
      </w:r>
      <w:r w:rsidR="003D0784" w:rsidRPr="00736448">
        <w:rPr>
          <w:rFonts w:ascii="Calibri Light" w:eastAsia="Times New Roman" w:hAnsi="Calibri Light" w:cs="Calibri Light"/>
          <w:b/>
          <w:bCs/>
          <w:i/>
          <w:iCs/>
          <w:color w:val="000000"/>
          <w:sz w:val="20"/>
          <w:szCs w:val="20"/>
          <w:lang w:val="ro-MD"/>
        </w:rPr>
        <w:t>:</w:t>
      </w:r>
      <w:r w:rsidR="003D0784" w:rsidRPr="00736448">
        <w:rPr>
          <w:rFonts w:ascii="Calibri Light" w:eastAsia="Times New Roman" w:hAnsi="Calibri Light" w:cs="Calibri Light"/>
          <w:i/>
          <w:iCs/>
          <w:color w:val="000000"/>
          <w:sz w:val="20"/>
          <w:szCs w:val="20"/>
          <w:lang w:val="ro-MD"/>
        </w:rPr>
        <w:t xml:space="preserve"> </w:t>
      </w:r>
      <w:r w:rsidR="00D06DEE" w:rsidRPr="00261430">
        <w:rPr>
          <w:rFonts w:ascii="Calibri Light" w:eastAsia="Times New Roman" w:hAnsi="Calibri Light" w:cs="Calibri Light"/>
          <w:i/>
          <w:iCs/>
          <w:color w:val="000000"/>
          <w:sz w:val="20"/>
          <w:szCs w:val="20"/>
          <w:lang w:val="ro-RO"/>
        </w:rPr>
        <w:t xml:space="preserve">Закон </w:t>
      </w:r>
      <w:r w:rsidR="00D06DEE">
        <w:rPr>
          <w:rFonts w:ascii="Calibri Light" w:eastAsia="Times New Roman" w:hAnsi="Calibri Light" w:cs="Calibri Light"/>
          <w:i/>
          <w:iCs/>
          <w:color w:val="000000"/>
          <w:sz w:val="20"/>
          <w:szCs w:val="20"/>
          <w:lang w:val="ru-RU"/>
        </w:rPr>
        <w:t>о</w:t>
      </w:r>
      <w:r w:rsidR="00D06DEE" w:rsidRPr="00261430">
        <w:rPr>
          <w:rFonts w:ascii="Calibri Light" w:eastAsia="Times New Roman" w:hAnsi="Calibri Light" w:cs="Calibri Light"/>
          <w:i/>
          <w:iCs/>
          <w:color w:val="000000"/>
          <w:sz w:val="20"/>
          <w:szCs w:val="20"/>
          <w:lang w:val="ro-RO"/>
        </w:rPr>
        <w:t xml:space="preserve"> бюджете государственного социального страхования на 202</w:t>
      </w:r>
      <w:r w:rsidR="00D06DEE">
        <w:rPr>
          <w:rFonts w:ascii="Calibri Light" w:eastAsia="Times New Roman" w:hAnsi="Calibri Light" w:cs="Calibri Light"/>
          <w:i/>
          <w:iCs/>
          <w:color w:val="000000"/>
          <w:sz w:val="20"/>
          <w:szCs w:val="20"/>
          <w:lang w:val="ru-RU"/>
        </w:rPr>
        <w:t>2</w:t>
      </w:r>
      <w:r w:rsidR="00D06DEE" w:rsidRPr="00261430">
        <w:rPr>
          <w:rFonts w:ascii="Calibri Light" w:eastAsia="Times New Roman" w:hAnsi="Calibri Light" w:cs="Calibri Light"/>
          <w:i/>
          <w:iCs/>
          <w:color w:val="000000"/>
          <w:sz w:val="20"/>
          <w:szCs w:val="20"/>
          <w:lang w:val="ro-RO"/>
        </w:rPr>
        <w:t xml:space="preserve"> год</w:t>
      </w:r>
      <w:r w:rsidR="00E15964">
        <w:rPr>
          <w:rFonts w:ascii="Calibri Light" w:eastAsia="Times New Roman" w:hAnsi="Calibri Light" w:cs="Calibri Light"/>
          <w:i/>
          <w:iCs/>
          <w:color w:val="000000"/>
          <w:sz w:val="20"/>
          <w:szCs w:val="20"/>
          <w:lang w:val="ro-MD"/>
        </w:rPr>
        <w:t>.</w:t>
      </w:r>
    </w:p>
    <w:p w14:paraId="51D78E5B" w14:textId="77777777" w:rsidR="007F7FDD" w:rsidRDefault="007F7FDD" w:rsidP="003D0784">
      <w:pPr>
        <w:tabs>
          <w:tab w:val="left" w:pos="162"/>
        </w:tabs>
        <w:spacing w:after="0" w:line="276" w:lineRule="auto"/>
        <w:jc w:val="right"/>
        <w:outlineLvl w:val="1"/>
        <w:rPr>
          <w:rFonts w:ascii="Calibri Light" w:eastAsia="Times New Roman" w:hAnsi="Calibri Light" w:cs="Calibri Light"/>
          <w:b/>
          <w:sz w:val="24"/>
          <w:szCs w:val="24"/>
          <w:lang w:val="ro-MD"/>
        </w:rPr>
      </w:pPr>
    </w:p>
    <w:p w14:paraId="141CCE17" w14:textId="77777777" w:rsidR="007F7FDD" w:rsidRDefault="007F7FDD" w:rsidP="003D0784">
      <w:pPr>
        <w:tabs>
          <w:tab w:val="left" w:pos="162"/>
        </w:tabs>
        <w:spacing w:after="0" w:line="276" w:lineRule="auto"/>
        <w:jc w:val="right"/>
        <w:outlineLvl w:val="1"/>
        <w:rPr>
          <w:rFonts w:ascii="Calibri Light" w:eastAsia="Times New Roman" w:hAnsi="Calibri Light" w:cs="Calibri Light"/>
          <w:b/>
          <w:sz w:val="24"/>
          <w:szCs w:val="24"/>
          <w:lang w:val="ro-MD"/>
        </w:rPr>
      </w:pPr>
    </w:p>
    <w:p w14:paraId="5CC6451F" w14:textId="13F17432" w:rsidR="003D0784" w:rsidRPr="00736448" w:rsidRDefault="00FC62B3" w:rsidP="003D0784">
      <w:pPr>
        <w:tabs>
          <w:tab w:val="left" w:pos="162"/>
        </w:tabs>
        <w:spacing w:after="0" w:line="276" w:lineRule="auto"/>
        <w:jc w:val="right"/>
        <w:outlineLvl w:val="1"/>
        <w:rPr>
          <w:rFonts w:ascii="Calibri Light" w:eastAsia="Times New Roman" w:hAnsi="Calibri Light" w:cs="Calibri Light"/>
          <w:b/>
          <w:sz w:val="24"/>
          <w:szCs w:val="24"/>
          <w:lang w:val="ro-MD"/>
        </w:rPr>
      </w:pPr>
      <w:r>
        <w:rPr>
          <w:rFonts w:ascii="Calibri Light" w:eastAsia="Times New Roman" w:hAnsi="Calibri Light" w:cs="Calibri Light"/>
          <w:b/>
          <w:sz w:val="24"/>
          <w:szCs w:val="24"/>
          <w:lang w:val="ro-MD"/>
        </w:rPr>
        <w:t>Приложение №</w:t>
      </w:r>
      <w:r w:rsidR="003D0784" w:rsidRPr="00736448">
        <w:rPr>
          <w:rFonts w:ascii="Calibri Light" w:eastAsia="Times New Roman" w:hAnsi="Calibri Light" w:cs="Calibri Light"/>
          <w:b/>
          <w:sz w:val="24"/>
          <w:szCs w:val="24"/>
          <w:lang w:val="ro-MD"/>
        </w:rPr>
        <w:t xml:space="preserve"> </w:t>
      </w:r>
      <w:r w:rsidR="008B5EDB" w:rsidRPr="00736448">
        <w:rPr>
          <w:rFonts w:ascii="Calibri Light" w:eastAsia="Times New Roman" w:hAnsi="Calibri Light" w:cs="Calibri Light"/>
          <w:b/>
          <w:sz w:val="24"/>
          <w:szCs w:val="24"/>
          <w:lang w:val="ro-MD"/>
        </w:rPr>
        <w:t>11</w:t>
      </w:r>
    </w:p>
    <w:p w14:paraId="30CDAA9E" w14:textId="7208C6CD" w:rsidR="006C75B2" w:rsidRDefault="006C75B2" w:rsidP="006C75B2">
      <w:pPr>
        <w:tabs>
          <w:tab w:val="left" w:pos="162"/>
        </w:tabs>
        <w:spacing w:after="0" w:line="276" w:lineRule="auto"/>
        <w:jc w:val="center"/>
        <w:rPr>
          <w:rFonts w:ascii="Calibri Light" w:eastAsia="Times New Roman" w:hAnsi="Calibri Light" w:cs="Calibri Light"/>
          <w:b/>
          <w:sz w:val="24"/>
          <w:szCs w:val="24"/>
          <w:lang w:val="ro-RO"/>
        </w:rPr>
      </w:pPr>
      <w:r w:rsidRPr="00C358FF">
        <w:rPr>
          <w:rFonts w:ascii="Calibri Light" w:eastAsia="Times New Roman" w:hAnsi="Calibri Light" w:cs="Calibri Light"/>
          <w:b/>
          <w:sz w:val="24"/>
          <w:szCs w:val="24"/>
          <w:lang w:val="ro-RO"/>
        </w:rPr>
        <w:t xml:space="preserve">Исполнение доходов бюджета государственного социального страхования </w:t>
      </w:r>
      <w:r>
        <w:rPr>
          <w:rFonts w:ascii="Calibri Light" w:eastAsia="Times New Roman" w:hAnsi="Calibri Light" w:cs="Calibri Light"/>
          <w:b/>
          <w:sz w:val="24"/>
          <w:szCs w:val="24"/>
          <w:lang w:val="ru-RU"/>
        </w:rPr>
        <w:t>з</w:t>
      </w:r>
      <w:r w:rsidRPr="00C358FF">
        <w:rPr>
          <w:rFonts w:ascii="Calibri Light" w:eastAsia="Times New Roman" w:hAnsi="Calibri Light" w:cs="Calibri Light"/>
          <w:b/>
          <w:sz w:val="24"/>
          <w:szCs w:val="24"/>
          <w:lang w:val="ro-RO"/>
        </w:rPr>
        <w:t>а 202</w:t>
      </w:r>
      <w:r>
        <w:rPr>
          <w:rFonts w:ascii="Calibri Light" w:eastAsia="Times New Roman" w:hAnsi="Calibri Light" w:cs="Calibri Light"/>
          <w:b/>
          <w:sz w:val="24"/>
          <w:szCs w:val="24"/>
          <w:lang w:val="ru-RU"/>
        </w:rPr>
        <w:t>1</w:t>
      </w:r>
      <w:r w:rsidRPr="00C358FF">
        <w:rPr>
          <w:rFonts w:ascii="Calibri Light" w:eastAsia="Times New Roman" w:hAnsi="Calibri Light" w:cs="Calibri Light"/>
          <w:b/>
          <w:sz w:val="24"/>
          <w:szCs w:val="24"/>
          <w:lang w:val="ro-RO"/>
        </w:rPr>
        <w:t>-202</w:t>
      </w:r>
      <w:r>
        <w:rPr>
          <w:rFonts w:ascii="Calibri Light" w:eastAsia="Times New Roman" w:hAnsi="Calibri Light" w:cs="Calibri Light"/>
          <w:b/>
          <w:sz w:val="24"/>
          <w:szCs w:val="24"/>
          <w:lang w:val="ru-RU"/>
        </w:rPr>
        <w:t>2</w:t>
      </w:r>
      <w:r w:rsidRPr="00C358FF">
        <w:rPr>
          <w:rFonts w:ascii="Calibri Light" w:eastAsia="Times New Roman" w:hAnsi="Calibri Light" w:cs="Calibri Light"/>
          <w:b/>
          <w:sz w:val="24"/>
          <w:szCs w:val="24"/>
          <w:lang w:val="ro-RO"/>
        </w:rPr>
        <w:t xml:space="preserve"> годы</w:t>
      </w:r>
    </w:p>
    <w:p w14:paraId="3D981EF8" w14:textId="54FE6DEE" w:rsidR="003D0784" w:rsidRPr="00736448" w:rsidRDefault="006C75B2" w:rsidP="003D0784">
      <w:pPr>
        <w:tabs>
          <w:tab w:val="left" w:pos="162"/>
        </w:tabs>
        <w:spacing w:after="0" w:line="276" w:lineRule="auto"/>
        <w:jc w:val="right"/>
        <w:rPr>
          <w:rFonts w:ascii="Calibri Light" w:eastAsia="Times New Roman" w:hAnsi="Calibri Light" w:cs="Calibri Light"/>
          <w:b/>
          <w:sz w:val="20"/>
          <w:szCs w:val="20"/>
          <w:lang w:val="ro-MD"/>
        </w:rPr>
      </w:pPr>
      <w:r w:rsidRPr="00736448">
        <w:rPr>
          <w:rFonts w:ascii="Calibri Light" w:eastAsia="Times New Roman" w:hAnsi="Calibri Light" w:cs="Calibri Light"/>
          <w:b/>
          <w:sz w:val="20"/>
          <w:szCs w:val="20"/>
          <w:lang w:val="ro-MD"/>
        </w:rPr>
        <w:t xml:space="preserve"> </w:t>
      </w:r>
      <w:r w:rsidR="003D0784" w:rsidRPr="00736448">
        <w:rPr>
          <w:rFonts w:ascii="Calibri Light" w:eastAsia="Times New Roman" w:hAnsi="Calibri Light" w:cs="Calibri Light"/>
          <w:b/>
          <w:sz w:val="20"/>
          <w:szCs w:val="20"/>
          <w:lang w:val="ro-MD"/>
        </w:rPr>
        <w:t>(</w:t>
      </w:r>
      <w:r w:rsidR="003B3DFD">
        <w:rPr>
          <w:rFonts w:ascii="Calibri Light" w:eastAsia="Times New Roman" w:hAnsi="Calibri Light" w:cs="Calibri Light"/>
          <w:b/>
          <w:sz w:val="20"/>
          <w:szCs w:val="20"/>
          <w:lang w:val="ro-MD"/>
        </w:rPr>
        <w:t>млн. леев</w:t>
      </w:r>
      <w:r w:rsidR="003D0784" w:rsidRPr="00736448">
        <w:rPr>
          <w:rFonts w:ascii="Calibri Light" w:eastAsia="Times New Roman" w:hAnsi="Calibri Light" w:cs="Calibri Light"/>
          <w:b/>
          <w:sz w:val="20"/>
          <w:szCs w:val="20"/>
          <w:lang w:val="ro-MD"/>
        </w:rPr>
        <w:t>)</w:t>
      </w:r>
    </w:p>
    <w:tbl>
      <w:tblPr>
        <w:tblW w:w="0" w:type="auto"/>
        <w:tblInd w:w="-10" w:type="dxa"/>
        <w:tblLayout w:type="fixed"/>
        <w:tblLook w:val="04A0" w:firstRow="1" w:lastRow="0" w:firstColumn="1" w:lastColumn="0" w:noHBand="0" w:noVBand="1"/>
      </w:tblPr>
      <w:tblGrid>
        <w:gridCol w:w="5350"/>
        <w:gridCol w:w="844"/>
        <w:gridCol w:w="809"/>
        <w:gridCol w:w="900"/>
        <w:gridCol w:w="900"/>
        <w:gridCol w:w="1457"/>
        <w:gridCol w:w="1080"/>
        <w:gridCol w:w="720"/>
        <w:gridCol w:w="876"/>
        <w:gridCol w:w="626"/>
      </w:tblGrid>
      <w:tr w:rsidR="003D0784" w:rsidRPr="00B7675F" w14:paraId="24EA677A" w14:textId="77777777" w:rsidTr="00155DE4">
        <w:trPr>
          <w:trHeight w:val="20"/>
        </w:trPr>
        <w:tc>
          <w:tcPr>
            <w:tcW w:w="53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E8F267" w14:textId="1E2F1165" w:rsidR="003D0784" w:rsidRPr="00736448" w:rsidRDefault="00FC62B3" w:rsidP="005F6348">
            <w:pPr>
              <w:spacing w:after="0" w:line="240" w:lineRule="auto"/>
              <w:jc w:val="center"/>
              <w:rPr>
                <w:rFonts w:ascii="Calibri Light" w:eastAsia="Times New Roman" w:hAnsi="Calibri Light" w:cs="Calibri Light"/>
                <w:b/>
                <w:bCs/>
                <w:color w:val="000000"/>
                <w:sz w:val="18"/>
                <w:szCs w:val="18"/>
                <w:lang w:val="ro-MD"/>
              </w:rPr>
            </w:pPr>
            <w:r>
              <w:rPr>
                <w:rFonts w:ascii="Calibri Light" w:eastAsia="Times New Roman" w:hAnsi="Calibri Light" w:cs="Calibri Light"/>
                <w:b/>
                <w:bCs/>
                <w:color w:val="000000"/>
                <w:sz w:val="18"/>
                <w:szCs w:val="18"/>
                <w:lang w:val="ro-MD"/>
              </w:rPr>
              <w:t>Показатели</w:t>
            </w:r>
            <w:r w:rsidR="003D0784" w:rsidRPr="00736448">
              <w:rPr>
                <w:rFonts w:ascii="Calibri Light" w:eastAsia="Times New Roman" w:hAnsi="Calibri Light" w:cs="Calibri Light"/>
                <w:b/>
                <w:bCs/>
                <w:color w:val="000000"/>
                <w:sz w:val="18"/>
                <w:szCs w:val="18"/>
                <w:lang w:val="ro-MD"/>
              </w:rPr>
              <w:t>i</w:t>
            </w:r>
          </w:p>
        </w:tc>
        <w:tc>
          <w:tcPr>
            <w:tcW w:w="844" w:type="dxa"/>
            <w:tcBorders>
              <w:top w:val="single" w:sz="8" w:space="0" w:color="auto"/>
              <w:left w:val="nil"/>
              <w:bottom w:val="single" w:sz="8" w:space="0" w:color="auto"/>
              <w:right w:val="single" w:sz="8" w:space="0" w:color="auto"/>
            </w:tcBorders>
            <w:shd w:val="clear" w:color="auto" w:fill="auto"/>
            <w:vAlign w:val="center"/>
            <w:hideMark/>
          </w:tcPr>
          <w:p w14:paraId="76A818E1"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Anul</w:t>
            </w:r>
          </w:p>
        </w:tc>
        <w:tc>
          <w:tcPr>
            <w:tcW w:w="2609" w:type="dxa"/>
            <w:gridSpan w:val="3"/>
            <w:tcBorders>
              <w:top w:val="single" w:sz="8" w:space="0" w:color="auto"/>
              <w:left w:val="nil"/>
              <w:bottom w:val="single" w:sz="8" w:space="0" w:color="auto"/>
              <w:right w:val="single" w:sz="8" w:space="0" w:color="000000"/>
            </w:tcBorders>
            <w:shd w:val="clear" w:color="auto" w:fill="auto"/>
            <w:vAlign w:val="center"/>
            <w:hideMark/>
          </w:tcPr>
          <w:p w14:paraId="29CF6A2C"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Anul 2022</w:t>
            </w:r>
          </w:p>
        </w:tc>
        <w:tc>
          <w:tcPr>
            <w:tcW w:w="1457" w:type="dxa"/>
            <w:tcBorders>
              <w:top w:val="single" w:sz="8" w:space="0" w:color="auto"/>
              <w:left w:val="nil"/>
              <w:bottom w:val="single" w:sz="8" w:space="0" w:color="auto"/>
              <w:right w:val="single" w:sz="8" w:space="0" w:color="auto"/>
            </w:tcBorders>
            <w:shd w:val="clear" w:color="auto" w:fill="auto"/>
            <w:vAlign w:val="center"/>
            <w:hideMark/>
          </w:tcPr>
          <w:p w14:paraId="1528EC55" w14:textId="51C468B5" w:rsidR="003D0784" w:rsidRPr="00736448" w:rsidRDefault="00E41155" w:rsidP="005F6348">
            <w:pPr>
              <w:spacing w:after="0" w:line="240" w:lineRule="auto"/>
              <w:jc w:val="center"/>
              <w:rPr>
                <w:rFonts w:ascii="Calibri Light" w:eastAsia="Times New Roman" w:hAnsi="Calibri Light" w:cs="Calibri Light"/>
                <w:b/>
                <w:bCs/>
                <w:color w:val="000000"/>
                <w:sz w:val="18"/>
                <w:szCs w:val="18"/>
                <w:lang w:val="ro-MD"/>
              </w:rPr>
            </w:pPr>
            <w:r>
              <w:rPr>
                <w:rFonts w:ascii="Calibri Light" w:eastAsia="Times New Roman" w:hAnsi="Calibri Light" w:cs="Calibri Light"/>
                <w:b/>
                <w:bCs/>
                <w:color w:val="000000"/>
                <w:sz w:val="18"/>
                <w:szCs w:val="18"/>
                <w:lang w:val="ru-RU"/>
              </w:rPr>
              <w:t>Удельный</w:t>
            </w:r>
            <w:r w:rsidRPr="00C358FF">
              <w:rPr>
                <w:rFonts w:ascii="Calibri Light" w:eastAsia="Times New Roman" w:hAnsi="Calibri Light" w:cs="Calibri Light"/>
                <w:b/>
                <w:bCs/>
                <w:color w:val="000000"/>
                <w:sz w:val="18"/>
                <w:szCs w:val="18"/>
                <w:lang w:val="ru-RU"/>
              </w:rPr>
              <w:t xml:space="preserve"> </w:t>
            </w:r>
            <w:r>
              <w:rPr>
                <w:rFonts w:ascii="Calibri Light" w:eastAsia="Times New Roman" w:hAnsi="Calibri Light" w:cs="Calibri Light"/>
                <w:b/>
                <w:bCs/>
                <w:color w:val="000000"/>
                <w:sz w:val="18"/>
                <w:szCs w:val="18"/>
                <w:lang w:val="ru-RU"/>
              </w:rPr>
              <w:t>вес</w:t>
            </w:r>
            <w:r w:rsidRPr="00E82CC1">
              <w:rPr>
                <w:rFonts w:ascii="Calibri Light" w:eastAsia="Times New Roman" w:hAnsi="Calibri Light" w:cs="Calibri Light"/>
                <w:b/>
                <w:bCs/>
                <w:color w:val="000000"/>
                <w:sz w:val="18"/>
                <w:szCs w:val="18"/>
                <w:lang w:val="ro-RO"/>
              </w:rPr>
              <w:t xml:space="preserve">, </w:t>
            </w:r>
            <w:r>
              <w:rPr>
                <w:rFonts w:ascii="Calibri Light" w:eastAsia="Times New Roman" w:hAnsi="Calibri Light" w:cs="Calibri Light"/>
                <w:b/>
                <w:bCs/>
                <w:color w:val="000000"/>
                <w:sz w:val="18"/>
                <w:szCs w:val="18"/>
                <w:lang w:val="ru-RU"/>
              </w:rPr>
              <w:t>исполнено в общей сумме</w:t>
            </w:r>
          </w:p>
        </w:tc>
        <w:tc>
          <w:tcPr>
            <w:tcW w:w="3302" w:type="dxa"/>
            <w:gridSpan w:val="4"/>
            <w:tcBorders>
              <w:top w:val="single" w:sz="8" w:space="0" w:color="auto"/>
              <w:left w:val="nil"/>
              <w:bottom w:val="single" w:sz="8" w:space="0" w:color="auto"/>
              <w:right w:val="single" w:sz="8" w:space="0" w:color="000000"/>
            </w:tcBorders>
            <w:shd w:val="clear" w:color="auto" w:fill="auto"/>
            <w:vAlign w:val="center"/>
            <w:hideMark/>
          </w:tcPr>
          <w:p w14:paraId="5DFF4441" w14:textId="40A57612" w:rsidR="003D0784" w:rsidRPr="00736448" w:rsidRDefault="003D0784" w:rsidP="00E41155">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 xml:space="preserve">Executat 2022, </w:t>
            </w:r>
            <w:r w:rsidR="00E41155">
              <w:rPr>
                <w:rFonts w:ascii="Calibri Light" w:eastAsia="Times New Roman" w:hAnsi="Calibri Light" w:cs="Calibri Light"/>
                <w:b/>
                <w:bCs/>
                <w:color w:val="000000"/>
                <w:sz w:val="18"/>
                <w:szCs w:val="18"/>
                <w:lang w:val="ru-RU"/>
              </w:rPr>
              <w:t>против</w:t>
            </w:r>
            <w:r w:rsidRPr="00736448">
              <w:rPr>
                <w:rFonts w:ascii="Calibri Light" w:eastAsia="Times New Roman" w:hAnsi="Calibri Light" w:cs="Calibri Light"/>
                <w:b/>
                <w:bCs/>
                <w:color w:val="000000"/>
                <w:sz w:val="18"/>
                <w:szCs w:val="18"/>
                <w:lang w:val="ro-MD"/>
              </w:rPr>
              <w:t>:</w:t>
            </w:r>
          </w:p>
        </w:tc>
      </w:tr>
      <w:tr w:rsidR="003D0784" w:rsidRPr="00B7675F" w14:paraId="6E374BEE" w14:textId="77777777" w:rsidTr="00155DE4">
        <w:trPr>
          <w:trHeight w:val="20"/>
        </w:trPr>
        <w:tc>
          <w:tcPr>
            <w:tcW w:w="5350" w:type="dxa"/>
            <w:vMerge/>
            <w:tcBorders>
              <w:top w:val="single" w:sz="8" w:space="0" w:color="auto"/>
              <w:left w:val="single" w:sz="8" w:space="0" w:color="auto"/>
              <w:bottom w:val="single" w:sz="8" w:space="0" w:color="000000"/>
              <w:right w:val="single" w:sz="8" w:space="0" w:color="auto"/>
            </w:tcBorders>
            <w:vAlign w:val="center"/>
            <w:hideMark/>
          </w:tcPr>
          <w:p w14:paraId="4F908272" w14:textId="77777777" w:rsidR="003D0784" w:rsidRPr="00736448" w:rsidRDefault="003D0784" w:rsidP="005F6348">
            <w:pPr>
              <w:spacing w:after="0" w:line="240" w:lineRule="auto"/>
              <w:rPr>
                <w:rFonts w:ascii="Calibri Light" w:eastAsia="Times New Roman" w:hAnsi="Calibri Light" w:cs="Calibri Light"/>
                <w:b/>
                <w:bCs/>
                <w:color w:val="000000"/>
                <w:sz w:val="18"/>
                <w:szCs w:val="18"/>
                <w:lang w:val="ro-MD"/>
              </w:rPr>
            </w:pPr>
          </w:p>
        </w:tc>
        <w:tc>
          <w:tcPr>
            <w:tcW w:w="844" w:type="dxa"/>
            <w:tcBorders>
              <w:top w:val="nil"/>
              <w:left w:val="nil"/>
              <w:bottom w:val="single" w:sz="8" w:space="0" w:color="auto"/>
              <w:right w:val="single" w:sz="8" w:space="0" w:color="auto"/>
            </w:tcBorders>
            <w:shd w:val="clear" w:color="auto" w:fill="auto"/>
            <w:vAlign w:val="center"/>
            <w:hideMark/>
          </w:tcPr>
          <w:p w14:paraId="75E9220F"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2021</w:t>
            </w:r>
          </w:p>
        </w:tc>
        <w:tc>
          <w:tcPr>
            <w:tcW w:w="809" w:type="dxa"/>
            <w:vMerge w:val="restart"/>
            <w:tcBorders>
              <w:top w:val="nil"/>
              <w:left w:val="single" w:sz="8" w:space="0" w:color="auto"/>
              <w:bottom w:val="single" w:sz="8" w:space="0" w:color="000000"/>
              <w:right w:val="single" w:sz="8" w:space="0" w:color="auto"/>
            </w:tcBorders>
            <w:shd w:val="clear" w:color="auto" w:fill="auto"/>
            <w:vAlign w:val="center"/>
            <w:hideMark/>
          </w:tcPr>
          <w:p w14:paraId="0BCC80B4" w14:textId="643217AA" w:rsidR="003D0784" w:rsidRPr="00736448" w:rsidRDefault="00C0319C" w:rsidP="005F6348">
            <w:pPr>
              <w:spacing w:after="0" w:line="240" w:lineRule="auto"/>
              <w:jc w:val="center"/>
              <w:rPr>
                <w:rFonts w:ascii="Calibri Light" w:eastAsia="Times New Roman" w:hAnsi="Calibri Light" w:cs="Calibri Light"/>
                <w:b/>
                <w:bCs/>
                <w:color w:val="000000"/>
                <w:sz w:val="18"/>
                <w:szCs w:val="18"/>
                <w:lang w:val="ro-MD"/>
              </w:rPr>
            </w:pPr>
            <w:r>
              <w:rPr>
                <w:rFonts w:ascii="Calibri Light" w:eastAsia="Times New Roman" w:hAnsi="Calibri Light" w:cs="Calibri Light"/>
                <w:b/>
                <w:bCs/>
                <w:color w:val="000000"/>
                <w:sz w:val="18"/>
                <w:szCs w:val="18"/>
                <w:lang w:val="ro-MD"/>
              </w:rPr>
              <w:t>Утверждено</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14:paraId="3F72388E"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precizat</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14:paraId="1BF07E26"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executat</w:t>
            </w:r>
          </w:p>
        </w:tc>
        <w:tc>
          <w:tcPr>
            <w:tcW w:w="1457" w:type="dxa"/>
            <w:tcBorders>
              <w:top w:val="nil"/>
              <w:left w:val="nil"/>
              <w:bottom w:val="single" w:sz="8" w:space="0" w:color="auto"/>
              <w:right w:val="single" w:sz="8" w:space="0" w:color="auto"/>
            </w:tcBorders>
            <w:shd w:val="clear" w:color="auto" w:fill="auto"/>
            <w:vAlign w:val="center"/>
            <w:hideMark/>
          </w:tcPr>
          <w:p w14:paraId="7424341E"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c>
          <w:tcPr>
            <w:tcW w:w="1800" w:type="dxa"/>
            <w:gridSpan w:val="2"/>
            <w:tcBorders>
              <w:top w:val="single" w:sz="8" w:space="0" w:color="auto"/>
              <w:left w:val="nil"/>
              <w:bottom w:val="single" w:sz="8" w:space="0" w:color="auto"/>
              <w:right w:val="single" w:sz="8" w:space="0" w:color="000000"/>
            </w:tcBorders>
            <w:shd w:val="clear" w:color="auto" w:fill="auto"/>
            <w:vAlign w:val="center"/>
            <w:hideMark/>
          </w:tcPr>
          <w:p w14:paraId="2BF06B92"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executat 2021</w:t>
            </w:r>
          </w:p>
        </w:tc>
        <w:tc>
          <w:tcPr>
            <w:tcW w:w="1502" w:type="dxa"/>
            <w:gridSpan w:val="2"/>
            <w:tcBorders>
              <w:top w:val="single" w:sz="8" w:space="0" w:color="auto"/>
              <w:left w:val="nil"/>
              <w:bottom w:val="single" w:sz="8" w:space="0" w:color="auto"/>
              <w:right w:val="single" w:sz="8" w:space="0" w:color="000000"/>
            </w:tcBorders>
            <w:shd w:val="clear" w:color="auto" w:fill="auto"/>
            <w:vAlign w:val="center"/>
            <w:hideMark/>
          </w:tcPr>
          <w:p w14:paraId="415B7F81"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precizat 2022</w:t>
            </w:r>
          </w:p>
        </w:tc>
      </w:tr>
      <w:tr w:rsidR="003D0784" w:rsidRPr="00B7675F" w14:paraId="5824444E" w14:textId="77777777" w:rsidTr="00155DE4">
        <w:trPr>
          <w:trHeight w:val="20"/>
        </w:trPr>
        <w:tc>
          <w:tcPr>
            <w:tcW w:w="5350" w:type="dxa"/>
            <w:vMerge/>
            <w:tcBorders>
              <w:top w:val="single" w:sz="8" w:space="0" w:color="auto"/>
              <w:left w:val="single" w:sz="8" w:space="0" w:color="auto"/>
              <w:bottom w:val="single" w:sz="8" w:space="0" w:color="000000"/>
              <w:right w:val="single" w:sz="8" w:space="0" w:color="auto"/>
            </w:tcBorders>
            <w:vAlign w:val="center"/>
            <w:hideMark/>
          </w:tcPr>
          <w:p w14:paraId="5A68E205" w14:textId="77777777" w:rsidR="003D0784" w:rsidRPr="00736448" w:rsidRDefault="003D0784" w:rsidP="005F6348">
            <w:pPr>
              <w:spacing w:after="0" w:line="240" w:lineRule="auto"/>
              <w:rPr>
                <w:rFonts w:ascii="Calibri Light" w:eastAsia="Times New Roman" w:hAnsi="Calibri Light" w:cs="Calibri Light"/>
                <w:b/>
                <w:bCs/>
                <w:color w:val="000000"/>
                <w:sz w:val="18"/>
                <w:szCs w:val="18"/>
                <w:lang w:val="ro-MD"/>
              </w:rPr>
            </w:pPr>
          </w:p>
        </w:tc>
        <w:tc>
          <w:tcPr>
            <w:tcW w:w="844" w:type="dxa"/>
            <w:tcBorders>
              <w:top w:val="nil"/>
              <w:left w:val="nil"/>
              <w:bottom w:val="single" w:sz="8" w:space="0" w:color="auto"/>
              <w:right w:val="single" w:sz="8" w:space="0" w:color="auto"/>
            </w:tcBorders>
            <w:shd w:val="clear" w:color="auto" w:fill="auto"/>
            <w:vAlign w:val="center"/>
            <w:hideMark/>
          </w:tcPr>
          <w:p w14:paraId="04B3BDB3"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executat</w:t>
            </w:r>
          </w:p>
        </w:tc>
        <w:tc>
          <w:tcPr>
            <w:tcW w:w="809" w:type="dxa"/>
            <w:vMerge/>
            <w:tcBorders>
              <w:top w:val="nil"/>
              <w:left w:val="single" w:sz="8" w:space="0" w:color="auto"/>
              <w:bottom w:val="single" w:sz="8" w:space="0" w:color="000000"/>
              <w:right w:val="single" w:sz="8" w:space="0" w:color="auto"/>
            </w:tcBorders>
            <w:vAlign w:val="center"/>
            <w:hideMark/>
          </w:tcPr>
          <w:p w14:paraId="7E81345F" w14:textId="77777777" w:rsidR="003D0784" w:rsidRPr="00736448" w:rsidRDefault="003D0784" w:rsidP="005F6348">
            <w:pPr>
              <w:spacing w:after="0" w:line="240" w:lineRule="auto"/>
              <w:rPr>
                <w:rFonts w:ascii="Calibri Light" w:eastAsia="Times New Roman" w:hAnsi="Calibri Light" w:cs="Calibri Light"/>
                <w:b/>
                <w:bCs/>
                <w:color w:val="000000"/>
                <w:sz w:val="18"/>
                <w:szCs w:val="18"/>
                <w:lang w:val="ro-MD"/>
              </w:rPr>
            </w:pPr>
          </w:p>
        </w:tc>
        <w:tc>
          <w:tcPr>
            <w:tcW w:w="900" w:type="dxa"/>
            <w:vMerge/>
            <w:tcBorders>
              <w:top w:val="nil"/>
              <w:left w:val="single" w:sz="8" w:space="0" w:color="auto"/>
              <w:bottom w:val="single" w:sz="8" w:space="0" w:color="000000"/>
              <w:right w:val="single" w:sz="8" w:space="0" w:color="auto"/>
            </w:tcBorders>
            <w:vAlign w:val="center"/>
            <w:hideMark/>
          </w:tcPr>
          <w:p w14:paraId="3DC31121" w14:textId="77777777" w:rsidR="003D0784" w:rsidRPr="00736448" w:rsidRDefault="003D0784" w:rsidP="005F6348">
            <w:pPr>
              <w:spacing w:after="0" w:line="240" w:lineRule="auto"/>
              <w:rPr>
                <w:rFonts w:ascii="Calibri Light" w:eastAsia="Times New Roman" w:hAnsi="Calibri Light" w:cs="Calibri Light"/>
                <w:b/>
                <w:bCs/>
                <w:color w:val="000000"/>
                <w:sz w:val="18"/>
                <w:szCs w:val="18"/>
                <w:lang w:val="ro-MD"/>
              </w:rPr>
            </w:pPr>
          </w:p>
        </w:tc>
        <w:tc>
          <w:tcPr>
            <w:tcW w:w="900" w:type="dxa"/>
            <w:vMerge/>
            <w:tcBorders>
              <w:top w:val="nil"/>
              <w:left w:val="single" w:sz="8" w:space="0" w:color="auto"/>
              <w:bottom w:val="single" w:sz="8" w:space="0" w:color="000000"/>
              <w:right w:val="single" w:sz="8" w:space="0" w:color="auto"/>
            </w:tcBorders>
            <w:vAlign w:val="center"/>
            <w:hideMark/>
          </w:tcPr>
          <w:p w14:paraId="7F74F920" w14:textId="77777777" w:rsidR="003D0784" w:rsidRPr="00736448" w:rsidRDefault="003D0784" w:rsidP="005F6348">
            <w:pPr>
              <w:spacing w:after="0" w:line="240" w:lineRule="auto"/>
              <w:rPr>
                <w:rFonts w:ascii="Calibri Light" w:eastAsia="Times New Roman" w:hAnsi="Calibri Light" w:cs="Calibri Light"/>
                <w:b/>
                <w:bCs/>
                <w:color w:val="000000"/>
                <w:sz w:val="18"/>
                <w:szCs w:val="18"/>
                <w:lang w:val="ro-MD"/>
              </w:rPr>
            </w:pPr>
          </w:p>
        </w:tc>
        <w:tc>
          <w:tcPr>
            <w:tcW w:w="1457" w:type="dxa"/>
            <w:tcBorders>
              <w:top w:val="nil"/>
              <w:left w:val="nil"/>
              <w:bottom w:val="single" w:sz="8" w:space="0" w:color="auto"/>
              <w:right w:val="single" w:sz="8" w:space="0" w:color="auto"/>
            </w:tcBorders>
            <w:shd w:val="clear" w:color="auto" w:fill="auto"/>
            <w:vAlign w:val="center"/>
            <w:hideMark/>
          </w:tcPr>
          <w:p w14:paraId="45862E2C" w14:textId="77777777" w:rsidR="003D0784" w:rsidRPr="00736448" w:rsidRDefault="003D0784" w:rsidP="005F6348">
            <w:pPr>
              <w:spacing w:after="0" w:line="240" w:lineRule="auto"/>
              <w:rPr>
                <w:rFonts w:ascii="Calibri" w:eastAsia="Times New Roman" w:hAnsi="Calibri" w:cs="Calibri"/>
                <w:color w:val="000000"/>
                <w:sz w:val="18"/>
                <w:szCs w:val="18"/>
                <w:lang w:val="ro-MD"/>
              </w:rPr>
            </w:pPr>
            <w:r w:rsidRPr="00736448">
              <w:rPr>
                <w:rFonts w:ascii="Calibri" w:eastAsia="Times New Roman" w:hAnsi="Calibri" w:cs="Calibri"/>
                <w:color w:val="000000"/>
                <w:sz w:val="18"/>
                <w:szCs w:val="18"/>
                <w:lang w:val="ro-MD"/>
              </w:rPr>
              <w:t> </w:t>
            </w:r>
          </w:p>
        </w:tc>
        <w:tc>
          <w:tcPr>
            <w:tcW w:w="1080" w:type="dxa"/>
            <w:tcBorders>
              <w:top w:val="nil"/>
              <w:left w:val="nil"/>
              <w:bottom w:val="single" w:sz="8" w:space="0" w:color="auto"/>
              <w:right w:val="single" w:sz="8" w:space="0" w:color="auto"/>
            </w:tcBorders>
            <w:shd w:val="clear" w:color="auto" w:fill="auto"/>
            <w:vAlign w:val="center"/>
            <w:hideMark/>
          </w:tcPr>
          <w:p w14:paraId="47A6170A"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c>
          <w:tcPr>
            <w:tcW w:w="720" w:type="dxa"/>
            <w:tcBorders>
              <w:top w:val="nil"/>
              <w:left w:val="nil"/>
              <w:bottom w:val="single" w:sz="8" w:space="0" w:color="auto"/>
              <w:right w:val="single" w:sz="8" w:space="0" w:color="auto"/>
            </w:tcBorders>
            <w:shd w:val="clear" w:color="auto" w:fill="auto"/>
            <w:vAlign w:val="center"/>
            <w:hideMark/>
          </w:tcPr>
          <w:p w14:paraId="49CEB84B"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c>
          <w:tcPr>
            <w:tcW w:w="876" w:type="dxa"/>
            <w:tcBorders>
              <w:top w:val="nil"/>
              <w:left w:val="nil"/>
              <w:bottom w:val="single" w:sz="8" w:space="0" w:color="auto"/>
              <w:right w:val="single" w:sz="8" w:space="0" w:color="auto"/>
            </w:tcBorders>
            <w:shd w:val="clear" w:color="auto" w:fill="auto"/>
            <w:vAlign w:val="center"/>
            <w:hideMark/>
          </w:tcPr>
          <w:p w14:paraId="1A80F109"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c>
          <w:tcPr>
            <w:tcW w:w="626" w:type="dxa"/>
            <w:tcBorders>
              <w:top w:val="nil"/>
              <w:left w:val="nil"/>
              <w:bottom w:val="single" w:sz="8" w:space="0" w:color="auto"/>
              <w:right w:val="single" w:sz="8" w:space="0" w:color="auto"/>
            </w:tcBorders>
            <w:shd w:val="clear" w:color="auto" w:fill="auto"/>
            <w:vAlign w:val="center"/>
            <w:hideMark/>
          </w:tcPr>
          <w:p w14:paraId="5FABAD4D"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r>
      <w:tr w:rsidR="003D0784" w:rsidRPr="00B7675F" w14:paraId="1C673089" w14:textId="77777777" w:rsidTr="00155DE4">
        <w:trPr>
          <w:trHeight w:val="20"/>
        </w:trPr>
        <w:tc>
          <w:tcPr>
            <w:tcW w:w="5350" w:type="dxa"/>
            <w:tcBorders>
              <w:top w:val="nil"/>
              <w:left w:val="single" w:sz="8" w:space="0" w:color="auto"/>
              <w:bottom w:val="single" w:sz="8" w:space="0" w:color="auto"/>
              <w:right w:val="single" w:sz="8" w:space="0" w:color="auto"/>
            </w:tcBorders>
            <w:shd w:val="clear" w:color="auto" w:fill="auto"/>
            <w:vAlign w:val="center"/>
            <w:hideMark/>
          </w:tcPr>
          <w:p w14:paraId="025D3C4E" w14:textId="77777777" w:rsidR="003D0784" w:rsidRPr="00736448" w:rsidRDefault="003D0784" w:rsidP="005F6348">
            <w:pPr>
              <w:spacing w:after="0" w:line="240" w:lineRule="auto"/>
              <w:jc w:val="center"/>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A</w:t>
            </w:r>
          </w:p>
        </w:tc>
        <w:tc>
          <w:tcPr>
            <w:tcW w:w="844" w:type="dxa"/>
            <w:tcBorders>
              <w:top w:val="nil"/>
              <w:left w:val="nil"/>
              <w:bottom w:val="single" w:sz="8" w:space="0" w:color="auto"/>
              <w:right w:val="single" w:sz="8" w:space="0" w:color="auto"/>
            </w:tcBorders>
            <w:shd w:val="clear" w:color="auto" w:fill="auto"/>
            <w:vAlign w:val="center"/>
            <w:hideMark/>
          </w:tcPr>
          <w:p w14:paraId="4DDF3941" w14:textId="77777777" w:rsidR="003D0784" w:rsidRPr="00736448" w:rsidRDefault="003D0784" w:rsidP="005F6348">
            <w:pPr>
              <w:spacing w:after="0" w:line="240" w:lineRule="auto"/>
              <w:jc w:val="center"/>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1</w:t>
            </w:r>
          </w:p>
        </w:tc>
        <w:tc>
          <w:tcPr>
            <w:tcW w:w="809" w:type="dxa"/>
            <w:tcBorders>
              <w:top w:val="nil"/>
              <w:left w:val="nil"/>
              <w:bottom w:val="single" w:sz="8" w:space="0" w:color="auto"/>
              <w:right w:val="single" w:sz="8" w:space="0" w:color="auto"/>
            </w:tcBorders>
            <w:shd w:val="clear" w:color="auto" w:fill="auto"/>
            <w:vAlign w:val="center"/>
            <w:hideMark/>
          </w:tcPr>
          <w:p w14:paraId="07A43FF2" w14:textId="77777777" w:rsidR="003D0784" w:rsidRPr="00736448" w:rsidRDefault="003D0784" w:rsidP="005F6348">
            <w:pPr>
              <w:spacing w:after="0" w:line="240" w:lineRule="auto"/>
              <w:jc w:val="center"/>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2</w:t>
            </w:r>
          </w:p>
        </w:tc>
        <w:tc>
          <w:tcPr>
            <w:tcW w:w="900" w:type="dxa"/>
            <w:tcBorders>
              <w:top w:val="nil"/>
              <w:left w:val="nil"/>
              <w:bottom w:val="single" w:sz="8" w:space="0" w:color="auto"/>
              <w:right w:val="single" w:sz="8" w:space="0" w:color="auto"/>
            </w:tcBorders>
            <w:shd w:val="clear" w:color="auto" w:fill="auto"/>
            <w:vAlign w:val="center"/>
            <w:hideMark/>
          </w:tcPr>
          <w:p w14:paraId="4335DC6A" w14:textId="77777777" w:rsidR="003D0784" w:rsidRPr="00736448" w:rsidRDefault="003D0784" w:rsidP="005F6348">
            <w:pPr>
              <w:spacing w:after="0" w:line="240" w:lineRule="auto"/>
              <w:jc w:val="center"/>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3</w:t>
            </w:r>
          </w:p>
        </w:tc>
        <w:tc>
          <w:tcPr>
            <w:tcW w:w="900" w:type="dxa"/>
            <w:tcBorders>
              <w:top w:val="nil"/>
              <w:left w:val="nil"/>
              <w:bottom w:val="single" w:sz="8" w:space="0" w:color="auto"/>
              <w:right w:val="single" w:sz="8" w:space="0" w:color="auto"/>
            </w:tcBorders>
            <w:shd w:val="clear" w:color="auto" w:fill="auto"/>
            <w:vAlign w:val="center"/>
            <w:hideMark/>
          </w:tcPr>
          <w:p w14:paraId="04559C83" w14:textId="77777777" w:rsidR="003D0784" w:rsidRPr="00736448" w:rsidRDefault="003D0784" w:rsidP="005F6348">
            <w:pPr>
              <w:spacing w:after="0" w:line="240" w:lineRule="auto"/>
              <w:jc w:val="center"/>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4</w:t>
            </w:r>
          </w:p>
        </w:tc>
        <w:tc>
          <w:tcPr>
            <w:tcW w:w="1457" w:type="dxa"/>
            <w:tcBorders>
              <w:top w:val="nil"/>
              <w:left w:val="nil"/>
              <w:bottom w:val="single" w:sz="8" w:space="0" w:color="auto"/>
              <w:right w:val="single" w:sz="8" w:space="0" w:color="auto"/>
            </w:tcBorders>
            <w:shd w:val="clear" w:color="auto" w:fill="auto"/>
            <w:vAlign w:val="center"/>
            <w:hideMark/>
          </w:tcPr>
          <w:p w14:paraId="6362046F" w14:textId="77777777" w:rsidR="003D0784" w:rsidRPr="00736448" w:rsidRDefault="003D0784" w:rsidP="005F6348">
            <w:pPr>
              <w:spacing w:after="0" w:line="240" w:lineRule="auto"/>
              <w:jc w:val="center"/>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5.0</w:t>
            </w:r>
          </w:p>
        </w:tc>
        <w:tc>
          <w:tcPr>
            <w:tcW w:w="1080" w:type="dxa"/>
            <w:tcBorders>
              <w:top w:val="nil"/>
              <w:left w:val="nil"/>
              <w:bottom w:val="single" w:sz="8" w:space="0" w:color="auto"/>
              <w:right w:val="single" w:sz="8" w:space="0" w:color="auto"/>
            </w:tcBorders>
            <w:shd w:val="clear" w:color="auto" w:fill="auto"/>
            <w:vAlign w:val="center"/>
            <w:hideMark/>
          </w:tcPr>
          <w:p w14:paraId="42511507" w14:textId="77777777" w:rsidR="003D0784" w:rsidRPr="00736448" w:rsidRDefault="003D0784" w:rsidP="005F6348">
            <w:pPr>
              <w:spacing w:after="0" w:line="240" w:lineRule="auto"/>
              <w:jc w:val="center"/>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6</w:t>
            </w:r>
          </w:p>
        </w:tc>
        <w:tc>
          <w:tcPr>
            <w:tcW w:w="720" w:type="dxa"/>
            <w:tcBorders>
              <w:top w:val="nil"/>
              <w:left w:val="nil"/>
              <w:bottom w:val="single" w:sz="8" w:space="0" w:color="auto"/>
              <w:right w:val="single" w:sz="8" w:space="0" w:color="auto"/>
            </w:tcBorders>
            <w:shd w:val="clear" w:color="auto" w:fill="auto"/>
            <w:vAlign w:val="center"/>
            <w:hideMark/>
          </w:tcPr>
          <w:p w14:paraId="3BA08D4D" w14:textId="77777777" w:rsidR="003D0784" w:rsidRPr="00736448" w:rsidRDefault="003D0784" w:rsidP="005F6348">
            <w:pPr>
              <w:spacing w:after="0" w:line="240" w:lineRule="auto"/>
              <w:jc w:val="center"/>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7</w:t>
            </w:r>
          </w:p>
        </w:tc>
        <w:tc>
          <w:tcPr>
            <w:tcW w:w="876" w:type="dxa"/>
            <w:tcBorders>
              <w:top w:val="nil"/>
              <w:left w:val="nil"/>
              <w:bottom w:val="single" w:sz="8" w:space="0" w:color="auto"/>
              <w:right w:val="single" w:sz="8" w:space="0" w:color="auto"/>
            </w:tcBorders>
            <w:shd w:val="clear" w:color="auto" w:fill="auto"/>
            <w:vAlign w:val="center"/>
            <w:hideMark/>
          </w:tcPr>
          <w:p w14:paraId="1959A20F" w14:textId="77777777" w:rsidR="003D0784" w:rsidRPr="00736448" w:rsidRDefault="003D0784" w:rsidP="005F6348">
            <w:pPr>
              <w:spacing w:after="0" w:line="240" w:lineRule="auto"/>
              <w:jc w:val="center"/>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8</w:t>
            </w:r>
          </w:p>
        </w:tc>
        <w:tc>
          <w:tcPr>
            <w:tcW w:w="626" w:type="dxa"/>
            <w:tcBorders>
              <w:top w:val="nil"/>
              <w:left w:val="nil"/>
              <w:bottom w:val="single" w:sz="8" w:space="0" w:color="auto"/>
              <w:right w:val="single" w:sz="8" w:space="0" w:color="auto"/>
            </w:tcBorders>
            <w:shd w:val="clear" w:color="auto" w:fill="auto"/>
            <w:vAlign w:val="center"/>
            <w:hideMark/>
          </w:tcPr>
          <w:p w14:paraId="1EAAE02F" w14:textId="77777777" w:rsidR="003D0784" w:rsidRPr="00736448" w:rsidRDefault="003D0784" w:rsidP="005F6348">
            <w:pPr>
              <w:spacing w:after="0" w:line="240" w:lineRule="auto"/>
              <w:jc w:val="center"/>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9</w:t>
            </w:r>
          </w:p>
        </w:tc>
      </w:tr>
      <w:tr w:rsidR="00E41155" w:rsidRPr="00B7675F" w14:paraId="4B8020E0" w14:textId="77777777" w:rsidTr="002C203D">
        <w:trPr>
          <w:trHeight w:val="20"/>
        </w:trPr>
        <w:tc>
          <w:tcPr>
            <w:tcW w:w="5350" w:type="dxa"/>
            <w:tcBorders>
              <w:top w:val="nil"/>
              <w:left w:val="single" w:sz="8" w:space="0" w:color="auto"/>
              <w:bottom w:val="single" w:sz="8" w:space="0" w:color="auto"/>
              <w:right w:val="single" w:sz="8" w:space="0" w:color="auto"/>
            </w:tcBorders>
            <w:shd w:val="clear" w:color="auto" w:fill="auto"/>
            <w:hideMark/>
          </w:tcPr>
          <w:p w14:paraId="3DBDB9DB" w14:textId="61C8B47C" w:rsidR="00E41155" w:rsidRPr="00736448" w:rsidRDefault="00E41155" w:rsidP="00E41155">
            <w:pPr>
              <w:spacing w:after="0" w:line="240" w:lineRule="auto"/>
              <w:rPr>
                <w:rFonts w:ascii="Calibri Light" w:eastAsia="Times New Roman" w:hAnsi="Calibri Light" w:cs="Calibri Light"/>
                <w:b/>
                <w:bCs/>
                <w:color w:val="000000"/>
                <w:sz w:val="18"/>
                <w:szCs w:val="18"/>
                <w:lang w:val="ro-MD"/>
              </w:rPr>
            </w:pPr>
            <w:r>
              <w:rPr>
                <w:rFonts w:ascii="Calibri Light" w:eastAsia="Times New Roman" w:hAnsi="Calibri Light" w:cs="Calibri Light"/>
                <w:b/>
                <w:bCs/>
                <w:color w:val="000000"/>
                <w:sz w:val="18"/>
                <w:szCs w:val="18"/>
                <w:lang w:val="ro-RO"/>
              </w:rPr>
              <w:t>Доходы, всего</w:t>
            </w:r>
          </w:p>
        </w:tc>
        <w:tc>
          <w:tcPr>
            <w:tcW w:w="844" w:type="dxa"/>
            <w:tcBorders>
              <w:top w:val="nil"/>
              <w:left w:val="nil"/>
              <w:bottom w:val="single" w:sz="8" w:space="0" w:color="auto"/>
              <w:right w:val="single" w:sz="8" w:space="0" w:color="auto"/>
            </w:tcBorders>
            <w:shd w:val="clear" w:color="auto" w:fill="auto"/>
            <w:vAlign w:val="center"/>
            <w:hideMark/>
          </w:tcPr>
          <w:p w14:paraId="328FE857"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27249.8</w:t>
            </w:r>
          </w:p>
        </w:tc>
        <w:tc>
          <w:tcPr>
            <w:tcW w:w="809" w:type="dxa"/>
            <w:tcBorders>
              <w:top w:val="nil"/>
              <w:left w:val="nil"/>
              <w:bottom w:val="single" w:sz="8" w:space="0" w:color="auto"/>
              <w:right w:val="single" w:sz="8" w:space="0" w:color="auto"/>
            </w:tcBorders>
            <w:shd w:val="clear" w:color="auto" w:fill="auto"/>
            <w:vAlign w:val="center"/>
            <w:hideMark/>
          </w:tcPr>
          <w:p w14:paraId="55D12D04"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31224.2</w:t>
            </w:r>
          </w:p>
        </w:tc>
        <w:tc>
          <w:tcPr>
            <w:tcW w:w="900" w:type="dxa"/>
            <w:tcBorders>
              <w:top w:val="nil"/>
              <w:left w:val="nil"/>
              <w:bottom w:val="single" w:sz="8" w:space="0" w:color="auto"/>
              <w:right w:val="single" w:sz="8" w:space="0" w:color="auto"/>
            </w:tcBorders>
            <w:shd w:val="clear" w:color="auto" w:fill="auto"/>
            <w:vAlign w:val="center"/>
            <w:hideMark/>
          </w:tcPr>
          <w:p w14:paraId="54B8E35E"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34200.6</w:t>
            </w:r>
          </w:p>
        </w:tc>
        <w:tc>
          <w:tcPr>
            <w:tcW w:w="900" w:type="dxa"/>
            <w:tcBorders>
              <w:top w:val="nil"/>
              <w:left w:val="nil"/>
              <w:bottom w:val="single" w:sz="8" w:space="0" w:color="auto"/>
              <w:right w:val="single" w:sz="8" w:space="0" w:color="auto"/>
            </w:tcBorders>
            <w:shd w:val="clear" w:color="auto" w:fill="auto"/>
            <w:vAlign w:val="center"/>
            <w:hideMark/>
          </w:tcPr>
          <w:p w14:paraId="53F78316"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33796.07</w:t>
            </w:r>
          </w:p>
        </w:tc>
        <w:tc>
          <w:tcPr>
            <w:tcW w:w="1457" w:type="dxa"/>
            <w:tcBorders>
              <w:top w:val="nil"/>
              <w:left w:val="nil"/>
              <w:bottom w:val="single" w:sz="8" w:space="0" w:color="auto"/>
              <w:right w:val="single" w:sz="8" w:space="0" w:color="auto"/>
            </w:tcBorders>
            <w:shd w:val="clear" w:color="auto" w:fill="auto"/>
            <w:vAlign w:val="center"/>
            <w:hideMark/>
          </w:tcPr>
          <w:p w14:paraId="596CB915"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100.0</w:t>
            </w:r>
          </w:p>
        </w:tc>
        <w:tc>
          <w:tcPr>
            <w:tcW w:w="1080" w:type="dxa"/>
            <w:tcBorders>
              <w:top w:val="nil"/>
              <w:left w:val="nil"/>
              <w:bottom w:val="single" w:sz="8" w:space="0" w:color="auto"/>
              <w:right w:val="single" w:sz="8" w:space="0" w:color="auto"/>
            </w:tcBorders>
            <w:shd w:val="clear" w:color="auto" w:fill="auto"/>
            <w:vAlign w:val="center"/>
            <w:hideMark/>
          </w:tcPr>
          <w:p w14:paraId="3B054F85"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6546.27</w:t>
            </w:r>
          </w:p>
        </w:tc>
        <w:tc>
          <w:tcPr>
            <w:tcW w:w="720" w:type="dxa"/>
            <w:tcBorders>
              <w:top w:val="nil"/>
              <w:left w:val="nil"/>
              <w:bottom w:val="single" w:sz="8" w:space="0" w:color="auto"/>
              <w:right w:val="single" w:sz="8" w:space="0" w:color="auto"/>
            </w:tcBorders>
            <w:shd w:val="clear" w:color="auto" w:fill="auto"/>
            <w:vAlign w:val="center"/>
            <w:hideMark/>
          </w:tcPr>
          <w:p w14:paraId="55C86294"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124.0</w:t>
            </w:r>
          </w:p>
        </w:tc>
        <w:tc>
          <w:tcPr>
            <w:tcW w:w="876" w:type="dxa"/>
            <w:tcBorders>
              <w:top w:val="nil"/>
              <w:left w:val="nil"/>
              <w:bottom w:val="single" w:sz="8" w:space="0" w:color="auto"/>
              <w:right w:val="single" w:sz="8" w:space="0" w:color="auto"/>
            </w:tcBorders>
            <w:shd w:val="clear" w:color="auto" w:fill="auto"/>
            <w:vAlign w:val="center"/>
            <w:hideMark/>
          </w:tcPr>
          <w:p w14:paraId="037AA9A0"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-404.53</w:t>
            </w:r>
          </w:p>
        </w:tc>
        <w:tc>
          <w:tcPr>
            <w:tcW w:w="626" w:type="dxa"/>
            <w:tcBorders>
              <w:top w:val="nil"/>
              <w:left w:val="nil"/>
              <w:bottom w:val="single" w:sz="8" w:space="0" w:color="auto"/>
              <w:right w:val="single" w:sz="8" w:space="0" w:color="auto"/>
            </w:tcBorders>
            <w:shd w:val="clear" w:color="auto" w:fill="auto"/>
            <w:vAlign w:val="center"/>
            <w:hideMark/>
          </w:tcPr>
          <w:p w14:paraId="13CA1B25"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98.8</w:t>
            </w:r>
          </w:p>
        </w:tc>
      </w:tr>
      <w:tr w:rsidR="00E41155" w:rsidRPr="00B7675F" w14:paraId="0CC6E353" w14:textId="77777777" w:rsidTr="002C203D">
        <w:trPr>
          <w:trHeight w:val="20"/>
        </w:trPr>
        <w:tc>
          <w:tcPr>
            <w:tcW w:w="5350" w:type="dxa"/>
            <w:tcBorders>
              <w:top w:val="nil"/>
              <w:left w:val="single" w:sz="8" w:space="0" w:color="auto"/>
              <w:bottom w:val="single" w:sz="8" w:space="0" w:color="auto"/>
              <w:right w:val="single" w:sz="8" w:space="0" w:color="auto"/>
            </w:tcBorders>
            <w:shd w:val="clear" w:color="auto" w:fill="auto"/>
            <w:hideMark/>
          </w:tcPr>
          <w:p w14:paraId="0D7A0154" w14:textId="6315F5B7" w:rsidR="00E41155" w:rsidRPr="00736448" w:rsidRDefault="00E41155" w:rsidP="00E41155">
            <w:pPr>
              <w:spacing w:after="0" w:line="240" w:lineRule="auto"/>
              <w:rPr>
                <w:rFonts w:ascii="Calibri Light" w:eastAsia="Times New Roman" w:hAnsi="Calibri Light" w:cs="Calibri Light"/>
                <w:b/>
                <w:bCs/>
                <w:color w:val="000000"/>
                <w:sz w:val="18"/>
                <w:szCs w:val="18"/>
                <w:lang w:val="ro-MD"/>
              </w:rPr>
            </w:pPr>
            <w:r w:rsidRPr="00E82CC1">
              <w:rPr>
                <w:rFonts w:ascii="Calibri Light" w:eastAsia="Times New Roman" w:hAnsi="Calibri Light" w:cs="Calibri Light"/>
                <w:b/>
                <w:bCs/>
                <w:color w:val="000000"/>
                <w:sz w:val="18"/>
                <w:szCs w:val="18"/>
                <w:lang w:val="ro-RO"/>
              </w:rPr>
              <w:t>1.</w:t>
            </w:r>
            <w:r w:rsidRPr="00E82CC1">
              <w:rPr>
                <w:rFonts w:ascii="Times New Roman" w:eastAsia="Times New Roman" w:hAnsi="Times New Roman" w:cs="Times New Roman"/>
                <w:b/>
                <w:bCs/>
                <w:color w:val="000000"/>
                <w:sz w:val="18"/>
                <w:szCs w:val="18"/>
                <w:lang w:val="ro-RO"/>
              </w:rPr>
              <w:t xml:space="preserve">          </w:t>
            </w:r>
            <w:r>
              <w:rPr>
                <w:rFonts w:ascii="Calibri Light" w:eastAsia="Times New Roman" w:hAnsi="Calibri Light" w:cs="Calibri Light"/>
                <w:b/>
                <w:bCs/>
                <w:color w:val="000000"/>
                <w:sz w:val="18"/>
                <w:szCs w:val="18"/>
                <w:lang w:val="ru-RU"/>
              </w:rPr>
              <w:t>Собственные средства БГСС</w:t>
            </w:r>
          </w:p>
        </w:tc>
        <w:tc>
          <w:tcPr>
            <w:tcW w:w="844" w:type="dxa"/>
            <w:tcBorders>
              <w:top w:val="nil"/>
              <w:left w:val="nil"/>
              <w:bottom w:val="single" w:sz="8" w:space="0" w:color="auto"/>
              <w:right w:val="single" w:sz="8" w:space="0" w:color="auto"/>
            </w:tcBorders>
            <w:shd w:val="clear" w:color="auto" w:fill="auto"/>
            <w:vAlign w:val="center"/>
            <w:hideMark/>
          </w:tcPr>
          <w:p w14:paraId="1C919FBA" w14:textId="77777777" w:rsidR="00E41155" w:rsidRPr="00736448" w:rsidRDefault="00E41155" w:rsidP="00E41155">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16522.2</w:t>
            </w:r>
          </w:p>
        </w:tc>
        <w:tc>
          <w:tcPr>
            <w:tcW w:w="809" w:type="dxa"/>
            <w:tcBorders>
              <w:top w:val="nil"/>
              <w:left w:val="nil"/>
              <w:bottom w:val="single" w:sz="8" w:space="0" w:color="auto"/>
              <w:right w:val="single" w:sz="8" w:space="0" w:color="auto"/>
            </w:tcBorders>
            <w:shd w:val="clear" w:color="auto" w:fill="auto"/>
            <w:vAlign w:val="center"/>
            <w:hideMark/>
          </w:tcPr>
          <w:p w14:paraId="19A95C7E" w14:textId="77777777" w:rsidR="00E41155" w:rsidRPr="00736448" w:rsidRDefault="00E41155" w:rsidP="00E41155">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18674.2</w:t>
            </w:r>
          </w:p>
        </w:tc>
        <w:tc>
          <w:tcPr>
            <w:tcW w:w="900" w:type="dxa"/>
            <w:tcBorders>
              <w:top w:val="nil"/>
              <w:left w:val="nil"/>
              <w:bottom w:val="single" w:sz="8" w:space="0" w:color="auto"/>
              <w:right w:val="single" w:sz="8" w:space="0" w:color="auto"/>
            </w:tcBorders>
            <w:shd w:val="clear" w:color="auto" w:fill="auto"/>
            <w:vAlign w:val="center"/>
            <w:hideMark/>
          </w:tcPr>
          <w:p w14:paraId="114E10EA" w14:textId="77777777" w:rsidR="00E41155" w:rsidRPr="00736448" w:rsidRDefault="00E41155" w:rsidP="00E41155">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18898.24</w:t>
            </w:r>
          </w:p>
        </w:tc>
        <w:tc>
          <w:tcPr>
            <w:tcW w:w="900" w:type="dxa"/>
            <w:tcBorders>
              <w:top w:val="nil"/>
              <w:left w:val="nil"/>
              <w:bottom w:val="single" w:sz="8" w:space="0" w:color="auto"/>
              <w:right w:val="single" w:sz="8" w:space="0" w:color="auto"/>
            </w:tcBorders>
            <w:shd w:val="clear" w:color="auto" w:fill="auto"/>
            <w:vAlign w:val="center"/>
            <w:hideMark/>
          </w:tcPr>
          <w:p w14:paraId="7AEB8AE4" w14:textId="77777777" w:rsidR="00E41155" w:rsidRPr="00736448" w:rsidRDefault="00E41155" w:rsidP="00E41155">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19002</w:t>
            </w:r>
          </w:p>
        </w:tc>
        <w:tc>
          <w:tcPr>
            <w:tcW w:w="1457" w:type="dxa"/>
            <w:tcBorders>
              <w:top w:val="nil"/>
              <w:left w:val="nil"/>
              <w:bottom w:val="single" w:sz="8" w:space="0" w:color="auto"/>
              <w:right w:val="single" w:sz="8" w:space="0" w:color="auto"/>
            </w:tcBorders>
            <w:shd w:val="clear" w:color="auto" w:fill="auto"/>
            <w:vAlign w:val="center"/>
            <w:hideMark/>
          </w:tcPr>
          <w:p w14:paraId="393C3B46" w14:textId="77777777" w:rsidR="00E41155" w:rsidRPr="00736448" w:rsidRDefault="00E41155" w:rsidP="00E41155">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56.2</w:t>
            </w:r>
          </w:p>
        </w:tc>
        <w:tc>
          <w:tcPr>
            <w:tcW w:w="1080" w:type="dxa"/>
            <w:tcBorders>
              <w:top w:val="nil"/>
              <w:left w:val="nil"/>
              <w:bottom w:val="single" w:sz="8" w:space="0" w:color="auto"/>
              <w:right w:val="single" w:sz="8" w:space="0" w:color="auto"/>
            </w:tcBorders>
            <w:shd w:val="clear" w:color="auto" w:fill="auto"/>
            <w:vAlign w:val="center"/>
            <w:hideMark/>
          </w:tcPr>
          <w:p w14:paraId="56BABC61"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2479.8</w:t>
            </w:r>
          </w:p>
        </w:tc>
        <w:tc>
          <w:tcPr>
            <w:tcW w:w="720" w:type="dxa"/>
            <w:tcBorders>
              <w:top w:val="nil"/>
              <w:left w:val="nil"/>
              <w:bottom w:val="single" w:sz="8" w:space="0" w:color="auto"/>
              <w:right w:val="single" w:sz="8" w:space="0" w:color="auto"/>
            </w:tcBorders>
            <w:shd w:val="clear" w:color="auto" w:fill="auto"/>
            <w:vAlign w:val="center"/>
            <w:hideMark/>
          </w:tcPr>
          <w:p w14:paraId="54D9A7CF"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115.0</w:t>
            </w:r>
          </w:p>
        </w:tc>
        <w:tc>
          <w:tcPr>
            <w:tcW w:w="876" w:type="dxa"/>
            <w:tcBorders>
              <w:top w:val="nil"/>
              <w:left w:val="nil"/>
              <w:bottom w:val="single" w:sz="8" w:space="0" w:color="auto"/>
              <w:right w:val="single" w:sz="8" w:space="0" w:color="auto"/>
            </w:tcBorders>
            <w:shd w:val="clear" w:color="auto" w:fill="auto"/>
            <w:vAlign w:val="center"/>
            <w:hideMark/>
          </w:tcPr>
          <w:p w14:paraId="3D07907C"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103.76</w:t>
            </w:r>
          </w:p>
        </w:tc>
        <w:tc>
          <w:tcPr>
            <w:tcW w:w="626" w:type="dxa"/>
            <w:tcBorders>
              <w:top w:val="nil"/>
              <w:left w:val="nil"/>
              <w:bottom w:val="single" w:sz="8" w:space="0" w:color="auto"/>
              <w:right w:val="single" w:sz="8" w:space="0" w:color="auto"/>
            </w:tcBorders>
            <w:shd w:val="clear" w:color="auto" w:fill="auto"/>
            <w:vAlign w:val="center"/>
            <w:hideMark/>
          </w:tcPr>
          <w:p w14:paraId="663EA82E"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100.5</w:t>
            </w:r>
          </w:p>
        </w:tc>
      </w:tr>
      <w:tr w:rsidR="00E41155" w:rsidRPr="00B7675F" w14:paraId="34ED2690" w14:textId="77777777" w:rsidTr="002C203D">
        <w:trPr>
          <w:trHeight w:val="20"/>
        </w:trPr>
        <w:tc>
          <w:tcPr>
            <w:tcW w:w="5350" w:type="dxa"/>
            <w:tcBorders>
              <w:top w:val="nil"/>
              <w:left w:val="single" w:sz="8" w:space="0" w:color="auto"/>
              <w:bottom w:val="single" w:sz="8" w:space="0" w:color="auto"/>
              <w:right w:val="single" w:sz="8" w:space="0" w:color="auto"/>
            </w:tcBorders>
            <w:shd w:val="clear" w:color="auto" w:fill="auto"/>
            <w:hideMark/>
          </w:tcPr>
          <w:p w14:paraId="450BAF3C" w14:textId="44983448" w:rsidR="00E41155" w:rsidRPr="00736448" w:rsidRDefault="00E41155" w:rsidP="00E41155">
            <w:pPr>
              <w:spacing w:after="0" w:line="240" w:lineRule="auto"/>
              <w:jc w:val="both"/>
              <w:rPr>
                <w:rFonts w:ascii="Calibri Light" w:eastAsia="Times New Roman" w:hAnsi="Calibri Light" w:cs="Calibri Light"/>
                <w:i/>
                <w:iCs/>
                <w:color w:val="000000"/>
                <w:sz w:val="16"/>
                <w:szCs w:val="16"/>
                <w:lang w:val="ro-MD"/>
              </w:rPr>
            </w:pPr>
            <w:r w:rsidRPr="00E82CC1">
              <w:rPr>
                <w:rFonts w:ascii="Calibri Light" w:eastAsia="Times New Roman" w:hAnsi="Calibri Light" w:cs="Calibri Light"/>
                <w:i/>
                <w:iCs/>
                <w:color w:val="000000"/>
                <w:sz w:val="16"/>
                <w:szCs w:val="16"/>
                <w:lang w:val="ro-RO"/>
              </w:rPr>
              <w:t>1.1. Contribuţii şi prime de asigurări sociale de stat obligatorii,  inclusiv:</w:t>
            </w:r>
          </w:p>
        </w:tc>
        <w:tc>
          <w:tcPr>
            <w:tcW w:w="844" w:type="dxa"/>
            <w:tcBorders>
              <w:top w:val="nil"/>
              <w:left w:val="nil"/>
              <w:bottom w:val="single" w:sz="8" w:space="0" w:color="auto"/>
              <w:right w:val="single" w:sz="8" w:space="0" w:color="auto"/>
            </w:tcBorders>
            <w:shd w:val="clear" w:color="auto" w:fill="auto"/>
            <w:vAlign w:val="center"/>
            <w:hideMark/>
          </w:tcPr>
          <w:p w14:paraId="6C4E6098" w14:textId="77777777" w:rsidR="00E41155" w:rsidRPr="00736448" w:rsidRDefault="00E41155" w:rsidP="00E41155">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16223.9</w:t>
            </w:r>
          </w:p>
        </w:tc>
        <w:tc>
          <w:tcPr>
            <w:tcW w:w="809" w:type="dxa"/>
            <w:tcBorders>
              <w:top w:val="nil"/>
              <w:left w:val="nil"/>
              <w:bottom w:val="single" w:sz="8" w:space="0" w:color="auto"/>
              <w:right w:val="single" w:sz="8" w:space="0" w:color="auto"/>
            </w:tcBorders>
            <w:shd w:val="clear" w:color="auto" w:fill="auto"/>
            <w:vAlign w:val="center"/>
            <w:hideMark/>
          </w:tcPr>
          <w:p w14:paraId="15DC9238" w14:textId="77777777" w:rsidR="00E41155" w:rsidRPr="00736448" w:rsidRDefault="00E41155" w:rsidP="00E41155">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18367.7</w:t>
            </w:r>
          </w:p>
        </w:tc>
        <w:tc>
          <w:tcPr>
            <w:tcW w:w="900" w:type="dxa"/>
            <w:tcBorders>
              <w:top w:val="nil"/>
              <w:left w:val="nil"/>
              <w:bottom w:val="single" w:sz="8" w:space="0" w:color="auto"/>
              <w:right w:val="single" w:sz="8" w:space="0" w:color="auto"/>
            </w:tcBorders>
            <w:shd w:val="clear" w:color="auto" w:fill="auto"/>
            <w:vAlign w:val="center"/>
            <w:hideMark/>
          </w:tcPr>
          <w:p w14:paraId="49E23081" w14:textId="77777777" w:rsidR="00E41155" w:rsidRPr="00736448" w:rsidRDefault="00E41155" w:rsidP="00E41155">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18553.04</w:t>
            </w:r>
          </w:p>
        </w:tc>
        <w:tc>
          <w:tcPr>
            <w:tcW w:w="900" w:type="dxa"/>
            <w:tcBorders>
              <w:top w:val="nil"/>
              <w:left w:val="nil"/>
              <w:bottom w:val="single" w:sz="8" w:space="0" w:color="auto"/>
              <w:right w:val="single" w:sz="8" w:space="0" w:color="auto"/>
            </w:tcBorders>
            <w:shd w:val="clear" w:color="auto" w:fill="auto"/>
            <w:vAlign w:val="center"/>
            <w:hideMark/>
          </w:tcPr>
          <w:p w14:paraId="056BAD9E" w14:textId="77777777" w:rsidR="00E41155" w:rsidRPr="00736448" w:rsidRDefault="00E41155" w:rsidP="00E41155">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18573.3</w:t>
            </w:r>
          </w:p>
        </w:tc>
        <w:tc>
          <w:tcPr>
            <w:tcW w:w="1457" w:type="dxa"/>
            <w:tcBorders>
              <w:top w:val="nil"/>
              <w:left w:val="nil"/>
              <w:bottom w:val="single" w:sz="8" w:space="0" w:color="auto"/>
              <w:right w:val="single" w:sz="8" w:space="0" w:color="auto"/>
            </w:tcBorders>
            <w:shd w:val="clear" w:color="auto" w:fill="auto"/>
            <w:vAlign w:val="center"/>
            <w:hideMark/>
          </w:tcPr>
          <w:p w14:paraId="0EF03754" w14:textId="77777777" w:rsidR="00E41155" w:rsidRPr="00736448" w:rsidRDefault="00E41155" w:rsidP="00E41155">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97.7</w:t>
            </w:r>
          </w:p>
        </w:tc>
        <w:tc>
          <w:tcPr>
            <w:tcW w:w="1080" w:type="dxa"/>
            <w:tcBorders>
              <w:top w:val="nil"/>
              <w:left w:val="nil"/>
              <w:bottom w:val="single" w:sz="8" w:space="0" w:color="auto"/>
              <w:right w:val="single" w:sz="8" w:space="0" w:color="auto"/>
            </w:tcBorders>
            <w:shd w:val="clear" w:color="auto" w:fill="auto"/>
            <w:vAlign w:val="center"/>
            <w:hideMark/>
          </w:tcPr>
          <w:p w14:paraId="30875C72"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2349.4</w:t>
            </w:r>
          </w:p>
        </w:tc>
        <w:tc>
          <w:tcPr>
            <w:tcW w:w="720" w:type="dxa"/>
            <w:tcBorders>
              <w:top w:val="nil"/>
              <w:left w:val="nil"/>
              <w:bottom w:val="single" w:sz="8" w:space="0" w:color="auto"/>
              <w:right w:val="single" w:sz="8" w:space="0" w:color="auto"/>
            </w:tcBorders>
            <w:shd w:val="clear" w:color="auto" w:fill="auto"/>
            <w:vAlign w:val="center"/>
            <w:hideMark/>
          </w:tcPr>
          <w:p w14:paraId="53F24D77"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114.5</w:t>
            </w:r>
          </w:p>
        </w:tc>
        <w:tc>
          <w:tcPr>
            <w:tcW w:w="876" w:type="dxa"/>
            <w:tcBorders>
              <w:top w:val="nil"/>
              <w:left w:val="nil"/>
              <w:bottom w:val="single" w:sz="8" w:space="0" w:color="auto"/>
              <w:right w:val="single" w:sz="8" w:space="0" w:color="auto"/>
            </w:tcBorders>
            <w:shd w:val="clear" w:color="auto" w:fill="auto"/>
            <w:vAlign w:val="center"/>
            <w:hideMark/>
          </w:tcPr>
          <w:p w14:paraId="1192B616"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20.26</w:t>
            </w:r>
          </w:p>
        </w:tc>
        <w:tc>
          <w:tcPr>
            <w:tcW w:w="626" w:type="dxa"/>
            <w:tcBorders>
              <w:top w:val="nil"/>
              <w:left w:val="nil"/>
              <w:bottom w:val="single" w:sz="8" w:space="0" w:color="auto"/>
              <w:right w:val="single" w:sz="8" w:space="0" w:color="auto"/>
            </w:tcBorders>
            <w:shd w:val="clear" w:color="auto" w:fill="auto"/>
            <w:vAlign w:val="center"/>
            <w:hideMark/>
          </w:tcPr>
          <w:p w14:paraId="44601407"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100.1</w:t>
            </w:r>
          </w:p>
        </w:tc>
      </w:tr>
      <w:tr w:rsidR="00E41155" w:rsidRPr="00B7675F" w14:paraId="71412655" w14:textId="77777777" w:rsidTr="002C203D">
        <w:trPr>
          <w:trHeight w:val="20"/>
        </w:trPr>
        <w:tc>
          <w:tcPr>
            <w:tcW w:w="5350" w:type="dxa"/>
            <w:tcBorders>
              <w:top w:val="nil"/>
              <w:left w:val="single" w:sz="8" w:space="0" w:color="auto"/>
              <w:bottom w:val="single" w:sz="8" w:space="0" w:color="auto"/>
              <w:right w:val="single" w:sz="8" w:space="0" w:color="auto"/>
            </w:tcBorders>
            <w:shd w:val="clear" w:color="auto" w:fill="auto"/>
            <w:hideMark/>
          </w:tcPr>
          <w:p w14:paraId="08ED29DF" w14:textId="7CA63EDF" w:rsidR="00E41155" w:rsidRPr="00736448" w:rsidRDefault="00E41155" w:rsidP="00E41155">
            <w:pPr>
              <w:spacing w:after="0" w:line="240" w:lineRule="auto"/>
              <w:jc w:val="both"/>
              <w:rPr>
                <w:rFonts w:ascii="Calibri Light" w:eastAsia="Times New Roman" w:hAnsi="Calibri Light" w:cs="Calibri Light"/>
                <w:color w:val="000000"/>
                <w:sz w:val="16"/>
                <w:szCs w:val="16"/>
                <w:lang w:val="ro-MD"/>
              </w:rPr>
            </w:pPr>
            <w:r w:rsidRPr="00C90D60">
              <w:rPr>
                <w:rFonts w:asciiTheme="majorHAnsi" w:hAnsiTheme="majorHAnsi" w:cstheme="majorHAnsi"/>
                <w:sz w:val="16"/>
                <w:szCs w:val="16"/>
                <w:lang w:val="ru-MD"/>
              </w:rPr>
              <w:t>Взносы обязательного государственного социального страхования, перечисленные работодателями</w:t>
            </w:r>
          </w:p>
        </w:tc>
        <w:tc>
          <w:tcPr>
            <w:tcW w:w="844" w:type="dxa"/>
            <w:tcBorders>
              <w:top w:val="nil"/>
              <w:left w:val="nil"/>
              <w:bottom w:val="single" w:sz="8" w:space="0" w:color="auto"/>
              <w:right w:val="single" w:sz="8" w:space="0" w:color="auto"/>
            </w:tcBorders>
            <w:shd w:val="clear" w:color="auto" w:fill="auto"/>
            <w:noWrap/>
            <w:vAlign w:val="center"/>
            <w:hideMark/>
          </w:tcPr>
          <w:p w14:paraId="0D6C1566" w14:textId="77777777" w:rsidR="00E41155" w:rsidRPr="00736448" w:rsidRDefault="00E41155" w:rsidP="00E41155">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16017.7</w:t>
            </w:r>
          </w:p>
        </w:tc>
        <w:tc>
          <w:tcPr>
            <w:tcW w:w="809" w:type="dxa"/>
            <w:tcBorders>
              <w:top w:val="nil"/>
              <w:left w:val="nil"/>
              <w:bottom w:val="single" w:sz="8" w:space="0" w:color="auto"/>
              <w:right w:val="single" w:sz="8" w:space="0" w:color="auto"/>
            </w:tcBorders>
            <w:shd w:val="clear" w:color="auto" w:fill="auto"/>
            <w:noWrap/>
            <w:vAlign w:val="center"/>
            <w:hideMark/>
          </w:tcPr>
          <w:p w14:paraId="067DA52D" w14:textId="77777777" w:rsidR="00E41155" w:rsidRPr="00736448" w:rsidRDefault="00E41155" w:rsidP="00E41155">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18180.4</w:t>
            </w:r>
          </w:p>
        </w:tc>
        <w:tc>
          <w:tcPr>
            <w:tcW w:w="900" w:type="dxa"/>
            <w:tcBorders>
              <w:top w:val="nil"/>
              <w:left w:val="nil"/>
              <w:bottom w:val="single" w:sz="8" w:space="0" w:color="auto"/>
              <w:right w:val="single" w:sz="8" w:space="0" w:color="auto"/>
            </w:tcBorders>
            <w:shd w:val="clear" w:color="auto" w:fill="auto"/>
            <w:noWrap/>
            <w:vAlign w:val="center"/>
            <w:hideMark/>
          </w:tcPr>
          <w:p w14:paraId="1D366EE4" w14:textId="77777777" w:rsidR="00E41155" w:rsidRPr="00736448" w:rsidRDefault="00E41155" w:rsidP="00E41155">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18335.7</w:t>
            </w:r>
          </w:p>
        </w:tc>
        <w:tc>
          <w:tcPr>
            <w:tcW w:w="900" w:type="dxa"/>
            <w:tcBorders>
              <w:top w:val="nil"/>
              <w:left w:val="nil"/>
              <w:bottom w:val="single" w:sz="8" w:space="0" w:color="auto"/>
              <w:right w:val="single" w:sz="8" w:space="0" w:color="auto"/>
            </w:tcBorders>
            <w:shd w:val="clear" w:color="auto" w:fill="auto"/>
            <w:noWrap/>
            <w:vAlign w:val="center"/>
            <w:hideMark/>
          </w:tcPr>
          <w:p w14:paraId="4C48D581" w14:textId="77777777" w:rsidR="00E41155" w:rsidRPr="00736448" w:rsidRDefault="00E41155" w:rsidP="00E41155">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18335.6</w:t>
            </w:r>
          </w:p>
        </w:tc>
        <w:tc>
          <w:tcPr>
            <w:tcW w:w="1457" w:type="dxa"/>
            <w:tcBorders>
              <w:top w:val="nil"/>
              <w:left w:val="nil"/>
              <w:bottom w:val="single" w:sz="8" w:space="0" w:color="auto"/>
              <w:right w:val="single" w:sz="8" w:space="0" w:color="auto"/>
            </w:tcBorders>
            <w:shd w:val="clear" w:color="auto" w:fill="auto"/>
            <w:vAlign w:val="center"/>
            <w:hideMark/>
          </w:tcPr>
          <w:p w14:paraId="213383F1" w14:textId="77777777" w:rsidR="00E41155" w:rsidRPr="00736448" w:rsidRDefault="00E41155" w:rsidP="00E41155">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96.5</w:t>
            </w:r>
          </w:p>
        </w:tc>
        <w:tc>
          <w:tcPr>
            <w:tcW w:w="1080" w:type="dxa"/>
            <w:tcBorders>
              <w:top w:val="nil"/>
              <w:left w:val="nil"/>
              <w:bottom w:val="single" w:sz="8" w:space="0" w:color="auto"/>
              <w:right w:val="single" w:sz="8" w:space="0" w:color="auto"/>
            </w:tcBorders>
            <w:shd w:val="clear" w:color="auto" w:fill="auto"/>
            <w:vAlign w:val="center"/>
            <w:hideMark/>
          </w:tcPr>
          <w:p w14:paraId="5059725E"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2317.9</w:t>
            </w:r>
          </w:p>
        </w:tc>
        <w:tc>
          <w:tcPr>
            <w:tcW w:w="720" w:type="dxa"/>
            <w:tcBorders>
              <w:top w:val="nil"/>
              <w:left w:val="nil"/>
              <w:bottom w:val="single" w:sz="8" w:space="0" w:color="auto"/>
              <w:right w:val="single" w:sz="8" w:space="0" w:color="auto"/>
            </w:tcBorders>
            <w:shd w:val="clear" w:color="auto" w:fill="auto"/>
            <w:vAlign w:val="center"/>
            <w:hideMark/>
          </w:tcPr>
          <w:p w14:paraId="1285545F"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114.5</w:t>
            </w:r>
          </w:p>
        </w:tc>
        <w:tc>
          <w:tcPr>
            <w:tcW w:w="876" w:type="dxa"/>
            <w:tcBorders>
              <w:top w:val="nil"/>
              <w:left w:val="nil"/>
              <w:bottom w:val="single" w:sz="8" w:space="0" w:color="auto"/>
              <w:right w:val="single" w:sz="8" w:space="0" w:color="auto"/>
            </w:tcBorders>
            <w:shd w:val="clear" w:color="auto" w:fill="auto"/>
            <w:vAlign w:val="center"/>
            <w:hideMark/>
          </w:tcPr>
          <w:p w14:paraId="20027A49"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-0.1</w:t>
            </w:r>
          </w:p>
        </w:tc>
        <w:tc>
          <w:tcPr>
            <w:tcW w:w="626" w:type="dxa"/>
            <w:tcBorders>
              <w:top w:val="nil"/>
              <w:left w:val="nil"/>
              <w:bottom w:val="single" w:sz="8" w:space="0" w:color="auto"/>
              <w:right w:val="single" w:sz="8" w:space="0" w:color="auto"/>
            </w:tcBorders>
            <w:shd w:val="clear" w:color="auto" w:fill="auto"/>
            <w:vAlign w:val="center"/>
            <w:hideMark/>
          </w:tcPr>
          <w:p w14:paraId="1A19F7B9"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100.0</w:t>
            </w:r>
          </w:p>
        </w:tc>
      </w:tr>
      <w:tr w:rsidR="00E41155" w:rsidRPr="00B7675F" w14:paraId="03D34ABC" w14:textId="77777777" w:rsidTr="002C203D">
        <w:trPr>
          <w:trHeight w:val="20"/>
        </w:trPr>
        <w:tc>
          <w:tcPr>
            <w:tcW w:w="5350" w:type="dxa"/>
            <w:tcBorders>
              <w:top w:val="nil"/>
              <w:left w:val="single" w:sz="8" w:space="0" w:color="auto"/>
              <w:bottom w:val="single" w:sz="8" w:space="0" w:color="auto"/>
              <w:right w:val="single" w:sz="8" w:space="0" w:color="auto"/>
            </w:tcBorders>
            <w:shd w:val="clear" w:color="auto" w:fill="auto"/>
            <w:vAlign w:val="bottom"/>
            <w:hideMark/>
          </w:tcPr>
          <w:p w14:paraId="6B687892" w14:textId="3B379BB1" w:rsidR="00E41155" w:rsidRPr="00736448" w:rsidRDefault="00E41155" w:rsidP="00E41155">
            <w:pPr>
              <w:spacing w:after="0" w:line="240" w:lineRule="auto"/>
              <w:jc w:val="both"/>
              <w:rPr>
                <w:rFonts w:ascii="Calibri Light" w:eastAsia="Times New Roman" w:hAnsi="Calibri Light" w:cs="Calibri Light"/>
                <w:color w:val="000000"/>
                <w:sz w:val="16"/>
                <w:szCs w:val="16"/>
                <w:lang w:val="ro-MD"/>
              </w:rPr>
            </w:pPr>
            <w:r w:rsidRPr="00C90D60">
              <w:rPr>
                <w:rFonts w:asciiTheme="majorHAnsi" w:hAnsiTheme="majorHAnsi" w:cstheme="majorHAnsi"/>
                <w:sz w:val="16"/>
                <w:szCs w:val="16"/>
                <w:lang w:val="ru-MD"/>
              </w:rPr>
              <w:t>Взносы обязательного государственного социального страхования, уплачиваемые физическими лицами, осуществляющими свою деятельность самостоятельно</w:t>
            </w:r>
          </w:p>
        </w:tc>
        <w:tc>
          <w:tcPr>
            <w:tcW w:w="844" w:type="dxa"/>
            <w:tcBorders>
              <w:top w:val="nil"/>
              <w:left w:val="nil"/>
              <w:bottom w:val="single" w:sz="8" w:space="0" w:color="auto"/>
              <w:right w:val="single" w:sz="8" w:space="0" w:color="auto"/>
            </w:tcBorders>
            <w:shd w:val="clear" w:color="auto" w:fill="auto"/>
            <w:vAlign w:val="center"/>
            <w:hideMark/>
          </w:tcPr>
          <w:p w14:paraId="21E6763F" w14:textId="77777777" w:rsidR="00E41155" w:rsidRPr="00736448" w:rsidRDefault="00E41155" w:rsidP="00E41155">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118.6</w:t>
            </w:r>
          </w:p>
        </w:tc>
        <w:tc>
          <w:tcPr>
            <w:tcW w:w="809" w:type="dxa"/>
            <w:tcBorders>
              <w:top w:val="nil"/>
              <w:left w:val="nil"/>
              <w:bottom w:val="single" w:sz="8" w:space="0" w:color="auto"/>
              <w:right w:val="single" w:sz="8" w:space="0" w:color="auto"/>
            </w:tcBorders>
            <w:shd w:val="clear" w:color="auto" w:fill="auto"/>
            <w:vAlign w:val="center"/>
            <w:hideMark/>
          </w:tcPr>
          <w:p w14:paraId="21531672" w14:textId="77777777" w:rsidR="00E41155" w:rsidRPr="00736448" w:rsidRDefault="00E41155" w:rsidP="00E41155">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130.7</w:t>
            </w:r>
          </w:p>
        </w:tc>
        <w:tc>
          <w:tcPr>
            <w:tcW w:w="900" w:type="dxa"/>
            <w:tcBorders>
              <w:top w:val="nil"/>
              <w:left w:val="nil"/>
              <w:bottom w:val="single" w:sz="8" w:space="0" w:color="auto"/>
              <w:right w:val="single" w:sz="8" w:space="0" w:color="auto"/>
            </w:tcBorders>
            <w:shd w:val="clear" w:color="auto" w:fill="auto"/>
            <w:vAlign w:val="center"/>
            <w:hideMark/>
          </w:tcPr>
          <w:p w14:paraId="0B90D8CD" w14:textId="77777777" w:rsidR="00E41155" w:rsidRPr="00736448" w:rsidRDefault="00E41155" w:rsidP="00E41155">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130.7</w:t>
            </w:r>
          </w:p>
        </w:tc>
        <w:tc>
          <w:tcPr>
            <w:tcW w:w="900" w:type="dxa"/>
            <w:tcBorders>
              <w:top w:val="nil"/>
              <w:left w:val="nil"/>
              <w:bottom w:val="single" w:sz="8" w:space="0" w:color="auto"/>
              <w:right w:val="single" w:sz="8" w:space="0" w:color="auto"/>
            </w:tcBorders>
            <w:shd w:val="clear" w:color="auto" w:fill="auto"/>
            <w:vAlign w:val="center"/>
            <w:hideMark/>
          </w:tcPr>
          <w:p w14:paraId="4ED9EB97" w14:textId="77777777" w:rsidR="00E41155" w:rsidRPr="00736448" w:rsidRDefault="00E41155" w:rsidP="00E41155">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128.2</w:t>
            </w:r>
          </w:p>
        </w:tc>
        <w:tc>
          <w:tcPr>
            <w:tcW w:w="1457" w:type="dxa"/>
            <w:tcBorders>
              <w:top w:val="nil"/>
              <w:left w:val="nil"/>
              <w:bottom w:val="single" w:sz="8" w:space="0" w:color="auto"/>
              <w:right w:val="single" w:sz="8" w:space="0" w:color="auto"/>
            </w:tcBorders>
            <w:shd w:val="clear" w:color="auto" w:fill="auto"/>
            <w:vAlign w:val="center"/>
            <w:hideMark/>
          </w:tcPr>
          <w:p w14:paraId="192FE5C3" w14:textId="77777777" w:rsidR="00E41155" w:rsidRPr="00736448" w:rsidRDefault="00E41155" w:rsidP="00E41155">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0.7</w:t>
            </w:r>
          </w:p>
        </w:tc>
        <w:tc>
          <w:tcPr>
            <w:tcW w:w="1080" w:type="dxa"/>
            <w:tcBorders>
              <w:top w:val="nil"/>
              <w:left w:val="nil"/>
              <w:bottom w:val="single" w:sz="8" w:space="0" w:color="auto"/>
              <w:right w:val="single" w:sz="8" w:space="0" w:color="auto"/>
            </w:tcBorders>
            <w:shd w:val="clear" w:color="auto" w:fill="auto"/>
            <w:vAlign w:val="center"/>
            <w:hideMark/>
          </w:tcPr>
          <w:p w14:paraId="5D8E1E83"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9.6</w:t>
            </w:r>
          </w:p>
        </w:tc>
        <w:tc>
          <w:tcPr>
            <w:tcW w:w="720" w:type="dxa"/>
            <w:tcBorders>
              <w:top w:val="nil"/>
              <w:left w:val="nil"/>
              <w:bottom w:val="single" w:sz="8" w:space="0" w:color="auto"/>
              <w:right w:val="single" w:sz="8" w:space="0" w:color="auto"/>
            </w:tcBorders>
            <w:shd w:val="clear" w:color="auto" w:fill="auto"/>
            <w:vAlign w:val="center"/>
            <w:hideMark/>
          </w:tcPr>
          <w:p w14:paraId="30357C08"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108.1</w:t>
            </w:r>
          </w:p>
        </w:tc>
        <w:tc>
          <w:tcPr>
            <w:tcW w:w="876" w:type="dxa"/>
            <w:tcBorders>
              <w:top w:val="nil"/>
              <w:left w:val="nil"/>
              <w:bottom w:val="single" w:sz="8" w:space="0" w:color="auto"/>
              <w:right w:val="single" w:sz="8" w:space="0" w:color="auto"/>
            </w:tcBorders>
            <w:shd w:val="clear" w:color="auto" w:fill="auto"/>
            <w:vAlign w:val="center"/>
            <w:hideMark/>
          </w:tcPr>
          <w:p w14:paraId="0EE3FCBA"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-2.5</w:t>
            </w:r>
          </w:p>
        </w:tc>
        <w:tc>
          <w:tcPr>
            <w:tcW w:w="626" w:type="dxa"/>
            <w:tcBorders>
              <w:top w:val="nil"/>
              <w:left w:val="nil"/>
              <w:bottom w:val="single" w:sz="8" w:space="0" w:color="auto"/>
              <w:right w:val="single" w:sz="8" w:space="0" w:color="auto"/>
            </w:tcBorders>
            <w:shd w:val="clear" w:color="auto" w:fill="auto"/>
            <w:vAlign w:val="center"/>
            <w:hideMark/>
          </w:tcPr>
          <w:p w14:paraId="5B63196D"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98.1</w:t>
            </w:r>
          </w:p>
        </w:tc>
      </w:tr>
      <w:tr w:rsidR="00E41155" w:rsidRPr="00B7675F" w14:paraId="356A7602" w14:textId="77777777" w:rsidTr="002C203D">
        <w:trPr>
          <w:trHeight w:val="20"/>
        </w:trPr>
        <w:tc>
          <w:tcPr>
            <w:tcW w:w="5350" w:type="dxa"/>
            <w:tcBorders>
              <w:top w:val="nil"/>
              <w:left w:val="single" w:sz="8" w:space="0" w:color="auto"/>
              <w:bottom w:val="single" w:sz="8" w:space="0" w:color="auto"/>
              <w:right w:val="single" w:sz="8" w:space="0" w:color="auto"/>
            </w:tcBorders>
            <w:shd w:val="clear" w:color="auto" w:fill="auto"/>
            <w:hideMark/>
          </w:tcPr>
          <w:p w14:paraId="5BE6C37F" w14:textId="0380D531" w:rsidR="00E41155" w:rsidRPr="00736448" w:rsidRDefault="00E41155" w:rsidP="00E41155">
            <w:pPr>
              <w:spacing w:after="0" w:line="240" w:lineRule="auto"/>
              <w:jc w:val="both"/>
              <w:rPr>
                <w:rFonts w:ascii="Calibri Light" w:eastAsia="Times New Roman" w:hAnsi="Calibri Light" w:cs="Calibri Light"/>
                <w:color w:val="000000"/>
                <w:sz w:val="16"/>
                <w:szCs w:val="16"/>
                <w:lang w:val="ro-MD"/>
              </w:rPr>
            </w:pPr>
            <w:r w:rsidRPr="00340182">
              <w:rPr>
                <w:rFonts w:ascii="Calibri Light" w:eastAsia="Times New Roman" w:hAnsi="Calibri Light" w:cs="Calibri Light"/>
                <w:color w:val="000000"/>
                <w:sz w:val="16"/>
                <w:szCs w:val="16"/>
                <w:lang w:val="ru-MD"/>
              </w:rPr>
              <w:t>Индивидуальные взносы государственного социального страхования, перечисленные физическими лицами, заключившими индивидуальный договор</w:t>
            </w:r>
          </w:p>
        </w:tc>
        <w:tc>
          <w:tcPr>
            <w:tcW w:w="844" w:type="dxa"/>
            <w:tcBorders>
              <w:top w:val="nil"/>
              <w:left w:val="nil"/>
              <w:bottom w:val="single" w:sz="8" w:space="0" w:color="auto"/>
              <w:right w:val="single" w:sz="8" w:space="0" w:color="auto"/>
            </w:tcBorders>
            <w:shd w:val="clear" w:color="auto" w:fill="auto"/>
            <w:noWrap/>
            <w:vAlign w:val="center"/>
            <w:hideMark/>
          </w:tcPr>
          <w:p w14:paraId="3EE6B7A1" w14:textId="77777777" w:rsidR="00E41155" w:rsidRPr="00736448" w:rsidRDefault="00E41155" w:rsidP="00E41155">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5.6</w:t>
            </w:r>
          </w:p>
        </w:tc>
        <w:tc>
          <w:tcPr>
            <w:tcW w:w="809" w:type="dxa"/>
            <w:tcBorders>
              <w:top w:val="nil"/>
              <w:left w:val="nil"/>
              <w:bottom w:val="single" w:sz="8" w:space="0" w:color="auto"/>
              <w:right w:val="single" w:sz="8" w:space="0" w:color="auto"/>
            </w:tcBorders>
            <w:shd w:val="clear" w:color="auto" w:fill="auto"/>
            <w:noWrap/>
            <w:vAlign w:val="center"/>
            <w:hideMark/>
          </w:tcPr>
          <w:p w14:paraId="341F62D2" w14:textId="77777777" w:rsidR="00E41155" w:rsidRPr="00736448" w:rsidRDefault="00E41155" w:rsidP="00E41155">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5.3</w:t>
            </w:r>
          </w:p>
        </w:tc>
        <w:tc>
          <w:tcPr>
            <w:tcW w:w="900" w:type="dxa"/>
            <w:tcBorders>
              <w:top w:val="nil"/>
              <w:left w:val="nil"/>
              <w:bottom w:val="single" w:sz="8" w:space="0" w:color="auto"/>
              <w:right w:val="single" w:sz="8" w:space="0" w:color="auto"/>
            </w:tcBorders>
            <w:shd w:val="clear" w:color="auto" w:fill="auto"/>
            <w:noWrap/>
            <w:vAlign w:val="center"/>
            <w:hideMark/>
          </w:tcPr>
          <w:p w14:paraId="331EE922" w14:textId="77777777" w:rsidR="00E41155" w:rsidRPr="00736448" w:rsidRDefault="00E41155" w:rsidP="00E41155">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5.3</w:t>
            </w:r>
          </w:p>
        </w:tc>
        <w:tc>
          <w:tcPr>
            <w:tcW w:w="900" w:type="dxa"/>
            <w:tcBorders>
              <w:top w:val="nil"/>
              <w:left w:val="nil"/>
              <w:bottom w:val="single" w:sz="8" w:space="0" w:color="auto"/>
              <w:right w:val="single" w:sz="8" w:space="0" w:color="auto"/>
            </w:tcBorders>
            <w:shd w:val="clear" w:color="auto" w:fill="auto"/>
            <w:noWrap/>
            <w:vAlign w:val="center"/>
            <w:hideMark/>
          </w:tcPr>
          <w:p w14:paraId="43E284D5" w14:textId="77777777" w:rsidR="00E41155" w:rsidRPr="00736448" w:rsidRDefault="00E41155" w:rsidP="00E41155">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4.9</w:t>
            </w:r>
          </w:p>
        </w:tc>
        <w:tc>
          <w:tcPr>
            <w:tcW w:w="1457" w:type="dxa"/>
            <w:tcBorders>
              <w:top w:val="nil"/>
              <w:left w:val="nil"/>
              <w:bottom w:val="single" w:sz="8" w:space="0" w:color="auto"/>
              <w:right w:val="single" w:sz="8" w:space="0" w:color="auto"/>
            </w:tcBorders>
            <w:shd w:val="clear" w:color="auto" w:fill="auto"/>
            <w:vAlign w:val="center"/>
            <w:hideMark/>
          </w:tcPr>
          <w:p w14:paraId="640EC428" w14:textId="77777777" w:rsidR="00E41155" w:rsidRPr="00736448" w:rsidRDefault="00E41155" w:rsidP="00E41155">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0.0</w:t>
            </w:r>
          </w:p>
        </w:tc>
        <w:tc>
          <w:tcPr>
            <w:tcW w:w="1080" w:type="dxa"/>
            <w:tcBorders>
              <w:top w:val="nil"/>
              <w:left w:val="nil"/>
              <w:bottom w:val="single" w:sz="8" w:space="0" w:color="auto"/>
              <w:right w:val="single" w:sz="8" w:space="0" w:color="auto"/>
            </w:tcBorders>
            <w:shd w:val="clear" w:color="auto" w:fill="auto"/>
            <w:vAlign w:val="center"/>
            <w:hideMark/>
          </w:tcPr>
          <w:p w14:paraId="25881823"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-0.7</w:t>
            </w:r>
          </w:p>
        </w:tc>
        <w:tc>
          <w:tcPr>
            <w:tcW w:w="720" w:type="dxa"/>
            <w:tcBorders>
              <w:top w:val="nil"/>
              <w:left w:val="nil"/>
              <w:bottom w:val="single" w:sz="8" w:space="0" w:color="auto"/>
              <w:right w:val="single" w:sz="8" w:space="0" w:color="auto"/>
            </w:tcBorders>
            <w:shd w:val="clear" w:color="auto" w:fill="auto"/>
            <w:vAlign w:val="center"/>
            <w:hideMark/>
          </w:tcPr>
          <w:p w14:paraId="7112B5E0"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87.5</w:t>
            </w:r>
          </w:p>
        </w:tc>
        <w:tc>
          <w:tcPr>
            <w:tcW w:w="876" w:type="dxa"/>
            <w:tcBorders>
              <w:top w:val="nil"/>
              <w:left w:val="nil"/>
              <w:bottom w:val="single" w:sz="8" w:space="0" w:color="auto"/>
              <w:right w:val="single" w:sz="8" w:space="0" w:color="auto"/>
            </w:tcBorders>
            <w:shd w:val="clear" w:color="auto" w:fill="auto"/>
            <w:vAlign w:val="center"/>
            <w:hideMark/>
          </w:tcPr>
          <w:p w14:paraId="75D8574B"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-0.4</w:t>
            </w:r>
          </w:p>
        </w:tc>
        <w:tc>
          <w:tcPr>
            <w:tcW w:w="626" w:type="dxa"/>
            <w:tcBorders>
              <w:top w:val="nil"/>
              <w:left w:val="nil"/>
              <w:bottom w:val="single" w:sz="8" w:space="0" w:color="auto"/>
              <w:right w:val="single" w:sz="8" w:space="0" w:color="auto"/>
            </w:tcBorders>
            <w:shd w:val="clear" w:color="auto" w:fill="auto"/>
            <w:vAlign w:val="center"/>
            <w:hideMark/>
          </w:tcPr>
          <w:p w14:paraId="0799E172"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92.5</w:t>
            </w:r>
          </w:p>
        </w:tc>
      </w:tr>
      <w:tr w:rsidR="00E41155" w:rsidRPr="00B7675F" w14:paraId="071E596A" w14:textId="77777777" w:rsidTr="002C203D">
        <w:trPr>
          <w:trHeight w:val="20"/>
        </w:trPr>
        <w:tc>
          <w:tcPr>
            <w:tcW w:w="5350" w:type="dxa"/>
            <w:tcBorders>
              <w:top w:val="nil"/>
              <w:left w:val="single" w:sz="8" w:space="0" w:color="auto"/>
              <w:bottom w:val="single" w:sz="8" w:space="0" w:color="auto"/>
              <w:right w:val="single" w:sz="8" w:space="0" w:color="auto"/>
            </w:tcBorders>
            <w:shd w:val="clear" w:color="auto" w:fill="auto"/>
            <w:hideMark/>
          </w:tcPr>
          <w:p w14:paraId="503DE8EB" w14:textId="32E2978B" w:rsidR="00E41155" w:rsidRPr="00736448" w:rsidRDefault="00E41155" w:rsidP="00E41155">
            <w:pPr>
              <w:spacing w:after="0" w:line="240" w:lineRule="auto"/>
              <w:jc w:val="both"/>
              <w:rPr>
                <w:rFonts w:ascii="Calibri Light" w:eastAsia="Times New Roman" w:hAnsi="Calibri Light" w:cs="Calibri Light"/>
                <w:i/>
                <w:iCs/>
                <w:color w:val="000000"/>
                <w:sz w:val="16"/>
                <w:szCs w:val="16"/>
                <w:lang w:val="ro-MD"/>
              </w:rPr>
            </w:pPr>
            <w:r w:rsidRPr="00C90D60">
              <w:rPr>
                <w:rFonts w:ascii="Calibri Light" w:eastAsia="Times New Roman" w:hAnsi="Calibri Light" w:cs="Calibri Light"/>
                <w:i/>
                <w:iCs/>
                <w:color w:val="000000"/>
                <w:sz w:val="16"/>
                <w:szCs w:val="16"/>
                <w:lang w:val="ru-MD"/>
              </w:rPr>
              <w:t>Взносы обязательного государственного социального страхования, перечисленные обладателями предпринимательского патента</w:t>
            </w:r>
          </w:p>
        </w:tc>
        <w:tc>
          <w:tcPr>
            <w:tcW w:w="844" w:type="dxa"/>
            <w:tcBorders>
              <w:top w:val="nil"/>
              <w:left w:val="nil"/>
              <w:bottom w:val="single" w:sz="8" w:space="0" w:color="auto"/>
              <w:right w:val="single" w:sz="8" w:space="0" w:color="auto"/>
            </w:tcBorders>
            <w:shd w:val="clear" w:color="auto" w:fill="auto"/>
            <w:vAlign w:val="center"/>
            <w:hideMark/>
          </w:tcPr>
          <w:p w14:paraId="721D5011" w14:textId="77777777" w:rsidR="00E41155" w:rsidRPr="00736448" w:rsidRDefault="00E41155" w:rsidP="00E41155">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41.1</w:t>
            </w:r>
          </w:p>
        </w:tc>
        <w:tc>
          <w:tcPr>
            <w:tcW w:w="809" w:type="dxa"/>
            <w:tcBorders>
              <w:top w:val="nil"/>
              <w:left w:val="nil"/>
              <w:bottom w:val="single" w:sz="8" w:space="0" w:color="auto"/>
              <w:right w:val="single" w:sz="8" w:space="0" w:color="auto"/>
            </w:tcBorders>
            <w:shd w:val="clear" w:color="auto" w:fill="auto"/>
            <w:vAlign w:val="center"/>
            <w:hideMark/>
          </w:tcPr>
          <w:p w14:paraId="69958E11" w14:textId="77777777" w:rsidR="00E41155" w:rsidRPr="00736448" w:rsidRDefault="00E41155" w:rsidP="00E41155">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51.3</w:t>
            </w:r>
          </w:p>
        </w:tc>
        <w:tc>
          <w:tcPr>
            <w:tcW w:w="900" w:type="dxa"/>
            <w:tcBorders>
              <w:top w:val="nil"/>
              <w:left w:val="nil"/>
              <w:bottom w:val="single" w:sz="8" w:space="0" w:color="auto"/>
              <w:right w:val="single" w:sz="8" w:space="0" w:color="auto"/>
            </w:tcBorders>
            <w:shd w:val="clear" w:color="auto" w:fill="auto"/>
            <w:vAlign w:val="center"/>
            <w:hideMark/>
          </w:tcPr>
          <w:p w14:paraId="2977FF9D" w14:textId="77777777" w:rsidR="00E41155" w:rsidRPr="00736448" w:rsidRDefault="00E41155" w:rsidP="00E41155">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51.3</w:t>
            </w:r>
          </w:p>
        </w:tc>
        <w:tc>
          <w:tcPr>
            <w:tcW w:w="900" w:type="dxa"/>
            <w:tcBorders>
              <w:top w:val="nil"/>
              <w:left w:val="nil"/>
              <w:bottom w:val="single" w:sz="8" w:space="0" w:color="auto"/>
              <w:right w:val="single" w:sz="8" w:space="0" w:color="auto"/>
            </w:tcBorders>
            <w:shd w:val="clear" w:color="auto" w:fill="auto"/>
            <w:vAlign w:val="center"/>
            <w:hideMark/>
          </w:tcPr>
          <w:p w14:paraId="7B95F0EA" w14:textId="77777777" w:rsidR="00E41155" w:rsidRPr="00736448" w:rsidRDefault="00E41155" w:rsidP="00E41155">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43.2</w:t>
            </w:r>
          </w:p>
        </w:tc>
        <w:tc>
          <w:tcPr>
            <w:tcW w:w="1457" w:type="dxa"/>
            <w:tcBorders>
              <w:top w:val="nil"/>
              <w:left w:val="nil"/>
              <w:bottom w:val="single" w:sz="8" w:space="0" w:color="auto"/>
              <w:right w:val="single" w:sz="8" w:space="0" w:color="auto"/>
            </w:tcBorders>
            <w:shd w:val="clear" w:color="auto" w:fill="auto"/>
            <w:vAlign w:val="center"/>
            <w:hideMark/>
          </w:tcPr>
          <w:p w14:paraId="42483AC4" w14:textId="77777777" w:rsidR="00E41155" w:rsidRPr="00736448" w:rsidRDefault="00E41155" w:rsidP="00E41155">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0.2</w:t>
            </w:r>
          </w:p>
        </w:tc>
        <w:tc>
          <w:tcPr>
            <w:tcW w:w="1080" w:type="dxa"/>
            <w:tcBorders>
              <w:top w:val="nil"/>
              <w:left w:val="nil"/>
              <w:bottom w:val="single" w:sz="8" w:space="0" w:color="auto"/>
              <w:right w:val="single" w:sz="8" w:space="0" w:color="auto"/>
            </w:tcBorders>
            <w:shd w:val="clear" w:color="auto" w:fill="auto"/>
            <w:vAlign w:val="center"/>
            <w:hideMark/>
          </w:tcPr>
          <w:p w14:paraId="6803517C"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2.1</w:t>
            </w:r>
          </w:p>
        </w:tc>
        <w:tc>
          <w:tcPr>
            <w:tcW w:w="720" w:type="dxa"/>
            <w:tcBorders>
              <w:top w:val="nil"/>
              <w:left w:val="nil"/>
              <w:bottom w:val="single" w:sz="8" w:space="0" w:color="auto"/>
              <w:right w:val="single" w:sz="8" w:space="0" w:color="auto"/>
            </w:tcBorders>
            <w:shd w:val="clear" w:color="auto" w:fill="auto"/>
            <w:vAlign w:val="center"/>
            <w:hideMark/>
          </w:tcPr>
          <w:p w14:paraId="6259EB8B"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105.1</w:t>
            </w:r>
          </w:p>
        </w:tc>
        <w:tc>
          <w:tcPr>
            <w:tcW w:w="876" w:type="dxa"/>
            <w:tcBorders>
              <w:top w:val="nil"/>
              <w:left w:val="nil"/>
              <w:bottom w:val="single" w:sz="8" w:space="0" w:color="auto"/>
              <w:right w:val="single" w:sz="8" w:space="0" w:color="auto"/>
            </w:tcBorders>
            <w:shd w:val="clear" w:color="auto" w:fill="auto"/>
            <w:vAlign w:val="center"/>
            <w:hideMark/>
          </w:tcPr>
          <w:p w14:paraId="2EAE2A1C"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-8.1</w:t>
            </w:r>
          </w:p>
        </w:tc>
        <w:tc>
          <w:tcPr>
            <w:tcW w:w="626" w:type="dxa"/>
            <w:tcBorders>
              <w:top w:val="nil"/>
              <w:left w:val="nil"/>
              <w:bottom w:val="single" w:sz="8" w:space="0" w:color="auto"/>
              <w:right w:val="single" w:sz="8" w:space="0" w:color="auto"/>
            </w:tcBorders>
            <w:shd w:val="clear" w:color="auto" w:fill="auto"/>
            <w:vAlign w:val="center"/>
            <w:hideMark/>
          </w:tcPr>
          <w:p w14:paraId="6A923C40"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84.2</w:t>
            </w:r>
          </w:p>
        </w:tc>
      </w:tr>
      <w:tr w:rsidR="00E41155" w:rsidRPr="00B7675F" w14:paraId="2B5B35D8" w14:textId="77777777" w:rsidTr="002C203D">
        <w:trPr>
          <w:trHeight w:val="20"/>
        </w:trPr>
        <w:tc>
          <w:tcPr>
            <w:tcW w:w="5350" w:type="dxa"/>
            <w:tcBorders>
              <w:top w:val="nil"/>
              <w:left w:val="single" w:sz="8" w:space="0" w:color="auto"/>
              <w:bottom w:val="single" w:sz="8" w:space="0" w:color="auto"/>
              <w:right w:val="single" w:sz="8" w:space="0" w:color="auto"/>
            </w:tcBorders>
            <w:shd w:val="clear" w:color="auto" w:fill="auto"/>
            <w:vAlign w:val="bottom"/>
            <w:hideMark/>
          </w:tcPr>
          <w:p w14:paraId="3258FC25" w14:textId="5CC422F5" w:rsidR="00E41155" w:rsidRPr="00736448" w:rsidRDefault="00E41155" w:rsidP="00E41155">
            <w:pPr>
              <w:spacing w:after="0" w:line="240" w:lineRule="auto"/>
              <w:jc w:val="both"/>
              <w:rPr>
                <w:rFonts w:ascii="Calibri Light" w:eastAsia="Times New Roman" w:hAnsi="Calibri Light" w:cs="Calibri Light"/>
                <w:color w:val="000000"/>
                <w:sz w:val="16"/>
                <w:szCs w:val="16"/>
                <w:lang w:val="ro-MD"/>
              </w:rPr>
            </w:pPr>
            <w:r w:rsidRPr="00340182">
              <w:rPr>
                <w:rFonts w:asciiTheme="majorHAnsi" w:hAnsiTheme="majorHAnsi" w:cstheme="majorHAnsi"/>
                <w:sz w:val="16"/>
                <w:szCs w:val="16"/>
                <w:lang w:val="ru-MD"/>
              </w:rPr>
              <w:t>Взносы обязательного государственного социального страхования, взимаемые физическими лицами, владельцами сельскохозяйственных угодий</w:t>
            </w:r>
          </w:p>
        </w:tc>
        <w:tc>
          <w:tcPr>
            <w:tcW w:w="844" w:type="dxa"/>
            <w:tcBorders>
              <w:top w:val="nil"/>
              <w:left w:val="nil"/>
              <w:bottom w:val="single" w:sz="8" w:space="0" w:color="auto"/>
              <w:right w:val="single" w:sz="8" w:space="0" w:color="auto"/>
            </w:tcBorders>
            <w:shd w:val="clear" w:color="auto" w:fill="auto"/>
            <w:vAlign w:val="center"/>
            <w:hideMark/>
          </w:tcPr>
          <w:p w14:paraId="1ACDD99B" w14:textId="77777777" w:rsidR="00E41155" w:rsidRPr="00736448" w:rsidRDefault="00E41155" w:rsidP="00E41155">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0.1</w:t>
            </w:r>
          </w:p>
        </w:tc>
        <w:tc>
          <w:tcPr>
            <w:tcW w:w="809" w:type="dxa"/>
            <w:tcBorders>
              <w:top w:val="nil"/>
              <w:left w:val="nil"/>
              <w:bottom w:val="single" w:sz="8" w:space="0" w:color="auto"/>
              <w:right w:val="single" w:sz="8" w:space="0" w:color="auto"/>
            </w:tcBorders>
            <w:shd w:val="clear" w:color="auto" w:fill="auto"/>
            <w:vAlign w:val="center"/>
            <w:hideMark/>
          </w:tcPr>
          <w:p w14:paraId="6621D1B1" w14:textId="77777777" w:rsidR="00E41155" w:rsidRPr="00736448" w:rsidRDefault="00E41155" w:rsidP="00E41155">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0</w:t>
            </w:r>
          </w:p>
        </w:tc>
        <w:tc>
          <w:tcPr>
            <w:tcW w:w="900" w:type="dxa"/>
            <w:tcBorders>
              <w:top w:val="nil"/>
              <w:left w:val="nil"/>
              <w:bottom w:val="single" w:sz="8" w:space="0" w:color="auto"/>
              <w:right w:val="single" w:sz="8" w:space="0" w:color="auto"/>
            </w:tcBorders>
            <w:shd w:val="clear" w:color="auto" w:fill="auto"/>
            <w:vAlign w:val="center"/>
            <w:hideMark/>
          </w:tcPr>
          <w:p w14:paraId="3A7670F5" w14:textId="77777777" w:rsidR="00E41155" w:rsidRPr="00736448" w:rsidRDefault="00E41155" w:rsidP="00E41155">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0</w:t>
            </w:r>
          </w:p>
        </w:tc>
        <w:tc>
          <w:tcPr>
            <w:tcW w:w="900" w:type="dxa"/>
            <w:tcBorders>
              <w:top w:val="nil"/>
              <w:left w:val="nil"/>
              <w:bottom w:val="single" w:sz="8" w:space="0" w:color="auto"/>
              <w:right w:val="single" w:sz="8" w:space="0" w:color="auto"/>
            </w:tcBorders>
            <w:shd w:val="clear" w:color="auto" w:fill="auto"/>
            <w:vAlign w:val="center"/>
            <w:hideMark/>
          </w:tcPr>
          <w:p w14:paraId="6CD831EE" w14:textId="77777777" w:rsidR="00E41155" w:rsidRPr="00736448" w:rsidRDefault="00E41155" w:rsidP="00E41155">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0.2</w:t>
            </w:r>
          </w:p>
        </w:tc>
        <w:tc>
          <w:tcPr>
            <w:tcW w:w="1457" w:type="dxa"/>
            <w:tcBorders>
              <w:top w:val="nil"/>
              <w:left w:val="nil"/>
              <w:bottom w:val="single" w:sz="8" w:space="0" w:color="auto"/>
              <w:right w:val="single" w:sz="8" w:space="0" w:color="auto"/>
            </w:tcBorders>
            <w:shd w:val="clear" w:color="auto" w:fill="auto"/>
            <w:vAlign w:val="center"/>
            <w:hideMark/>
          </w:tcPr>
          <w:p w14:paraId="3D0069E0" w14:textId="77777777" w:rsidR="00E41155" w:rsidRPr="00736448" w:rsidRDefault="00E41155" w:rsidP="00E41155">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0.0</w:t>
            </w:r>
          </w:p>
        </w:tc>
        <w:tc>
          <w:tcPr>
            <w:tcW w:w="1080" w:type="dxa"/>
            <w:tcBorders>
              <w:top w:val="nil"/>
              <w:left w:val="nil"/>
              <w:bottom w:val="single" w:sz="8" w:space="0" w:color="auto"/>
              <w:right w:val="single" w:sz="8" w:space="0" w:color="auto"/>
            </w:tcBorders>
            <w:shd w:val="clear" w:color="auto" w:fill="auto"/>
            <w:vAlign w:val="center"/>
            <w:hideMark/>
          </w:tcPr>
          <w:p w14:paraId="53EA9E4D"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0.1</w:t>
            </w:r>
          </w:p>
        </w:tc>
        <w:tc>
          <w:tcPr>
            <w:tcW w:w="720" w:type="dxa"/>
            <w:tcBorders>
              <w:top w:val="nil"/>
              <w:left w:val="nil"/>
              <w:bottom w:val="single" w:sz="8" w:space="0" w:color="auto"/>
              <w:right w:val="single" w:sz="8" w:space="0" w:color="auto"/>
            </w:tcBorders>
            <w:shd w:val="clear" w:color="auto" w:fill="auto"/>
            <w:vAlign w:val="center"/>
            <w:hideMark/>
          </w:tcPr>
          <w:p w14:paraId="6AC7C756"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200.0</w:t>
            </w:r>
          </w:p>
        </w:tc>
        <w:tc>
          <w:tcPr>
            <w:tcW w:w="876" w:type="dxa"/>
            <w:tcBorders>
              <w:top w:val="nil"/>
              <w:left w:val="nil"/>
              <w:bottom w:val="single" w:sz="8" w:space="0" w:color="auto"/>
              <w:right w:val="single" w:sz="8" w:space="0" w:color="auto"/>
            </w:tcBorders>
            <w:shd w:val="clear" w:color="auto" w:fill="auto"/>
            <w:vAlign w:val="center"/>
            <w:hideMark/>
          </w:tcPr>
          <w:p w14:paraId="0D372681"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0.2</w:t>
            </w:r>
          </w:p>
        </w:tc>
        <w:tc>
          <w:tcPr>
            <w:tcW w:w="626" w:type="dxa"/>
            <w:tcBorders>
              <w:top w:val="nil"/>
              <w:left w:val="nil"/>
              <w:bottom w:val="single" w:sz="8" w:space="0" w:color="auto"/>
              <w:right w:val="single" w:sz="8" w:space="0" w:color="auto"/>
            </w:tcBorders>
            <w:shd w:val="clear" w:color="auto" w:fill="auto"/>
            <w:vAlign w:val="center"/>
            <w:hideMark/>
          </w:tcPr>
          <w:p w14:paraId="17CCEADF"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0.0</w:t>
            </w:r>
          </w:p>
        </w:tc>
      </w:tr>
      <w:tr w:rsidR="00E41155" w:rsidRPr="00B7675F" w14:paraId="1FE9141E" w14:textId="77777777" w:rsidTr="002C203D">
        <w:trPr>
          <w:trHeight w:val="20"/>
        </w:trPr>
        <w:tc>
          <w:tcPr>
            <w:tcW w:w="5350" w:type="dxa"/>
            <w:tcBorders>
              <w:top w:val="nil"/>
              <w:left w:val="single" w:sz="8" w:space="0" w:color="auto"/>
              <w:bottom w:val="single" w:sz="8" w:space="0" w:color="auto"/>
              <w:right w:val="single" w:sz="8" w:space="0" w:color="auto"/>
            </w:tcBorders>
            <w:shd w:val="clear" w:color="auto" w:fill="auto"/>
            <w:hideMark/>
          </w:tcPr>
          <w:p w14:paraId="652D6839" w14:textId="5A8CFC49" w:rsidR="00E41155" w:rsidRPr="00736448" w:rsidRDefault="00E41155" w:rsidP="00E41155">
            <w:pPr>
              <w:spacing w:after="0" w:line="240" w:lineRule="auto"/>
              <w:jc w:val="both"/>
              <w:rPr>
                <w:rFonts w:ascii="Calibri Light" w:eastAsia="Times New Roman" w:hAnsi="Calibri Light" w:cs="Calibri Light"/>
                <w:i/>
                <w:iCs/>
                <w:color w:val="000000"/>
                <w:sz w:val="16"/>
                <w:szCs w:val="16"/>
                <w:lang w:val="ro-MD"/>
              </w:rPr>
            </w:pPr>
            <w:r w:rsidRPr="00340182">
              <w:rPr>
                <w:rFonts w:asciiTheme="majorHAnsi" w:hAnsiTheme="majorHAnsi" w:cstheme="majorHAnsi"/>
                <w:i/>
                <w:sz w:val="16"/>
                <w:szCs w:val="16"/>
                <w:lang w:val="ru-MD"/>
              </w:rPr>
              <w:t>Увеличение за просрочку (пеня), начисленное за неуплату работодателями взносов обязательного государственного социального страхования в срок</w:t>
            </w:r>
          </w:p>
        </w:tc>
        <w:tc>
          <w:tcPr>
            <w:tcW w:w="844" w:type="dxa"/>
            <w:tcBorders>
              <w:top w:val="nil"/>
              <w:left w:val="nil"/>
              <w:bottom w:val="single" w:sz="8" w:space="0" w:color="auto"/>
              <w:right w:val="single" w:sz="8" w:space="0" w:color="auto"/>
            </w:tcBorders>
            <w:shd w:val="clear" w:color="auto" w:fill="auto"/>
            <w:vAlign w:val="center"/>
            <w:hideMark/>
          </w:tcPr>
          <w:p w14:paraId="1A043ADC" w14:textId="77777777" w:rsidR="00E41155" w:rsidRPr="00736448" w:rsidRDefault="00E41155" w:rsidP="00E41155">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40.8</w:t>
            </w:r>
          </w:p>
        </w:tc>
        <w:tc>
          <w:tcPr>
            <w:tcW w:w="809" w:type="dxa"/>
            <w:tcBorders>
              <w:top w:val="nil"/>
              <w:left w:val="nil"/>
              <w:bottom w:val="single" w:sz="8" w:space="0" w:color="auto"/>
              <w:right w:val="single" w:sz="8" w:space="0" w:color="auto"/>
            </w:tcBorders>
            <w:shd w:val="clear" w:color="auto" w:fill="auto"/>
            <w:vAlign w:val="center"/>
            <w:hideMark/>
          </w:tcPr>
          <w:p w14:paraId="2F52CFD5" w14:textId="77777777" w:rsidR="00E41155" w:rsidRPr="00736448" w:rsidRDefault="00E41155" w:rsidP="00E41155">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0</w:t>
            </w:r>
          </w:p>
        </w:tc>
        <w:tc>
          <w:tcPr>
            <w:tcW w:w="900" w:type="dxa"/>
            <w:tcBorders>
              <w:top w:val="nil"/>
              <w:left w:val="nil"/>
              <w:bottom w:val="single" w:sz="8" w:space="0" w:color="auto"/>
              <w:right w:val="single" w:sz="8" w:space="0" w:color="auto"/>
            </w:tcBorders>
            <w:shd w:val="clear" w:color="auto" w:fill="auto"/>
            <w:vAlign w:val="center"/>
            <w:hideMark/>
          </w:tcPr>
          <w:p w14:paraId="16FBE3EA" w14:textId="77777777" w:rsidR="00E41155" w:rsidRPr="00736448" w:rsidRDefault="00E41155" w:rsidP="00E41155">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30</w:t>
            </w:r>
          </w:p>
        </w:tc>
        <w:tc>
          <w:tcPr>
            <w:tcW w:w="900" w:type="dxa"/>
            <w:tcBorders>
              <w:top w:val="nil"/>
              <w:left w:val="nil"/>
              <w:bottom w:val="single" w:sz="8" w:space="0" w:color="auto"/>
              <w:right w:val="single" w:sz="8" w:space="0" w:color="auto"/>
            </w:tcBorders>
            <w:shd w:val="clear" w:color="auto" w:fill="auto"/>
            <w:vAlign w:val="center"/>
            <w:hideMark/>
          </w:tcPr>
          <w:p w14:paraId="58635110" w14:textId="77777777" w:rsidR="00E41155" w:rsidRPr="00736448" w:rsidRDefault="00E41155" w:rsidP="00E41155">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61.2</w:t>
            </w:r>
          </w:p>
        </w:tc>
        <w:tc>
          <w:tcPr>
            <w:tcW w:w="1457" w:type="dxa"/>
            <w:tcBorders>
              <w:top w:val="nil"/>
              <w:left w:val="nil"/>
              <w:bottom w:val="single" w:sz="8" w:space="0" w:color="auto"/>
              <w:right w:val="single" w:sz="8" w:space="0" w:color="auto"/>
            </w:tcBorders>
            <w:shd w:val="clear" w:color="auto" w:fill="auto"/>
            <w:vAlign w:val="center"/>
            <w:hideMark/>
          </w:tcPr>
          <w:p w14:paraId="7529B078" w14:textId="77777777" w:rsidR="00E41155" w:rsidRPr="00736448" w:rsidRDefault="00E41155" w:rsidP="00E41155">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0.3</w:t>
            </w:r>
          </w:p>
        </w:tc>
        <w:tc>
          <w:tcPr>
            <w:tcW w:w="1080" w:type="dxa"/>
            <w:tcBorders>
              <w:top w:val="nil"/>
              <w:left w:val="nil"/>
              <w:bottom w:val="single" w:sz="8" w:space="0" w:color="auto"/>
              <w:right w:val="single" w:sz="8" w:space="0" w:color="auto"/>
            </w:tcBorders>
            <w:shd w:val="clear" w:color="auto" w:fill="auto"/>
            <w:vAlign w:val="center"/>
            <w:hideMark/>
          </w:tcPr>
          <w:p w14:paraId="5B63EDBE"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20.4</w:t>
            </w:r>
          </w:p>
        </w:tc>
        <w:tc>
          <w:tcPr>
            <w:tcW w:w="720" w:type="dxa"/>
            <w:tcBorders>
              <w:top w:val="nil"/>
              <w:left w:val="nil"/>
              <w:bottom w:val="single" w:sz="8" w:space="0" w:color="auto"/>
              <w:right w:val="single" w:sz="8" w:space="0" w:color="auto"/>
            </w:tcBorders>
            <w:shd w:val="clear" w:color="auto" w:fill="auto"/>
            <w:vAlign w:val="center"/>
            <w:hideMark/>
          </w:tcPr>
          <w:p w14:paraId="23A47F7F"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150.0</w:t>
            </w:r>
          </w:p>
        </w:tc>
        <w:tc>
          <w:tcPr>
            <w:tcW w:w="876" w:type="dxa"/>
            <w:tcBorders>
              <w:top w:val="nil"/>
              <w:left w:val="nil"/>
              <w:bottom w:val="single" w:sz="8" w:space="0" w:color="auto"/>
              <w:right w:val="single" w:sz="8" w:space="0" w:color="auto"/>
            </w:tcBorders>
            <w:shd w:val="clear" w:color="auto" w:fill="auto"/>
            <w:vAlign w:val="center"/>
            <w:hideMark/>
          </w:tcPr>
          <w:p w14:paraId="78BBED12"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31.2</w:t>
            </w:r>
          </w:p>
        </w:tc>
        <w:tc>
          <w:tcPr>
            <w:tcW w:w="626" w:type="dxa"/>
            <w:tcBorders>
              <w:top w:val="nil"/>
              <w:left w:val="nil"/>
              <w:bottom w:val="single" w:sz="8" w:space="0" w:color="auto"/>
              <w:right w:val="single" w:sz="8" w:space="0" w:color="auto"/>
            </w:tcBorders>
            <w:shd w:val="clear" w:color="auto" w:fill="auto"/>
            <w:vAlign w:val="center"/>
            <w:hideMark/>
          </w:tcPr>
          <w:p w14:paraId="5C82C5BF"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204.0</w:t>
            </w:r>
          </w:p>
        </w:tc>
      </w:tr>
      <w:tr w:rsidR="00E41155" w:rsidRPr="00B7675F" w14:paraId="60215380" w14:textId="77777777" w:rsidTr="002C203D">
        <w:trPr>
          <w:trHeight w:val="20"/>
        </w:trPr>
        <w:tc>
          <w:tcPr>
            <w:tcW w:w="5350" w:type="dxa"/>
            <w:tcBorders>
              <w:top w:val="nil"/>
              <w:left w:val="single" w:sz="8" w:space="0" w:color="auto"/>
              <w:bottom w:val="single" w:sz="8" w:space="0" w:color="auto"/>
              <w:right w:val="single" w:sz="8" w:space="0" w:color="auto"/>
            </w:tcBorders>
            <w:shd w:val="clear" w:color="auto" w:fill="auto"/>
            <w:hideMark/>
          </w:tcPr>
          <w:p w14:paraId="4BB593AC" w14:textId="2C8763F5" w:rsidR="00E41155" w:rsidRPr="00736448" w:rsidRDefault="00E41155" w:rsidP="00E41155">
            <w:pPr>
              <w:spacing w:after="0" w:line="240" w:lineRule="auto"/>
              <w:rPr>
                <w:rFonts w:ascii="Calibri Light" w:eastAsia="Times New Roman" w:hAnsi="Calibri Light" w:cs="Calibri Light"/>
                <w:i/>
                <w:iCs/>
                <w:color w:val="000000"/>
                <w:sz w:val="16"/>
                <w:szCs w:val="16"/>
                <w:lang w:val="ro-MD"/>
              </w:rPr>
            </w:pPr>
            <w:r w:rsidRPr="00E82CC1">
              <w:rPr>
                <w:rFonts w:ascii="Calibri Light" w:eastAsia="Times New Roman" w:hAnsi="Calibri Light" w:cs="Calibri Light"/>
                <w:i/>
                <w:iCs/>
                <w:color w:val="000000"/>
                <w:sz w:val="16"/>
                <w:szCs w:val="16"/>
                <w:lang w:val="ro-RO"/>
              </w:rPr>
              <w:t xml:space="preserve">1.2. </w:t>
            </w:r>
            <w:r>
              <w:rPr>
                <w:rFonts w:ascii="Calibri Light" w:eastAsia="Times New Roman" w:hAnsi="Calibri Light" w:cs="Calibri Light"/>
                <w:i/>
                <w:iCs/>
                <w:color w:val="000000"/>
                <w:sz w:val="16"/>
                <w:szCs w:val="16"/>
                <w:lang w:val="ru-RU"/>
              </w:rPr>
              <w:t>Прочие доходы</w:t>
            </w:r>
          </w:p>
        </w:tc>
        <w:tc>
          <w:tcPr>
            <w:tcW w:w="844" w:type="dxa"/>
            <w:tcBorders>
              <w:top w:val="nil"/>
              <w:left w:val="nil"/>
              <w:bottom w:val="single" w:sz="8" w:space="0" w:color="auto"/>
              <w:right w:val="single" w:sz="8" w:space="0" w:color="auto"/>
            </w:tcBorders>
            <w:shd w:val="clear" w:color="auto" w:fill="auto"/>
            <w:vAlign w:val="center"/>
            <w:hideMark/>
          </w:tcPr>
          <w:p w14:paraId="0FEEFFFC" w14:textId="77777777" w:rsidR="00E41155" w:rsidRPr="00736448" w:rsidRDefault="00E41155" w:rsidP="00E41155">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298.3</w:t>
            </w:r>
          </w:p>
        </w:tc>
        <w:tc>
          <w:tcPr>
            <w:tcW w:w="809" w:type="dxa"/>
            <w:tcBorders>
              <w:top w:val="nil"/>
              <w:left w:val="nil"/>
              <w:bottom w:val="single" w:sz="8" w:space="0" w:color="auto"/>
              <w:right w:val="single" w:sz="8" w:space="0" w:color="auto"/>
            </w:tcBorders>
            <w:shd w:val="clear" w:color="auto" w:fill="auto"/>
            <w:vAlign w:val="center"/>
            <w:hideMark/>
          </w:tcPr>
          <w:p w14:paraId="5EDF197F" w14:textId="77777777" w:rsidR="00E41155" w:rsidRPr="00736448" w:rsidRDefault="00E41155" w:rsidP="00E41155">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306.5</w:t>
            </w:r>
          </w:p>
        </w:tc>
        <w:tc>
          <w:tcPr>
            <w:tcW w:w="900" w:type="dxa"/>
            <w:tcBorders>
              <w:top w:val="nil"/>
              <w:left w:val="nil"/>
              <w:bottom w:val="single" w:sz="8" w:space="0" w:color="auto"/>
              <w:right w:val="single" w:sz="8" w:space="0" w:color="auto"/>
            </w:tcBorders>
            <w:shd w:val="clear" w:color="auto" w:fill="auto"/>
            <w:vAlign w:val="center"/>
            <w:hideMark/>
          </w:tcPr>
          <w:p w14:paraId="2FE20AC2" w14:textId="77777777" w:rsidR="00E41155" w:rsidRPr="00736448" w:rsidRDefault="00E41155" w:rsidP="00E41155">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345.2</w:t>
            </w:r>
          </w:p>
        </w:tc>
        <w:tc>
          <w:tcPr>
            <w:tcW w:w="900" w:type="dxa"/>
            <w:tcBorders>
              <w:top w:val="nil"/>
              <w:left w:val="nil"/>
              <w:bottom w:val="single" w:sz="8" w:space="0" w:color="auto"/>
              <w:right w:val="single" w:sz="8" w:space="0" w:color="auto"/>
            </w:tcBorders>
            <w:shd w:val="clear" w:color="auto" w:fill="auto"/>
            <w:vAlign w:val="center"/>
            <w:hideMark/>
          </w:tcPr>
          <w:p w14:paraId="0DC3845A" w14:textId="77777777" w:rsidR="00E41155" w:rsidRPr="00736448" w:rsidRDefault="00E41155" w:rsidP="00E41155">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428.7</w:t>
            </w:r>
          </w:p>
        </w:tc>
        <w:tc>
          <w:tcPr>
            <w:tcW w:w="1457" w:type="dxa"/>
            <w:tcBorders>
              <w:top w:val="nil"/>
              <w:left w:val="nil"/>
              <w:bottom w:val="single" w:sz="8" w:space="0" w:color="auto"/>
              <w:right w:val="single" w:sz="8" w:space="0" w:color="auto"/>
            </w:tcBorders>
            <w:shd w:val="clear" w:color="auto" w:fill="auto"/>
            <w:vAlign w:val="center"/>
            <w:hideMark/>
          </w:tcPr>
          <w:p w14:paraId="20B93C4D" w14:textId="77777777" w:rsidR="00E41155" w:rsidRPr="00736448" w:rsidRDefault="00E41155" w:rsidP="00E41155">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2.3</w:t>
            </w:r>
          </w:p>
        </w:tc>
        <w:tc>
          <w:tcPr>
            <w:tcW w:w="1080" w:type="dxa"/>
            <w:tcBorders>
              <w:top w:val="nil"/>
              <w:left w:val="nil"/>
              <w:bottom w:val="single" w:sz="8" w:space="0" w:color="auto"/>
              <w:right w:val="single" w:sz="8" w:space="0" w:color="auto"/>
            </w:tcBorders>
            <w:shd w:val="clear" w:color="auto" w:fill="auto"/>
            <w:vAlign w:val="center"/>
            <w:hideMark/>
          </w:tcPr>
          <w:p w14:paraId="7D4B1403"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130.4</w:t>
            </w:r>
          </w:p>
        </w:tc>
        <w:tc>
          <w:tcPr>
            <w:tcW w:w="720" w:type="dxa"/>
            <w:tcBorders>
              <w:top w:val="nil"/>
              <w:left w:val="nil"/>
              <w:bottom w:val="single" w:sz="8" w:space="0" w:color="auto"/>
              <w:right w:val="single" w:sz="8" w:space="0" w:color="auto"/>
            </w:tcBorders>
            <w:shd w:val="clear" w:color="auto" w:fill="auto"/>
            <w:vAlign w:val="center"/>
            <w:hideMark/>
          </w:tcPr>
          <w:p w14:paraId="444BA037"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143.7</w:t>
            </w:r>
          </w:p>
        </w:tc>
        <w:tc>
          <w:tcPr>
            <w:tcW w:w="876" w:type="dxa"/>
            <w:tcBorders>
              <w:top w:val="nil"/>
              <w:left w:val="nil"/>
              <w:bottom w:val="single" w:sz="8" w:space="0" w:color="auto"/>
              <w:right w:val="single" w:sz="8" w:space="0" w:color="auto"/>
            </w:tcBorders>
            <w:shd w:val="clear" w:color="auto" w:fill="auto"/>
            <w:vAlign w:val="center"/>
            <w:hideMark/>
          </w:tcPr>
          <w:p w14:paraId="244E31D4"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83.5</w:t>
            </w:r>
          </w:p>
        </w:tc>
        <w:tc>
          <w:tcPr>
            <w:tcW w:w="626" w:type="dxa"/>
            <w:tcBorders>
              <w:top w:val="nil"/>
              <w:left w:val="nil"/>
              <w:bottom w:val="single" w:sz="8" w:space="0" w:color="auto"/>
              <w:right w:val="single" w:sz="8" w:space="0" w:color="auto"/>
            </w:tcBorders>
            <w:shd w:val="clear" w:color="auto" w:fill="auto"/>
            <w:vAlign w:val="center"/>
            <w:hideMark/>
          </w:tcPr>
          <w:p w14:paraId="66DA4F4E"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124.2</w:t>
            </w:r>
          </w:p>
        </w:tc>
      </w:tr>
      <w:tr w:rsidR="00E41155" w:rsidRPr="00B7675F" w14:paraId="74DE9066" w14:textId="77777777" w:rsidTr="002C203D">
        <w:trPr>
          <w:trHeight w:val="20"/>
        </w:trPr>
        <w:tc>
          <w:tcPr>
            <w:tcW w:w="5350" w:type="dxa"/>
            <w:tcBorders>
              <w:top w:val="nil"/>
              <w:left w:val="single" w:sz="8" w:space="0" w:color="auto"/>
              <w:bottom w:val="single" w:sz="8" w:space="0" w:color="auto"/>
              <w:right w:val="single" w:sz="8" w:space="0" w:color="auto"/>
            </w:tcBorders>
            <w:shd w:val="clear" w:color="auto" w:fill="auto"/>
            <w:hideMark/>
          </w:tcPr>
          <w:p w14:paraId="798D527A" w14:textId="4D3EBADA" w:rsidR="00E41155" w:rsidRPr="00736448" w:rsidRDefault="00E41155" w:rsidP="00E41155">
            <w:pPr>
              <w:spacing w:after="0" w:line="240" w:lineRule="auto"/>
              <w:rPr>
                <w:rFonts w:ascii="Calibri Light" w:eastAsia="Times New Roman" w:hAnsi="Calibri Light" w:cs="Calibri Light"/>
                <w:b/>
                <w:bCs/>
                <w:color w:val="000000"/>
                <w:sz w:val="18"/>
                <w:szCs w:val="18"/>
                <w:lang w:val="ro-MD"/>
              </w:rPr>
            </w:pPr>
            <w:r w:rsidRPr="00E82CC1">
              <w:rPr>
                <w:rFonts w:ascii="Calibri Light" w:eastAsia="Times New Roman" w:hAnsi="Calibri Light" w:cs="Calibri Light"/>
                <w:b/>
                <w:bCs/>
                <w:color w:val="000000"/>
                <w:sz w:val="18"/>
                <w:szCs w:val="18"/>
                <w:lang w:val="ro-RO"/>
              </w:rPr>
              <w:t>2.</w:t>
            </w:r>
            <w:r w:rsidRPr="00E82CC1">
              <w:rPr>
                <w:rFonts w:ascii="Times New Roman" w:eastAsia="Times New Roman" w:hAnsi="Times New Roman" w:cs="Times New Roman"/>
                <w:b/>
                <w:bCs/>
                <w:color w:val="000000"/>
                <w:sz w:val="18"/>
                <w:szCs w:val="18"/>
                <w:lang w:val="ro-RO"/>
              </w:rPr>
              <w:t xml:space="preserve">        </w:t>
            </w:r>
            <w:r>
              <w:rPr>
                <w:rFonts w:ascii="Calibri Light" w:eastAsia="Times New Roman" w:hAnsi="Calibri Light" w:cs="Calibri Light"/>
                <w:b/>
                <w:bCs/>
                <w:color w:val="000000"/>
                <w:sz w:val="18"/>
                <w:szCs w:val="18"/>
                <w:lang w:val="ru-RU"/>
              </w:rPr>
              <w:t>Трансферт</w:t>
            </w:r>
            <w:r w:rsidRPr="00340182">
              <w:rPr>
                <w:rFonts w:ascii="Calibri Light" w:eastAsia="Times New Roman" w:hAnsi="Calibri Light" w:cs="Calibri Light"/>
                <w:b/>
                <w:bCs/>
                <w:color w:val="000000"/>
                <w:sz w:val="18"/>
                <w:szCs w:val="18"/>
                <w:lang w:val="ro-RO"/>
              </w:rPr>
              <w:t xml:space="preserve">ы, полученные в рамках национального </w:t>
            </w:r>
            <w:r>
              <w:rPr>
                <w:rFonts w:ascii="Calibri Light" w:eastAsia="Times New Roman" w:hAnsi="Calibri Light" w:cs="Calibri Light"/>
                <w:b/>
                <w:bCs/>
                <w:color w:val="000000"/>
                <w:sz w:val="18"/>
                <w:szCs w:val="18"/>
                <w:lang w:val="ru-RU"/>
              </w:rPr>
              <w:t>публич</w:t>
            </w:r>
            <w:r w:rsidRPr="00340182">
              <w:rPr>
                <w:rFonts w:ascii="Calibri Light" w:eastAsia="Times New Roman" w:hAnsi="Calibri Light" w:cs="Calibri Light"/>
                <w:b/>
                <w:bCs/>
                <w:color w:val="000000"/>
                <w:sz w:val="18"/>
                <w:szCs w:val="18"/>
                <w:lang w:val="ro-RO"/>
              </w:rPr>
              <w:t>ного бюджета</w:t>
            </w:r>
          </w:p>
        </w:tc>
        <w:tc>
          <w:tcPr>
            <w:tcW w:w="844" w:type="dxa"/>
            <w:tcBorders>
              <w:top w:val="nil"/>
              <w:left w:val="nil"/>
              <w:bottom w:val="single" w:sz="8" w:space="0" w:color="auto"/>
              <w:right w:val="single" w:sz="8" w:space="0" w:color="auto"/>
            </w:tcBorders>
            <w:shd w:val="clear" w:color="auto" w:fill="auto"/>
            <w:vAlign w:val="center"/>
            <w:hideMark/>
          </w:tcPr>
          <w:p w14:paraId="3DA211A0" w14:textId="77777777" w:rsidR="00E41155" w:rsidRPr="00736448" w:rsidRDefault="00E41155" w:rsidP="00E41155">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10724.7</w:t>
            </w:r>
          </w:p>
        </w:tc>
        <w:tc>
          <w:tcPr>
            <w:tcW w:w="809" w:type="dxa"/>
            <w:tcBorders>
              <w:top w:val="nil"/>
              <w:left w:val="nil"/>
              <w:bottom w:val="single" w:sz="8" w:space="0" w:color="auto"/>
              <w:right w:val="single" w:sz="8" w:space="0" w:color="auto"/>
            </w:tcBorders>
            <w:shd w:val="clear" w:color="auto" w:fill="auto"/>
            <w:vAlign w:val="center"/>
            <w:hideMark/>
          </w:tcPr>
          <w:p w14:paraId="0D8AF1FB" w14:textId="77777777" w:rsidR="00E41155" w:rsidRPr="00736448" w:rsidRDefault="00E41155" w:rsidP="00E41155">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12550</w:t>
            </w:r>
          </w:p>
        </w:tc>
        <w:tc>
          <w:tcPr>
            <w:tcW w:w="900" w:type="dxa"/>
            <w:tcBorders>
              <w:top w:val="nil"/>
              <w:left w:val="nil"/>
              <w:bottom w:val="single" w:sz="8" w:space="0" w:color="auto"/>
              <w:right w:val="single" w:sz="8" w:space="0" w:color="auto"/>
            </w:tcBorders>
            <w:shd w:val="clear" w:color="auto" w:fill="auto"/>
            <w:vAlign w:val="center"/>
            <w:hideMark/>
          </w:tcPr>
          <w:p w14:paraId="2671EF45" w14:textId="77777777" w:rsidR="00E41155" w:rsidRPr="00736448" w:rsidRDefault="00E41155" w:rsidP="00E41155">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15302.4</w:t>
            </w:r>
          </w:p>
        </w:tc>
        <w:tc>
          <w:tcPr>
            <w:tcW w:w="900" w:type="dxa"/>
            <w:tcBorders>
              <w:top w:val="nil"/>
              <w:left w:val="nil"/>
              <w:bottom w:val="single" w:sz="8" w:space="0" w:color="auto"/>
              <w:right w:val="single" w:sz="8" w:space="0" w:color="auto"/>
            </w:tcBorders>
            <w:shd w:val="clear" w:color="auto" w:fill="auto"/>
            <w:vAlign w:val="center"/>
            <w:hideMark/>
          </w:tcPr>
          <w:p w14:paraId="7BF4EFAC" w14:textId="77777777" w:rsidR="00E41155" w:rsidRPr="00736448" w:rsidRDefault="00E41155" w:rsidP="00E41155">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14794</w:t>
            </w:r>
          </w:p>
        </w:tc>
        <w:tc>
          <w:tcPr>
            <w:tcW w:w="1457" w:type="dxa"/>
            <w:tcBorders>
              <w:top w:val="nil"/>
              <w:left w:val="nil"/>
              <w:bottom w:val="single" w:sz="8" w:space="0" w:color="auto"/>
              <w:right w:val="single" w:sz="8" w:space="0" w:color="auto"/>
            </w:tcBorders>
            <w:shd w:val="clear" w:color="auto" w:fill="auto"/>
            <w:vAlign w:val="center"/>
            <w:hideMark/>
          </w:tcPr>
          <w:p w14:paraId="7E9B8FDE" w14:textId="77777777" w:rsidR="00E41155" w:rsidRPr="00736448" w:rsidRDefault="00E41155" w:rsidP="00E41155">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43.8</w:t>
            </w:r>
          </w:p>
        </w:tc>
        <w:tc>
          <w:tcPr>
            <w:tcW w:w="1080" w:type="dxa"/>
            <w:tcBorders>
              <w:top w:val="nil"/>
              <w:left w:val="nil"/>
              <w:bottom w:val="single" w:sz="8" w:space="0" w:color="auto"/>
              <w:right w:val="single" w:sz="8" w:space="0" w:color="auto"/>
            </w:tcBorders>
            <w:shd w:val="clear" w:color="auto" w:fill="auto"/>
            <w:vAlign w:val="center"/>
            <w:hideMark/>
          </w:tcPr>
          <w:p w14:paraId="30EB378D"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4069.3</w:t>
            </w:r>
          </w:p>
        </w:tc>
        <w:tc>
          <w:tcPr>
            <w:tcW w:w="720" w:type="dxa"/>
            <w:tcBorders>
              <w:top w:val="nil"/>
              <w:left w:val="nil"/>
              <w:bottom w:val="single" w:sz="8" w:space="0" w:color="auto"/>
              <w:right w:val="single" w:sz="8" w:space="0" w:color="auto"/>
            </w:tcBorders>
            <w:shd w:val="clear" w:color="auto" w:fill="auto"/>
            <w:vAlign w:val="center"/>
            <w:hideMark/>
          </w:tcPr>
          <w:p w14:paraId="4ABEF876"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137.9</w:t>
            </w:r>
          </w:p>
        </w:tc>
        <w:tc>
          <w:tcPr>
            <w:tcW w:w="876" w:type="dxa"/>
            <w:tcBorders>
              <w:top w:val="nil"/>
              <w:left w:val="nil"/>
              <w:bottom w:val="single" w:sz="8" w:space="0" w:color="auto"/>
              <w:right w:val="single" w:sz="8" w:space="0" w:color="auto"/>
            </w:tcBorders>
            <w:shd w:val="clear" w:color="auto" w:fill="auto"/>
            <w:vAlign w:val="center"/>
            <w:hideMark/>
          </w:tcPr>
          <w:p w14:paraId="1B4E9159"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-508.4</w:t>
            </w:r>
          </w:p>
        </w:tc>
        <w:tc>
          <w:tcPr>
            <w:tcW w:w="626" w:type="dxa"/>
            <w:tcBorders>
              <w:top w:val="nil"/>
              <w:left w:val="nil"/>
              <w:bottom w:val="single" w:sz="8" w:space="0" w:color="auto"/>
              <w:right w:val="single" w:sz="8" w:space="0" w:color="auto"/>
            </w:tcBorders>
            <w:shd w:val="clear" w:color="auto" w:fill="auto"/>
            <w:vAlign w:val="center"/>
            <w:hideMark/>
          </w:tcPr>
          <w:p w14:paraId="302ACBF0"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96.7</w:t>
            </w:r>
          </w:p>
        </w:tc>
      </w:tr>
      <w:tr w:rsidR="00E41155" w:rsidRPr="00B7675F" w14:paraId="641C9892" w14:textId="77777777" w:rsidTr="002C203D">
        <w:trPr>
          <w:trHeight w:val="20"/>
        </w:trPr>
        <w:tc>
          <w:tcPr>
            <w:tcW w:w="5350" w:type="dxa"/>
            <w:tcBorders>
              <w:top w:val="nil"/>
              <w:left w:val="single" w:sz="8" w:space="0" w:color="auto"/>
              <w:bottom w:val="single" w:sz="8" w:space="0" w:color="auto"/>
              <w:right w:val="single" w:sz="8" w:space="0" w:color="auto"/>
            </w:tcBorders>
            <w:shd w:val="clear" w:color="auto" w:fill="auto"/>
            <w:hideMark/>
          </w:tcPr>
          <w:p w14:paraId="19568D92" w14:textId="77DC0675" w:rsidR="00E41155" w:rsidRPr="00736448" w:rsidRDefault="00E41155" w:rsidP="00E41155">
            <w:pPr>
              <w:spacing w:after="0" w:line="240" w:lineRule="auto"/>
              <w:jc w:val="both"/>
              <w:rPr>
                <w:rFonts w:ascii="Calibri Light" w:eastAsia="Times New Roman" w:hAnsi="Calibri Light" w:cs="Calibri Light"/>
                <w:i/>
                <w:iCs/>
                <w:color w:val="000000"/>
                <w:sz w:val="16"/>
                <w:szCs w:val="16"/>
                <w:lang w:val="ro-MD"/>
              </w:rPr>
            </w:pPr>
            <w:r w:rsidRPr="00E82CC1">
              <w:rPr>
                <w:rFonts w:ascii="Calibri Light" w:eastAsia="Times New Roman" w:hAnsi="Calibri Light" w:cs="Calibri Light"/>
                <w:i/>
                <w:iCs/>
                <w:color w:val="000000"/>
                <w:sz w:val="16"/>
                <w:szCs w:val="16"/>
                <w:lang w:val="ro-RO"/>
              </w:rPr>
              <w:t xml:space="preserve">2.1. </w:t>
            </w:r>
            <w:r>
              <w:rPr>
                <w:rFonts w:ascii="Calibri Light" w:eastAsia="Times New Roman" w:hAnsi="Calibri Light" w:cs="Calibri Light"/>
                <w:i/>
                <w:iCs/>
                <w:color w:val="000000"/>
                <w:sz w:val="16"/>
                <w:szCs w:val="16"/>
                <w:lang w:val="ru-RU"/>
              </w:rPr>
              <w:t>Полученные</w:t>
            </w:r>
            <w:r w:rsidRPr="00F110DC">
              <w:rPr>
                <w:rFonts w:ascii="Calibri Light" w:eastAsia="Times New Roman" w:hAnsi="Calibri Light" w:cs="Calibri Light"/>
                <w:i/>
                <w:iCs/>
                <w:color w:val="000000"/>
                <w:sz w:val="16"/>
                <w:szCs w:val="16"/>
                <w:lang w:val="ru-RU"/>
              </w:rPr>
              <w:t xml:space="preserve"> </w:t>
            </w:r>
            <w:r>
              <w:rPr>
                <w:rFonts w:ascii="Calibri Light" w:eastAsia="Times New Roman" w:hAnsi="Calibri Light" w:cs="Calibri Light"/>
                <w:i/>
                <w:iCs/>
                <w:color w:val="000000"/>
                <w:sz w:val="16"/>
                <w:szCs w:val="16"/>
                <w:lang w:val="ru-RU"/>
              </w:rPr>
              <w:t>т</w:t>
            </w:r>
            <w:r w:rsidRPr="00F110DC">
              <w:rPr>
                <w:rFonts w:ascii="Calibri Light" w:eastAsia="Times New Roman" w:hAnsi="Calibri Light" w:cs="Calibri Light"/>
                <w:i/>
                <w:iCs/>
                <w:color w:val="000000"/>
                <w:sz w:val="16"/>
                <w:szCs w:val="16"/>
                <w:lang w:val="ru-RU"/>
              </w:rPr>
              <w:t>екущи</w:t>
            </w:r>
            <w:r>
              <w:rPr>
                <w:rFonts w:ascii="Calibri Light" w:eastAsia="Times New Roman" w:hAnsi="Calibri Light" w:cs="Calibri Light"/>
                <w:i/>
                <w:iCs/>
                <w:color w:val="000000"/>
                <w:sz w:val="16"/>
                <w:szCs w:val="16"/>
                <w:lang w:val="ru-RU"/>
              </w:rPr>
              <w:t>е</w:t>
            </w:r>
            <w:r w:rsidRPr="00F110DC">
              <w:rPr>
                <w:rFonts w:ascii="Calibri Light" w:eastAsia="Times New Roman" w:hAnsi="Calibri Light" w:cs="Calibri Light"/>
                <w:i/>
                <w:iCs/>
                <w:color w:val="000000"/>
                <w:sz w:val="16"/>
                <w:szCs w:val="16"/>
                <w:lang w:val="ru-RU"/>
              </w:rPr>
              <w:t xml:space="preserve"> трансферт</w:t>
            </w:r>
            <w:r>
              <w:rPr>
                <w:rFonts w:ascii="Calibri Light" w:eastAsia="Times New Roman" w:hAnsi="Calibri Light" w:cs="Calibri Light"/>
                <w:i/>
                <w:iCs/>
                <w:color w:val="000000"/>
                <w:sz w:val="16"/>
                <w:szCs w:val="16"/>
                <w:lang w:val="ru-RU"/>
              </w:rPr>
              <w:t>ы</w:t>
            </w:r>
            <w:r w:rsidRPr="00F110DC">
              <w:rPr>
                <w:rFonts w:ascii="Calibri Light" w:eastAsia="Times New Roman" w:hAnsi="Calibri Light" w:cs="Calibri Light"/>
                <w:i/>
                <w:iCs/>
                <w:color w:val="000000"/>
                <w:sz w:val="16"/>
                <w:szCs w:val="16"/>
                <w:lang w:val="ru-RU"/>
              </w:rPr>
              <w:t xml:space="preserve"> специального назначения между государственным бюджетом и бюджетом государственного социального страхования</w:t>
            </w:r>
            <w:r w:rsidRPr="00340182">
              <w:rPr>
                <w:rFonts w:ascii="Calibri Light" w:eastAsia="Times New Roman" w:hAnsi="Calibri Light" w:cs="Calibri Light"/>
                <w:i/>
                <w:iCs/>
                <w:color w:val="000000"/>
                <w:sz w:val="16"/>
                <w:szCs w:val="16"/>
                <w:lang w:val="ro-RO"/>
              </w:rPr>
              <w:t xml:space="preserve"> </w:t>
            </w:r>
          </w:p>
        </w:tc>
        <w:tc>
          <w:tcPr>
            <w:tcW w:w="844" w:type="dxa"/>
            <w:tcBorders>
              <w:top w:val="nil"/>
              <w:left w:val="nil"/>
              <w:bottom w:val="single" w:sz="8" w:space="0" w:color="auto"/>
              <w:right w:val="single" w:sz="8" w:space="0" w:color="auto"/>
            </w:tcBorders>
            <w:shd w:val="clear" w:color="auto" w:fill="auto"/>
            <w:vAlign w:val="center"/>
            <w:hideMark/>
          </w:tcPr>
          <w:p w14:paraId="2881DEE6" w14:textId="77777777" w:rsidR="00E41155" w:rsidRPr="00736448" w:rsidRDefault="00E41155" w:rsidP="00E41155">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7884.6</w:t>
            </w:r>
          </w:p>
        </w:tc>
        <w:tc>
          <w:tcPr>
            <w:tcW w:w="809" w:type="dxa"/>
            <w:tcBorders>
              <w:top w:val="nil"/>
              <w:left w:val="nil"/>
              <w:bottom w:val="single" w:sz="8" w:space="0" w:color="auto"/>
              <w:right w:val="single" w:sz="8" w:space="0" w:color="auto"/>
            </w:tcBorders>
            <w:shd w:val="clear" w:color="auto" w:fill="auto"/>
            <w:vAlign w:val="center"/>
            <w:hideMark/>
          </w:tcPr>
          <w:p w14:paraId="1950F4A0" w14:textId="77777777" w:rsidR="00E41155" w:rsidRPr="00736448" w:rsidRDefault="00E41155" w:rsidP="00E41155">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9618.9</w:t>
            </w:r>
          </w:p>
        </w:tc>
        <w:tc>
          <w:tcPr>
            <w:tcW w:w="900" w:type="dxa"/>
            <w:tcBorders>
              <w:top w:val="nil"/>
              <w:left w:val="nil"/>
              <w:bottom w:val="single" w:sz="8" w:space="0" w:color="auto"/>
              <w:right w:val="single" w:sz="8" w:space="0" w:color="auto"/>
            </w:tcBorders>
            <w:shd w:val="clear" w:color="auto" w:fill="auto"/>
            <w:vAlign w:val="center"/>
            <w:hideMark/>
          </w:tcPr>
          <w:p w14:paraId="51C55426" w14:textId="77777777" w:rsidR="00E41155" w:rsidRPr="00736448" w:rsidRDefault="00E41155" w:rsidP="00E41155">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10483.2</w:t>
            </w:r>
          </w:p>
        </w:tc>
        <w:tc>
          <w:tcPr>
            <w:tcW w:w="900" w:type="dxa"/>
            <w:tcBorders>
              <w:top w:val="nil"/>
              <w:left w:val="nil"/>
              <w:bottom w:val="single" w:sz="8" w:space="0" w:color="auto"/>
              <w:right w:val="single" w:sz="8" w:space="0" w:color="auto"/>
            </w:tcBorders>
            <w:shd w:val="clear" w:color="auto" w:fill="auto"/>
            <w:vAlign w:val="center"/>
            <w:hideMark/>
          </w:tcPr>
          <w:p w14:paraId="1A3A0E39" w14:textId="77777777" w:rsidR="00E41155" w:rsidRPr="00736448" w:rsidRDefault="00E41155" w:rsidP="00E41155">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10359.9</w:t>
            </w:r>
          </w:p>
        </w:tc>
        <w:tc>
          <w:tcPr>
            <w:tcW w:w="1457" w:type="dxa"/>
            <w:tcBorders>
              <w:top w:val="nil"/>
              <w:left w:val="nil"/>
              <w:bottom w:val="single" w:sz="8" w:space="0" w:color="auto"/>
              <w:right w:val="single" w:sz="8" w:space="0" w:color="auto"/>
            </w:tcBorders>
            <w:shd w:val="clear" w:color="auto" w:fill="auto"/>
            <w:vAlign w:val="center"/>
            <w:hideMark/>
          </w:tcPr>
          <w:p w14:paraId="40406112" w14:textId="77777777" w:rsidR="00E41155" w:rsidRPr="00736448" w:rsidRDefault="00E41155" w:rsidP="00E41155">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70.0</w:t>
            </w:r>
          </w:p>
        </w:tc>
        <w:tc>
          <w:tcPr>
            <w:tcW w:w="1080" w:type="dxa"/>
            <w:tcBorders>
              <w:top w:val="nil"/>
              <w:left w:val="nil"/>
              <w:bottom w:val="single" w:sz="8" w:space="0" w:color="auto"/>
              <w:right w:val="single" w:sz="8" w:space="0" w:color="auto"/>
            </w:tcBorders>
            <w:shd w:val="clear" w:color="auto" w:fill="auto"/>
            <w:vAlign w:val="center"/>
            <w:hideMark/>
          </w:tcPr>
          <w:p w14:paraId="00D8CA82"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2475.3</w:t>
            </w:r>
          </w:p>
        </w:tc>
        <w:tc>
          <w:tcPr>
            <w:tcW w:w="720" w:type="dxa"/>
            <w:tcBorders>
              <w:top w:val="nil"/>
              <w:left w:val="nil"/>
              <w:bottom w:val="single" w:sz="8" w:space="0" w:color="auto"/>
              <w:right w:val="single" w:sz="8" w:space="0" w:color="auto"/>
            </w:tcBorders>
            <w:shd w:val="clear" w:color="auto" w:fill="auto"/>
            <w:vAlign w:val="center"/>
            <w:hideMark/>
          </w:tcPr>
          <w:p w14:paraId="17DD7DF9"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131.4</w:t>
            </w:r>
          </w:p>
        </w:tc>
        <w:tc>
          <w:tcPr>
            <w:tcW w:w="876" w:type="dxa"/>
            <w:tcBorders>
              <w:top w:val="nil"/>
              <w:left w:val="nil"/>
              <w:bottom w:val="single" w:sz="8" w:space="0" w:color="auto"/>
              <w:right w:val="single" w:sz="8" w:space="0" w:color="auto"/>
            </w:tcBorders>
            <w:shd w:val="clear" w:color="auto" w:fill="auto"/>
            <w:vAlign w:val="center"/>
            <w:hideMark/>
          </w:tcPr>
          <w:p w14:paraId="27367B66"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-123.3</w:t>
            </w:r>
          </w:p>
        </w:tc>
        <w:tc>
          <w:tcPr>
            <w:tcW w:w="626" w:type="dxa"/>
            <w:tcBorders>
              <w:top w:val="nil"/>
              <w:left w:val="nil"/>
              <w:bottom w:val="single" w:sz="8" w:space="0" w:color="auto"/>
              <w:right w:val="single" w:sz="8" w:space="0" w:color="auto"/>
            </w:tcBorders>
            <w:shd w:val="clear" w:color="auto" w:fill="auto"/>
            <w:vAlign w:val="center"/>
            <w:hideMark/>
          </w:tcPr>
          <w:p w14:paraId="7028B109" w14:textId="77777777" w:rsidR="00E41155" w:rsidRPr="00736448" w:rsidRDefault="00E41155" w:rsidP="00E41155">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98.8</w:t>
            </w:r>
          </w:p>
        </w:tc>
      </w:tr>
      <w:tr w:rsidR="003D0784" w:rsidRPr="00B7675F" w14:paraId="41455C3D" w14:textId="77777777" w:rsidTr="00155DE4">
        <w:trPr>
          <w:trHeight w:val="20"/>
        </w:trPr>
        <w:tc>
          <w:tcPr>
            <w:tcW w:w="5350" w:type="dxa"/>
            <w:tcBorders>
              <w:top w:val="nil"/>
              <w:left w:val="single" w:sz="8" w:space="0" w:color="auto"/>
              <w:bottom w:val="single" w:sz="8" w:space="0" w:color="auto"/>
              <w:right w:val="single" w:sz="8" w:space="0" w:color="auto"/>
            </w:tcBorders>
            <w:shd w:val="clear" w:color="auto" w:fill="auto"/>
            <w:vAlign w:val="center"/>
            <w:hideMark/>
          </w:tcPr>
          <w:p w14:paraId="381609A8" w14:textId="6D5B614B" w:rsidR="003D0784" w:rsidRPr="00736448" w:rsidRDefault="003D0784" w:rsidP="005F6348">
            <w:pPr>
              <w:spacing w:after="0" w:line="240" w:lineRule="auto"/>
              <w:jc w:val="both"/>
              <w:rPr>
                <w:rFonts w:ascii="Calibri Light" w:eastAsia="Times New Roman" w:hAnsi="Calibri Light" w:cs="Calibri Light"/>
                <w:i/>
                <w:iCs/>
                <w:color w:val="000000"/>
                <w:sz w:val="16"/>
                <w:szCs w:val="16"/>
                <w:lang w:val="ro-MD"/>
              </w:rPr>
            </w:pPr>
            <w:r w:rsidRPr="00736448">
              <w:rPr>
                <w:rFonts w:ascii="Calibri Light" w:eastAsia="Times New Roman" w:hAnsi="Calibri Light" w:cs="Calibri Light"/>
                <w:i/>
                <w:iCs/>
                <w:color w:val="000000"/>
                <w:sz w:val="16"/>
                <w:szCs w:val="16"/>
                <w:lang w:val="ro-MD"/>
              </w:rPr>
              <w:t xml:space="preserve">2.2. </w:t>
            </w:r>
            <w:r w:rsidR="00E41155">
              <w:rPr>
                <w:rFonts w:ascii="Calibri Light" w:eastAsia="Times New Roman" w:hAnsi="Calibri Light" w:cs="Calibri Light"/>
                <w:i/>
                <w:iCs/>
                <w:color w:val="000000"/>
                <w:sz w:val="16"/>
                <w:szCs w:val="16"/>
                <w:lang w:val="ru-RU"/>
              </w:rPr>
              <w:t>Полученные</w:t>
            </w:r>
            <w:r w:rsidR="00E41155" w:rsidRPr="00340182">
              <w:rPr>
                <w:rFonts w:ascii="Calibri Light" w:eastAsia="Times New Roman" w:hAnsi="Calibri Light" w:cs="Calibri Light"/>
                <w:i/>
                <w:iCs/>
                <w:color w:val="000000"/>
                <w:sz w:val="16"/>
                <w:szCs w:val="16"/>
                <w:lang w:val="ru-RU"/>
              </w:rPr>
              <w:t xml:space="preserve"> </w:t>
            </w:r>
            <w:r w:rsidR="00E41155">
              <w:rPr>
                <w:rFonts w:ascii="Calibri Light" w:eastAsia="Times New Roman" w:hAnsi="Calibri Light" w:cs="Calibri Light"/>
                <w:i/>
                <w:iCs/>
                <w:color w:val="000000"/>
                <w:sz w:val="16"/>
                <w:szCs w:val="16"/>
                <w:lang w:val="ru-RU"/>
              </w:rPr>
              <w:t>т</w:t>
            </w:r>
            <w:r w:rsidR="00E41155" w:rsidRPr="00340182">
              <w:rPr>
                <w:rFonts w:ascii="Calibri Light" w:eastAsia="Times New Roman" w:hAnsi="Calibri Light" w:cs="Calibri Light"/>
                <w:i/>
                <w:iCs/>
                <w:color w:val="000000"/>
                <w:sz w:val="16"/>
                <w:szCs w:val="16"/>
                <w:lang w:val="ru-RU"/>
              </w:rPr>
              <w:t>екущи</w:t>
            </w:r>
            <w:r w:rsidR="00E41155">
              <w:rPr>
                <w:rFonts w:ascii="Calibri Light" w:eastAsia="Times New Roman" w:hAnsi="Calibri Light" w:cs="Calibri Light"/>
                <w:i/>
                <w:iCs/>
                <w:color w:val="000000"/>
                <w:sz w:val="16"/>
                <w:szCs w:val="16"/>
                <w:lang w:val="ru-RU"/>
              </w:rPr>
              <w:t>е</w:t>
            </w:r>
            <w:r w:rsidR="00E41155" w:rsidRPr="00340182">
              <w:rPr>
                <w:rFonts w:ascii="Calibri Light" w:eastAsia="Times New Roman" w:hAnsi="Calibri Light" w:cs="Calibri Light"/>
                <w:i/>
                <w:iCs/>
                <w:color w:val="000000"/>
                <w:sz w:val="16"/>
                <w:szCs w:val="16"/>
                <w:lang w:val="ru-RU"/>
              </w:rPr>
              <w:t xml:space="preserve"> трансферт</w:t>
            </w:r>
            <w:r w:rsidR="00E41155">
              <w:rPr>
                <w:rFonts w:ascii="Calibri Light" w:eastAsia="Times New Roman" w:hAnsi="Calibri Light" w:cs="Calibri Light"/>
                <w:i/>
                <w:iCs/>
                <w:color w:val="000000"/>
                <w:sz w:val="16"/>
                <w:szCs w:val="16"/>
                <w:lang w:val="ru-RU"/>
              </w:rPr>
              <w:t>ы</w:t>
            </w:r>
            <w:r w:rsidR="00E41155" w:rsidRPr="00340182">
              <w:rPr>
                <w:rFonts w:ascii="Calibri Light" w:eastAsia="Times New Roman" w:hAnsi="Calibri Light" w:cs="Calibri Light"/>
                <w:i/>
                <w:iCs/>
                <w:color w:val="000000"/>
                <w:sz w:val="16"/>
                <w:szCs w:val="16"/>
                <w:lang w:val="ru-RU"/>
              </w:rPr>
              <w:t xml:space="preserve"> </w:t>
            </w:r>
            <w:r w:rsidR="00E41155">
              <w:rPr>
                <w:rFonts w:ascii="Calibri Light" w:eastAsia="Times New Roman" w:hAnsi="Calibri Light" w:cs="Calibri Light"/>
                <w:i/>
                <w:iCs/>
                <w:color w:val="000000"/>
                <w:sz w:val="16"/>
                <w:szCs w:val="16"/>
                <w:lang w:val="ru-RU"/>
              </w:rPr>
              <w:t>общег</w:t>
            </w:r>
            <w:r w:rsidR="00E41155" w:rsidRPr="00340182">
              <w:rPr>
                <w:rFonts w:ascii="Calibri Light" w:eastAsia="Times New Roman" w:hAnsi="Calibri Light" w:cs="Calibri Light"/>
                <w:i/>
                <w:iCs/>
                <w:color w:val="000000"/>
                <w:sz w:val="16"/>
                <w:szCs w:val="16"/>
                <w:lang w:val="ru-RU"/>
              </w:rPr>
              <w:t>о назначения между государственным бюджетом и бюджетом государственного социального страхования</w:t>
            </w:r>
          </w:p>
        </w:tc>
        <w:tc>
          <w:tcPr>
            <w:tcW w:w="844" w:type="dxa"/>
            <w:tcBorders>
              <w:top w:val="nil"/>
              <w:left w:val="nil"/>
              <w:bottom w:val="single" w:sz="8" w:space="0" w:color="auto"/>
              <w:right w:val="single" w:sz="8" w:space="0" w:color="auto"/>
            </w:tcBorders>
            <w:shd w:val="clear" w:color="auto" w:fill="auto"/>
            <w:vAlign w:val="center"/>
            <w:hideMark/>
          </w:tcPr>
          <w:p w14:paraId="407D4C18" w14:textId="77777777" w:rsidR="003D0784" w:rsidRPr="00736448" w:rsidRDefault="003D0784" w:rsidP="005F6348">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2840</w:t>
            </w:r>
          </w:p>
        </w:tc>
        <w:tc>
          <w:tcPr>
            <w:tcW w:w="809" w:type="dxa"/>
            <w:tcBorders>
              <w:top w:val="nil"/>
              <w:left w:val="nil"/>
              <w:bottom w:val="single" w:sz="8" w:space="0" w:color="auto"/>
              <w:right w:val="single" w:sz="8" w:space="0" w:color="auto"/>
            </w:tcBorders>
            <w:shd w:val="clear" w:color="auto" w:fill="auto"/>
            <w:vAlign w:val="center"/>
            <w:hideMark/>
          </w:tcPr>
          <w:p w14:paraId="21DD1B4C" w14:textId="77777777" w:rsidR="003D0784" w:rsidRPr="00736448" w:rsidRDefault="003D0784" w:rsidP="005F6348">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2931.1</w:t>
            </w:r>
          </w:p>
        </w:tc>
        <w:tc>
          <w:tcPr>
            <w:tcW w:w="900" w:type="dxa"/>
            <w:tcBorders>
              <w:top w:val="nil"/>
              <w:left w:val="nil"/>
              <w:bottom w:val="single" w:sz="8" w:space="0" w:color="auto"/>
              <w:right w:val="single" w:sz="8" w:space="0" w:color="auto"/>
            </w:tcBorders>
            <w:shd w:val="clear" w:color="auto" w:fill="auto"/>
            <w:vAlign w:val="center"/>
            <w:hideMark/>
          </w:tcPr>
          <w:p w14:paraId="3A6CFFA3" w14:textId="77777777" w:rsidR="003D0784" w:rsidRPr="00736448" w:rsidRDefault="003D0784" w:rsidP="005F6348">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4819.1</w:t>
            </w:r>
          </w:p>
        </w:tc>
        <w:tc>
          <w:tcPr>
            <w:tcW w:w="900" w:type="dxa"/>
            <w:tcBorders>
              <w:top w:val="nil"/>
              <w:left w:val="nil"/>
              <w:bottom w:val="single" w:sz="8" w:space="0" w:color="auto"/>
              <w:right w:val="single" w:sz="8" w:space="0" w:color="auto"/>
            </w:tcBorders>
            <w:shd w:val="clear" w:color="auto" w:fill="auto"/>
            <w:vAlign w:val="center"/>
            <w:hideMark/>
          </w:tcPr>
          <w:p w14:paraId="0297DF91" w14:textId="77777777" w:rsidR="003D0784" w:rsidRPr="00736448" w:rsidRDefault="003D0784" w:rsidP="005F6348">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4434.1</w:t>
            </w:r>
          </w:p>
        </w:tc>
        <w:tc>
          <w:tcPr>
            <w:tcW w:w="1457" w:type="dxa"/>
            <w:tcBorders>
              <w:top w:val="nil"/>
              <w:left w:val="nil"/>
              <w:bottom w:val="single" w:sz="8" w:space="0" w:color="auto"/>
              <w:right w:val="single" w:sz="8" w:space="0" w:color="auto"/>
            </w:tcBorders>
            <w:shd w:val="clear" w:color="auto" w:fill="auto"/>
            <w:vAlign w:val="center"/>
            <w:hideMark/>
          </w:tcPr>
          <w:p w14:paraId="17687EDE" w14:textId="77777777" w:rsidR="003D0784" w:rsidRPr="00736448" w:rsidRDefault="003D0784" w:rsidP="005F6348">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30.0</w:t>
            </w:r>
          </w:p>
        </w:tc>
        <w:tc>
          <w:tcPr>
            <w:tcW w:w="1080" w:type="dxa"/>
            <w:tcBorders>
              <w:top w:val="nil"/>
              <w:left w:val="nil"/>
              <w:bottom w:val="single" w:sz="8" w:space="0" w:color="auto"/>
              <w:right w:val="single" w:sz="8" w:space="0" w:color="auto"/>
            </w:tcBorders>
            <w:shd w:val="clear" w:color="auto" w:fill="auto"/>
            <w:vAlign w:val="center"/>
            <w:hideMark/>
          </w:tcPr>
          <w:p w14:paraId="1ED7BF2E"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1594.1</w:t>
            </w:r>
          </w:p>
        </w:tc>
        <w:tc>
          <w:tcPr>
            <w:tcW w:w="720" w:type="dxa"/>
            <w:tcBorders>
              <w:top w:val="nil"/>
              <w:left w:val="nil"/>
              <w:bottom w:val="single" w:sz="8" w:space="0" w:color="auto"/>
              <w:right w:val="single" w:sz="8" w:space="0" w:color="auto"/>
            </w:tcBorders>
            <w:shd w:val="clear" w:color="auto" w:fill="auto"/>
            <w:vAlign w:val="center"/>
            <w:hideMark/>
          </w:tcPr>
          <w:p w14:paraId="55CDF87D"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156.1</w:t>
            </w:r>
          </w:p>
        </w:tc>
        <w:tc>
          <w:tcPr>
            <w:tcW w:w="876" w:type="dxa"/>
            <w:tcBorders>
              <w:top w:val="nil"/>
              <w:left w:val="nil"/>
              <w:bottom w:val="single" w:sz="8" w:space="0" w:color="auto"/>
              <w:right w:val="single" w:sz="8" w:space="0" w:color="auto"/>
            </w:tcBorders>
            <w:shd w:val="clear" w:color="auto" w:fill="auto"/>
            <w:vAlign w:val="center"/>
            <w:hideMark/>
          </w:tcPr>
          <w:p w14:paraId="59C2B6C4"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-385</w:t>
            </w:r>
          </w:p>
        </w:tc>
        <w:tc>
          <w:tcPr>
            <w:tcW w:w="626" w:type="dxa"/>
            <w:tcBorders>
              <w:top w:val="nil"/>
              <w:left w:val="nil"/>
              <w:bottom w:val="single" w:sz="8" w:space="0" w:color="auto"/>
              <w:right w:val="single" w:sz="8" w:space="0" w:color="auto"/>
            </w:tcBorders>
            <w:shd w:val="clear" w:color="auto" w:fill="auto"/>
            <w:vAlign w:val="center"/>
            <w:hideMark/>
          </w:tcPr>
          <w:p w14:paraId="1DEA5180"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92.0</w:t>
            </w:r>
          </w:p>
        </w:tc>
      </w:tr>
    </w:tbl>
    <w:p w14:paraId="1CF0679B" w14:textId="79D89BB4" w:rsidR="003D0784" w:rsidRPr="00736448" w:rsidRDefault="00863CC5" w:rsidP="003D0784">
      <w:pPr>
        <w:rPr>
          <w:rFonts w:ascii="Calibri Light" w:eastAsia="Calibri" w:hAnsi="Calibri Light" w:cs="Calibri Light"/>
          <w:i/>
          <w:sz w:val="16"/>
          <w:szCs w:val="16"/>
          <w:lang w:val="ro-MD"/>
        </w:rPr>
      </w:pPr>
      <w:r>
        <w:rPr>
          <w:rFonts w:ascii="Calibri Light" w:eastAsia="Calibri" w:hAnsi="Calibri Light" w:cs="Calibri Light"/>
          <w:b/>
          <w:bCs/>
          <w:i/>
          <w:sz w:val="16"/>
          <w:szCs w:val="16"/>
          <w:lang w:val="ro-MD"/>
        </w:rPr>
        <w:t>Источник</w:t>
      </w:r>
      <w:r w:rsidR="003D0784" w:rsidRPr="00736448">
        <w:rPr>
          <w:rFonts w:ascii="Calibri Light" w:eastAsia="Calibri" w:hAnsi="Calibri Light" w:cs="Calibri Light"/>
          <w:b/>
          <w:bCs/>
          <w:i/>
          <w:sz w:val="16"/>
          <w:szCs w:val="16"/>
          <w:lang w:val="ro-MD"/>
        </w:rPr>
        <w:t>:</w:t>
      </w:r>
      <w:r w:rsidR="003D0784" w:rsidRPr="00736448">
        <w:rPr>
          <w:rFonts w:ascii="Calibri Light" w:eastAsia="Calibri" w:hAnsi="Calibri Light" w:cs="Calibri Light"/>
          <w:i/>
          <w:sz w:val="16"/>
          <w:szCs w:val="16"/>
          <w:lang w:val="ro-MD"/>
        </w:rPr>
        <w:t xml:space="preserve"> </w:t>
      </w:r>
      <w:r w:rsidR="00E41155" w:rsidRPr="00340182">
        <w:rPr>
          <w:rFonts w:ascii="Calibri Light" w:eastAsia="Calibri" w:hAnsi="Calibri Light" w:cs="Calibri Light"/>
          <w:i/>
          <w:sz w:val="16"/>
          <w:szCs w:val="16"/>
          <w:lang w:val="ro-RO"/>
        </w:rPr>
        <w:t xml:space="preserve">Отчеты </w:t>
      </w:r>
      <w:r w:rsidR="00E41155">
        <w:rPr>
          <w:rFonts w:ascii="Calibri Light" w:eastAsia="Calibri" w:hAnsi="Calibri Light" w:cs="Calibri Light"/>
          <w:i/>
          <w:sz w:val="16"/>
          <w:szCs w:val="16"/>
          <w:lang w:val="ru-RU"/>
        </w:rPr>
        <w:t>об</w:t>
      </w:r>
      <w:r w:rsidR="00E41155" w:rsidRPr="00340182">
        <w:rPr>
          <w:rFonts w:ascii="Calibri Light" w:eastAsia="Calibri" w:hAnsi="Calibri Light" w:cs="Calibri Light"/>
          <w:i/>
          <w:sz w:val="16"/>
          <w:szCs w:val="16"/>
          <w:lang w:val="ro-RO"/>
        </w:rPr>
        <w:t xml:space="preserve"> исполнени</w:t>
      </w:r>
      <w:r w:rsidR="00E41155">
        <w:rPr>
          <w:rFonts w:ascii="Calibri Light" w:eastAsia="Calibri" w:hAnsi="Calibri Light" w:cs="Calibri Light"/>
          <w:i/>
          <w:sz w:val="16"/>
          <w:szCs w:val="16"/>
          <w:lang w:val="ru-RU"/>
        </w:rPr>
        <w:t>и</w:t>
      </w:r>
      <w:r w:rsidR="00E41155" w:rsidRPr="00340182">
        <w:rPr>
          <w:rFonts w:ascii="Calibri Light" w:eastAsia="Calibri" w:hAnsi="Calibri Light" w:cs="Calibri Light"/>
          <w:i/>
          <w:sz w:val="16"/>
          <w:szCs w:val="16"/>
          <w:lang w:val="ro-RO"/>
        </w:rPr>
        <w:t xml:space="preserve"> бюджета государственного социального страхования </w:t>
      </w:r>
      <w:r w:rsidR="00E41155">
        <w:rPr>
          <w:rFonts w:ascii="Calibri Light" w:eastAsia="Calibri" w:hAnsi="Calibri Light" w:cs="Calibri Light"/>
          <w:i/>
          <w:sz w:val="16"/>
          <w:szCs w:val="16"/>
          <w:lang w:val="ru-RU"/>
        </w:rPr>
        <w:t>з</w:t>
      </w:r>
      <w:r w:rsidR="00E41155" w:rsidRPr="00340182">
        <w:rPr>
          <w:rFonts w:ascii="Calibri Light" w:eastAsia="Calibri" w:hAnsi="Calibri Light" w:cs="Calibri Light"/>
          <w:i/>
          <w:sz w:val="16"/>
          <w:szCs w:val="16"/>
          <w:lang w:val="ro-RO"/>
        </w:rPr>
        <w:t>а 202</w:t>
      </w:r>
      <w:r w:rsidR="00E41155">
        <w:rPr>
          <w:rFonts w:ascii="Calibri Light" w:eastAsia="Calibri" w:hAnsi="Calibri Light" w:cs="Calibri Light"/>
          <w:i/>
          <w:sz w:val="16"/>
          <w:szCs w:val="16"/>
          <w:lang w:val="ru-RU"/>
        </w:rPr>
        <w:t>1</w:t>
      </w:r>
      <w:r w:rsidR="00E41155" w:rsidRPr="00340182">
        <w:rPr>
          <w:rFonts w:ascii="Calibri Light" w:eastAsia="Calibri" w:hAnsi="Calibri Light" w:cs="Calibri Light"/>
          <w:i/>
          <w:sz w:val="16"/>
          <w:szCs w:val="16"/>
          <w:lang w:val="ro-RO"/>
        </w:rPr>
        <w:t xml:space="preserve"> и 202</w:t>
      </w:r>
      <w:r w:rsidR="00E41155">
        <w:rPr>
          <w:rFonts w:ascii="Calibri Light" w:eastAsia="Calibri" w:hAnsi="Calibri Light" w:cs="Calibri Light"/>
          <w:i/>
          <w:sz w:val="16"/>
          <w:szCs w:val="16"/>
          <w:lang w:val="ru-RU"/>
        </w:rPr>
        <w:t>2</w:t>
      </w:r>
      <w:r w:rsidR="00E41155" w:rsidRPr="00340182">
        <w:rPr>
          <w:rFonts w:ascii="Calibri Light" w:eastAsia="Calibri" w:hAnsi="Calibri Light" w:cs="Calibri Light"/>
          <w:i/>
          <w:sz w:val="16"/>
          <w:szCs w:val="16"/>
          <w:lang w:val="ro-RO"/>
        </w:rPr>
        <w:t>годы (</w:t>
      </w:r>
      <w:r w:rsidR="00E41155">
        <w:rPr>
          <w:rFonts w:ascii="Calibri Light" w:eastAsia="Calibri" w:hAnsi="Calibri Light" w:cs="Calibri Light"/>
          <w:i/>
          <w:sz w:val="16"/>
          <w:szCs w:val="16"/>
          <w:lang w:val="ru-RU"/>
        </w:rPr>
        <w:t>Ф</w:t>
      </w:r>
      <w:r w:rsidR="00E41155" w:rsidRPr="00340182">
        <w:rPr>
          <w:rFonts w:ascii="Calibri Light" w:eastAsia="Calibri" w:hAnsi="Calibri Light" w:cs="Calibri Light"/>
          <w:i/>
          <w:sz w:val="16"/>
          <w:szCs w:val="16"/>
          <w:lang w:val="ro-RO"/>
        </w:rPr>
        <w:t>орм</w:t>
      </w:r>
      <w:r w:rsidR="00E41155">
        <w:rPr>
          <w:rFonts w:ascii="Calibri Light" w:eastAsia="Calibri" w:hAnsi="Calibri Light" w:cs="Calibri Light"/>
          <w:i/>
          <w:sz w:val="16"/>
          <w:szCs w:val="16"/>
          <w:lang w:val="ru-RU"/>
        </w:rPr>
        <w:t>уляр</w:t>
      </w:r>
      <w:r w:rsidR="00E41155" w:rsidRPr="00340182">
        <w:rPr>
          <w:rFonts w:ascii="Calibri Light" w:eastAsia="Calibri" w:hAnsi="Calibri Light" w:cs="Calibri Light"/>
          <w:i/>
          <w:sz w:val="16"/>
          <w:szCs w:val="16"/>
          <w:lang w:val="ro-RO"/>
        </w:rPr>
        <w:t xml:space="preserve"> №4 НКСС)</w:t>
      </w:r>
      <w:r w:rsidR="003D0784" w:rsidRPr="00736448">
        <w:rPr>
          <w:rFonts w:ascii="Calibri Light" w:eastAsia="Calibri" w:hAnsi="Calibri Light" w:cs="Calibri Light"/>
          <w:i/>
          <w:sz w:val="16"/>
          <w:szCs w:val="16"/>
          <w:lang w:val="ro-MD"/>
        </w:rPr>
        <w:t>.</w:t>
      </w:r>
    </w:p>
    <w:p w14:paraId="4DC357CF" w14:textId="77777777" w:rsidR="003D0784" w:rsidRPr="00736448" w:rsidRDefault="003D0784" w:rsidP="003D0784">
      <w:pPr>
        <w:tabs>
          <w:tab w:val="left" w:pos="162"/>
        </w:tabs>
        <w:spacing w:after="0" w:line="276" w:lineRule="auto"/>
        <w:jc w:val="right"/>
        <w:outlineLvl w:val="1"/>
        <w:rPr>
          <w:rFonts w:ascii="Calibri Light" w:eastAsia="Times New Roman" w:hAnsi="Calibri Light" w:cs="Calibri Light"/>
          <w:b/>
          <w:sz w:val="24"/>
          <w:szCs w:val="24"/>
          <w:lang w:val="ro-MD"/>
        </w:rPr>
        <w:sectPr w:rsidR="003D0784" w:rsidRPr="00736448" w:rsidSect="008B5EDB">
          <w:type w:val="continuous"/>
          <w:pgSz w:w="15840" w:h="12240" w:orient="landscape"/>
          <w:pgMar w:top="1276" w:right="1134" w:bottom="850" w:left="1134" w:header="720" w:footer="720" w:gutter="0"/>
          <w:cols w:space="720"/>
          <w:docGrid w:linePitch="360"/>
        </w:sectPr>
      </w:pPr>
    </w:p>
    <w:p w14:paraId="5A0C8A5F" w14:textId="760CD6DE" w:rsidR="003D0784" w:rsidRPr="00736448" w:rsidRDefault="00FC62B3" w:rsidP="003D0784">
      <w:pPr>
        <w:tabs>
          <w:tab w:val="left" w:pos="162"/>
        </w:tabs>
        <w:spacing w:after="0" w:line="276" w:lineRule="auto"/>
        <w:jc w:val="right"/>
        <w:outlineLvl w:val="1"/>
        <w:rPr>
          <w:rFonts w:ascii="Calibri Light" w:eastAsia="Times New Roman" w:hAnsi="Calibri Light" w:cs="Calibri Light"/>
          <w:b/>
          <w:sz w:val="24"/>
          <w:szCs w:val="24"/>
          <w:lang w:val="ro-MD"/>
        </w:rPr>
      </w:pPr>
      <w:r>
        <w:rPr>
          <w:rFonts w:ascii="Calibri Light" w:eastAsia="Times New Roman" w:hAnsi="Calibri Light" w:cs="Calibri Light"/>
          <w:b/>
          <w:sz w:val="24"/>
          <w:szCs w:val="24"/>
          <w:lang w:val="ro-MD"/>
        </w:rPr>
        <w:t>Приложение №</w:t>
      </w:r>
      <w:r w:rsidR="003D0784" w:rsidRPr="00736448">
        <w:rPr>
          <w:rFonts w:ascii="Calibri Light" w:eastAsia="Times New Roman" w:hAnsi="Calibri Light" w:cs="Calibri Light"/>
          <w:b/>
          <w:sz w:val="24"/>
          <w:szCs w:val="24"/>
          <w:lang w:val="ro-MD"/>
        </w:rPr>
        <w:t xml:space="preserve"> </w:t>
      </w:r>
      <w:r w:rsidR="008B5EDB" w:rsidRPr="00736448">
        <w:rPr>
          <w:rFonts w:ascii="Calibri Light" w:eastAsia="Times New Roman" w:hAnsi="Calibri Light" w:cs="Calibri Light"/>
          <w:b/>
          <w:sz w:val="24"/>
          <w:szCs w:val="24"/>
          <w:lang w:val="ro-MD"/>
        </w:rPr>
        <w:t>12</w:t>
      </w:r>
    </w:p>
    <w:p w14:paraId="2E25471D" w14:textId="763C290B" w:rsidR="003D0784" w:rsidRPr="00736448" w:rsidRDefault="00622BCC" w:rsidP="003D0784">
      <w:pPr>
        <w:spacing w:after="0"/>
        <w:jc w:val="center"/>
        <w:rPr>
          <w:rFonts w:ascii="Calibri Light" w:eastAsia="Times New Roman" w:hAnsi="Calibri Light" w:cs="Calibri Light"/>
          <w:b/>
          <w:sz w:val="24"/>
          <w:szCs w:val="24"/>
          <w:lang w:val="ro-MD"/>
        </w:rPr>
      </w:pPr>
      <w:r w:rsidRPr="00E66EE4">
        <w:rPr>
          <w:rFonts w:ascii="Calibri Light" w:eastAsia="Times New Roman" w:hAnsi="Calibri Light" w:cs="Calibri Light"/>
          <w:b/>
          <w:sz w:val="24"/>
          <w:szCs w:val="24"/>
          <w:lang w:val="ro-RO"/>
        </w:rPr>
        <w:t>Информация об остатке денежных средств</w:t>
      </w:r>
    </w:p>
    <w:p w14:paraId="6725ECE3" w14:textId="68D72013" w:rsidR="003D0784" w:rsidRPr="00736448" w:rsidRDefault="003D0784" w:rsidP="003D0784">
      <w:pPr>
        <w:spacing w:after="0"/>
        <w:jc w:val="right"/>
        <w:rPr>
          <w:rFonts w:ascii="Calibri Light" w:eastAsia="Times New Roman" w:hAnsi="Calibri Light" w:cs="Calibri Light"/>
          <w:b/>
          <w:sz w:val="20"/>
          <w:szCs w:val="20"/>
          <w:lang w:val="ro-MD"/>
        </w:rPr>
      </w:pPr>
      <w:r w:rsidRPr="00736448">
        <w:rPr>
          <w:rFonts w:ascii="Calibri Light" w:eastAsia="Times New Roman" w:hAnsi="Calibri Light" w:cs="Calibri Light"/>
          <w:b/>
          <w:sz w:val="24"/>
          <w:szCs w:val="24"/>
          <w:lang w:val="ro-MD"/>
        </w:rPr>
        <w:t xml:space="preserve"> </w:t>
      </w:r>
      <w:r w:rsidRPr="00736448">
        <w:rPr>
          <w:rFonts w:ascii="Calibri Light" w:eastAsia="Times New Roman" w:hAnsi="Calibri Light" w:cs="Calibri Light"/>
          <w:b/>
          <w:sz w:val="20"/>
          <w:szCs w:val="20"/>
          <w:lang w:val="ro-MD"/>
        </w:rPr>
        <w:t>(</w:t>
      </w:r>
      <w:r w:rsidR="00C0319C">
        <w:rPr>
          <w:rFonts w:ascii="Calibri Light" w:eastAsia="Times New Roman" w:hAnsi="Calibri Light" w:cs="Calibri Light"/>
          <w:b/>
          <w:sz w:val="20"/>
          <w:szCs w:val="20"/>
          <w:lang w:val="ro-MD"/>
        </w:rPr>
        <w:t>тыс. леев</w:t>
      </w:r>
      <w:r w:rsidRPr="00736448">
        <w:rPr>
          <w:rFonts w:ascii="Calibri Light" w:eastAsia="Times New Roman" w:hAnsi="Calibri Light" w:cs="Calibri Light"/>
          <w:b/>
          <w:sz w:val="20"/>
          <w:szCs w:val="20"/>
          <w:lang w:val="ro-MD"/>
        </w:rPr>
        <w:t>)</w:t>
      </w:r>
    </w:p>
    <w:tbl>
      <w:tblPr>
        <w:tblW w:w="10252" w:type="dxa"/>
        <w:tblLook w:val="04A0" w:firstRow="1" w:lastRow="0" w:firstColumn="1" w:lastColumn="0" w:noHBand="0" w:noVBand="1"/>
      </w:tblPr>
      <w:tblGrid>
        <w:gridCol w:w="1655"/>
        <w:gridCol w:w="672"/>
        <w:gridCol w:w="1348"/>
        <w:gridCol w:w="1087"/>
        <w:gridCol w:w="1245"/>
        <w:gridCol w:w="1330"/>
        <w:gridCol w:w="1425"/>
        <w:gridCol w:w="1490"/>
      </w:tblGrid>
      <w:tr w:rsidR="003D0784" w:rsidRPr="002C203D" w14:paraId="2142A247" w14:textId="77777777" w:rsidTr="00622BCC">
        <w:trPr>
          <w:trHeight w:val="20"/>
        </w:trPr>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FDBA00" w14:textId="5E02275F" w:rsidR="003D0784" w:rsidRPr="00736448" w:rsidRDefault="00622BCC" w:rsidP="00622BCC">
            <w:pPr>
              <w:spacing w:after="0" w:line="240" w:lineRule="auto"/>
              <w:jc w:val="center"/>
              <w:rPr>
                <w:rFonts w:asciiTheme="majorHAnsi" w:eastAsia="Times New Roman" w:hAnsiTheme="majorHAnsi" w:cstheme="majorHAnsi"/>
                <w:b/>
                <w:color w:val="000000"/>
                <w:lang w:val="ro-MD"/>
              </w:rPr>
            </w:pPr>
            <w:r>
              <w:rPr>
                <w:rFonts w:asciiTheme="majorHAnsi" w:eastAsia="Times New Roman" w:hAnsiTheme="majorHAnsi" w:cstheme="majorHAnsi"/>
                <w:b/>
                <w:color w:val="000000"/>
                <w:lang w:val="ru-RU"/>
              </w:rPr>
              <w:t>Название</w:t>
            </w:r>
          </w:p>
        </w:tc>
        <w:tc>
          <w:tcPr>
            <w:tcW w:w="6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D55D4F" w14:textId="76FDAFC9" w:rsidR="003D0784" w:rsidRPr="00622BCC" w:rsidRDefault="00622BCC" w:rsidP="005F6348">
            <w:pPr>
              <w:spacing w:after="0" w:line="240" w:lineRule="auto"/>
              <w:jc w:val="center"/>
              <w:rPr>
                <w:rFonts w:asciiTheme="majorHAnsi" w:eastAsia="Times New Roman" w:hAnsiTheme="majorHAnsi" w:cstheme="majorHAnsi"/>
                <w:b/>
                <w:color w:val="000000"/>
                <w:lang w:val="ru-RU"/>
              </w:rPr>
            </w:pPr>
            <w:r>
              <w:rPr>
                <w:rFonts w:asciiTheme="majorHAnsi" w:eastAsia="Times New Roman" w:hAnsiTheme="majorHAnsi" w:cstheme="majorHAnsi"/>
                <w:b/>
                <w:color w:val="000000"/>
                <w:lang w:val="ru-RU"/>
              </w:rPr>
              <w:t>ЭКО</w:t>
            </w:r>
          </w:p>
        </w:tc>
        <w:tc>
          <w:tcPr>
            <w:tcW w:w="2435" w:type="dxa"/>
            <w:gridSpan w:val="2"/>
            <w:tcBorders>
              <w:top w:val="single" w:sz="4" w:space="0" w:color="auto"/>
              <w:left w:val="nil"/>
              <w:bottom w:val="single" w:sz="4" w:space="0" w:color="auto"/>
              <w:right w:val="single" w:sz="4" w:space="0" w:color="000000"/>
            </w:tcBorders>
            <w:shd w:val="clear" w:color="auto" w:fill="auto"/>
            <w:vAlign w:val="center"/>
            <w:hideMark/>
          </w:tcPr>
          <w:p w14:paraId="086941DF" w14:textId="6FC4CC1F" w:rsidR="003D0784" w:rsidRPr="00622BCC" w:rsidRDefault="00622BCC" w:rsidP="005F6348">
            <w:pPr>
              <w:spacing w:after="0" w:line="240" w:lineRule="auto"/>
              <w:jc w:val="center"/>
              <w:rPr>
                <w:rFonts w:asciiTheme="majorHAnsi" w:eastAsia="Times New Roman" w:hAnsiTheme="majorHAnsi" w:cstheme="majorHAnsi"/>
                <w:b/>
                <w:color w:val="000000"/>
                <w:lang w:val="ru-RU"/>
              </w:rPr>
            </w:pPr>
            <w:r>
              <w:rPr>
                <w:rFonts w:asciiTheme="majorHAnsi" w:eastAsia="Times New Roman" w:hAnsiTheme="majorHAnsi" w:cstheme="majorHAnsi"/>
                <w:b/>
                <w:color w:val="000000"/>
                <w:lang w:val="ru-RU"/>
              </w:rPr>
              <w:t>План</w:t>
            </w:r>
          </w:p>
        </w:tc>
        <w:tc>
          <w:tcPr>
            <w:tcW w:w="1245" w:type="dxa"/>
            <w:vMerge w:val="restart"/>
            <w:tcBorders>
              <w:top w:val="single" w:sz="4" w:space="0" w:color="auto"/>
              <w:left w:val="nil"/>
              <w:right w:val="single" w:sz="4" w:space="0" w:color="auto"/>
            </w:tcBorders>
            <w:shd w:val="clear" w:color="auto" w:fill="auto"/>
            <w:vAlign w:val="center"/>
            <w:hideMark/>
          </w:tcPr>
          <w:p w14:paraId="4910B4E5" w14:textId="5741A238" w:rsidR="003D0784" w:rsidRPr="00736448" w:rsidRDefault="00622BCC" w:rsidP="005F6348">
            <w:pPr>
              <w:spacing w:after="0" w:line="240" w:lineRule="auto"/>
              <w:jc w:val="center"/>
              <w:rPr>
                <w:rFonts w:asciiTheme="majorHAnsi" w:eastAsia="Times New Roman" w:hAnsiTheme="majorHAnsi" w:cstheme="majorHAnsi"/>
                <w:b/>
                <w:color w:val="000000"/>
                <w:lang w:val="ro-MD"/>
              </w:rPr>
            </w:pPr>
            <w:r>
              <w:rPr>
                <w:rFonts w:asciiTheme="majorHAnsi" w:eastAsia="Times New Roman" w:hAnsiTheme="majorHAnsi" w:cstheme="majorHAnsi"/>
                <w:b/>
                <w:color w:val="000000"/>
                <w:lang w:val="ru-RU"/>
              </w:rPr>
              <w:t>Исполнено за текущий год</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14:paraId="20F88777" w14:textId="3796677F" w:rsidR="003D0784" w:rsidRPr="00736448" w:rsidRDefault="00622BCC" w:rsidP="005F6348">
            <w:pPr>
              <w:spacing w:after="0" w:line="240" w:lineRule="auto"/>
              <w:jc w:val="center"/>
              <w:rPr>
                <w:rFonts w:asciiTheme="majorHAnsi" w:eastAsia="Times New Roman" w:hAnsiTheme="majorHAnsi" w:cstheme="majorHAnsi"/>
                <w:b/>
                <w:color w:val="000000"/>
                <w:lang w:val="ro-MD"/>
              </w:rPr>
            </w:pPr>
            <w:r>
              <w:rPr>
                <w:rFonts w:asciiTheme="majorHAnsi" w:eastAsia="Times New Roman" w:hAnsiTheme="majorHAnsi" w:cstheme="majorHAnsi"/>
                <w:b/>
                <w:color w:val="000000"/>
                <w:lang w:val="ru-RU"/>
              </w:rPr>
              <w:t>Исполнено против уточнено</w:t>
            </w:r>
            <w:r w:rsidR="003D0784" w:rsidRPr="00736448">
              <w:rPr>
                <w:rFonts w:asciiTheme="majorHAnsi" w:eastAsia="Times New Roman" w:hAnsiTheme="majorHAnsi" w:cstheme="majorHAnsi"/>
                <w:b/>
                <w:color w:val="000000"/>
                <w:lang w:val="ro-MD"/>
              </w:rPr>
              <w:br/>
            </w:r>
          </w:p>
        </w:tc>
        <w:tc>
          <w:tcPr>
            <w:tcW w:w="1425" w:type="dxa"/>
            <w:vMerge w:val="restart"/>
            <w:tcBorders>
              <w:top w:val="single" w:sz="4" w:space="0" w:color="auto"/>
              <w:left w:val="nil"/>
              <w:right w:val="single" w:sz="4" w:space="0" w:color="auto"/>
            </w:tcBorders>
            <w:shd w:val="clear" w:color="auto" w:fill="auto"/>
            <w:vAlign w:val="center"/>
            <w:hideMark/>
          </w:tcPr>
          <w:p w14:paraId="7971A4A3" w14:textId="659C277D" w:rsidR="003D0784" w:rsidRPr="00736448" w:rsidRDefault="00622BCC" w:rsidP="005F6348">
            <w:pPr>
              <w:spacing w:after="0" w:line="240" w:lineRule="auto"/>
              <w:jc w:val="center"/>
              <w:rPr>
                <w:rFonts w:asciiTheme="majorHAnsi" w:eastAsia="Times New Roman" w:hAnsiTheme="majorHAnsi" w:cstheme="majorHAnsi"/>
                <w:b/>
                <w:color w:val="000000"/>
                <w:lang w:val="ro-MD"/>
              </w:rPr>
            </w:pPr>
            <w:r>
              <w:rPr>
                <w:rFonts w:asciiTheme="majorHAnsi" w:eastAsia="Times New Roman" w:hAnsiTheme="majorHAnsi" w:cstheme="majorHAnsi"/>
                <w:b/>
                <w:color w:val="000000"/>
                <w:lang w:val="ru-RU"/>
              </w:rPr>
              <w:t>Исполнено за предыдущий год</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14:paraId="17C5FB33" w14:textId="0293E653" w:rsidR="003D0784" w:rsidRPr="00736448" w:rsidRDefault="00622BCC" w:rsidP="005F6348">
            <w:pPr>
              <w:spacing w:after="0" w:line="240" w:lineRule="auto"/>
              <w:jc w:val="center"/>
              <w:rPr>
                <w:rFonts w:asciiTheme="majorHAnsi" w:eastAsia="Times New Roman" w:hAnsiTheme="majorHAnsi" w:cstheme="majorHAnsi"/>
                <w:b/>
                <w:color w:val="000000"/>
                <w:lang w:val="ro-MD"/>
              </w:rPr>
            </w:pPr>
            <w:r>
              <w:rPr>
                <w:rFonts w:asciiTheme="majorHAnsi" w:eastAsia="Times New Roman" w:hAnsiTheme="majorHAnsi" w:cstheme="majorHAnsi"/>
                <w:b/>
                <w:color w:val="000000"/>
                <w:lang w:val="ru-RU"/>
              </w:rPr>
              <w:t>Исполнено текущий год</w:t>
            </w:r>
            <w:r w:rsidRPr="00FC77D1">
              <w:rPr>
                <w:rFonts w:asciiTheme="majorHAnsi" w:eastAsia="Times New Roman" w:hAnsiTheme="majorHAnsi" w:cstheme="majorHAnsi"/>
                <w:b/>
                <w:color w:val="000000"/>
                <w:lang w:val="ro-RO"/>
              </w:rPr>
              <w:t xml:space="preserve"> </w:t>
            </w:r>
            <w:r>
              <w:rPr>
                <w:rFonts w:asciiTheme="majorHAnsi" w:eastAsia="Times New Roman" w:hAnsiTheme="majorHAnsi" w:cstheme="majorHAnsi"/>
                <w:b/>
                <w:color w:val="000000"/>
                <w:lang w:val="ru-RU"/>
              </w:rPr>
              <w:t>против</w:t>
            </w:r>
            <w:r w:rsidRPr="00FC77D1">
              <w:rPr>
                <w:rFonts w:asciiTheme="majorHAnsi" w:eastAsia="Times New Roman" w:hAnsiTheme="majorHAnsi" w:cstheme="majorHAnsi"/>
                <w:b/>
                <w:color w:val="000000"/>
                <w:lang w:val="ro-RO"/>
              </w:rPr>
              <w:t xml:space="preserve"> </w:t>
            </w:r>
            <w:r>
              <w:rPr>
                <w:rFonts w:asciiTheme="majorHAnsi" w:eastAsia="Times New Roman" w:hAnsiTheme="majorHAnsi" w:cstheme="majorHAnsi"/>
                <w:b/>
                <w:color w:val="000000"/>
                <w:lang w:val="ru-RU"/>
              </w:rPr>
              <w:t>предыдущего года</w:t>
            </w:r>
          </w:p>
        </w:tc>
      </w:tr>
      <w:tr w:rsidR="003D0784" w:rsidRPr="00B7675F" w14:paraId="274826D4" w14:textId="77777777" w:rsidTr="00622BCC">
        <w:trPr>
          <w:trHeight w:val="20"/>
        </w:trPr>
        <w:tc>
          <w:tcPr>
            <w:tcW w:w="1655" w:type="dxa"/>
            <w:vMerge/>
            <w:tcBorders>
              <w:top w:val="single" w:sz="4" w:space="0" w:color="auto"/>
              <w:left w:val="single" w:sz="4" w:space="0" w:color="auto"/>
              <w:bottom w:val="single" w:sz="4" w:space="0" w:color="000000"/>
              <w:right w:val="single" w:sz="4" w:space="0" w:color="auto"/>
            </w:tcBorders>
            <w:vAlign w:val="center"/>
            <w:hideMark/>
          </w:tcPr>
          <w:p w14:paraId="145853F7" w14:textId="77777777" w:rsidR="003D0784" w:rsidRPr="00736448" w:rsidRDefault="003D0784" w:rsidP="005F6348">
            <w:pPr>
              <w:spacing w:after="0" w:line="240" w:lineRule="auto"/>
              <w:jc w:val="center"/>
              <w:rPr>
                <w:rFonts w:asciiTheme="majorHAnsi" w:eastAsia="Times New Roman" w:hAnsiTheme="majorHAnsi" w:cstheme="majorHAnsi"/>
                <w:b/>
                <w:color w:val="000000"/>
                <w:lang w:val="ro-MD"/>
              </w:rPr>
            </w:pPr>
          </w:p>
        </w:tc>
        <w:tc>
          <w:tcPr>
            <w:tcW w:w="672" w:type="dxa"/>
            <w:vMerge/>
            <w:tcBorders>
              <w:top w:val="single" w:sz="4" w:space="0" w:color="auto"/>
              <w:left w:val="single" w:sz="4" w:space="0" w:color="auto"/>
              <w:bottom w:val="single" w:sz="4" w:space="0" w:color="000000"/>
              <w:right w:val="single" w:sz="4" w:space="0" w:color="auto"/>
            </w:tcBorders>
            <w:vAlign w:val="center"/>
            <w:hideMark/>
          </w:tcPr>
          <w:p w14:paraId="1B99D9DD" w14:textId="77777777" w:rsidR="003D0784" w:rsidRPr="00736448" w:rsidRDefault="003D0784" w:rsidP="005F6348">
            <w:pPr>
              <w:spacing w:after="0" w:line="240" w:lineRule="auto"/>
              <w:jc w:val="center"/>
              <w:rPr>
                <w:rFonts w:asciiTheme="majorHAnsi" w:eastAsia="Times New Roman" w:hAnsiTheme="majorHAnsi" w:cstheme="majorHAnsi"/>
                <w:b/>
                <w:color w:val="000000"/>
                <w:lang w:val="ro-MD"/>
              </w:rPr>
            </w:pPr>
          </w:p>
        </w:tc>
        <w:tc>
          <w:tcPr>
            <w:tcW w:w="1348" w:type="dxa"/>
            <w:tcBorders>
              <w:top w:val="nil"/>
              <w:left w:val="nil"/>
              <w:bottom w:val="single" w:sz="4" w:space="0" w:color="auto"/>
              <w:right w:val="single" w:sz="4" w:space="0" w:color="auto"/>
            </w:tcBorders>
            <w:shd w:val="clear" w:color="auto" w:fill="auto"/>
            <w:vAlign w:val="center"/>
            <w:hideMark/>
          </w:tcPr>
          <w:p w14:paraId="7847B06C" w14:textId="78CF9C3E" w:rsidR="003D0784" w:rsidRPr="00622BCC" w:rsidRDefault="00C0319C" w:rsidP="00622BCC">
            <w:pPr>
              <w:spacing w:after="0" w:line="240" w:lineRule="auto"/>
              <w:jc w:val="center"/>
              <w:rPr>
                <w:rFonts w:asciiTheme="majorHAnsi" w:eastAsia="Times New Roman" w:hAnsiTheme="majorHAnsi" w:cstheme="majorHAnsi"/>
                <w:b/>
                <w:color w:val="000000"/>
                <w:lang w:val="ru-RU"/>
              </w:rPr>
            </w:pPr>
            <w:r>
              <w:rPr>
                <w:rFonts w:asciiTheme="majorHAnsi" w:eastAsia="Times New Roman" w:hAnsiTheme="majorHAnsi" w:cstheme="majorHAnsi"/>
                <w:b/>
                <w:color w:val="000000"/>
                <w:lang w:val="ro-MD"/>
              </w:rPr>
              <w:t>Утверждено</w:t>
            </w:r>
            <w:r w:rsidR="003D0784" w:rsidRPr="00736448">
              <w:rPr>
                <w:rFonts w:asciiTheme="majorHAnsi" w:eastAsia="Times New Roman" w:hAnsiTheme="majorHAnsi" w:cstheme="majorHAnsi"/>
                <w:b/>
                <w:color w:val="000000"/>
                <w:lang w:val="ro-MD"/>
              </w:rPr>
              <w:t xml:space="preserve"> </w:t>
            </w:r>
            <w:r w:rsidR="003D0784" w:rsidRPr="00736448">
              <w:rPr>
                <w:rFonts w:asciiTheme="majorHAnsi" w:eastAsia="Times New Roman" w:hAnsiTheme="majorHAnsi" w:cstheme="majorHAnsi"/>
                <w:b/>
                <w:color w:val="000000"/>
                <w:lang w:val="ro-MD"/>
              </w:rPr>
              <w:br/>
            </w:r>
            <w:r w:rsidR="00622BCC">
              <w:rPr>
                <w:rFonts w:asciiTheme="majorHAnsi" w:eastAsia="Times New Roman" w:hAnsiTheme="majorHAnsi" w:cstheme="majorHAnsi"/>
                <w:b/>
                <w:color w:val="000000"/>
                <w:lang w:val="ru-RU"/>
              </w:rPr>
              <w:t>на год</w:t>
            </w:r>
          </w:p>
        </w:tc>
        <w:tc>
          <w:tcPr>
            <w:tcW w:w="1087" w:type="dxa"/>
            <w:tcBorders>
              <w:top w:val="nil"/>
              <w:left w:val="nil"/>
              <w:bottom w:val="single" w:sz="4" w:space="0" w:color="auto"/>
              <w:right w:val="single" w:sz="4" w:space="0" w:color="auto"/>
            </w:tcBorders>
            <w:shd w:val="clear" w:color="auto" w:fill="auto"/>
            <w:vAlign w:val="center"/>
            <w:hideMark/>
          </w:tcPr>
          <w:p w14:paraId="714827D3" w14:textId="5A1173BF" w:rsidR="003D0784" w:rsidRPr="00736448" w:rsidRDefault="00622BCC" w:rsidP="00622BCC">
            <w:pPr>
              <w:spacing w:after="0" w:line="240" w:lineRule="auto"/>
              <w:jc w:val="center"/>
              <w:rPr>
                <w:rFonts w:asciiTheme="majorHAnsi" w:eastAsia="Times New Roman" w:hAnsiTheme="majorHAnsi" w:cstheme="majorHAnsi"/>
                <w:b/>
                <w:color w:val="000000"/>
                <w:lang w:val="ro-MD"/>
              </w:rPr>
            </w:pPr>
            <w:r>
              <w:rPr>
                <w:rFonts w:asciiTheme="majorHAnsi" w:eastAsia="Times New Roman" w:hAnsiTheme="majorHAnsi" w:cstheme="majorHAnsi"/>
                <w:b/>
                <w:color w:val="000000"/>
                <w:lang w:val="ru-RU"/>
              </w:rPr>
              <w:t>Уточнено на год</w:t>
            </w:r>
          </w:p>
        </w:tc>
        <w:tc>
          <w:tcPr>
            <w:tcW w:w="1245" w:type="dxa"/>
            <w:vMerge/>
            <w:tcBorders>
              <w:left w:val="nil"/>
              <w:bottom w:val="single" w:sz="4" w:space="0" w:color="auto"/>
              <w:right w:val="single" w:sz="4" w:space="0" w:color="auto"/>
            </w:tcBorders>
            <w:shd w:val="clear" w:color="auto" w:fill="auto"/>
            <w:vAlign w:val="center"/>
            <w:hideMark/>
          </w:tcPr>
          <w:p w14:paraId="782CCEF2" w14:textId="77777777" w:rsidR="003D0784" w:rsidRPr="00736448" w:rsidRDefault="003D0784" w:rsidP="005F6348">
            <w:pPr>
              <w:spacing w:after="0" w:line="240" w:lineRule="auto"/>
              <w:jc w:val="center"/>
              <w:rPr>
                <w:rFonts w:asciiTheme="majorHAnsi" w:eastAsia="Times New Roman" w:hAnsiTheme="majorHAnsi" w:cstheme="majorHAnsi"/>
                <w:b/>
                <w:color w:val="000000"/>
                <w:lang w:val="ro-MD"/>
              </w:rPr>
            </w:pPr>
          </w:p>
        </w:tc>
        <w:tc>
          <w:tcPr>
            <w:tcW w:w="1330" w:type="dxa"/>
            <w:tcBorders>
              <w:top w:val="nil"/>
              <w:left w:val="nil"/>
              <w:bottom w:val="single" w:sz="4" w:space="0" w:color="auto"/>
              <w:right w:val="single" w:sz="4" w:space="0" w:color="auto"/>
            </w:tcBorders>
            <w:shd w:val="clear" w:color="auto" w:fill="auto"/>
            <w:vAlign w:val="center"/>
            <w:hideMark/>
          </w:tcPr>
          <w:p w14:paraId="6A0C1F82" w14:textId="331FE9AB" w:rsidR="003D0784" w:rsidRPr="00736448" w:rsidRDefault="003B3DFD" w:rsidP="005F6348">
            <w:pPr>
              <w:spacing w:after="0" w:line="240" w:lineRule="auto"/>
              <w:jc w:val="center"/>
              <w:rPr>
                <w:rFonts w:asciiTheme="majorHAnsi" w:eastAsia="Times New Roman" w:hAnsiTheme="majorHAnsi" w:cstheme="majorHAnsi"/>
                <w:b/>
                <w:color w:val="000000"/>
                <w:lang w:val="ro-MD"/>
              </w:rPr>
            </w:pPr>
            <w:r>
              <w:rPr>
                <w:rFonts w:asciiTheme="majorHAnsi" w:eastAsia="Times New Roman" w:hAnsiTheme="majorHAnsi" w:cstheme="majorHAnsi"/>
                <w:b/>
                <w:color w:val="000000"/>
                <w:lang w:val="ro-MD"/>
              </w:rPr>
              <w:t>Отклонения</w:t>
            </w:r>
            <w:r w:rsidR="003D0784" w:rsidRPr="00736448">
              <w:rPr>
                <w:rFonts w:asciiTheme="majorHAnsi" w:eastAsia="Times New Roman" w:hAnsiTheme="majorHAnsi" w:cstheme="majorHAnsi"/>
                <w:b/>
                <w:color w:val="000000"/>
                <w:lang w:val="ro-MD"/>
              </w:rPr>
              <w:br/>
              <w:t>(+/-)</w:t>
            </w:r>
          </w:p>
        </w:tc>
        <w:tc>
          <w:tcPr>
            <w:tcW w:w="1425" w:type="dxa"/>
            <w:vMerge/>
            <w:tcBorders>
              <w:left w:val="nil"/>
              <w:bottom w:val="single" w:sz="4" w:space="0" w:color="auto"/>
              <w:right w:val="single" w:sz="4" w:space="0" w:color="auto"/>
            </w:tcBorders>
            <w:shd w:val="clear" w:color="auto" w:fill="auto"/>
            <w:vAlign w:val="center"/>
            <w:hideMark/>
          </w:tcPr>
          <w:p w14:paraId="6E21B955" w14:textId="77777777" w:rsidR="003D0784" w:rsidRPr="00736448" w:rsidRDefault="003D0784" w:rsidP="005F6348">
            <w:pPr>
              <w:spacing w:after="0" w:line="240" w:lineRule="auto"/>
              <w:jc w:val="center"/>
              <w:rPr>
                <w:rFonts w:asciiTheme="majorHAnsi" w:eastAsia="Times New Roman" w:hAnsiTheme="majorHAnsi" w:cstheme="majorHAnsi"/>
                <w:b/>
                <w:color w:val="000000"/>
                <w:lang w:val="ro-MD"/>
              </w:rPr>
            </w:pPr>
          </w:p>
        </w:tc>
        <w:tc>
          <w:tcPr>
            <w:tcW w:w="1490" w:type="dxa"/>
            <w:tcBorders>
              <w:top w:val="nil"/>
              <w:left w:val="nil"/>
              <w:bottom w:val="single" w:sz="4" w:space="0" w:color="auto"/>
              <w:right w:val="single" w:sz="4" w:space="0" w:color="auto"/>
            </w:tcBorders>
            <w:shd w:val="clear" w:color="auto" w:fill="auto"/>
            <w:vAlign w:val="center"/>
            <w:hideMark/>
          </w:tcPr>
          <w:p w14:paraId="1ECFDC6E" w14:textId="1FC8D6BD" w:rsidR="003D0784" w:rsidRPr="00736448" w:rsidRDefault="003B3DFD" w:rsidP="005F6348">
            <w:pPr>
              <w:spacing w:after="0" w:line="240" w:lineRule="auto"/>
              <w:jc w:val="center"/>
              <w:rPr>
                <w:rFonts w:asciiTheme="majorHAnsi" w:eastAsia="Times New Roman" w:hAnsiTheme="majorHAnsi" w:cstheme="majorHAnsi"/>
                <w:b/>
                <w:color w:val="000000"/>
                <w:lang w:val="ro-MD"/>
              </w:rPr>
            </w:pPr>
            <w:r>
              <w:rPr>
                <w:rFonts w:asciiTheme="majorHAnsi" w:eastAsia="Times New Roman" w:hAnsiTheme="majorHAnsi" w:cstheme="majorHAnsi"/>
                <w:b/>
                <w:color w:val="000000"/>
                <w:lang w:val="ro-MD"/>
              </w:rPr>
              <w:t>Отклонения</w:t>
            </w:r>
            <w:r w:rsidR="003D0784" w:rsidRPr="00736448">
              <w:rPr>
                <w:rFonts w:asciiTheme="majorHAnsi" w:eastAsia="Times New Roman" w:hAnsiTheme="majorHAnsi" w:cstheme="majorHAnsi"/>
                <w:b/>
                <w:color w:val="000000"/>
                <w:lang w:val="ro-MD"/>
              </w:rPr>
              <w:br/>
              <w:t>(+/-)</w:t>
            </w:r>
          </w:p>
        </w:tc>
      </w:tr>
      <w:tr w:rsidR="00622BCC" w:rsidRPr="00B7675F" w14:paraId="28EFA2A1" w14:textId="77777777" w:rsidTr="00622BCC">
        <w:trPr>
          <w:trHeight w:val="20"/>
        </w:trPr>
        <w:tc>
          <w:tcPr>
            <w:tcW w:w="1655" w:type="dxa"/>
            <w:tcBorders>
              <w:top w:val="nil"/>
              <w:left w:val="single" w:sz="4" w:space="0" w:color="auto"/>
              <w:bottom w:val="single" w:sz="4" w:space="0" w:color="auto"/>
              <w:right w:val="single" w:sz="4" w:space="0" w:color="auto"/>
            </w:tcBorders>
            <w:shd w:val="clear" w:color="auto" w:fill="auto"/>
            <w:vAlign w:val="bottom"/>
            <w:hideMark/>
          </w:tcPr>
          <w:p w14:paraId="160655B4" w14:textId="6B3D2D95" w:rsidR="00622BCC" w:rsidRPr="00736448" w:rsidRDefault="00622BCC" w:rsidP="00622BCC">
            <w:pPr>
              <w:spacing w:after="0" w:line="240" w:lineRule="auto"/>
              <w:rPr>
                <w:rFonts w:asciiTheme="majorHAnsi" w:eastAsia="Times New Roman" w:hAnsiTheme="majorHAnsi" w:cstheme="majorHAnsi"/>
                <w:color w:val="000000"/>
                <w:lang w:val="ro-MD"/>
              </w:rPr>
            </w:pPr>
            <w:r w:rsidRPr="003E063C">
              <w:rPr>
                <w:rFonts w:asciiTheme="majorHAnsi" w:eastAsia="Times New Roman" w:hAnsiTheme="majorHAnsi" w:cstheme="majorHAnsi"/>
                <w:color w:val="000000"/>
                <w:lang w:val="ro-RO"/>
              </w:rPr>
              <w:t>ОСТАТОК ДЕНЕЖНЫХ СРЕДСТВ НА НАЧАЛО ПЕРИОДА</w:t>
            </w:r>
          </w:p>
        </w:tc>
        <w:tc>
          <w:tcPr>
            <w:tcW w:w="672" w:type="dxa"/>
            <w:tcBorders>
              <w:top w:val="nil"/>
              <w:left w:val="nil"/>
              <w:bottom w:val="single" w:sz="4" w:space="0" w:color="auto"/>
              <w:right w:val="single" w:sz="4" w:space="0" w:color="auto"/>
            </w:tcBorders>
            <w:shd w:val="clear" w:color="auto" w:fill="auto"/>
            <w:vAlign w:val="center"/>
            <w:hideMark/>
          </w:tcPr>
          <w:p w14:paraId="0C12A732" w14:textId="77777777" w:rsidR="00622BCC" w:rsidRPr="00736448" w:rsidRDefault="00622BCC" w:rsidP="00622BCC">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91</w:t>
            </w:r>
          </w:p>
        </w:tc>
        <w:tc>
          <w:tcPr>
            <w:tcW w:w="1348" w:type="dxa"/>
            <w:tcBorders>
              <w:top w:val="nil"/>
              <w:left w:val="nil"/>
              <w:bottom w:val="single" w:sz="4" w:space="0" w:color="auto"/>
              <w:right w:val="single" w:sz="4" w:space="0" w:color="auto"/>
            </w:tcBorders>
            <w:shd w:val="clear" w:color="auto" w:fill="auto"/>
            <w:vAlign w:val="center"/>
            <w:hideMark/>
          </w:tcPr>
          <w:p w14:paraId="42A4E39C" w14:textId="77777777" w:rsidR="00622BCC" w:rsidRPr="00736448" w:rsidRDefault="00622BCC" w:rsidP="00622BCC">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0</w:t>
            </w:r>
          </w:p>
        </w:tc>
        <w:tc>
          <w:tcPr>
            <w:tcW w:w="1087" w:type="dxa"/>
            <w:tcBorders>
              <w:top w:val="nil"/>
              <w:left w:val="nil"/>
              <w:bottom w:val="single" w:sz="4" w:space="0" w:color="auto"/>
              <w:right w:val="single" w:sz="4" w:space="0" w:color="auto"/>
            </w:tcBorders>
            <w:shd w:val="clear" w:color="auto" w:fill="auto"/>
            <w:vAlign w:val="center"/>
            <w:hideMark/>
          </w:tcPr>
          <w:p w14:paraId="4ABCA539" w14:textId="77777777" w:rsidR="00622BCC" w:rsidRPr="00736448" w:rsidRDefault="00622BCC" w:rsidP="00622BCC">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60376.5</w:t>
            </w:r>
          </w:p>
        </w:tc>
        <w:tc>
          <w:tcPr>
            <w:tcW w:w="1245" w:type="dxa"/>
            <w:tcBorders>
              <w:top w:val="nil"/>
              <w:left w:val="nil"/>
              <w:bottom w:val="single" w:sz="4" w:space="0" w:color="auto"/>
              <w:right w:val="single" w:sz="4" w:space="0" w:color="auto"/>
            </w:tcBorders>
            <w:shd w:val="clear" w:color="auto" w:fill="auto"/>
            <w:vAlign w:val="center"/>
            <w:hideMark/>
          </w:tcPr>
          <w:p w14:paraId="421B5579" w14:textId="77777777" w:rsidR="00622BCC" w:rsidRPr="00736448" w:rsidRDefault="00622BCC" w:rsidP="00622BCC">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60376.5</w:t>
            </w:r>
          </w:p>
        </w:tc>
        <w:tc>
          <w:tcPr>
            <w:tcW w:w="1330" w:type="dxa"/>
            <w:tcBorders>
              <w:top w:val="nil"/>
              <w:left w:val="nil"/>
              <w:bottom w:val="single" w:sz="4" w:space="0" w:color="auto"/>
              <w:right w:val="single" w:sz="4" w:space="0" w:color="auto"/>
            </w:tcBorders>
            <w:shd w:val="clear" w:color="auto" w:fill="auto"/>
            <w:vAlign w:val="center"/>
            <w:hideMark/>
          </w:tcPr>
          <w:p w14:paraId="2DAACDA9" w14:textId="77777777" w:rsidR="00622BCC" w:rsidRPr="00736448" w:rsidRDefault="00622BCC" w:rsidP="00622BCC">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0</w:t>
            </w:r>
          </w:p>
        </w:tc>
        <w:tc>
          <w:tcPr>
            <w:tcW w:w="1425" w:type="dxa"/>
            <w:tcBorders>
              <w:top w:val="nil"/>
              <w:left w:val="nil"/>
              <w:bottom w:val="single" w:sz="4" w:space="0" w:color="auto"/>
              <w:right w:val="single" w:sz="4" w:space="0" w:color="auto"/>
            </w:tcBorders>
            <w:shd w:val="clear" w:color="auto" w:fill="auto"/>
            <w:vAlign w:val="center"/>
          </w:tcPr>
          <w:p w14:paraId="0CA0A9E9" w14:textId="77777777" w:rsidR="00622BCC" w:rsidRPr="00736448" w:rsidRDefault="00622BCC" w:rsidP="00622BCC">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41028.5</w:t>
            </w:r>
          </w:p>
        </w:tc>
        <w:tc>
          <w:tcPr>
            <w:tcW w:w="1490" w:type="dxa"/>
            <w:tcBorders>
              <w:top w:val="nil"/>
              <w:left w:val="nil"/>
              <w:bottom w:val="single" w:sz="4" w:space="0" w:color="auto"/>
              <w:right w:val="single" w:sz="4" w:space="0" w:color="auto"/>
            </w:tcBorders>
            <w:shd w:val="clear" w:color="auto" w:fill="auto"/>
            <w:vAlign w:val="center"/>
          </w:tcPr>
          <w:p w14:paraId="0AA2F723" w14:textId="77777777" w:rsidR="00622BCC" w:rsidRPr="00736448" w:rsidRDefault="00622BCC" w:rsidP="00622BCC">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19348.0</w:t>
            </w:r>
          </w:p>
        </w:tc>
      </w:tr>
      <w:tr w:rsidR="00622BCC" w:rsidRPr="00B7675F" w14:paraId="78C65E91" w14:textId="77777777" w:rsidTr="00622BCC">
        <w:trPr>
          <w:trHeight w:val="20"/>
        </w:trPr>
        <w:tc>
          <w:tcPr>
            <w:tcW w:w="1655" w:type="dxa"/>
            <w:tcBorders>
              <w:top w:val="nil"/>
              <w:left w:val="single" w:sz="4" w:space="0" w:color="auto"/>
              <w:bottom w:val="single" w:sz="4" w:space="0" w:color="auto"/>
              <w:right w:val="single" w:sz="4" w:space="0" w:color="auto"/>
            </w:tcBorders>
            <w:shd w:val="clear" w:color="auto" w:fill="auto"/>
            <w:vAlign w:val="bottom"/>
            <w:hideMark/>
          </w:tcPr>
          <w:p w14:paraId="0C3EB4B6" w14:textId="242738F5" w:rsidR="00622BCC" w:rsidRPr="00736448" w:rsidRDefault="00622BCC" w:rsidP="00622BCC">
            <w:pPr>
              <w:spacing w:after="0" w:line="240" w:lineRule="auto"/>
              <w:rPr>
                <w:rFonts w:asciiTheme="majorHAnsi" w:eastAsia="Times New Roman" w:hAnsiTheme="majorHAnsi" w:cstheme="majorHAnsi"/>
                <w:color w:val="000000"/>
                <w:lang w:val="ro-MD"/>
              </w:rPr>
            </w:pPr>
            <w:r w:rsidRPr="003E063C">
              <w:rPr>
                <w:rFonts w:asciiTheme="majorHAnsi" w:eastAsia="Times New Roman" w:hAnsiTheme="majorHAnsi" w:cstheme="majorHAnsi"/>
                <w:color w:val="000000"/>
                <w:lang w:val="ro-RO"/>
              </w:rPr>
              <w:t xml:space="preserve">ОСТАТОК ДЕНЕЖНЫХ СРЕДСТВ НА </w:t>
            </w:r>
            <w:r>
              <w:rPr>
                <w:rFonts w:asciiTheme="majorHAnsi" w:eastAsia="Times New Roman" w:hAnsiTheme="majorHAnsi" w:cstheme="majorHAnsi"/>
                <w:color w:val="000000"/>
                <w:lang w:val="ru-RU"/>
              </w:rPr>
              <w:t>КОНЕЦ</w:t>
            </w:r>
            <w:r w:rsidRPr="003E063C">
              <w:rPr>
                <w:rFonts w:asciiTheme="majorHAnsi" w:eastAsia="Times New Roman" w:hAnsiTheme="majorHAnsi" w:cstheme="majorHAnsi"/>
                <w:color w:val="000000"/>
                <w:lang w:val="ro-RO"/>
              </w:rPr>
              <w:t xml:space="preserve"> ПЕРИОДА</w:t>
            </w:r>
          </w:p>
        </w:tc>
        <w:tc>
          <w:tcPr>
            <w:tcW w:w="672" w:type="dxa"/>
            <w:tcBorders>
              <w:top w:val="nil"/>
              <w:left w:val="nil"/>
              <w:bottom w:val="single" w:sz="4" w:space="0" w:color="auto"/>
              <w:right w:val="single" w:sz="4" w:space="0" w:color="auto"/>
            </w:tcBorders>
            <w:shd w:val="clear" w:color="auto" w:fill="auto"/>
            <w:vAlign w:val="center"/>
            <w:hideMark/>
          </w:tcPr>
          <w:p w14:paraId="5CA762C3" w14:textId="77777777" w:rsidR="00622BCC" w:rsidRPr="00736448" w:rsidRDefault="00622BCC" w:rsidP="00622BCC">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93</w:t>
            </w:r>
          </w:p>
        </w:tc>
        <w:tc>
          <w:tcPr>
            <w:tcW w:w="1348" w:type="dxa"/>
            <w:tcBorders>
              <w:top w:val="nil"/>
              <w:left w:val="nil"/>
              <w:bottom w:val="single" w:sz="4" w:space="0" w:color="auto"/>
              <w:right w:val="single" w:sz="4" w:space="0" w:color="auto"/>
            </w:tcBorders>
            <w:shd w:val="clear" w:color="auto" w:fill="auto"/>
            <w:vAlign w:val="center"/>
            <w:hideMark/>
          </w:tcPr>
          <w:p w14:paraId="1C84B8F8" w14:textId="77777777" w:rsidR="00622BCC" w:rsidRPr="00736448" w:rsidRDefault="00622BCC" w:rsidP="00622BCC">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0</w:t>
            </w:r>
          </w:p>
        </w:tc>
        <w:tc>
          <w:tcPr>
            <w:tcW w:w="1087" w:type="dxa"/>
            <w:tcBorders>
              <w:top w:val="nil"/>
              <w:left w:val="nil"/>
              <w:bottom w:val="single" w:sz="4" w:space="0" w:color="auto"/>
              <w:right w:val="single" w:sz="4" w:space="0" w:color="auto"/>
            </w:tcBorders>
            <w:shd w:val="clear" w:color="auto" w:fill="auto"/>
            <w:vAlign w:val="center"/>
            <w:hideMark/>
          </w:tcPr>
          <w:p w14:paraId="2AB8CBAD" w14:textId="77777777" w:rsidR="00622BCC" w:rsidRPr="00736448" w:rsidRDefault="00622BCC" w:rsidP="00622BCC">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0</w:t>
            </w:r>
          </w:p>
        </w:tc>
        <w:tc>
          <w:tcPr>
            <w:tcW w:w="1245" w:type="dxa"/>
            <w:tcBorders>
              <w:top w:val="nil"/>
              <w:left w:val="nil"/>
              <w:bottom w:val="single" w:sz="4" w:space="0" w:color="auto"/>
              <w:right w:val="single" w:sz="4" w:space="0" w:color="auto"/>
            </w:tcBorders>
            <w:shd w:val="clear" w:color="auto" w:fill="auto"/>
            <w:vAlign w:val="center"/>
            <w:hideMark/>
          </w:tcPr>
          <w:p w14:paraId="0E6A6D90" w14:textId="77777777" w:rsidR="00622BCC" w:rsidRPr="00736448" w:rsidRDefault="00622BCC" w:rsidP="00622BCC">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51183.9</w:t>
            </w:r>
          </w:p>
        </w:tc>
        <w:tc>
          <w:tcPr>
            <w:tcW w:w="1330" w:type="dxa"/>
            <w:tcBorders>
              <w:top w:val="nil"/>
              <w:left w:val="nil"/>
              <w:bottom w:val="single" w:sz="4" w:space="0" w:color="auto"/>
              <w:right w:val="single" w:sz="4" w:space="0" w:color="auto"/>
            </w:tcBorders>
            <w:shd w:val="clear" w:color="auto" w:fill="auto"/>
            <w:vAlign w:val="center"/>
            <w:hideMark/>
          </w:tcPr>
          <w:p w14:paraId="23F9EC41" w14:textId="77777777" w:rsidR="00622BCC" w:rsidRPr="00736448" w:rsidRDefault="00622BCC" w:rsidP="00622BCC">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51183.9</w:t>
            </w:r>
          </w:p>
        </w:tc>
        <w:tc>
          <w:tcPr>
            <w:tcW w:w="1425" w:type="dxa"/>
            <w:tcBorders>
              <w:top w:val="nil"/>
              <w:left w:val="nil"/>
              <w:bottom w:val="single" w:sz="4" w:space="0" w:color="auto"/>
              <w:right w:val="single" w:sz="4" w:space="0" w:color="auto"/>
            </w:tcBorders>
            <w:shd w:val="clear" w:color="auto" w:fill="auto"/>
            <w:vAlign w:val="center"/>
          </w:tcPr>
          <w:p w14:paraId="45E94345" w14:textId="77777777" w:rsidR="00622BCC" w:rsidRPr="00736448" w:rsidRDefault="00622BCC" w:rsidP="00622BCC">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60376.5</w:t>
            </w:r>
          </w:p>
        </w:tc>
        <w:tc>
          <w:tcPr>
            <w:tcW w:w="1490" w:type="dxa"/>
            <w:tcBorders>
              <w:top w:val="nil"/>
              <w:left w:val="nil"/>
              <w:bottom w:val="single" w:sz="4" w:space="0" w:color="auto"/>
              <w:right w:val="single" w:sz="4" w:space="0" w:color="auto"/>
            </w:tcBorders>
            <w:shd w:val="clear" w:color="auto" w:fill="auto"/>
            <w:vAlign w:val="center"/>
          </w:tcPr>
          <w:p w14:paraId="20C676C0" w14:textId="77777777" w:rsidR="00622BCC" w:rsidRPr="00736448" w:rsidRDefault="00622BCC" w:rsidP="00622BCC">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-9192.6</w:t>
            </w:r>
          </w:p>
        </w:tc>
      </w:tr>
    </w:tbl>
    <w:p w14:paraId="6D26D111" w14:textId="13316381" w:rsidR="003D0784" w:rsidRPr="00736448" w:rsidRDefault="00863CC5" w:rsidP="003D0784">
      <w:pPr>
        <w:rPr>
          <w:rFonts w:ascii="Calibri Light" w:eastAsia="Calibri" w:hAnsi="Calibri Light" w:cs="Calibri Light"/>
          <w:i/>
          <w:sz w:val="20"/>
          <w:szCs w:val="20"/>
          <w:lang w:val="ro-MD"/>
        </w:rPr>
      </w:pPr>
      <w:r>
        <w:rPr>
          <w:rFonts w:ascii="Calibri Light" w:eastAsia="Times New Roman" w:hAnsi="Calibri Light" w:cs="Calibri Light"/>
          <w:b/>
          <w:i/>
          <w:szCs w:val="24"/>
          <w:lang w:val="ro-MD"/>
        </w:rPr>
        <w:t>Источник</w:t>
      </w:r>
      <w:r w:rsidR="003D0784" w:rsidRPr="00736448">
        <w:rPr>
          <w:rFonts w:ascii="Calibri Light" w:eastAsia="Times New Roman" w:hAnsi="Calibri Light" w:cs="Calibri Light"/>
          <w:b/>
          <w:i/>
          <w:szCs w:val="24"/>
          <w:lang w:val="ro-MD"/>
        </w:rPr>
        <w:t>:</w:t>
      </w:r>
      <w:r w:rsidR="003D0784" w:rsidRPr="00736448">
        <w:rPr>
          <w:rFonts w:ascii="Calibri Light" w:eastAsia="Calibri" w:hAnsi="Calibri Light" w:cs="Calibri Light"/>
          <w:i/>
          <w:sz w:val="18"/>
          <w:szCs w:val="20"/>
          <w:lang w:val="ro-MD"/>
        </w:rPr>
        <w:t xml:space="preserve"> </w:t>
      </w:r>
      <w:r w:rsidR="004F4512" w:rsidRPr="00590DF4">
        <w:rPr>
          <w:rFonts w:ascii="Calibri Light" w:eastAsia="Times New Roman" w:hAnsi="Calibri Light" w:cs="Calibri Light"/>
          <w:b/>
          <w:i/>
          <w:szCs w:val="24"/>
          <w:lang w:val="ro-RO"/>
        </w:rPr>
        <w:t>:</w:t>
      </w:r>
      <w:r w:rsidR="004F4512" w:rsidRPr="00590DF4">
        <w:rPr>
          <w:rFonts w:ascii="Calibri Light" w:eastAsia="Calibri" w:hAnsi="Calibri Light" w:cs="Calibri Light"/>
          <w:i/>
          <w:sz w:val="18"/>
          <w:szCs w:val="20"/>
          <w:lang w:val="ro-RO"/>
        </w:rPr>
        <w:t xml:space="preserve"> </w:t>
      </w:r>
      <w:r w:rsidR="004F4512">
        <w:rPr>
          <w:rFonts w:ascii="Calibri Light" w:eastAsia="Calibri" w:hAnsi="Calibri Light" w:cs="Calibri Light"/>
          <w:i/>
          <w:sz w:val="20"/>
          <w:szCs w:val="20"/>
          <w:lang w:val="ro-RO"/>
        </w:rPr>
        <w:t>Отчет об исполнении бюджета государственного социального страхования за</w:t>
      </w:r>
      <w:r w:rsidR="004F4512">
        <w:rPr>
          <w:rFonts w:ascii="Calibri Light" w:eastAsia="Calibri" w:hAnsi="Calibri Light" w:cs="Calibri Light"/>
          <w:i/>
          <w:sz w:val="20"/>
          <w:szCs w:val="20"/>
          <w:lang w:val="ru-RU"/>
        </w:rPr>
        <w:t xml:space="preserve"> </w:t>
      </w:r>
      <w:r w:rsidR="004F4512" w:rsidRPr="00E82CC1">
        <w:rPr>
          <w:rFonts w:ascii="Calibri Light" w:eastAsia="Calibri" w:hAnsi="Calibri Light" w:cs="Calibri Light"/>
          <w:i/>
          <w:sz w:val="20"/>
          <w:szCs w:val="20"/>
          <w:lang w:val="ro-RO"/>
        </w:rPr>
        <w:t>202</w:t>
      </w:r>
      <w:r w:rsidR="004F4512">
        <w:rPr>
          <w:rFonts w:ascii="Calibri Light" w:eastAsia="Calibri" w:hAnsi="Calibri Light" w:cs="Calibri Light"/>
          <w:i/>
          <w:sz w:val="20"/>
          <w:szCs w:val="20"/>
          <w:lang w:val="ru-RU"/>
        </w:rPr>
        <w:t>2 год</w:t>
      </w:r>
      <w:r w:rsidR="004F4512" w:rsidRPr="00E82CC1">
        <w:rPr>
          <w:rFonts w:ascii="Calibri Light" w:eastAsia="Calibri" w:hAnsi="Calibri Light" w:cs="Calibri Light"/>
          <w:i/>
          <w:sz w:val="20"/>
          <w:szCs w:val="20"/>
          <w:lang w:val="ro-RO"/>
        </w:rPr>
        <w:t xml:space="preserve"> (</w:t>
      </w:r>
      <w:r w:rsidR="004F4512">
        <w:rPr>
          <w:rFonts w:ascii="Calibri Light" w:eastAsia="Calibri" w:hAnsi="Calibri Light" w:cs="Calibri Light"/>
          <w:i/>
          <w:sz w:val="20"/>
          <w:szCs w:val="20"/>
          <w:lang w:val="ro-RO"/>
        </w:rPr>
        <w:t>Формуляр №</w:t>
      </w:r>
      <w:r w:rsidR="004F4512" w:rsidRPr="00E82CC1">
        <w:rPr>
          <w:rFonts w:ascii="Calibri Light" w:eastAsia="Calibri" w:hAnsi="Calibri Light" w:cs="Calibri Light"/>
          <w:i/>
          <w:sz w:val="20"/>
          <w:szCs w:val="20"/>
          <w:lang w:val="ro-RO"/>
        </w:rPr>
        <w:t xml:space="preserve">4 </w:t>
      </w:r>
      <w:r w:rsidR="004F4512">
        <w:rPr>
          <w:rFonts w:ascii="Calibri Light" w:eastAsia="Calibri" w:hAnsi="Calibri Light" w:cs="Calibri Light"/>
          <w:i/>
          <w:sz w:val="20"/>
          <w:szCs w:val="20"/>
          <w:lang w:val="ro-RO"/>
        </w:rPr>
        <w:t>НКСС</w:t>
      </w:r>
      <w:r w:rsidR="004F4512" w:rsidRPr="00E82CC1">
        <w:rPr>
          <w:rFonts w:ascii="Calibri Light" w:eastAsia="Calibri" w:hAnsi="Calibri Light" w:cs="Calibri Light"/>
          <w:i/>
          <w:sz w:val="20"/>
          <w:szCs w:val="20"/>
          <w:lang w:val="ro-RO"/>
        </w:rPr>
        <w:t>)</w:t>
      </w:r>
      <w:r w:rsidR="003D0784" w:rsidRPr="00736448">
        <w:rPr>
          <w:rFonts w:ascii="Calibri Light" w:eastAsia="Calibri" w:hAnsi="Calibri Light" w:cs="Calibri Light"/>
          <w:i/>
          <w:sz w:val="20"/>
          <w:szCs w:val="20"/>
          <w:lang w:val="ro-MD"/>
        </w:rPr>
        <w:t>.</w:t>
      </w:r>
    </w:p>
    <w:p w14:paraId="052F64B4" w14:textId="77777777" w:rsidR="003D0784" w:rsidRPr="00736448" w:rsidRDefault="003D0784" w:rsidP="00F84A00">
      <w:pPr>
        <w:rPr>
          <w:rFonts w:ascii="Calibri Light" w:eastAsia="Times New Roman" w:hAnsi="Calibri Light" w:cs="Calibri Light"/>
          <w:b/>
          <w:sz w:val="24"/>
          <w:szCs w:val="24"/>
          <w:lang w:val="ro-MD"/>
        </w:rPr>
      </w:pPr>
    </w:p>
    <w:p w14:paraId="0636F3AF" w14:textId="6A3E24D4" w:rsidR="003D0784" w:rsidRPr="00736448" w:rsidRDefault="00FC62B3" w:rsidP="003D0784">
      <w:pPr>
        <w:tabs>
          <w:tab w:val="left" w:pos="162"/>
        </w:tabs>
        <w:spacing w:before="240" w:after="0" w:line="276" w:lineRule="auto"/>
        <w:jc w:val="right"/>
        <w:outlineLvl w:val="1"/>
        <w:rPr>
          <w:rFonts w:ascii="Calibri Light" w:eastAsia="Times New Roman" w:hAnsi="Calibri Light" w:cs="Calibri Light"/>
          <w:b/>
          <w:sz w:val="24"/>
          <w:szCs w:val="24"/>
          <w:lang w:val="ro-MD"/>
        </w:rPr>
      </w:pPr>
      <w:r>
        <w:rPr>
          <w:rFonts w:ascii="Calibri Light" w:eastAsia="Times New Roman" w:hAnsi="Calibri Light" w:cs="Calibri Light"/>
          <w:b/>
          <w:sz w:val="24"/>
          <w:szCs w:val="24"/>
          <w:lang w:val="ro-MD"/>
        </w:rPr>
        <w:t>Приложение №</w:t>
      </w:r>
      <w:r w:rsidR="003D0784" w:rsidRPr="00736448">
        <w:rPr>
          <w:rFonts w:ascii="Calibri Light" w:eastAsia="Times New Roman" w:hAnsi="Calibri Light" w:cs="Calibri Light"/>
          <w:b/>
          <w:sz w:val="24"/>
          <w:szCs w:val="24"/>
          <w:lang w:val="ro-MD"/>
        </w:rPr>
        <w:t xml:space="preserve"> </w:t>
      </w:r>
      <w:r w:rsidR="008B5EDB" w:rsidRPr="00736448">
        <w:rPr>
          <w:rFonts w:ascii="Calibri Light" w:eastAsia="Times New Roman" w:hAnsi="Calibri Light" w:cs="Calibri Light"/>
          <w:b/>
          <w:sz w:val="24"/>
          <w:szCs w:val="24"/>
          <w:lang w:val="ro-MD"/>
        </w:rPr>
        <w:t>13</w:t>
      </w:r>
    </w:p>
    <w:p w14:paraId="44CAF6F5" w14:textId="7A208752" w:rsidR="00CC66E0" w:rsidRPr="003E063C" w:rsidRDefault="00CC66E0" w:rsidP="00CC66E0">
      <w:pPr>
        <w:spacing w:after="0" w:line="276" w:lineRule="auto"/>
        <w:jc w:val="center"/>
        <w:rPr>
          <w:rFonts w:ascii="Calibri Light" w:eastAsia="Calibri" w:hAnsi="Calibri Light" w:cs="Calibri Light"/>
          <w:b/>
          <w:bCs/>
          <w:sz w:val="20"/>
          <w:szCs w:val="20"/>
          <w:lang w:val="ru-RU"/>
        </w:rPr>
      </w:pPr>
      <w:r w:rsidRPr="008A7E0F">
        <w:rPr>
          <w:rFonts w:ascii="Calibri Light" w:eastAsia="Calibri" w:hAnsi="Calibri Light" w:cs="Calibri Light"/>
          <w:b/>
          <w:bCs/>
          <w:sz w:val="24"/>
          <w:szCs w:val="24"/>
          <w:lang w:val="ru-RU"/>
        </w:rPr>
        <w:t xml:space="preserve">Структура доходов БГСС в </w:t>
      </w:r>
      <w:r w:rsidRPr="008A7E0F">
        <w:rPr>
          <w:rFonts w:ascii="Calibri Light" w:eastAsia="Calibri" w:hAnsi="Calibri Light" w:cs="Calibri Light"/>
          <w:b/>
          <w:bCs/>
          <w:sz w:val="24"/>
          <w:szCs w:val="24"/>
          <w:lang w:val="ro-RO"/>
        </w:rPr>
        <w:t>202</w:t>
      </w:r>
      <w:r>
        <w:rPr>
          <w:rFonts w:ascii="Calibri Light" w:eastAsia="Calibri" w:hAnsi="Calibri Light" w:cs="Calibri Light"/>
          <w:b/>
          <w:bCs/>
          <w:sz w:val="24"/>
          <w:szCs w:val="24"/>
          <w:lang w:val="ru-RU"/>
        </w:rPr>
        <w:t>2</w:t>
      </w:r>
      <w:r w:rsidRPr="008A7E0F">
        <w:rPr>
          <w:rFonts w:ascii="Calibri Light" w:eastAsia="Calibri" w:hAnsi="Calibri Light" w:cs="Calibri Light"/>
          <w:b/>
          <w:bCs/>
          <w:sz w:val="24"/>
          <w:szCs w:val="24"/>
          <w:lang w:val="ro-RO"/>
        </w:rPr>
        <w:t xml:space="preserve"> </w:t>
      </w:r>
      <w:r w:rsidRPr="008A7E0F">
        <w:rPr>
          <w:rFonts w:ascii="Calibri Light" w:eastAsia="Calibri" w:hAnsi="Calibri Light" w:cs="Calibri Light"/>
          <w:b/>
          <w:bCs/>
          <w:sz w:val="24"/>
          <w:szCs w:val="24"/>
          <w:lang w:val="ru-RU"/>
        </w:rPr>
        <w:t>году</w:t>
      </w:r>
    </w:p>
    <w:p w14:paraId="7DE1546B" w14:textId="77777777" w:rsidR="003D0784" w:rsidRPr="00736448" w:rsidRDefault="003D0784" w:rsidP="003D0784">
      <w:pPr>
        <w:spacing w:after="0" w:line="276" w:lineRule="auto"/>
        <w:jc w:val="center"/>
        <w:rPr>
          <w:rFonts w:ascii="Calibri Light" w:eastAsia="Calibri" w:hAnsi="Calibri Light" w:cs="Calibri Light"/>
          <w:b/>
          <w:bCs/>
          <w:sz w:val="24"/>
          <w:szCs w:val="24"/>
          <w:lang w:val="ro-MD"/>
        </w:rPr>
      </w:pPr>
      <w:r w:rsidRPr="00653E85">
        <w:rPr>
          <w:rFonts w:ascii="Calibri Light" w:eastAsia="Calibri" w:hAnsi="Calibri Light" w:cs="Calibri Light"/>
          <w:b/>
          <w:bCs/>
          <w:noProof/>
          <w:sz w:val="24"/>
          <w:szCs w:val="24"/>
          <w:lang w:val="ru-RU" w:eastAsia="ru-RU"/>
        </w:rPr>
        <w:drawing>
          <wp:inline distT="0" distB="0" distL="0" distR="0" wp14:anchorId="3B159A5F" wp14:editId="56F2D0E9">
            <wp:extent cx="6240780" cy="2834640"/>
            <wp:effectExtent l="38100" t="0" r="762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8708C40" w14:textId="7274237E" w:rsidR="003D0784" w:rsidRPr="00736448" w:rsidRDefault="00863CC5" w:rsidP="003D0784">
      <w:pPr>
        <w:rPr>
          <w:rFonts w:ascii="Calibri Light" w:eastAsia="Times New Roman" w:hAnsi="Calibri Light" w:cs="Calibri Light"/>
          <w:b/>
          <w:sz w:val="24"/>
          <w:szCs w:val="24"/>
          <w:lang w:val="ro-MD"/>
        </w:rPr>
      </w:pPr>
      <w:r>
        <w:rPr>
          <w:rFonts w:ascii="Calibri Light" w:eastAsia="Calibri" w:hAnsi="Calibri Light" w:cs="Calibri Light"/>
          <w:b/>
          <w:bCs/>
          <w:i/>
          <w:sz w:val="20"/>
          <w:szCs w:val="20"/>
          <w:lang w:val="ro-MD"/>
        </w:rPr>
        <w:t>Источник</w:t>
      </w:r>
      <w:r w:rsidR="003D0784" w:rsidRPr="00736448">
        <w:rPr>
          <w:rFonts w:ascii="Calibri Light" w:eastAsia="Calibri" w:hAnsi="Calibri Light" w:cs="Calibri Light"/>
          <w:b/>
          <w:bCs/>
          <w:i/>
          <w:sz w:val="20"/>
          <w:szCs w:val="20"/>
          <w:lang w:val="ro-MD"/>
        </w:rPr>
        <w:t>:</w:t>
      </w:r>
      <w:r w:rsidR="003D0784" w:rsidRPr="00736448">
        <w:rPr>
          <w:rFonts w:ascii="Calibri Light" w:eastAsia="Calibri" w:hAnsi="Calibri Light" w:cs="Calibri Light"/>
          <w:i/>
          <w:sz w:val="20"/>
          <w:szCs w:val="20"/>
          <w:lang w:val="ro-MD"/>
        </w:rPr>
        <w:t xml:space="preserve"> </w:t>
      </w:r>
      <w:r w:rsidR="00CC66E0" w:rsidRPr="00CD2A08">
        <w:rPr>
          <w:rFonts w:ascii="Calibri Light" w:eastAsia="Calibri" w:hAnsi="Calibri Light" w:cs="Calibri Light"/>
          <w:b/>
          <w:bCs/>
          <w:i/>
          <w:sz w:val="20"/>
          <w:szCs w:val="20"/>
          <w:lang w:val="ro-RO"/>
        </w:rPr>
        <w:t>:</w:t>
      </w:r>
      <w:r w:rsidR="00CC66E0" w:rsidRPr="00CD2A08">
        <w:rPr>
          <w:rFonts w:ascii="Calibri Light" w:eastAsia="Calibri" w:hAnsi="Calibri Light" w:cs="Calibri Light"/>
          <w:i/>
          <w:sz w:val="20"/>
          <w:szCs w:val="20"/>
          <w:lang w:val="ro-RO"/>
        </w:rPr>
        <w:t xml:space="preserve"> </w:t>
      </w:r>
      <w:r w:rsidR="00CC66E0">
        <w:rPr>
          <w:rFonts w:ascii="Calibri Light" w:eastAsia="Calibri" w:hAnsi="Calibri Light" w:cs="Calibri Light"/>
          <w:i/>
          <w:sz w:val="20"/>
          <w:szCs w:val="20"/>
          <w:lang w:val="ro-RO"/>
        </w:rPr>
        <w:t>Отчет об исполнении бюджета государственного социального страхования за</w:t>
      </w:r>
      <w:r w:rsidR="00CC66E0">
        <w:rPr>
          <w:rFonts w:ascii="Calibri Light" w:eastAsia="Calibri" w:hAnsi="Calibri Light" w:cs="Calibri Light"/>
          <w:i/>
          <w:sz w:val="20"/>
          <w:szCs w:val="20"/>
          <w:lang w:val="ru-RU"/>
        </w:rPr>
        <w:t xml:space="preserve"> </w:t>
      </w:r>
      <w:r w:rsidR="00CC66E0" w:rsidRPr="00CD2A08">
        <w:rPr>
          <w:rFonts w:ascii="Calibri Light" w:eastAsia="Calibri" w:hAnsi="Calibri Light" w:cs="Calibri Light"/>
          <w:i/>
          <w:sz w:val="20"/>
          <w:szCs w:val="20"/>
          <w:lang w:val="ro-RO"/>
        </w:rPr>
        <w:t>202</w:t>
      </w:r>
      <w:r w:rsidR="00CC66E0">
        <w:rPr>
          <w:rFonts w:ascii="Calibri Light" w:eastAsia="Calibri" w:hAnsi="Calibri Light" w:cs="Calibri Light"/>
          <w:i/>
          <w:sz w:val="20"/>
          <w:szCs w:val="20"/>
          <w:lang w:val="ru-RU"/>
        </w:rPr>
        <w:t>2 год</w:t>
      </w:r>
      <w:r w:rsidR="00CC66E0" w:rsidRPr="00CD2A08">
        <w:rPr>
          <w:rFonts w:ascii="Calibri Light" w:eastAsia="Calibri" w:hAnsi="Calibri Light" w:cs="Calibri Light"/>
          <w:i/>
          <w:sz w:val="20"/>
          <w:szCs w:val="20"/>
          <w:lang w:val="ro-RO"/>
        </w:rPr>
        <w:t xml:space="preserve"> (</w:t>
      </w:r>
      <w:r w:rsidR="00CC66E0">
        <w:rPr>
          <w:rFonts w:ascii="Calibri Light" w:eastAsia="Calibri" w:hAnsi="Calibri Light" w:cs="Calibri Light"/>
          <w:i/>
          <w:sz w:val="20"/>
          <w:szCs w:val="20"/>
          <w:lang w:val="ro-RO"/>
        </w:rPr>
        <w:t>Формуляр №</w:t>
      </w:r>
      <w:r w:rsidR="00CC66E0" w:rsidRPr="00CD2A08">
        <w:rPr>
          <w:rFonts w:ascii="Calibri Light" w:eastAsia="Calibri" w:hAnsi="Calibri Light" w:cs="Calibri Light"/>
          <w:i/>
          <w:sz w:val="20"/>
          <w:szCs w:val="20"/>
          <w:lang w:val="ro-RO"/>
        </w:rPr>
        <w:t xml:space="preserve">4 </w:t>
      </w:r>
      <w:r w:rsidR="00CC66E0">
        <w:rPr>
          <w:rFonts w:ascii="Calibri Light" w:eastAsia="Calibri" w:hAnsi="Calibri Light" w:cs="Calibri Light"/>
          <w:i/>
          <w:sz w:val="20"/>
          <w:szCs w:val="20"/>
          <w:lang w:val="ro-RO"/>
        </w:rPr>
        <w:t>НКСС</w:t>
      </w:r>
      <w:r w:rsidR="00CC66E0" w:rsidRPr="00CD2A08">
        <w:rPr>
          <w:rFonts w:ascii="Calibri Light" w:eastAsia="Calibri" w:hAnsi="Calibri Light" w:cs="Calibri Light"/>
          <w:i/>
          <w:sz w:val="20"/>
          <w:szCs w:val="20"/>
          <w:lang w:val="ro-RO"/>
        </w:rPr>
        <w:t>)</w:t>
      </w:r>
      <w:r w:rsidR="00CC66E0">
        <w:rPr>
          <w:rFonts w:ascii="Calibri Light" w:eastAsia="Calibri" w:hAnsi="Calibri Light" w:cs="Calibri Light"/>
          <w:i/>
          <w:sz w:val="20"/>
          <w:szCs w:val="20"/>
          <w:lang w:val="ru-RU"/>
        </w:rPr>
        <w:t>.</w:t>
      </w:r>
      <w:r w:rsidR="003D0784" w:rsidRPr="00736448">
        <w:rPr>
          <w:rFonts w:ascii="Calibri Light" w:eastAsia="Times New Roman" w:hAnsi="Calibri Light" w:cs="Calibri Light"/>
          <w:b/>
          <w:sz w:val="24"/>
          <w:szCs w:val="24"/>
          <w:lang w:val="ro-MD"/>
        </w:rPr>
        <w:t xml:space="preserve"> </w:t>
      </w:r>
    </w:p>
    <w:p w14:paraId="20C14500" w14:textId="77777777" w:rsidR="003D0784" w:rsidRPr="00736448" w:rsidRDefault="003D0784" w:rsidP="003D0784">
      <w:pPr>
        <w:rPr>
          <w:lang w:val="ro-MD"/>
        </w:rPr>
      </w:pPr>
    </w:p>
    <w:p w14:paraId="3180CAFF" w14:textId="77777777" w:rsidR="003D0784" w:rsidRPr="00736448" w:rsidRDefault="003D0784" w:rsidP="003D0784">
      <w:pPr>
        <w:rPr>
          <w:lang w:val="ro-MD"/>
        </w:rPr>
      </w:pPr>
    </w:p>
    <w:p w14:paraId="61882ECF" w14:textId="18190FD8" w:rsidR="003D0784" w:rsidRPr="00736448" w:rsidRDefault="00FC62B3" w:rsidP="003D0784">
      <w:pPr>
        <w:tabs>
          <w:tab w:val="left" w:pos="162"/>
        </w:tabs>
        <w:spacing w:after="0" w:line="276" w:lineRule="auto"/>
        <w:jc w:val="right"/>
        <w:outlineLvl w:val="1"/>
        <w:rPr>
          <w:rFonts w:ascii="Calibri Light" w:eastAsia="Times New Roman" w:hAnsi="Calibri Light" w:cs="Calibri Light"/>
          <w:b/>
          <w:sz w:val="24"/>
          <w:szCs w:val="24"/>
          <w:lang w:val="ro-MD"/>
        </w:rPr>
      </w:pPr>
      <w:r>
        <w:rPr>
          <w:rFonts w:ascii="Calibri Light" w:eastAsia="Times New Roman" w:hAnsi="Calibri Light" w:cs="Calibri Light"/>
          <w:b/>
          <w:sz w:val="24"/>
          <w:szCs w:val="24"/>
          <w:lang w:val="ro-MD"/>
        </w:rPr>
        <w:t>Приложение №</w:t>
      </w:r>
      <w:r w:rsidR="003D0784" w:rsidRPr="00736448">
        <w:rPr>
          <w:rFonts w:ascii="Calibri Light" w:eastAsia="Times New Roman" w:hAnsi="Calibri Light" w:cs="Calibri Light"/>
          <w:b/>
          <w:sz w:val="24"/>
          <w:szCs w:val="24"/>
          <w:lang w:val="ro-MD"/>
        </w:rPr>
        <w:t xml:space="preserve"> </w:t>
      </w:r>
      <w:r w:rsidR="008B5EDB" w:rsidRPr="00736448">
        <w:rPr>
          <w:rFonts w:ascii="Calibri Light" w:eastAsia="Times New Roman" w:hAnsi="Calibri Light" w:cs="Calibri Light"/>
          <w:b/>
          <w:sz w:val="24"/>
          <w:szCs w:val="24"/>
          <w:lang w:val="ro-MD"/>
        </w:rPr>
        <w:t>14</w:t>
      </w:r>
    </w:p>
    <w:p w14:paraId="4EFFA81A" w14:textId="77777777" w:rsidR="00397428" w:rsidRDefault="00397428" w:rsidP="00CC66E0">
      <w:pPr>
        <w:widowControl w:val="0"/>
        <w:spacing w:after="0" w:line="276" w:lineRule="auto"/>
        <w:jc w:val="center"/>
        <w:rPr>
          <w:rFonts w:ascii="Calibri Light" w:eastAsia="Book Antiqua" w:hAnsi="Calibri Light" w:cs="Calibri Light"/>
          <w:b/>
          <w:sz w:val="24"/>
          <w:szCs w:val="24"/>
          <w:lang w:val="ro-RO"/>
        </w:rPr>
      </w:pPr>
    </w:p>
    <w:p w14:paraId="27AAB627" w14:textId="1A050E3B" w:rsidR="00CC66E0" w:rsidRPr="008A7E0F" w:rsidRDefault="00CC66E0" w:rsidP="00CC66E0">
      <w:pPr>
        <w:widowControl w:val="0"/>
        <w:spacing w:after="0" w:line="276" w:lineRule="auto"/>
        <w:jc w:val="center"/>
        <w:rPr>
          <w:rFonts w:ascii="Calibri Light" w:eastAsia="Book Antiqua" w:hAnsi="Calibri Light" w:cs="Calibri Light"/>
          <w:b/>
          <w:sz w:val="24"/>
          <w:szCs w:val="24"/>
          <w:lang w:val="ro-RO"/>
        </w:rPr>
      </w:pPr>
      <w:r w:rsidRPr="008A7E0F">
        <w:rPr>
          <w:rFonts w:ascii="Calibri Light" w:eastAsia="Book Antiqua" w:hAnsi="Calibri Light" w:cs="Calibri Light"/>
          <w:b/>
          <w:sz w:val="24"/>
          <w:szCs w:val="24"/>
          <w:lang w:val="ro-RO"/>
        </w:rPr>
        <w:t>Динамика исполнения доходов бюджета государственного социального страхования</w:t>
      </w:r>
    </w:p>
    <w:p w14:paraId="4078A599" w14:textId="4C79789B" w:rsidR="003D0784" w:rsidRPr="00736448" w:rsidRDefault="00CC66E0" w:rsidP="00CC66E0">
      <w:pPr>
        <w:widowControl w:val="0"/>
        <w:spacing w:after="0" w:line="276" w:lineRule="auto"/>
        <w:jc w:val="center"/>
        <w:rPr>
          <w:rFonts w:ascii="Calibri Light" w:eastAsia="Book Antiqua" w:hAnsi="Calibri Light" w:cs="Calibri Light"/>
          <w:b/>
          <w:sz w:val="24"/>
          <w:szCs w:val="24"/>
          <w:lang w:val="ro-MD"/>
        </w:rPr>
      </w:pPr>
      <w:r w:rsidRPr="008A7E0F">
        <w:rPr>
          <w:rFonts w:ascii="Calibri Light" w:eastAsia="Book Antiqua" w:hAnsi="Calibri Light" w:cs="Calibri Light"/>
          <w:b/>
          <w:sz w:val="24"/>
          <w:szCs w:val="24"/>
          <w:lang w:val="ro-RO"/>
        </w:rPr>
        <w:t xml:space="preserve"> </w:t>
      </w:r>
      <w:r w:rsidRPr="008A7E0F">
        <w:rPr>
          <w:rFonts w:ascii="Calibri Light" w:eastAsia="Book Antiqua" w:hAnsi="Calibri Light" w:cs="Calibri Light"/>
          <w:b/>
          <w:sz w:val="24"/>
          <w:szCs w:val="24"/>
          <w:lang w:val="ru-RU"/>
        </w:rPr>
        <w:t>з</w:t>
      </w:r>
      <w:r w:rsidRPr="008A7E0F">
        <w:rPr>
          <w:rFonts w:ascii="Calibri Light" w:eastAsia="Book Antiqua" w:hAnsi="Calibri Light" w:cs="Calibri Light"/>
          <w:b/>
          <w:sz w:val="24"/>
          <w:szCs w:val="24"/>
          <w:lang w:val="ro-RO"/>
        </w:rPr>
        <w:t>а 2018-202</w:t>
      </w:r>
      <w:r>
        <w:rPr>
          <w:rFonts w:ascii="Calibri Light" w:eastAsia="Book Antiqua" w:hAnsi="Calibri Light" w:cs="Calibri Light"/>
          <w:b/>
          <w:sz w:val="24"/>
          <w:szCs w:val="24"/>
          <w:lang w:val="ru-RU"/>
        </w:rPr>
        <w:t>2</w:t>
      </w:r>
      <w:r w:rsidRPr="008A7E0F">
        <w:rPr>
          <w:rFonts w:ascii="Calibri Light" w:eastAsia="Book Antiqua" w:hAnsi="Calibri Light" w:cs="Calibri Light"/>
          <w:b/>
          <w:sz w:val="24"/>
          <w:szCs w:val="24"/>
          <w:lang w:val="ro-RO"/>
        </w:rPr>
        <w:t xml:space="preserve"> годы</w:t>
      </w:r>
    </w:p>
    <w:p w14:paraId="6F75B5B9" w14:textId="77777777" w:rsidR="003D0784" w:rsidRPr="00736448" w:rsidRDefault="003D0784" w:rsidP="003D0784">
      <w:pPr>
        <w:widowControl w:val="0"/>
        <w:spacing w:after="0" w:line="276" w:lineRule="auto"/>
        <w:jc w:val="right"/>
        <w:rPr>
          <w:rFonts w:ascii="Calibri Light" w:eastAsia="Book Antiqua" w:hAnsi="Calibri Light" w:cs="Calibri Light"/>
          <w:b/>
          <w:sz w:val="20"/>
          <w:szCs w:val="20"/>
          <w:lang w:val="ro-MD"/>
        </w:rPr>
      </w:pPr>
      <w:r w:rsidRPr="00736448">
        <w:rPr>
          <w:rFonts w:ascii="Calibri Light" w:eastAsia="Book Antiqua" w:hAnsi="Calibri Light" w:cs="Calibri Light"/>
          <w:b/>
          <w:sz w:val="20"/>
          <w:szCs w:val="20"/>
          <w:lang w:val="ro-MD"/>
        </w:rPr>
        <w:t>(mil.lei)</w:t>
      </w:r>
    </w:p>
    <w:p w14:paraId="11C95D91" w14:textId="77777777" w:rsidR="003D0784" w:rsidRPr="00736448" w:rsidRDefault="003D0784" w:rsidP="003D0784">
      <w:pPr>
        <w:widowControl w:val="0"/>
        <w:spacing w:after="0" w:line="276" w:lineRule="auto"/>
        <w:jc w:val="center"/>
        <w:rPr>
          <w:rFonts w:ascii="Calibri Light" w:eastAsia="Book Antiqua" w:hAnsi="Calibri Light" w:cs="Calibri Light"/>
          <w:b/>
          <w:sz w:val="24"/>
          <w:szCs w:val="24"/>
          <w:lang w:val="ro-MD"/>
        </w:rPr>
      </w:pPr>
      <w:r w:rsidRPr="00653E85">
        <w:rPr>
          <w:rFonts w:ascii="Calibri Light" w:eastAsia="Book Antiqua" w:hAnsi="Calibri Light" w:cs="Calibri Light"/>
          <w:b/>
          <w:noProof/>
          <w:sz w:val="24"/>
          <w:szCs w:val="24"/>
          <w:lang w:val="ru-RU" w:eastAsia="ru-RU"/>
        </w:rPr>
        <w:drawing>
          <wp:inline distT="0" distB="0" distL="0" distR="0" wp14:anchorId="3250DF3C" wp14:editId="7722492A">
            <wp:extent cx="6339840" cy="2545080"/>
            <wp:effectExtent l="0" t="0" r="381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51731C1" w14:textId="76C72A33" w:rsidR="003D0784" w:rsidRPr="00736448" w:rsidRDefault="00863CC5" w:rsidP="003D0784">
      <w:pPr>
        <w:tabs>
          <w:tab w:val="left" w:pos="162"/>
        </w:tabs>
        <w:spacing w:after="0" w:line="276" w:lineRule="auto"/>
        <w:rPr>
          <w:rFonts w:ascii="Calibri Light" w:eastAsia="Times New Roman" w:hAnsi="Calibri Light" w:cs="Calibri Light"/>
          <w:i/>
          <w:sz w:val="20"/>
          <w:szCs w:val="20"/>
          <w:lang w:val="ro-MD"/>
        </w:rPr>
      </w:pPr>
      <w:r>
        <w:rPr>
          <w:rFonts w:ascii="Calibri Light" w:eastAsia="Times New Roman" w:hAnsi="Calibri Light" w:cs="Calibri Light"/>
          <w:b/>
          <w:bCs/>
          <w:i/>
          <w:sz w:val="20"/>
          <w:szCs w:val="20"/>
          <w:lang w:val="ro-MD"/>
        </w:rPr>
        <w:t>Источник</w:t>
      </w:r>
      <w:r w:rsidR="003D0784" w:rsidRPr="00736448">
        <w:rPr>
          <w:rFonts w:ascii="Calibri Light" w:eastAsia="Times New Roman" w:hAnsi="Calibri Light" w:cs="Calibri Light"/>
          <w:b/>
          <w:bCs/>
          <w:i/>
          <w:sz w:val="20"/>
          <w:szCs w:val="20"/>
          <w:lang w:val="ro-MD"/>
        </w:rPr>
        <w:t>:</w:t>
      </w:r>
      <w:r w:rsidR="003D0784" w:rsidRPr="00736448">
        <w:rPr>
          <w:rFonts w:ascii="Calibri Light" w:eastAsia="Times New Roman" w:hAnsi="Calibri Light" w:cs="Calibri Light"/>
          <w:i/>
          <w:sz w:val="20"/>
          <w:szCs w:val="20"/>
          <w:lang w:val="ro-MD"/>
        </w:rPr>
        <w:t xml:space="preserve"> </w:t>
      </w:r>
      <w:r w:rsidR="001A7175" w:rsidRPr="009F1794">
        <w:rPr>
          <w:rFonts w:ascii="Calibri Light" w:eastAsia="Times New Roman" w:hAnsi="Calibri Light" w:cs="Calibri Light"/>
          <w:i/>
          <w:sz w:val="20"/>
          <w:szCs w:val="20"/>
          <w:lang w:val="ro-RO"/>
        </w:rPr>
        <w:t>Отчет</w:t>
      </w:r>
      <w:r w:rsidR="001A7175">
        <w:rPr>
          <w:rFonts w:ascii="Calibri Light" w:eastAsia="Times New Roman" w:hAnsi="Calibri Light" w:cs="Calibri Light"/>
          <w:i/>
          <w:sz w:val="20"/>
          <w:szCs w:val="20"/>
          <w:lang w:val="ru-RU"/>
        </w:rPr>
        <w:t>ы</w:t>
      </w:r>
      <w:r w:rsidR="001A7175" w:rsidRPr="009F1794">
        <w:rPr>
          <w:rFonts w:ascii="Calibri Light" w:eastAsia="Times New Roman" w:hAnsi="Calibri Light" w:cs="Calibri Light"/>
          <w:i/>
          <w:sz w:val="20"/>
          <w:szCs w:val="20"/>
          <w:lang w:val="ro-RO"/>
        </w:rPr>
        <w:t xml:space="preserve"> об исполнении бюджета государственного социального страхования за </w:t>
      </w:r>
      <w:r w:rsidR="001A7175" w:rsidRPr="00E82CC1">
        <w:rPr>
          <w:rFonts w:ascii="Calibri Light" w:eastAsia="Times New Roman" w:hAnsi="Calibri Light" w:cs="Calibri Light"/>
          <w:i/>
          <w:sz w:val="20"/>
          <w:szCs w:val="20"/>
          <w:lang w:val="ro-RO"/>
        </w:rPr>
        <w:t>2018-202</w:t>
      </w:r>
      <w:r w:rsidR="001A7175">
        <w:rPr>
          <w:rFonts w:ascii="Calibri Light" w:eastAsia="Times New Roman" w:hAnsi="Calibri Light" w:cs="Calibri Light"/>
          <w:i/>
          <w:sz w:val="20"/>
          <w:szCs w:val="20"/>
          <w:lang w:val="ru-RU"/>
        </w:rPr>
        <w:t>2</w:t>
      </w:r>
      <w:r w:rsidR="001A7175" w:rsidRPr="009F1794">
        <w:rPr>
          <w:rFonts w:ascii="Calibri Light" w:eastAsia="Times New Roman" w:hAnsi="Calibri Light" w:cs="Calibri Light"/>
          <w:i/>
          <w:sz w:val="20"/>
          <w:szCs w:val="20"/>
          <w:lang w:val="ro-RO"/>
        </w:rPr>
        <w:t xml:space="preserve"> годы</w:t>
      </w:r>
    </w:p>
    <w:p w14:paraId="15DCAE27" w14:textId="77777777" w:rsidR="003D0784" w:rsidRPr="00736448" w:rsidRDefault="003D0784" w:rsidP="003D0784">
      <w:pPr>
        <w:tabs>
          <w:tab w:val="left" w:pos="162"/>
        </w:tabs>
        <w:spacing w:after="0" w:line="276" w:lineRule="auto"/>
        <w:rPr>
          <w:rFonts w:ascii="Calibri Light" w:eastAsia="Times New Roman" w:hAnsi="Calibri Light" w:cs="Calibri Light"/>
          <w:i/>
          <w:sz w:val="20"/>
          <w:szCs w:val="20"/>
          <w:lang w:val="ro-MD"/>
        </w:rPr>
      </w:pPr>
    </w:p>
    <w:p w14:paraId="4E11DD84" w14:textId="77777777" w:rsidR="003D0784" w:rsidRPr="00736448" w:rsidRDefault="003D0784" w:rsidP="003D0784">
      <w:pPr>
        <w:tabs>
          <w:tab w:val="left" w:pos="162"/>
        </w:tabs>
        <w:spacing w:after="0" w:line="276" w:lineRule="auto"/>
        <w:rPr>
          <w:rFonts w:ascii="Calibri Light" w:eastAsia="Times New Roman" w:hAnsi="Calibri Light" w:cs="Calibri Light"/>
          <w:i/>
          <w:sz w:val="20"/>
          <w:szCs w:val="20"/>
          <w:lang w:val="ro-MD"/>
        </w:rPr>
      </w:pPr>
    </w:p>
    <w:p w14:paraId="40747B2E" w14:textId="77777777" w:rsidR="00397428" w:rsidRDefault="00397428" w:rsidP="003D0784">
      <w:pPr>
        <w:keepNext/>
        <w:keepLines/>
        <w:spacing w:before="40" w:after="0" w:line="240" w:lineRule="auto"/>
        <w:jc w:val="right"/>
        <w:outlineLvl w:val="1"/>
        <w:rPr>
          <w:rFonts w:ascii="Calibri Light" w:eastAsia="Times New Roman" w:hAnsi="Calibri Light" w:cs="Calibri Light"/>
          <w:b/>
          <w:color w:val="000000"/>
          <w:sz w:val="24"/>
          <w:szCs w:val="20"/>
          <w:lang w:val="ro-MD" w:eastAsia="ro-RO"/>
        </w:rPr>
      </w:pPr>
    </w:p>
    <w:p w14:paraId="1E6BF882" w14:textId="463027D2" w:rsidR="003D0784" w:rsidRPr="00736448" w:rsidRDefault="00FC62B3" w:rsidP="003D0784">
      <w:pPr>
        <w:keepNext/>
        <w:keepLines/>
        <w:spacing w:before="40" w:after="0" w:line="240" w:lineRule="auto"/>
        <w:jc w:val="right"/>
        <w:outlineLvl w:val="1"/>
        <w:rPr>
          <w:rFonts w:ascii="Calibri Light" w:eastAsia="Times New Roman" w:hAnsi="Calibri Light" w:cs="Calibri Light"/>
          <w:b/>
          <w:color w:val="000000"/>
          <w:sz w:val="24"/>
          <w:szCs w:val="20"/>
          <w:lang w:val="ro-MD" w:eastAsia="ro-RO"/>
        </w:rPr>
      </w:pPr>
      <w:r>
        <w:rPr>
          <w:rFonts w:ascii="Calibri Light" w:eastAsia="Times New Roman" w:hAnsi="Calibri Light" w:cs="Calibri Light"/>
          <w:b/>
          <w:color w:val="000000"/>
          <w:sz w:val="24"/>
          <w:szCs w:val="20"/>
          <w:lang w:val="ro-MD" w:eastAsia="ro-RO"/>
        </w:rPr>
        <w:t>Приложение №</w:t>
      </w:r>
      <w:r w:rsidR="003D0784" w:rsidRPr="00736448">
        <w:rPr>
          <w:rFonts w:ascii="Calibri Light" w:eastAsia="Times New Roman" w:hAnsi="Calibri Light" w:cs="Calibri Light"/>
          <w:b/>
          <w:color w:val="000000"/>
          <w:sz w:val="24"/>
          <w:szCs w:val="20"/>
          <w:lang w:val="ro-MD" w:eastAsia="ro-RO"/>
        </w:rPr>
        <w:t xml:space="preserve"> </w:t>
      </w:r>
      <w:r w:rsidR="008B5EDB" w:rsidRPr="00736448">
        <w:rPr>
          <w:rFonts w:ascii="Calibri Light" w:eastAsia="Times New Roman" w:hAnsi="Calibri Light" w:cs="Calibri Light"/>
          <w:b/>
          <w:color w:val="000000"/>
          <w:sz w:val="24"/>
          <w:szCs w:val="20"/>
          <w:lang w:val="ro-MD" w:eastAsia="ro-RO"/>
        </w:rPr>
        <w:t>15</w:t>
      </w:r>
    </w:p>
    <w:p w14:paraId="2F2947C1" w14:textId="77777777" w:rsidR="003D0784" w:rsidRPr="00736448" w:rsidRDefault="003D0784" w:rsidP="003D0784">
      <w:pPr>
        <w:spacing w:after="0" w:line="240" w:lineRule="auto"/>
        <w:jc w:val="center"/>
        <w:rPr>
          <w:rFonts w:ascii="Calibri Light" w:eastAsia="Times New Roman" w:hAnsi="Calibri Light" w:cs="Calibri Light"/>
          <w:b/>
          <w:bCs/>
          <w:color w:val="000000"/>
          <w:sz w:val="20"/>
          <w:szCs w:val="20"/>
          <w:lang w:val="ro-MD"/>
        </w:rPr>
      </w:pPr>
    </w:p>
    <w:p w14:paraId="5DB27740" w14:textId="0B78BFD4" w:rsidR="003D0784" w:rsidRPr="00736448" w:rsidRDefault="001A7175" w:rsidP="003D0784">
      <w:pPr>
        <w:tabs>
          <w:tab w:val="left" w:pos="162"/>
        </w:tabs>
        <w:spacing w:after="0" w:line="276" w:lineRule="auto"/>
        <w:jc w:val="center"/>
        <w:rPr>
          <w:rFonts w:ascii="Calibri Light" w:eastAsia="Times New Roman" w:hAnsi="Calibri Light" w:cs="Calibri Light"/>
          <w:b/>
          <w:bCs/>
          <w:color w:val="000000"/>
          <w:sz w:val="24"/>
          <w:szCs w:val="20"/>
          <w:lang w:val="ro-MD"/>
        </w:rPr>
      </w:pPr>
      <w:r w:rsidRPr="009F1794">
        <w:rPr>
          <w:rFonts w:ascii="Calibri Light" w:eastAsia="Times New Roman" w:hAnsi="Calibri Light" w:cs="Calibri Light"/>
          <w:b/>
          <w:bCs/>
          <w:color w:val="000000"/>
          <w:sz w:val="24"/>
          <w:szCs w:val="20"/>
          <w:lang w:val="ro-RO"/>
        </w:rPr>
        <w:t xml:space="preserve">Анализ </w:t>
      </w:r>
      <w:r>
        <w:rPr>
          <w:rFonts w:ascii="Calibri Light" w:eastAsia="Times New Roman" w:hAnsi="Calibri Light" w:cs="Calibri Light"/>
          <w:b/>
          <w:bCs/>
          <w:color w:val="000000"/>
          <w:sz w:val="24"/>
          <w:szCs w:val="20"/>
          <w:lang w:val="ru-RU"/>
        </w:rPr>
        <w:t>трансферт</w:t>
      </w:r>
      <w:r w:rsidRPr="009F1794">
        <w:rPr>
          <w:rFonts w:ascii="Calibri Light" w:eastAsia="Times New Roman" w:hAnsi="Calibri Light" w:cs="Calibri Light"/>
          <w:b/>
          <w:bCs/>
          <w:color w:val="000000"/>
          <w:sz w:val="24"/>
          <w:szCs w:val="20"/>
          <w:lang w:val="ro-RO"/>
        </w:rPr>
        <w:t>ов в бюджет государственного социального страхования</w:t>
      </w:r>
    </w:p>
    <w:p w14:paraId="2295BEAC" w14:textId="42B5D32B" w:rsidR="003D0784" w:rsidRPr="00736448" w:rsidRDefault="003D0784" w:rsidP="003D0784">
      <w:pPr>
        <w:tabs>
          <w:tab w:val="left" w:pos="162"/>
          <w:tab w:val="left" w:pos="2268"/>
        </w:tabs>
        <w:spacing w:after="0" w:line="276" w:lineRule="auto"/>
        <w:jc w:val="right"/>
        <w:rPr>
          <w:rFonts w:ascii="Calibri Light" w:eastAsia="Times New Roman" w:hAnsi="Calibri Light" w:cs="Calibri Light"/>
          <w:b/>
          <w:bCs/>
          <w:iCs/>
          <w:sz w:val="20"/>
          <w:szCs w:val="20"/>
          <w:lang w:val="ro-MD"/>
        </w:rPr>
      </w:pPr>
      <w:r w:rsidRPr="00736448">
        <w:rPr>
          <w:rFonts w:ascii="Calibri Light" w:eastAsia="Times New Roman" w:hAnsi="Calibri Light" w:cs="Calibri Light"/>
          <w:b/>
          <w:bCs/>
          <w:iCs/>
          <w:sz w:val="20"/>
          <w:szCs w:val="20"/>
          <w:lang w:val="ro-MD"/>
        </w:rPr>
        <w:t>(</w:t>
      </w:r>
      <w:r w:rsidR="00C0319C">
        <w:rPr>
          <w:rFonts w:ascii="Calibri Light" w:eastAsia="Times New Roman" w:hAnsi="Calibri Light" w:cs="Calibri Light"/>
          <w:b/>
          <w:bCs/>
          <w:iCs/>
          <w:sz w:val="20"/>
          <w:szCs w:val="20"/>
          <w:lang w:val="ro-MD"/>
        </w:rPr>
        <w:t>тыс. леев</w:t>
      </w:r>
      <w:r w:rsidRPr="00736448">
        <w:rPr>
          <w:rFonts w:ascii="Calibri Light" w:eastAsia="Times New Roman" w:hAnsi="Calibri Light" w:cs="Calibri Light"/>
          <w:b/>
          <w:bCs/>
          <w:iCs/>
          <w:sz w:val="20"/>
          <w:szCs w:val="20"/>
          <w:lang w:val="ro-MD"/>
        </w:rPr>
        <w:t>)</w:t>
      </w:r>
    </w:p>
    <w:tbl>
      <w:tblPr>
        <w:tblW w:w="10069" w:type="dxa"/>
        <w:shd w:val="clear" w:color="auto" w:fill="FFFFFF" w:themeFill="background1"/>
        <w:tblLook w:val="04A0" w:firstRow="1" w:lastRow="0" w:firstColumn="1" w:lastColumn="0" w:noHBand="0" w:noVBand="1"/>
      </w:tblPr>
      <w:tblGrid>
        <w:gridCol w:w="3020"/>
        <w:gridCol w:w="980"/>
        <w:gridCol w:w="1039"/>
        <w:gridCol w:w="1000"/>
        <w:gridCol w:w="1000"/>
        <w:gridCol w:w="1095"/>
        <w:gridCol w:w="1025"/>
        <w:gridCol w:w="1005"/>
      </w:tblGrid>
      <w:tr w:rsidR="003D0784" w:rsidRPr="00B7675F" w14:paraId="5201E939" w14:textId="77777777" w:rsidTr="001A7175">
        <w:trPr>
          <w:trHeight w:val="288"/>
        </w:trPr>
        <w:tc>
          <w:tcPr>
            <w:tcW w:w="30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C09FF4" w14:textId="7F65B7E0" w:rsidR="003D0784" w:rsidRPr="001A7175" w:rsidRDefault="001A7175" w:rsidP="005F6348">
            <w:pPr>
              <w:spacing w:after="0" w:line="240" w:lineRule="auto"/>
              <w:jc w:val="center"/>
              <w:rPr>
                <w:rFonts w:ascii="Calibri Light" w:eastAsia="Times New Roman" w:hAnsi="Calibri Light" w:cs="Calibri Light"/>
                <w:color w:val="000000"/>
                <w:sz w:val="16"/>
                <w:szCs w:val="16"/>
                <w:lang w:val="ru-RU"/>
              </w:rPr>
            </w:pPr>
            <w:r>
              <w:rPr>
                <w:rFonts w:ascii="Calibri Light" w:eastAsia="Times New Roman" w:hAnsi="Calibri Light" w:cs="Calibri Light"/>
                <w:color w:val="000000"/>
                <w:sz w:val="16"/>
                <w:szCs w:val="16"/>
                <w:lang w:val="ru-RU"/>
              </w:rPr>
              <w:t>Название</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C53AD2" w14:textId="7D02A172" w:rsidR="003D0784" w:rsidRPr="001A7175" w:rsidRDefault="001A7175" w:rsidP="005F6348">
            <w:pPr>
              <w:spacing w:after="0" w:line="240" w:lineRule="auto"/>
              <w:jc w:val="center"/>
              <w:rPr>
                <w:rFonts w:ascii="Calibri Light" w:eastAsia="Times New Roman" w:hAnsi="Calibri Light" w:cs="Calibri Light"/>
                <w:color w:val="000000"/>
                <w:sz w:val="16"/>
                <w:szCs w:val="16"/>
                <w:lang w:val="ru-RU"/>
              </w:rPr>
            </w:pPr>
            <w:r>
              <w:rPr>
                <w:rFonts w:ascii="Calibri Light" w:eastAsia="Times New Roman" w:hAnsi="Calibri Light" w:cs="Calibri Light"/>
                <w:color w:val="000000"/>
                <w:sz w:val="16"/>
                <w:szCs w:val="16"/>
                <w:lang w:val="ru-RU"/>
              </w:rPr>
              <w:t>ЭКО</w:t>
            </w:r>
          </w:p>
        </w:tc>
        <w:tc>
          <w:tcPr>
            <w:tcW w:w="203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6E4257" w14:textId="40D35B8C" w:rsidR="003D0784" w:rsidRPr="001A7175" w:rsidRDefault="001A7175" w:rsidP="005F6348">
            <w:pPr>
              <w:spacing w:after="0" w:line="240" w:lineRule="auto"/>
              <w:jc w:val="center"/>
              <w:rPr>
                <w:rFonts w:ascii="Calibri Light" w:eastAsia="Times New Roman" w:hAnsi="Calibri Light" w:cs="Calibri Light"/>
                <w:color w:val="000000"/>
                <w:sz w:val="16"/>
                <w:szCs w:val="16"/>
                <w:lang w:val="ru-RU"/>
              </w:rPr>
            </w:pPr>
            <w:r>
              <w:rPr>
                <w:rFonts w:ascii="Calibri Light" w:eastAsia="Times New Roman" w:hAnsi="Calibri Light" w:cs="Calibri Light"/>
                <w:color w:val="000000"/>
                <w:sz w:val="16"/>
                <w:szCs w:val="16"/>
                <w:lang w:val="ru-RU"/>
              </w:rPr>
              <w:t>План</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F3B1FD" w14:textId="344BAC84" w:rsidR="003D0784" w:rsidRPr="001A7175" w:rsidRDefault="001A7175" w:rsidP="005F6348">
            <w:pPr>
              <w:spacing w:after="0" w:line="240" w:lineRule="auto"/>
              <w:jc w:val="center"/>
              <w:rPr>
                <w:rFonts w:ascii="Calibri Light" w:eastAsia="Times New Roman" w:hAnsi="Calibri Light" w:cs="Calibri Light"/>
                <w:color w:val="000000"/>
                <w:sz w:val="16"/>
                <w:szCs w:val="16"/>
                <w:lang w:val="ru-RU"/>
              </w:rPr>
            </w:pPr>
            <w:r>
              <w:rPr>
                <w:rFonts w:ascii="Calibri Light" w:eastAsia="Times New Roman" w:hAnsi="Calibri Light" w:cs="Calibri Light"/>
                <w:color w:val="000000"/>
                <w:sz w:val="16"/>
                <w:szCs w:val="16"/>
                <w:lang w:val="ru-RU"/>
              </w:rPr>
              <w:t>Исполнено за текущий год</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FFFB18" w14:textId="3C6CA494" w:rsidR="003D0784" w:rsidRPr="00736448" w:rsidRDefault="001A7175" w:rsidP="001A7175">
            <w:pPr>
              <w:spacing w:after="0" w:line="240" w:lineRule="auto"/>
              <w:jc w:val="center"/>
              <w:rPr>
                <w:rFonts w:ascii="Calibri Light" w:eastAsia="Times New Roman" w:hAnsi="Calibri Light" w:cs="Calibri Light"/>
                <w:color w:val="000000"/>
                <w:sz w:val="16"/>
                <w:szCs w:val="16"/>
                <w:lang w:val="ro-MD"/>
              </w:rPr>
            </w:pPr>
            <w:r>
              <w:rPr>
                <w:rFonts w:ascii="Calibri Light" w:eastAsia="Times New Roman" w:hAnsi="Calibri Light" w:cs="Calibri Light"/>
                <w:color w:val="000000"/>
                <w:sz w:val="16"/>
                <w:szCs w:val="16"/>
                <w:lang w:val="ru-RU"/>
              </w:rPr>
              <w:t>Исполнено за предыдущий год</w:t>
            </w:r>
          </w:p>
        </w:tc>
        <w:tc>
          <w:tcPr>
            <w:tcW w:w="203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2050ACCD" w14:textId="1E4025D1" w:rsidR="003D0784" w:rsidRPr="001A7175" w:rsidRDefault="001A7175" w:rsidP="005F6348">
            <w:pPr>
              <w:spacing w:after="0" w:line="240" w:lineRule="auto"/>
              <w:jc w:val="center"/>
              <w:rPr>
                <w:rFonts w:ascii="Calibri Light" w:eastAsia="Times New Roman" w:hAnsi="Calibri Light" w:cs="Calibri Light"/>
                <w:color w:val="000000"/>
                <w:sz w:val="16"/>
                <w:szCs w:val="16"/>
                <w:lang w:val="ru-RU"/>
              </w:rPr>
            </w:pPr>
            <w:r>
              <w:rPr>
                <w:rFonts w:ascii="Calibri Light" w:eastAsia="Times New Roman" w:hAnsi="Calibri Light" w:cs="Calibri Light"/>
                <w:color w:val="000000"/>
                <w:sz w:val="16"/>
                <w:szCs w:val="16"/>
                <w:lang w:val="ru-RU"/>
              </w:rPr>
              <w:t>Исполнено</w:t>
            </w:r>
          </w:p>
        </w:tc>
      </w:tr>
      <w:tr w:rsidR="003D0784" w:rsidRPr="00B7675F" w14:paraId="0B36AD09" w14:textId="77777777" w:rsidTr="001A7175">
        <w:trPr>
          <w:trHeight w:val="468"/>
        </w:trPr>
        <w:tc>
          <w:tcPr>
            <w:tcW w:w="30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5D04C1"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9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8C19CF"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203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C6EECB"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10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C3BE5C"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10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A9661"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203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C17E19B" w14:textId="31735591" w:rsidR="003D0784" w:rsidRPr="001A7175" w:rsidRDefault="001A7175" w:rsidP="005F6348">
            <w:pPr>
              <w:spacing w:after="0" w:line="240" w:lineRule="auto"/>
              <w:jc w:val="center"/>
              <w:rPr>
                <w:rFonts w:ascii="Calibri Light" w:eastAsia="Times New Roman" w:hAnsi="Calibri Light" w:cs="Calibri Light"/>
                <w:color w:val="000000"/>
                <w:sz w:val="16"/>
                <w:szCs w:val="16"/>
                <w:lang w:val="ru-RU"/>
              </w:rPr>
            </w:pPr>
            <w:r>
              <w:rPr>
                <w:rFonts w:ascii="Calibri Light" w:eastAsia="Times New Roman" w:hAnsi="Calibri Light" w:cs="Calibri Light"/>
                <w:color w:val="000000"/>
                <w:sz w:val="16"/>
                <w:szCs w:val="16"/>
                <w:lang w:val="ru-RU"/>
              </w:rPr>
              <w:t>Текущий год против предыдущего</w:t>
            </w:r>
          </w:p>
        </w:tc>
      </w:tr>
      <w:tr w:rsidR="003D0784" w:rsidRPr="00B7675F" w14:paraId="6DA287F7" w14:textId="77777777" w:rsidTr="001A7175">
        <w:trPr>
          <w:trHeight w:val="288"/>
        </w:trPr>
        <w:tc>
          <w:tcPr>
            <w:tcW w:w="30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98EED0"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9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0E7269"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1039" w:type="dxa"/>
            <w:tcBorders>
              <w:top w:val="nil"/>
              <w:left w:val="nil"/>
              <w:bottom w:val="single" w:sz="4" w:space="0" w:color="auto"/>
              <w:right w:val="single" w:sz="4" w:space="0" w:color="auto"/>
            </w:tcBorders>
            <w:shd w:val="clear" w:color="auto" w:fill="FFFFFF" w:themeFill="background1"/>
            <w:vAlign w:val="center"/>
            <w:hideMark/>
          </w:tcPr>
          <w:p w14:paraId="5647FF9C" w14:textId="12670E90" w:rsidR="003D0784" w:rsidRPr="00736448" w:rsidRDefault="001A7175" w:rsidP="005F6348">
            <w:pPr>
              <w:spacing w:after="0" w:line="240" w:lineRule="auto"/>
              <w:jc w:val="center"/>
              <w:rPr>
                <w:rFonts w:ascii="Calibri Light" w:eastAsia="Times New Roman" w:hAnsi="Calibri Light" w:cs="Calibri Light"/>
                <w:color w:val="000000"/>
                <w:sz w:val="16"/>
                <w:szCs w:val="16"/>
                <w:lang w:val="ro-MD"/>
              </w:rPr>
            </w:pPr>
            <w:r>
              <w:rPr>
                <w:rFonts w:ascii="Calibri Light" w:eastAsia="Times New Roman" w:hAnsi="Calibri Light" w:cs="Calibri Light"/>
                <w:color w:val="000000"/>
                <w:sz w:val="16"/>
                <w:szCs w:val="16"/>
                <w:lang w:val="ru-RU"/>
              </w:rPr>
              <w:t>у</w:t>
            </w:r>
            <w:r w:rsidR="00C0319C">
              <w:rPr>
                <w:rFonts w:ascii="Calibri Light" w:eastAsia="Times New Roman" w:hAnsi="Calibri Light" w:cs="Calibri Light"/>
                <w:color w:val="000000"/>
                <w:sz w:val="16"/>
                <w:szCs w:val="16"/>
                <w:lang w:val="ro-MD"/>
              </w:rPr>
              <w:t>тверждено</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2325D8DE" w14:textId="3A449E8B" w:rsidR="003D0784" w:rsidRPr="001A7175" w:rsidRDefault="001A7175" w:rsidP="005F6348">
            <w:pPr>
              <w:spacing w:after="0" w:line="240" w:lineRule="auto"/>
              <w:jc w:val="center"/>
              <w:rPr>
                <w:rFonts w:ascii="Calibri Light" w:eastAsia="Times New Roman" w:hAnsi="Calibri Light" w:cs="Calibri Light"/>
                <w:color w:val="000000"/>
                <w:sz w:val="16"/>
                <w:szCs w:val="16"/>
                <w:lang w:val="ru-RU"/>
              </w:rPr>
            </w:pPr>
            <w:r>
              <w:rPr>
                <w:rFonts w:ascii="Calibri Light" w:eastAsia="Times New Roman" w:hAnsi="Calibri Light" w:cs="Calibri Light"/>
                <w:color w:val="000000"/>
                <w:sz w:val="16"/>
                <w:szCs w:val="16"/>
                <w:lang w:val="ru-RU"/>
              </w:rPr>
              <w:t xml:space="preserve">уточнено </w:t>
            </w:r>
          </w:p>
        </w:tc>
        <w:tc>
          <w:tcPr>
            <w:tcW w:w="10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FD8447"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10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C88A83"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1025" w:type="dxa"/>
            <w:tcBorders>
              <w:top w:val="nil"/>
              <w:left w:val="nil"/>
              <w:bottom w:val="single" w:sz="4" w:space="0" w:color="auto"/>
              <w:right w:val="single" w:sz="4" w:space="0" w:color="auto"/>
            </w:tcBorders>
            <w:shd w:val="clear" w:color="auto" w:fill="FFFFFF" w:themeFill="background1"/>
            <w:vAlign w:val="center"/>
            <w:hideMark/>
          </w:tcPr>
          <w:p w14:paraId="05767AAB" w14:textId="476FF1B7" w:rsidR="003D0784" w:rsidRPr="00736448" w:rsidRDefault="003B3DFD" w:rsidP="005F6348">
            <w:pPr>
              <w:spacing w:after="0" w:line="240" w:lineRule="auto"/>
              <w:jc w:val="center"/>
              <w:rPr>
                <w:rFonts w:ascii="Calibri Light" w:eastAsia="Times New Roman" w:hAnsi="Calibri Light" w:cs="Calibri Light"/>
                <w:color w:val="000000"/>
                <w:sz w:val="16"/>
                <w:szCs w:val="16"/>
                <w:lang w:val="ro-MD"/>
              </w:rPr>
            </w:pPr>
            <w:r>
              <w:rPr>
                <w:rFonts w:ascii="Calibri Light" w:eastAsia="Times New Roman" w:hAnsi="Calibri Light" w:cs="Calibri Light"/>
                <w:color w:val="000000"/>
                <w:sz w:val="16"/>
                <w:szCs w:val="16"/>
                <w:lang w:val="ro-MD"/>
              </w:rPr>
              <w:t>Отклонения</w:t>
            </w:r>
          </w:p>
        </w:tc>
        <w:tc>
          <w:tcPr>
            <w:tcW w:w="1005" w:type="dxa"/>
            <w:tcBorders>
              <w:top w:val="nil"/>
              <w:left w:val="nil"/>
              <w:bottom w:val="single" w:sz="4" w:space="0" w:color="auto"/>
              <w:right w:val="single" w:sz="4" w:space="0" w:color="auto"/>
            </w:tcBorders>
            <w:shd w:val="clear" w:color="auto" w:fill="FFFFFF" w:themeFill="background1"/>
            <w:vAlign w:val="center"/>
            <w:hideMark/>
          </w:tcPr>
          <w:p w14:paraId="2D4C92A5" w14:textId="7A885F98" w:rsidR="003D0784" w:rsidRPr="001A7175" w:rsidRDefault="001A7175" w:rsidP="005F6348">
            <w:pPr>
              <w:spacing w:after="0" w:line="240" w:lineRule="auto"/>
              <w:jc w:val="center"/>
              <w:rPr>
                <w:rFonts w:ascii="Calibri Light" w:eastAsia="Times New Roman" w:hAnsi="Calibri Light" w:cs="Calibri Light"/>
                <w:color w:val="000000"/>
                <w:sz w:val="16"/>
                <w:szCs w:val="16"/>
                <w:lang w:val="ru-RU"/>
              </w:rPr>
            </w:pPr>
            <w:r>
              <w:rPr>
                <w:rFonts w:ascii="Calibri Light" w:eastAsia="Times New Roman" w:hAnsi="Calibri Light" w:cs="Calibri Light"/>
                <w:color w:val="000000"/>
                <w:sz w:val="16"/>
                <w:szCs w:val="16"/>
                <w:lang w:val="ru-RU"/>
              </w:rPr>
              <w:t>в</w:t>
            </w:r>
          </w:p>
        </w:tc>
      </w:tr>
      <w:tr w:rsidR="003D0784" w:rsidRPr="00B7675F" w14:paraId="1E3855C4" w14:textId="77777777" w:rsidTr="001A7175">
        <w:trPr>
          <w:trHeight w:val="276"/>
        </w:trPr>
        <w:tc>
          <w:tcPr>
            <w:tcW w:w="30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46FCFE"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9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644782"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1039" w:type="dxa"/>
            <w:tcBorders>
              <w:top w:val="nil"/>
              <w:left w:val="nil"/>
              <w:bottom w:val="single" w:sz="4" w:space="0" w:color="auto"/>
              <w:right w:val="single" w:sz="4" w:space="0" w:color="auto"/>
            </w:tcBorders>
            <w:shd w:val="clear" w:color="auto" w:fill="FFFFFF" w:themeFill="background1"/>
            <w:vAlign w:val="center"/>
            <w:hideMark/>
          </w:tcPr>
          <w:p w14:paraId="6F1818A5" w14:textId="6F6783BE" w:rsidR="003D0784" w:rsidRPr="00736448" w:rsidRDefault="001A7175" w:rsidP="005F6348">
            <w:pPr>
              <w:spacing w:after="0" w:line="240" w:lineRule="auto"/>
              <w:jc w:val="center"/>
              <w:rPr>
                <w:rFonts w:ascii="Calibri Light" w:eastAsia="Times New Roman" w:hAnsi="Calibri Light" w:cs="Calibri Light"/>
                <w:color w:val="000000"/>
                <w:sz w:val="16"/>
                <w:szCs w:val="16"/>
                <w:lang w:val="ro-MD"/>
              </w:rPr>
            </w:pPr>
            <w:r>
              <w:rPr>
                <w:rFonts w:ascii="Calibri Light" w:eastAsia="Times New Roman" w:hAnsi="Calibri Light" w:cs="Calibri Light"/>
                <w:color w:val="000000"/>
                <w:sz w:val="16"/>
                <w:szCs w:val="16"/>
                <w:lang w:val="ru-RU"/>
              </w:rPr>
              <w:t>На год</w:t>
            </w:r>
            <w:r w:rsidR="003D0784" w:rsidRPr="00736448">
              <w:rPr>
                <w:rFonts w:ascii="Calibri Light" w:eastAsia="Times New Roman" w:hAnsi="Calibri Light" w:cs="Calibri Light"/>
                <w:color w:val="000000"/>
                <w:sz w:val="16"/>
                <w:szCs w:val="16"/>
                <w:lang w:val="ro-MD"/>
              </w:rPr>
              <w:t xml:space="preserve"> </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0A766AA8" w14:textId="7E947A4F" w:rsidR="003D0784" w:rsidRPr="00736448" w:rsidRDefault="001A7175" w:rsidP="005F6348">
            <w:pPr>
              <w:spacing w:after="0" w:line="240" w:lineRule="auto"/>
              <w:jc w:val="center"/>
              <w:rPr>
                <w:rFonts w:ascii="Calibri Light" w:eastAsia="Times New Roman" w:hAnsi="Calibri Light" w:cs="Calibri Light"/>
                <w:color w:val="000000"/>
                <w:sz w:val="16"/>
                <w:szCs w:val="16"/>
                <w:lang w:val="ro-MD"/>
              </w:rPr>
            </w:pPr>
            <w:r>
              <w:rPr>
                <w:rFonts w:ascii="Calibri Light" w:eastAsia="Times New Roman" w:hAnsi="Calibri Light" w:cs="Calibri Light"/>
                <w:color w:val="000000"/>
                <w:sz w:val="16"/>
                <w:szCs w:val="16"/>
                <w:lang w:val="ru-RU"/>
              </w:rPr>
              <w:t>На год</w:t>
            </w:r>
            <w:r w:rsidR="003D0784" w:rsidRPr="00736448">
              <w:rPr>
                <w:rFonts w:ascii="Calibri Light" w:eastAsia="Times New Roman" w:hAnsi="Calibri Light" w:cs="Calibri Light"/>
                <w:color w:val="000000"/>
                <w:sz w:val="16"/>
                <w:szCs w:val="16"/>
                <w:lang w:val="ro-MD"/>
              </w:rPr>
              <w:t xml:space="preserve"> </w:t>
            </w:r>
          </w:p>
        </w:tc>
        <w:tc>
          <w:tcPr>
            <w:tcW w:w="10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E6541E"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10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5FFBA"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1025" w:type="dxa"/>
            <w:tcBorders>
              <w:top w:val="nil"/>
              <w:left w:val="nil"/>
              <w:bottom w:val="single" w:sz="4" w:space="0" w:color="auto"/>
              <w:right w:val="single" w:sz="4" w:space="0" w:color="auto"/>
            </w:tcBorders>
            <w:shd w:val="clear" w:color="auto" w:fill="FFFFFF" w:themeFill="background1"/>
            <w:vAlign w:val="center"/>
            <w:hideMark/>
          </w:tcPr>
          <w:p w14:paraId="08A07417"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w:t>
            </w:r>
          </w:p>
        </w:tc>
        <w:tc>
          <w:tcPr>
            <w:tcW w:w="1005" w:type="dxa"/>
            <w:tcBorders>
              <w:top w:val="nil"/>
              <w:left w:val="nil"/>
              <w:bottom w:val="single" w:sz="4" w:space="0" w:color="auto"/>
              <w:right w:val="single" w:sz="4" w:space="0" w:color="auto"/>
            </w:tcBorders>
            <w:shd w:val="clear" w:color="auto" w:fill="FFFFFF" w:themeFill="background1"/>
            <w:vAlign w:val="center"/>
            <w:hideMark/>
          </w:tcPr>
          <w:p w14:paraId="0E9250F4"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 xml:space="preserve"> %</w:t>
            </w:r>
          </w:p>
        </w:tc>
      </w:tr>
      <w:tr w:rsidR="003D0784" w:rsidRPr="00B7675F" w14:paraId="225AA437" w14:textId="77777777" w:rsidTr="001A7175">
        <w:trPr>
          <w:trHeight w:val="288"/>
        </w:trPr>
        <w:tc>
          <w:tcPr>
            <w:tcW w:w="30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23F11B9"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1</w:t>
            </w:r>
          </w:p>
        </w:tc>
        <w:tc>
          <w:tcPr>
            <w:tcW w:w="980" w:type="dxa"/>
            <w:tcBorders>
              <w:top w:val="nil"/>
              <w:left w:val="nil"/>
              <w:bottom w:val="single" w:sz="4" w:space="0" w:color="auto"/>
              <w:right w:val="single" w:sz="4" w:space="0" w:color="auto"/>
            </w:tcBorders>
            <w:shd w:val="clear" w:color="auto" w:fill="FFFFFF" w:themeFill="background1"/>
            <w:noWrap/>
            <w:vAlign w:val="center"/>
            <w:hideMark/>
          </w:tcPr>
          <w:p w14:paraId="7897D805"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2</w:t>
            </w:r>
          </w:p>
        </w:tc>
        <w:tc>
          <w:tcPr>
            <w:tcW w:w="1039" w:type="dxa"/>
            <w:tcBorders>
              <w:top w:val="nil"/>
              <w:left w:val="nil"/>
              <w:bottom w:val="single" w:sz="4" w:space="0" w:color="auto"/>
              <w:right w:val="single" w:sz="4" w:space="0" w:color="auto"/>
            </w:tcBorders>
            <w:shd w:val="clear" w:color="auto" w:fill="FFFFFF" w:themeFill="background1"/>
            <w:noWrap/>
            <w:vAlign w:val="center"/>
            <w:hideMark/>
          </w:tcPr>
          <w:p w14:paraId="744734B8"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3</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6ABE6F40"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4</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26BEE68F"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5</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049FBC8B"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8</w:t>
            </w:r>
          </w:p>
        </w:tc>
        <w:tc>
          <w:tcPr>
            <w:tcW w:w="1025" w:type="dxa"/>
            <w:tcBorders>
              <w:top w:val="nil"/>
              <w:left w:val="nil"/>
              <w:bottom w:val="single" w:sz="4" w:space="0" w:color="auto"/>
              <w:right w:val="single" w:sz="4" w:space="0" w:color="auto"/>
            </w:tcBorders>
            <w:shd w:val="clear" w:color="auto" w:fill="FFFFFF" w:themeFill="background1"/>
            <w:noWrap/>
            <w:vAlign w:val="center"/>
            <w:hideMark/>
          </w:tcPr>
          <w:p w14:paraId="7F10C3A2"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9</w:t>
            </w:r>
          </w:p>
        </w:tc>
        <w:tc>
          <w:tcPr>
            <w:tcW w:w="1005" w:type="dxa"/>
            <w:tcBorders>
              <w:top w:val="nil"/>
              <w:left w:val="nil"/>
              <w:bottom w:val="single" w:sz="4" w:space="0" w:color="auto"/>
              <w:right w:val="single" w:sz="4" w:space="0" w:color="auto"/>
            </w:tcBorders>
            <w:shd w:val="clear" w:color="auto" w:fill="FFFFFF" w:themeFill="background1"/>
            <w:noWrap/>
            <w:vAlign w:val="center"/>
            <w:hideMark/>
          </w:tcPr>
          <w:p w14:paraId="412E2552"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10</w:t>
            </w:r>
          </w:p>
        </w:tc>
      </w:tr>
      <w:tr w:rsidR="001A7175" w:rsidRPr="00B7675F" w14:paraId="0FC1E167" w14:textId="77777777" w:rsidTr="001A7175">
        <w:trPr>
          <w:trHeight w:val="288"/>
        </w:trPr>
        <w:tc>
          <w:tcPr>
            <w:tcW w:w="30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A5A9B44" w14:textId="0CA75BA6" w:rsidR="001A7175" w:rsidRPr="001A7175" w:rsidRDefault="001A7175" w:rsidP="001A7175">
            <w:pPr>
              <w:spacing w:after="0" w:line="240" w:lineRule="auto"/>
              <w:rPr>
                <w:rFonts w:ascii="Calibri Light" w:eastAsia="Times New Roman" w:hAnsi="Calibri Light" w:cs="Calibri Light"/>
                <w:color w:val="000000"/>
                <w:sz w:val="16"/>
                <w:szCs w:val="16"/>
                <w:lang w:val="ro-MD"/>
              </w:rPr>
            </w:pPr>
            <w:r w:rsidRPr="001A7175">
              <w:rPr>
                <w:rFonts w:asciiTheme="majorHAnsi" w:eastAsia="Times New Roman" w:hAnsiTheme="majorHAnsi" w:cstheme="majorHAnsi"/>
                <w:bCs/>
                <w:color w:val="000000"/>
                <w:sz w:val="16"/>
                <w:szCs w:val="16"/>
                <w:lang w:val="ro-RO"/>
              </w:rPr>
              <w:t xml:space="preserve">I.  </w:t>
            </w:r>
            <w:r w:rsidRPr="001A7175">
              <w:rPr>
                <w:rFonts w:asciiTheme="majorHAnsi" w:eastAsia="Times New Roman" w:hAnsiTheme="majorHAnsi" w:cstheme="majorHAnsi"/>
                <w:bCs/>
                <w:color w:val="000000"/>
                <w:sz w:val="16"/>
                <w:szCs w:val="16"/>
                <w:lang w:val="ru-RU"/>
              </w:rPr>
              <w:t>ДОХОДЫ</w:t>
            </w:r>
          </w:p>
        </w:tc>
        <w:tc>
          <w:tcPr>
            <w:tcW w:w="980" w:type="dxa"/>
            <w:tcBorders>
              <w:top w:val="nil"/>
              <w:left w:val="nil"/>
              <w:bottom w:val="single" w:sz="4" w:space="0" w:color="auto"/>
              <w:right w:val="single" w:sz="4" w:space="0" w:color="auto"/>
            </w:tcBorders>
            <w:shd w:val="clear" w:color="auto" w:fill="FFFFFF" w:themeFill="background1"/>
            <w:noWrap/>
            <w:vAlign w:val="center"/>
            <w:hideMark/>
          </w:tcPr>
          <w:p w14:paraId="5103258B" w14:textId="77777777" w:rsidR="001A7175" w:rsidRPr="00736448" w:rsidRDefault="001A7175" w:rsidP="001A7175">
            <w:pPr>
              <w:spacing w:after="0" w:line="240" w:lineRule="auto"/>
              <w:jc w:val="right"/>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1</w:t>
            </w:r>
          </w:p>
        </w:tc>
        <w:tc>
          <w:tcPr>
            <w:tcW w:w="1039" w:type="dxa"/>
            <w:tcBorders>
              <w:top w:val="nil"/>
              <w:left w:val="nil"/>
              <w:bottom w:val="single" w:sz="4" w:space="0" w:color="auto"/>
              <w:right w:val="single" w:sz="4" w:space="0" w:color="auto"/>
            </w:tcBorders>
            <w:shd w:val="clear" w:color="auto" w:fill="FFFFFF" w:themeFill="background1"/>
            <w:noWrap/>
            <w:vAlign w:val="center"/>
            <w:hideMark/>
          </w:tcPr>
          <w:p w14:paraId="00C414ED" w14:textId="77777777" w:rsidR="001A7175" w:rsidRPr="00736448" w:rsidRDefault="001A7175" w:rsidP="001A7175">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31224240.7</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7D6369E3" w14:textId="77777777" w:rsidR="001A7175" w:rsidRPr="00736448" w:rsidRDefault="001A7175" w:rsidP="001A7175">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34200589.4</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69E22698" w14:textId="77777777" w:rsidR="001A7175" w:rsidRPr="00736448" w:rsidRDefault="001A7175" w:rsidP="001A7175">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33796071.0</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23EF87A3" w14:textId="77777777" w:rsidR="001A7175" w:rsidRPr="00736448" w:rsidRDefault="001A7175" w:rsidP="001A7175">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27246848.9</w:t>
            </w:r>
          </w:p>
        </w:tc>
        <w:tc>
          <w:tcPr>
            <w:tcW w:w="1025" w:type="dxa"/>
            <w:tcBorders>
              <w:top w:val="nil"/>
              <w:left w:val="nil"/>
              <w:bottom w:val="single" w:sz="4" w:space="0" w:color="auto"/>
              <w:right w:val="single" w:sz="4" w:space="0" w:color="auto"/>
            </w:tcBorders>
            <w:shd w:val="clear" w:color="auto" w:fill="FFFFFF" w:themeFill="background1"/>
            <w:noWrap/>
            <w:vAlign w:val="center"/>
            <w:hideMark/>
          </w:tcPr>
          <w:p w14:paraId="373339B4" w14:textId="77777777" w:rsidR="001A7175" w:rsidRPr="00736448" w:rsidRDefault="001A7175" w:rsidP="001A7175">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6549222.1</w:t>
            </w:r>
          </w:p>
        </w:tc>
        <w:tc>
          <w:tcPr>
            <w:tcW w:w="1005" w:type="dxa"/>
            <w:tcBorders>
              <w:top w:val="nil"/>
              <w:left w:val="nil"/>
              <w:bottom w:val="single" w:sz="4" w:space="0" w:color="auto"/>
              <w:right w:val="single" w:sz="4" w:space="0" w:color="auto"/>
            </w:tcBorders>
            <w:shd w:val="clear" w:color="auto" w:fill="FFFFFF" w:themeFill="background1"/>
            <w:noWrap/>
            <w:vAlign w:val="center"/>
            <w:hideMark/>
          </w:tcPr>
          <w:p w14:paraId="43397ECA" w14:textId="77777777" w:rsidR="001A7175" w:rsidRPr="00736448" w:rsidRDefault="001A7175" w:rsidP="001A7175">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124.0</w:t>
            </w:r>
          </w:p>
        </w:tc>
      </w:tr>
      <w:tr w:rsidR="001A7175" w:rsidRPr="00B7675F" w14:paraId="504E5D43" w14:textId="77777777" w:rsidTr="001A7175">
        <w:trPr>
          <w:trHeight w:val="576"/>
        </w:trPr>
        <w:tc>
          <w:tcPr>
            <w:tcW w:w="30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F0F3FA" w14:textId="6EEDBC2E" w:rsidR="001A7175" w:rsidRPr="001A7175" w:rsidRDefault="001A7175" w:rsidP="001A7175">
            <w:pPr>
              <w:spacing w:after="0" w:line="240" w:lineRule="auto"/>
              <w:rPr>
                <w:rFonts w:ascii="Calibri Light" w:eastAsia="Times New Roman" w:hAnsi="Calibri Light" w:cs="Calibri Light"/>
                <w:sz w:val="16"/>
                <w:szCs w:val="16"/>
                <w:lang w:val="ro-MD"/>
              </w:rPr>
            </w:pPr>
            <w:r w:rsidRPr="001A7175">
              <w:rPr>
                <w:rFonts w:asciiTheme="majorHAnsi" w:eastAsia="Times New Roman" w:hAnsiTheme="majorHAnsi" w:cstheme="majorHAnsi"/>
                <w:bCs/>
                <w:sz w:val="16"/>
                <w:szCs w:val="16"/>
                <w:lang w:val="ru-RU"/>
              </w:rPr>
              <w:t>ТРАНСФЕРТ</w:t>
            </w:r>
            <w:r w:rsidRPr="001A7175">
              <w:rPr>
                <w:rFonts w:asciiTheme="majorHAnsi" w:eastAsia="Times New Roman" w:hAnsiTheme="majorHAnsi" w:cstheme="majorHAnsi"/>
                <w:bCs/>
                <w:sz w:val="16"/>
                <w:szCs w:val="16"/>
                <w:lang w:val="ro-RO"/>
              </w:rPr>
              <w:t xml:space="preserve">Ы ПОЛУЧЕННЫЕ В РАМКАХ НАЦИОНАЛЬНОГО </w:t>
            </w:r>
            <w:r w:rsidRPr="001A7175">
              <w:rPr>
                <w:rFonts w:asciiTheme="majorHAnsi" w:eastAsia="Times New Roman" w:hAnsiTheme="majorHAnsi" w:cstheme="majorHAnsi"/>
                <w:bCs/>
                <w:sz w:val="16"/>
                <w:szCs w:val="16"/>
                <w:lang w:val="ru-RU"/>
              </w:rPr>
              <w:t>ПУБЛИЧ</w:t>
            </w:r>
            <w:r w:rsidRPr="001A7175">
              <w:rPr>
                <w:rFonts w:asciiTheme="majorHAnsi" w:eastAsia="Times New Roman" w:hAnsiTheme="majorHAnsi" w:cstheme="majorHAnsi"/>
                <w:bCs/>
                <w:sz w:val="16"/>
                <w:szCs w:val="16"/>
                <w:lang w:val="ro-RO"/>
              </w:rPr>
              <w:t>НОГО БЮДЖЕТА</w:t>
            </w:r>
          </w:p>
        </w:tc>
        <w:tc>
          <w:tcPr>
            <w:tcW w:w="980" w:type="dxa"/>
            <w:tcBorders>
              <w:top w:val="nil"/>
              <w:left w:val="nil"/>
              <w:bottom w:val="single" w:sz="4" w:space="0" w:color="auto"/>
              <w:right w:val="single" w:sz="4" w:space="0" w:color="auto"/>
            </w:tcBorders>
            <w:shd w:val="clear" w:color="auto" w:fill="FFFFFF" w:themeFill="background1"/>
            <w:noWrap/>
            <w:vAlign w:val="center"/>
            <w:hideMark/>
          </w:tcPr>
          <w:p w14:paraId="05CC8335" w14:textId="77777777" w:rsidR="001A7175" w:rsidRPr="00736448" w:rsidRDefault="001A7175" w:rsidP="001A7175">
            <w:pPr>
              <w:spacing w:after="0" w:line="240" w:lineRule="auto"/>
              <w:jc w:val="right"/>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19</w:t>
            </w:r>
          </w:p>
        </w:tc>
        <w:tc>
          <w:tcPr>
            <w:tcW w:w="1039" w:type="dxa"/>
            <w:tcBorders>
              <w:top w:val="nil"/>
              <w:left w:val="nil"/>
              <w:bottom w:val="single" w:sz="4" w:space="0" w:color="auto"/>
              <w:right w:val="single" w:sz="4" w:space="0" w:color="auto"/>
            </w:tcBorders>
            <w:shd w:val="clear" w:color="auto" w:fill="FFFFFF" w:themeFill="background1"/>
            <w:noWrap/>
            <w:vAlign w:val="center"/>
            <w:hideMark/>
          </w:tcPr>
          <w:p w14:paraId="11D24360" w14:textId="77777777" w:rsidR="001A7175" w:rsidRPr="00736448" w:rsidRDefault="001A7175" w:rsidP="001A7175">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12550012.5</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4A6F796A" w14:textId="77777777" w:rsidR="001A7175" w:rsidRPr="00736448" w:rsidRDefault="001A7175" w:rsidP="001A7175">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15302361.2</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3191B28C" w14:textId="77777777" w:rsidR="001A7175" w:rsidRPr="00736448" w:rsidRDefault="001A7175" w:rsidP="001A7175">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14794027.1</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3D7B72EF" w14:textId="77777777" w:rsidR="001A7175" w:rsidRPr="00736448" w:rsidRDefault="001A7175" w:rsidP="001A7175">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10724685.9</w:t>
            </w:r>
          </w:p>
        </w:tc>
        <w:tc>
          <w:tcPr>
            <w:tcW w:w="1025" w:type="dxa"/>
            <w:tcBorders>
              <w:top w:val="nil"/>
              <w:left w:val="nil"/>
              <w:bottom w:val="single" w:sz="4" w:space="0" w:color="auto"/>
              <w:right w:val="single" w:sz="4" w:space="0" w:color="auto"/>
            </w:tcBorders>
            <w:shd w:val="clear" w:color="auto" w:fill="FFFFFF" w:themeFill="background1"/>
            <w:noWrap/>
            <w:vAlign w:val="center"/>
            <w:hideMark/>
          </w:tcPr>
          <w:p w14:paraId="43F51F01" w14:textId="77777777" w:rsidR="001A7175" w:rsidRPr="00736448" w:rsidRDefault="001A7175" w:rsidP="001A7175">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4069341.2</w:t>
            </w:r>
          </w:p>
        </w:tc>
        <w:tc>
          <w:tcPr>
            <w:tcW w:w="1005" w:type="dxa"/>
            <w:tcBorders>
              <w:top w:val="nil"/>
              <w:left w:val="nil"/>
              <w:bottom w:val="single" w:sz="4" w:space="0" w:color="auto"/>
              <w:right w:val="single" w:sz="4" w:space="0" w:color="auto"/>
            </w:tcBorders>
            <w:shd w:val="clear" w:color="auto" w:fill="FFFFFF" w:themeFill="background1"/>
            <w:noWrap/>
            <w:vAlign w:val="center"/>
            <w:hideMark/>
          </w:tcPr>
          <w:p w14:paraId="2DB33D96" w14:textId="77777777" w:rsidR="001A7175" w:rsidRPr="00736448" w:rsidRDefault="001A7175" w:rsidP="001A7175">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137.9</w:t>
            </w:r>
          </w:p>
        </w:tc>
      </w:tr>
      <w:tr w:rsidR="001A7175" w:rsidRPr="00B7675F" w14:paraId="64B64B46" w14:textId="77777777" w:rsidTr="001A7175">
        <w:trPr>
          <w:trHeight w:val="564"/>
        </w:trPr>
        <w:tc>
          <w:tcPr>
            <w:tcW w:w="30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5CAEE6" w14:textId="413B6648" w:rsidR="001A7175" w:rsidRPr="001A7175" w:rsidRDefault="001A7175" w:rsidP="001A7175">
            <w:pPr>
              <w:spacing w:after="0" w:line="240" w:lineRule="auto"/>
              <w:rPr>
                <w:rFonts w:ascii="Calibri Light" w:eastAsia="Times New Roman" w:hAnsi="Calibri Light" w:cs="Calibri Light"/>
                <w:color w:val="000000"/>
                <w:sz w:val="16"/>
                <w:szCs w:val="16"/>
                <w:lang w:val="ro-MD"/>
              </w:rPr>
            </w:pPr>
            <w:r w:rsidRPr="001A7175">
              <w:rPr>
                <w:rFonts w:asciiTheme="majorHAnsi" w:eastAsia="Times New Roman" w:hAnsiTheme="majorHAnsi" w:cstheme="majorHAnsi"/>
                <w:bCs/>
                <w:color w:val="000000"/>
                <w:sz w:val="16"/>
                <w:szCs w:val="16"/>
                <w:lang w:val="ru-RU"/>
              </w:rPr>
              <w:t>Удельный вес трансфертов в общих доходах</w:t>
            </w:r>
          </w:p>
        </w:tc>
        <w:tc>
          <w:tcPr>
            <w:tcW w:w="980" w:type="dxa"/>
            <w:tcBorders>
              <w:top w:val="nil"/>
              <w:left w:val="nil"/>
              <w:bottom w:val="single" w:sz="4" w:space="0" w:color="auto"/>
              <w:right w:val="single" w:sz="4" w:space="0" w:color="auto"/>
            </w:tcBorders>
            <w:shd w:val="clear" w:color="auto" w:fill="FFFFFF" w:themeFill="background1"/>
            <w:noWrap/>
            <w:vAlign w:val="center"/>
            <w:hideMark/>
          </w:tcPr>
          <w:p w14:paraId="23AEAC69" w14:textId="77777777" w:rsidR="001A7175" w:rsidRPr="00736448" w:rsidRDefault="001A7175" w:rsidP="001A7175">
            <w:pPr>
              <w:spacing w:after="0" w:line="240" w:lineRule="auto"/>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 </w:t>
            </w:r>
          </w:p>
        </w:tc>
        <w:tc>
          <w:tcPr>
            <w:tcW w:w="1039" w:type="dxa"/>
            <w:tcBorders>
              <w:top w:val="nil"/>
              <w:left w:val="nil"/>
              <w:bottom w:val="single" w:sz="4" w:space="0" w:color="auto"/>
              <w:right w:val="single" w:sz="4" w:space="0" w:color="auto"/>
            </w:tcBorders>
            <w:shd w:val="clear" w:color="auto" w:fill="FFFFFF" w:themeFill="background1"/>
            <w:noWrap/>
            <w:vAlign w:val="center"/>
            <w:hideMark/>
          </w:tcPr>
          <w:p w14:paraId="7F18FF79" w14:textId="77777777" w:rsidR="001A7175" w:rsidRPr="00736448" w:rsidRDefault="001A7175" w:rsidP="001A7175">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40.20%</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7D0DC229" w14:textId="77777777" w:rsidR="001A7175" w:rsidRPr="00736448" w:rsidRDefault="001A7175" w:rsidP="001A7175">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44.70%</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13DE8CD1" w14:textId="77777777" w:rsidR="001A7175" w:rsidRPr="00736448" w:rsidRDefault="001A7175" w:rsidP="001A7175">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43.77</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5BCCF362" w14:textId="77777777" w:rsidR="001A7175" w:rsidRPr="00736448" w:rsidRDefault="001A7175" w:rsidP="001A7175">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39.36</w:t>
            </w:r>
          </w:p>
        </w:tc>
        <w:tc>
          <w:tcPr>
            <w:tcW w:w="1025" w:type="dxa"/>
            <w:tcBorders>
              <w:top w:val="nil"/>
              <w:left w:val="nil"/>
              <w:bottom w:val="single" w:sz="4" w:space="0" w:color="auto"/>
              <w:right w:val="single" w:sz="4" w:space="0" w:color="auto"/>
            </w:tcBorders>
            <w:shd w:val="clear" w:color="auto" w:fill="FFFFFF" w:themeFill="background1"/>
            <w:noWrap/>
            <w:vAlign w:val="center"/>
            <w:hideMark/>
          </w:tcPr>
          <w:p w14:paraId="60A1DF0D" w14:textId="77777777" w:rsidR="001A7175" w:rsidRPr="00736448" w:rsidRDefault="001A7175" w:rsidP="001A7175">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62.13</w:t>
            </w:r>
          </w:p>
        </w:tc>
        <w:tc>
          <w:tcPr>
            <w:tcW w:w="1005" w:type="dxa"/>
            <w:tcBorders>
              <w:top w:val="nil"/>
              <w:left w:val="nil"/>
              <w:bottom w:val="single" w:sz="4" w:space="0" w:color="auto"/>
              <w:right w:val="single" w:sz="4" w:space="0" w:color="auto"/>
            </w:tcBorders>
            <w:shd w:val="clear" w:color="auto" w:fill="FFFFFF" w:themeFill="background1"/>
            <w:noWrap/>
            <w:vAlign w:val="center"/>
            <w:hideMark/>
          </w:tcPr>
          <w:p w14:paraId="3CF6D781" w14:textId="77777777" w:rsidR="001A7175" w:rsidRPr="00736448" w:rsidRDefault="001A7175" w:rsidP="001A7175">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x</w:t>
            </w:r>
          </w:p>
        </w:tc>
      </w:tr>
      <w:tr w:rsidR="001A7175" w:rsidRPr="00B7675F" w14:paraId="0DA9D76D" w14:textId="77777777" w:rsidTr="001A7175">
        <w:trPr>
          <w:trHeight w:val="636"/>
        </w:trPr>
        <w:tc>
          <w:tcPr>
            <w:tcW w:w="30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72AD59" w14:textId="200EFF45" w:rsidR="001A7175" w:rsidRPr="001A7175" w:rsidRDefault="001A7175" w:rsidP="001A7175">
            <w:pPr>
              <w:spacing w:after="0" w:line="240" w:lineRule="auto"/>
              <w:rPr>
                <w:rFonts w:ascii="Calibri Light" w:eastAsia="Times New Roman" w:hAnsi="Calibri Light" w:cs="Calibri Light"/>
                <w:color w:val="000000"/>
                <w:sz w:val="16"/>
                <w:szCs w:val="16"/>
                <w:lang w:val="ro-MD"/>
              </w:rPr>
            </w:pPr>
            <w:r w:rsidRPr="001A7175">
              <w:rPr>
                <w:rFonts w:asciiTheme="majorHAnsi" w:hAnsiTheme="majorHAnsi" w:cstheme="majorHAnsi"/>
                <w:sz w:val="16"/>
                <w:szCs w:val="16"/>
                <w:lang w:val="ru-RU"/>
              </w:rPr>
              <w:t>Полученные текущие трансферты специального назначения между государственным бюджетом и бюджетом государственного социального страхования</w:t>
            </w:r>
          </w:p>
        </w:tc>
        <w:tc>
          <w:tcPr>
            <w:tcW w:w="980" w:type="dxa"/>
            <w:tcBorders>
              <w:top w:val="nil"/>
              <w:left w:val="nil"/>
              <w:bottom w:val="single" w:sz="4" w:space="0" w:color="auto"/>
              <w:right w:val="single" w:sz="4" w:space="0" w:color="auto"/>
            </w:tcBorders>
            <w:shd w:val="clear" w:color="auto" w:fill="FFFFFF" w:themeFill="background1"/>
            <w:vAlign w:val="center"/>
            <w:hideMark/>
          </w:tcPr>
          <w:p w14:paraId="0A70FEE9" w14:textId="77777777" w:rsidR="001A7175" w:rsidRPr="00736448" w:rsidRDefault="001A7175" w:rsidP="001A7175">
            <w:pPr>
              <w:spacing w:after="0" w:line="240" w:lineRule="auto"/>
              <w:jc w:val="right"/>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192110</w:t>
            </w:r>
          </w:p>
        </w:tc>
        <w:tc>
          <w:tcPr>
            <w:tcW w:w="1039" w:type="dxa"/>
            <w:tcBorders>
              <w:top w:val="nil"/>
              <w:left w:val="nil"/>
              <w:bottom w:val="single" w:sz="4" w:space="0" w:color="auto"/>
              <w:right w:val="single" w:sz="4" w:space="0" w:color="auto"/>
            </w:tcBorders>
            <w:shd w:val="clear" w:color="auto" w:fill="FFFFFF" w:themeFill="background1"/>
            <w:vAlign w:val="center"/>
            <w:hideMark/>
          </w:tcPr>
          <w:p w14:paraId="2BEFE060" w14:textId="77777777" w:rsidR="001A7175" w:rsidRPr="00736448" w:rsidRDefault="001A7175" w:rsidP="001A7175">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9618885.0</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2C7F9167" w14:textId="77777777" w:rsidR="001A7175" w:rsidRPr="00736448" w:rsidRDefault="001A7175" w:rsidP="001A7175">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10483234.5</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34F9DDAE" w14:textId="77777777" w:rsidR="001A7175" w:rsidRPr="00736448" w:rsidRDefault="001A7175" w:rsidP="001A7175">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10359900.4</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70BA3E11" w14:textId="77777777" w:rsidR="001A7175" w:rsidRPr="00736448" w:rsidRDefault="001A7175" w:rsidP="001A7175">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7884643.0</w:t>
            </w:r>
          </w:p>
        </w:tc>
        <w:tc>
          <w:tcPr>
            <w:tcW w:w="1025" w:type="dxa"/>
            <w:tcBorders>
              <w:top w:val="nil"/>
              <w:left w:val="nil"/>
              <w:bottom w:val="single" w:sz="4" w:space="0" w:color="auto"/>
              <w:right w:val="single" w:sz="4" w:space="0" w:color="auto"/>
            </w:tcBorders>
            <w:shd w:val="clear" w:color="auto" w:fill="FFFFFF" w:themeFill="background1"/>
            <w:noWrap/>
            <w:vAlign w:val="center"/>
            <w:hideMark/>
          </w:tcPr>
          <w:p w14:paraId="33EBF48F" w14:textId="77777777" w:rsidR="001A7175" w:rsidRPr="00736448" w:rsidRDefault="001A7175" w:rsidP="001A7175">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2475257.4</w:t>
            </w:r>
          </w:p>
        </w:tc>
        <w:tc>
          <w:tcPr>
            <w:tcW w:w="1005" w:type="dxa"/>
            <w:tcBorders>
              <w:top w:val="nil"/>
              <w:left w:val="nil"/>
              <w:bottom w:val="single" w:sz="4" w:space="0" w:color="auto"/>
              <w:right w:val="single" w:sz="4" w:space="0" w:color="auto"/>
            </w:tcBorders>
            <w:shd w:val="clear" w:color="auto" w:fill="FFFFFF" w:themeFill="background1"/>
            <w:noWrap/>
            <w:vAlign w:val="center"/>
            <w:hideMark/>
          </w:tcPr>
          <w:p w14:paraId="7E11D874" w14:textId="77777777" w:rsidR="001A7175" w:rsidRPr="00736448" w:rsidRDefault="001A7175" w:rsidP="001A7175">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131.4</w:t>
            </w:r>
          </w:p>
        </w:tc>
      </w:tr>
      <w:tr w:rsidR="001A7175" w:rsidRPr="00B7675F" w14:paraId="558ADEE2" w14:textId="77777777" w:rsidTr="001A7175">
        <w:trPr>
          <w:trHeight w:val="576"/>
        </w:trPr>
        <w:tc>
          <w:tcPr>
            <w:tcW w:w="30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BA18AF" w14:textId="5E83CDF7" w:rsidR="001A7175" w:rsidRPr="001A7175" w:rsidRDefault="001A7175" w:rsidP="001A7175">
            <w:pPr>
              <w:spacing w:after="0" w:line="240" w:lineRule="auto"/>
              <w:rPr>
                <w:rFonts w:ascii="Calibri Light" w:eastAsia="Times New Roman" w:hAnsi="Calibri Light" w:cs="Calibri Light"/>
                <w:color w:val="000000"/>
                <w:sz w:val="16"/>
                <w:szCs w:val="16"/>
                <w:lang w:val="ro-MD"/>
              </w:rPr>
            </w:pPr>
            <w:r w:rsidRPr="001A7175">
              <w:rPr>
                <w:rFonts w:asciiTheme="majorHAnsi" w:eastAsia="Times New Roman" w:hAnsiTheme="majorHAnsi" w:cstheme="majorHAnsi"/>
                <w:bCs/>
                <w:color w:val="000000"/>
                <w:sz w:val="16"/>
                <w:szCs w:val="16"/>
                <w:lang w:val="ru-RU"/>
              </w:rPr>
              <w:t>Удельный вес трансфертов специального назначения</w:t>
            </w:r>
            <w:r w:rsidRPr="001A7175">
              <w:rPr>
                <w:rFonts w:asciiTheme="majorHAnsi" w:eastAsia="Times New Roman" w:hAnsiTheme="majorHAnsi" w:cstheme="majorHAnsi"/>
                <w:bCs/>
                <w:color w:val="000000"/>
                <w:sz w:val="16"/>
                <w:szCs w:val="16"/>
                <w:lang w:val="ro-RO"/>
              </w:rPr>
              <w:t xml:space="preserve"> </w:t>
            </w:r>
            <w:r w:rsidRPr="001A7175">
              <w:rPr>
                <w:rFonts w:asciiTheme="majorHAnsi" w:eastAsia="Times New Roman" w:hAnsiTheme="majorHAnsi" w:cstheme="majorHAnsi"/>
                <w:bCs/>
                <w:color w:val="000000"/>
                <w:sz w:val="16"/>
                <w:szCs w:val="16"/>
                <w:lang w:val="ru-RU"/>
              </w:rPr>
              <w:t>в общих трансфертах</w:t>
            </w:r>
          </w:p>
        </w:tc>
        <w:tc>
          <w:tcPr>
            <w:tcW w:w="980" w:type="dxa"/>
            <w:tcBorders>
              <w:top w:val="nil"/>
              <w:left w:val="nil"/>
              <w:bottom w:val="single" w:sz="4" w:space="0" w:color="auto"/>
              <w:right w:val="single" w:sz="4" w:space="0" w:color="auto"/>
            </w:tcBorders>
            <w:shd w:val="clear" w:color="auto" w:fill="FFFFFF" w:themeFill="background1"/>
            <w:vAlign w:val="center"/>
            <w:hideMark/>
          </w:tcPr>
          <w:p w14:paraId="4951D23B" w14:textId="77777777" w:rsidR="001A7175" w:rsidRPr="00736448" w:rsidRDefault="001A7175" w:rsidP="001A7175">
            <w:pPr>
              <w:spacing w:after="0" w:line="240" w:lineRule="auto"/>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 </w:t>
            </w:r>
          </w:p>
        </w:tc>
        <w:tc>
          <w:tcPr>
            <w:tcW w:w="1039" w:type="dxa"/>
            <w:tcBorders>
              <w:top w:val="nil"/>
              <w:left w:val="nil"/>
              <w:bottom w:val="single" w:sz="4" w:space="0" w:color="auto"/>
              <w:right w:val="single" w:sz="4" w:space="0" w:color="auto"/>
            </w:tcBorders>
            <w:shd w:val="clear" w:color="auto" w:fill="FFFFFF" w:themeFill="background1"/>
            <w:vAlign w:val="center"/>
            <w:hideMark/>
          </w:tcPr>
          <w:p w14:paraId="62FB0769" w14:textId="77777777" w:rsidR="001A7175" w:rsidRPr="00736448" w:rsidRDefault="001A7175" w:rsidP="001A7175">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76.64%</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53582926" w14:textId="77777777" w:rsidR="001A7175" w:rsidRPr="00736448" w:rsidRDefault="001A7175" w:rsidP="001A7175">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68.51%</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782F871E" w14:textId="77777777" w:rsidR="001A7175" w:rsidRPr="00736448" w:rsidRDefault="001A7175" w:rsidP="001A7175">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70.03%</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525F94D1" w14:textId="77777777" w:rsidR="001A7175" w:rsidRPr="00736448" w:rsidRDefault="001A7175" w:rsidP="001A7175">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73.52%</w:t>
            </w:r>
          </w:p>
        </w:tc>
        <w:tc>
          <w:tcPr>
            <w:tcW w:w="1025" w:type="dxa"/>
            <w:tcBorders>
              <w:top w:val="nil"/>
              <w:left w:val="nil"/>
              <w:bottom w:val="single" w:sz="4" w:space="0" w:color="auto"/>
              <w:right w:val="single" w:sz="4" w:space="0" w:color="auto"/>
            </w:tcBorders>
            <w:shd w:val="clear" w:color="auto" w:fill="FFFFFF" w:themeFill="background1"/>
            <w:vAlign w:val="center"/>
            <w:hideMark/>
          </w:tcPr>
          <w:p w14:paraId="37DCE6C6" w14:textId="77777777" w:rsidR="001A7175" w:rsidRPr="00736448" w:rsidRDefault="001A7175" w:rsidP="001A7175">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60.83%</w:t>
            </w:r>
          </w:p>
        </w:tc>
        <w:tc>
          <w:tcPr>
            <w:tcW w:w="1005" w:type="dxa"/>
            <w:tcBorders>
              <w:top w:val="nil"/>
              <w:left w:val="nil"/>
              <w:bottom w:val="single" w:sz="4" w:space="0" w:color="auto"/>
              <w:right w:val="single" w:sz="4" w:space="0" w:color="auto"/>
            </w:tcBorders>
            <w:shd w:val="clear" w:color="auto" w:fill="FFFFFF" w:themeFill="background1"/>
            <w:vAlign w:val="center"/>
            <w:hideMark/>
          </w:tcPr>
          <w:p w14:paraId="308E1365" w14:textId="77777777" w:rsidR="001A7175" w:rsidRPr="00736448" w:rsidRDefault="001A7175" w:rsidP="001A7175">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x</w:t>
            </w:r>
          </w:p>
        </w:tc>
      </w:tr>
      <w:tr w:rsidR="001A7175" w:rsidRPr="00B7675F" w14:paraId="6FA4A89B" w14:textId="77777777" w:rsidTr="001A7175">
        <w:trPr>
          <w:trHeight w:val="720"/>
        </w:trPr>
        <w:tc>
          <w:tcPr>
            <w:tcW w:w="30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957219" w14:textId="5DEDC227" w:rsidR="001A7175" w:rsidRPr="001A7175" w:rsidRDefault="001A7175" w:rsidP="001A7175">
            <w:pPr>
              <w:spacing w:after="0" w:line="240" w:lineRule="auto"/>
              <w:rPr>
                <w:rFonts w:ascii="Calibri Light" w:eastAsia="Times New Roman" w:hAnsi="Calibri Light" w:cs="Calibri Light"/>
                <w:color w:val="000000"/>
                <w:sz w:val="16"/>
                <w:szCs w:val="16"/>
                <w:lang w:val="ro-MD"/>
              </w:rPr>
            </w:pPr>
            <w:r w:rsidRPr="001A7175">
              <w:rPr>
                <w:rFonts w:asciiTheme="majorHAnsi" w:hAnsiTheme="majorHAnsi" w:cstheme="majorHAnsi"/>
                <w:sz w:val="16"/>
                <w:szCs w:val="16"/>
                <w:lang w:val="ru-RU"/>
              </w:rPr>
              <w:t>Полученные текущие трансферты общего назначения между государственным бюджетом и бюджетом государственного социального страхования</w:t>
            </w:r>
          </w:p>
        </w:tc>
        <w:tc>
          <w:tcPr>
            <w:tcW w:w="980" w:type="dxa"/>
            <w:tcBorders>
              <w:top w:val="nil"/>
              <w:left w:val="nil"/>
              <w:bottom w:val="single" w:sz="4" w:space="0" w:color="auto"/>
              <w:right w:val="single" w:sz="4" w:space="0" w:color="auto"/>
            </w:tcBorders>
            <w:shd w:val="clear" w:color="auto" w:fill="FFFFFF" w:themeFill="background1"/>
            <w:vAlign w:val="center"/>
            <w:hideMark/>
          </w:tcPr>
          <w:p w14:paraId="3F46F56F" w14:textId="77777777" w:rsidR="001A7175" w:rsidRPr="00736448" w:rsidRDefault="001A7175" w:rsidP="001A7175">
            <w:pPr>
              <w:spacing w:after="0" w:line="240" w:lineRule="auto"/>
              <w:jc w:val="right"/>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192130</w:t>
            </w:r>
          </w:p>
        </w:tc>
        <w:tc>
          <w:tcPr>
            <w:tcW w:w="1039" w:type="dxa"/>
            <w:tcBorders>
              <w:top w:val="nil"/>
              <w:left w:val="nil"/>
              <w:bottom w:val="single" w:sz="4" w:space="0" w:color="auto"/>
              <w:right w:val="single" w:sz="4" w:space="0" w:color="auto"/>
            </w:tcBorders>
            <w:shd w:val="clear" w:color="auto" w:fill="FFFFFF" w:themeFill="background1"/>
            <w:vAlign w:val="center"/>
            <w:hideMark/>
          </w:tcPr>
          <w:p w14:paraId="204280B0" w14:textId="77777777" w:rsidR="001A7175" w:rsidRPr="00736448" w:rsidRDefault="001A7175" w:rsidP="001A7175">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2931127.5</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324F9FDA" w14:textId="77777777" w:rsidR="001A7175" w:rsidRPr="00736448" w:rsidRDefault="001A7175" w:rsidP="001A7175">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4819126.7</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33B445B6" w14:textId="77777777" w:rsidR="001A7175" w:rsidRPr="00736448" w:rsidRDefault="001A7175" w:rsidP="001A7175">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4434126.7</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25E336F4" w14:textId="77777777" w:rsidR="001A7175" w:rsidRPr="00736448" w:rsidRDefault="001A7175" w:rsidP="001A7175">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2840042.9</w:t>
            </w:r>
          </w:p>
        </w:tc>
        <w:tc>
          <w:tcPr>
            <w:tcW w:w="1025" w:type="dxa"/>
            <w:tcBorders>
              <w:top w:val="nil"/>
              <w:left w:val="nil"/>
              <w:bottom w:val="single" w:sz="4" w:space="0" w:color="auto"/>
              <w:right w:val="single" w:sz="4" w:space="0" w:color="auto"/>
            </w:tcBorders>
            <w:shd w:val="clear" w:color="auto" w:fill="FFFFFF" w:themeFill="background1"/>
            <w:noWrap/>
            <w:vAlign w:val="center"/>
            <w:hideMark/>
          </w:tcPr>
          <w:p w14:paraId="18BFEE55" w14:textId="77777777" w:rsidR="001A7175" w:rsidRPr="00736448" w:rsidRDefault="001A7175" w:rsidP="001A7175">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1594083.8</w:t>
            </w:r>
          </w:p>
        </w:tc>
        <w:tc>
          <w:tcPr>
            <w:tcW w:w="1005" w:type="dxa"/>
            <w:tcBorders>
              <w:top w:val="nil"/>
              <w:left w:val="nil"/>
              <w:bottom w:val="single" w:sz="4" w:space="0" w:color="auto"/>
              <w:right w:val="single" w:sz="4" w:space="0" w:color="auto"/>
            </w:tcBorders>
            <w:shd w:val="clear" w:color="auto" w:fill="FFFFFF" w:themeFill="background1"/>
            <w:noWrap/>
            <w:vAlign w:val="center"/>
            <w:hideMark/>
          </w:tcPr>
          <w:p w14:paraId="1626F57E" w14:textId="77777777" w:rsidR="001A7175" w:rsidRPr="00736448" w:rsidRDefault="001A7175" w:rsidP="001A7175">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156.1</w:t>
            </w:r>
          </w:p>
        </w:tc>
      </w:tr>
      <w:tr w:rsidR="001A7175" w:rsidRPr="00B7675F" w14:paraId="6BDC0F52" w14:textId="77777777" w:rsidTr="001A7175">
        <w:trPr>
          <w:trHeight w:val="636"/>
        </w:trPr>
        <w:tc>
          <w:tcPr>
            <w:tcW w:w="30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E5273D" w14:textId="3EFCD0E9" w:rsidR="001A7175" w:rsidRPr="001A7175" w:rsidRDefault="001A7175" w:rsidP="001A7175">
            <w:pPr>
              <w:spacing w:after="0" w:line="240" w:lineRule="auto"/>
              <w:rPr>
                <w:rFonts w:ascii="Calibri Light" w:eastAsia="Times New Roman" w:hAnsi="Calibri Light" w:cs="Calibri Light"/>
                <w:color w:val="000000"/>
                <w:sz w:val="16"/>
                <w:szCs w:val="16"/>
                <w:lang w:val="ro-MD"/>
              </w:rPr>
            </w:pPr>
            <w:r w:rsidRPr="001A7175">
              <w:rPr>
                <w:rFonts w:asciiTheme="majorHAnsi" w:eastAsia="Times New Roman" w:hAnsiTheme="majorHAnsi" w:cstheme="majorHAnsi"/>
                <w:bCs/>
                <w:color w:val="000000"/>
                <w:sz w:val="16"/>
                <w:szCs w:val="16"/>
                <w:lang w:val="ru-RU"/>
              </w:rPr>
              <w:t>Удельный вес трансфертов общего назначения в общих трансфертах</w:t>
            </w:r>
          </w:p>
        </w:tc>
        <w:tc>
          <w:tcPr>
            <w:tcW w:w="980" w:type="dxa"/>
            <w:tcBorders>
              <w:top w:val="nil"/>
              <w:left w:val="nil"/>
              <w:bottom w:val="single" w:sz="4" w:space="0" w:color="auto"/>
              <w:right w:val="single" w:sz="4" w:space="0" w:color="auto"/>
            </w:tcBorders>
            <w:shd w:val="clear" w:color="auto" w:fill="FFFFFF" w:themeFill="background1"/>
            <w:noWrap/>
            <w:vAlign w:val="center"/>
            <w:hideMark/>
          </w:tcPr>
          <w:p w14:paraId="641F1C69" w14:textId="77777777" w:rsidR="001A7175" w:rsidRPr="00736448" w:rsidRDefault="001A7175" w:rsidP="001A7175">
            <w:pPr>
              <w:spacing w:after="0" w:line="240" w:lineRule="auto"/>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 </w:t>
            </w:r>
          </w:p>
        </w:tc>
        <w:tc>
          <w:tcPr>
            <w:tcW w:w="1039" w:type="dxa"/>
            <w:tcBorders>
              <w:top w:val="nil"/>
              <w:left w:val="nil"/>
              <w:bottom w:val="single" w:sz="4" w:space="0" w:color="auto"/>
              <w:right w:val="single" w:sz="4" w:space="0" w:color="auto"/>
            </w:tcBorders>
            <w:shd w:val="clear" w:color="auto" w:fill="FFFFFF" w:themeFill="background1"/>
            <w:noWrap/>
            <w:vAlign w:val="center"/>
            <w:hideMark/>
          </w:tcPr>
          <w:p w14:paraId="1891CC67" w14:textId="77777777" w:rsidR="001A7175" w:rsidRPr="00736448" w:rsidRDefault="001A7175" w:rsidP="001A7175">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23.36%</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2C5B403E" w14:textId="77777777" w:rsidR="001A7175" w:rsidRPr="00736448" w:rsidRDefault="001A7175" w:rsidP="001A7175">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31.49%</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43BC6689" w14:textId="77777777" w:rsidR="001A7175" w:rsidRPr="00736448" w:rsidRDefault="001A7175" w:rsidP="001A7175">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29.97%</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2DB671B5" w14:textId="77777777" w:rsidR="001A7175" w:rsidRPr="00736448" w:rsidRDefault="001A7175" w:rsidP="001A7175">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26.48%</w:t>
            </w:r>
          </w:p>
        </w:tc>
        <w:tc>
          <w:tcPr>
            <w:tcW w:w="1025" w:type="dxa"/>
            <w:tcBorders>
              <w:top w:val="nil"/>
              <w:left w:val="nil"/>
              <w:bottom w:val="single" w:sz="4" w:space="0" w:color="auto"/>
              <w:right w:val="single" w:sz="4" w:space="0" w:color="auto"/>
            </w:tcBorders>
            <w:shd w:val="clear" w:color="auto" w:fill="FFFFFF" w:themeFill="background1"/>
            <w:noWrap/>
            <w:vAlign w:val="center"/>
            <w:hideMark/>
          </w:tcPr>
          <w:p w14:paraId="4B3501B9" w14:textId="77777777" w:rsidR="001A7175" w:rsidRPr="00736448" w:rsidRDefault="001A7175" w:rsidP="001A7175">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39.17%</w:t>
            </w:r>
          </w:p>
        </w:tc>
        <w:tc>
          <w:tcPr>
            <w:tcW w:w="1005" w:type="dxa"/>
            <w:tcBorders>
              <w:top w:val="nil"/>
              <w:left w:val="nil"/>
              <w:bottom w:val="single" w:sz="4" w:space="0" w:color="auto"/>
              <w:right w:val="single" w:sz="4" w:space="0" w:color="auto"/>
            </w:tcBorders>
            <w:shd w:val="clear" w:color="auto" w:fill="FFFFFF" w:themeFill="background1"/>
            <w:noWrap/>
            <w:vAlign w:val="center"/>
            <w:hideMark/>
          </w:tcPr>
          <w:p w14:paraId="4B8FEF4C" w14:textId="77777777" w:rsidR="001A7175" w:rsidRPr="00736448" w:rsidRDefault="001A7175" w:rsidP="001A7175">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x</w:t>
            </w:r>
          </w:p>
        </w:tc>
      </w:tr>
    </w:tbl>
    <w:p w14:paraId="7444BF63" w14:textId="72B56323" w:rsidR="003D0784" w:rsidRPr="00736448" w:rsidRDefault="00863CC5" w:rsidP="003D0784">
      <w:pPr>
        <w:tabs>
          <w:tab w:val="left" w:pos="162"/>
        </w:tabs>
        <w:spacing w:after="0" w:line="276" w:lineRule="auto"/>
        <w:rPr>
          <w:rFonts w:ascii="Calibri Light" w:eastAsia="Times New Roman" w:hAnsi="Calibri Light" w:cs="Calibri Light"/>
          <w:i/>
          <w:sz w:val="20"/>
          <w:szCs w:val="20"/>
          <w:lang w:val="ro-MD"/>
        </w:rPr>
      </w:pPr>
      <w:r>
        <w:rPr>
          <w:rFonts w:ascii="Calibri Light" w:eastAsia="Times New Roman" w:hAnsi="Calibri Light" w:cs="Calibri Light"/>
          <w:b/>
          <w:i/>
          <w:sz w:val="20"/>
          <w:szCs w:val="20"/>
          <w:lang w:val="ro-MD"/>
        </w:rPr>
        <w:t>Источник</w:t>
      </w:r>
      <w:r w:rsidR="001A7175" w:rsidRPr="001A7175">
        <w:rPr>
          <w:rFonts w:ascii="Calibri Light" w:eastAsia="Times New Roman" w:hAnsi="Calibri Light" w:cs="Calibri Light"/>
          <w:i/>
          <w:sz w:val="20"/>
          <w:szCs w:val="20"/>
          <w:lang w:val="ro-RO"/>
        </w:rPr>
        <w:t xml:space="preserve"> </w:t>
      </w:r>
      <w:r w:rsidR="001A7175" w:rsidRPr="009F1794">
        <w:rPr>
          <w:rFonts w:ascii="Calibri Light" w:eastAsia="Times New Roman" w:hAnsi="Calibri Light" w:cs="Calibri Light"/>
          <w:i/>
          <w:sz w:val="20"/>
          <w:szCs w:val="20"/>
          <w:lang w:val="ro-RO"/>
        </w:rPr>
        <w:t>Отчет</w:t>
      </w:r>
      <w:r w:rsidR="001A7175">
        <w:rPr>
          <w:rFonts w:ascii="Calibri Light" w:eastAsia="Times New Roman" w:hAnsi="Calibri Light" w:cs="Calibri Light"/>
          <w:i/>
          <w:sz w:val="20"/>
          <w:szCs w:val="20"/>
          <w:lang w:val="ru-RU"/>
        </w:rPr>
        <w:t>ы</w:t>
      </w:r>
      <w:r w:rsidR="001A7175" w:rsidRPr="009F1794">
        <w:rPr>
          <w:rFonts w:ascii="Calibri Light" w:eastAsia="Times New Roman" w:hAnsi="Calibri Light" w:cs="Calibri Light"/>
          <w:i/>
          <w:sz w:val="20"/>
          <w:szCs w:val="20"/>
          <w:lang w:val="ro-RO"/>
        </w:rPr>
        <w:t xml:space="preserve"> об исполнении бюджета государственного социального страхования за </w:t>
      </w:r>
      <w:r w:rsidR="001A7175" w:rsidRPr="00E82CC1">
        <w:rPr>
          <w:rFonts w:ascii="Calibri Light" w:eastAsia="Times New Roman" w:hAnsi="Calibri Light" w:cs="Calibri Light"/>
          <w:i/>
          <w:sz w:val="20"/>
          <w:szCs w:val="20"/>
          <w:lang w:val="ro-RO"/>
        </w:rPr>
        <w:t>20</w:t>
      </w:r>
      <w:r w:rsidR="001A7175">
        <w:rPr>
          <w:rFonts w:ascii="Calibri Light" w:eastAsia="Times New Roman" w:hAnsi="Calibri Light" w:cs="Calibri Light"/>
          <w:i/>
          <w:sz w:val="20"/>
          <w:szCs w:val="20"/>
          <w:lang w:val="ru-RU"/>
        </w:rPr>
        <w:t>21</w:t>
      </w:r>
      <w:r w:rsidR="001A7175" w:rsidRPr="00E82CC1">
        <w:rPr>
          <w:rFonts w:ascii="Calibri Light" w:eastAsia="Times New Roman" w:hAnsi="Calibri Light" w:cs="Calibri Light"/>
          <w:i/>
          <w:sz w:val="20"/>
          <w:szCs w:val="20"/>
          <w:lang w:val="ro-RO"/>
        </w:rPr>
        <w:t>-202</w:t>
      </w:r>
      <w:r w:rsidR="001A7175">
        <w:rPr>
          <w:rFonts w:ascii="Calibri Light" w:eastAsia="Times New Roman" w:hAnsi="Calibri Light" w:cs="Calibri Light"/>
          <w:i/>
          <w:sz w:val="20"/>
          <w:szCs w:val="20"/>
          <w:lang w:val="ru-RU"/>
        </w:rPr>
        <w:t>2 годы</w:t>
      </w:r>
      <w:r w:rsidR="00E15964">
        <w:rPr>
          <w:rFonts w:ascii="Calibri Light" w:eastAsia="Times New Roman" w:hAnsi="Calibri Light" w:cs="Calibri Light"/>
          <w:i/>
          <w:sz w:val="20"/>
          <w:szCs w:val="20"/>
          <w:lang w:val="ro-MD"/>
        </w:rPr>
        <w:t>.</w:t>
      </w:r>
    </w:p>
    <w:p w14:paraId="0C6F29E3" w14:textId="77777777" w:rsidR="003D0784" w:rsidRPr="00736448" w:rsidRDefault="003D0784" w:rsidP="003D0784">
      <w:pPr>
        <w:rPr>
          <w:lang w:val="ro-MD"/>
        </w:rPr>
      </w:pPr>
    </w:p>
    <w:p w14:paraId="1726BC78" w14:textId="77777777" w:rsidR="00397428" w:rsidRDefault="00397428" w:rsidP="003D0784">
      <w:pPr>
        <w:pStyle w:val="2"/>
        <w:jc w:val="right"/>
        <w:rPr>
          <w:rFonts w:ascii="Calibri Light" w:eastAsia="Times New Roman" w:hAnsi="Calibri Light" w:cs="Calibri Light"/>
          <w:b/>
          <w:bCs/>
          <w:iCs/>
          <w:color w:val="000000" w:themeColor="text1"/>
          <w:sz w:val="24"/>
          <w:szCs w:val="24"/>
          <w:lang w:val="ro-MD"/>
        </w:rPr>
      </w:pPr>
    </w:p>
    <w:p w14:paraId="1FA692C1" w14:textId="65B62142" w:rsidR="003D0784" w:rsidRPr="00736448" w:rsidRDefault="00FC62B3" w:rsidP="003D0784">
      <w:pPr>
        <w:pStyle w:val="2"/>
        <w:jc w:val="right"/>
        <w:rPr>
          <w:rFonts w:ascii="Calibri Light" w:eastAsia="Times New Roman" w:hAnsi="Calibri Light" w:cs="Calibri Light"/>
          <w:b/>
          <w:bCs/>
          <w:iCs/>
          <w:color w:val="000000" w:themeColor="text1"/>
          <w:sz w:val="24"/>
          <w:szCs w:val="24"/>
          <w:lang w:val="ro-MD"/>
        </w:rPr>
      </w:pPr>
      <w:r>
        <w:rPr>
          <w:rFonts w:ascii="Calibri Light" w:eastAsia="Times New Roman" w:hAnsi="Calibri Light" w:cs="Calibri Light"/>
          <w:b/>
          <w:bCs/>
          <w:iCs/>
          <w:color w:val="000000" w:themeColor="text1"/>
          <w:sz w:val="24"/>
          <w:szCs w:val="24"/>
          <w:lang w:val="ro-MD"/>
        </w:rPr>
        <w:t>Приложение №</w:t>
      </w:r>
      <w:r w:rsidR="003D0784" w:rsidRPr="00736448">
        <w:rPr>
          <w:rFonts w:ascii="Calibri Light" w:eastAsia="Times New Roman" w:hAnsi="Calibri Light" w:cs="Calibri Light"/>
          <w:b/>
          <w:bCs/>
          <w:iCs/>
          <w:color w:val="000000" w:themeColor="text1"/>
          <w:sz w:val="24"/>
          <w:szCs w:val="24"/>
          <w:lang w:val="ro-MD"/>
        </w:rPr>
        <w:t xml:space="preserve"> </w:t>
      </w:r>
      <w:r w:rsidR="008B5EDB" w:rsidRPr="00736448">
        <w:rPr>
          <w:rFonts w:ascii="Calibri Light" w:eastAsia="Times New Roman" w:hAnsi="Calibri Light" w:cs="Calibri Light"/>
          <w:b/>
          <w:bCs/>
          <w:iCs/>
          <w:color w:val="000000" w:themeColor="text1"/>
          <w:sz w:val="24"/>
          <w:szCs w:val="24"/>
          <w:lang w:val="ro-MD"/>
        </w:rPr>
        <w:t>16</w:t>
      </w:r>
    </w:p>
    <w:p w14:paraId="5458ACCF" w14:textId="77777777" w:rsidR="003D0784" w:rsidRPr="00736448" w:rsidRDefault="003D0784" w:rsidP="003D0784">
      <w:pPr>
        <w:tabs>
          <w:tab w:val="left" w:pos="162"/>
        </w:tabs>
        <w:spacing w:after="0" w:line="276" w:lineRule="auto"/>
        <w:jc w:val="right"/>
        <w:rPr>
          <w:rFonts w:ascii="Calibri Light" w:eastAsia="Times New Roman" w:hAnsi="Calibri Light" w:cs="Calibri Light"/>
          <w:b/>
          <w:bCs/>
          <w:iCs/>
          <w:sz w:val="24"/>
          <w:szCs w:val="24"/>
          <w:lang w:val="ro-MD"/>
        </w:rPr>
      </w:pPr>
    </w:p>
    <w:p w14:paraId="3BCE4228" w14:textId="2AE1FCA8" w:rsidR="001E6D54" w:rsidRPr="00D72D27" w:rsidRDefault="001E6D54" w:rsidP="001E6D54">
      <w:pPr>
        <w:tabs>
          <w:tab w:val="left" w:pos="162"/>
        </w:tabs>
        <w:spacing w:after="0" w:line="276" w:lineRule="auto"/>
        <w:jc w:val="center"/>
        <w:rPr>
          <w:rFonts w:ascii="Calibri Light" w:eastAsia="Times New Roman" w:hAnsi="Calibri Light" w:cs="Calibri Light"/>
          <w:b/>
          <w:bCs/>
          <w:iCs/>
          <w:sz w:val="24"/>
          <w:szCs w:val="24"/>
          <w:lang w:val="ro-RO"/>
        </w:rPr>
      </w:pPr>
      <w:r>
        <w:rPr>
          <w:rFonts w:ascii="Calibri Light" w:eastAsia="Times New Roman" w:hAnsi="Calibri Light" w:cs="Calibri Light"/>
          <w:b/>
          <w:bCs/>
          <w:iCs/>
          <w:sz w:val="24"/>
          <w:szCs w:val="24"/>
          <w:lang w:val="ru-RU"/>
        </w:rPr>
        <w:t>Эволюция</w:t>
      </w:r>
      <w:r w:rsidRPr="00D72D27">
        <w:rPr>
          <w:rFonts w:ascii="Calibri Light" w:eastAsia="Times New Roman" w:hAnsi="Calibri Light" w:cs="Calibri Light"/>
          <w:b/>
          <w:bCs/>
          <w:iCs/>
          <w:sz w:val="24"/>
          <w:szCs w:val="24"/>
          <w:lang w:val="ro-RO"/>
        </w:rPr>
        <w:t xml:space="preserve"> удельного веса собственных доходов БГСС и трансфертов из национального</w:t>
      </w:r>
    </w:p>
    <w:p w14:paraId="72CCD870" w14:textId="77777777" w:rsidR="001E6D54" w:rsidRPr="00791CF6" w:rsidRDefault="001E6D54" w:rsidP="001E6D54">
      <w:pPr>
        <w:tabs>
          <w:tab w:val="left" w:pos="162"/>
        </w:tabs>
        <w:spacing w:after="0" w:line="276" w:lineRule="auto"/>
        <w:jc w:val="center"/>
        <w:rPr>
          <w:rFonts w:ascii="Calibri Light" w:eastAsia="Times New Roman" w:hAnsi="Calibri Light" w:cs="Calibri Light"/>
          <w:b/>
          <w:bCs/>
          <w:iCs/>
          <w:sz w:val="24"/>
          <w:szCs w:val="24"/>
          <w:lang w:val="ro-RO"/>
        </w:rPr>
      </w:pPr>
      <w:r w:rsidRPr="00D72D27">
        <w:rPr>
          <w:rFonts w:ascii="Calibri Light" w:eastAsia="Times New Roman" w:hAnsi="Calibri Light" w:cs="Calibri Light"/>
          <w:b/>
          <w:bCs/>
          <w:iCs/>
          <w:sz w:val="24"/>
          <w:szCs w:val="24"/>
          <w:lang w:val="ro-RO"/>
        </w:rPr>
        <w:t>публичного бюджета в общих доходах</w:t>
      </w:r>
    </w:p>
    <w:p w14:paraId="0522F8BC" w14:textId="77777777" w:rsidR="003D0784" w:rsidRPr="00736448" w:rsidRDefault="003D0784" w:rsidP="003D0784">
      <w:pPr>
        <w:tabs>
          <w:tab w:val="left" w:pos="162"/>
        </w:tabs>
        <w:spacing w:after="0" w:line="276" w:lineRule="auto"/>
        <w:rPr>
          <w:rFonts w:ascii="Calibri Light" w:eastAsia="Times New Roman" w:hAnsi="Calibri Light" w:cs="Calibri Light"/>
          <w:i/>
          <w:sz w:val="20"/>
          <w:szCs w:val="20"/>
          <w:lang w:val="ro-MD"/>
        </w:rPr>
      </w:pPr>
      <w:r w:rsidRPr="00653E85">
        <w:rPr>
          <w:rFonts w:ascii="Calibri Light" w:eastAsia="Times New Roman" w:hAnsi="Calibri Light" w:cs="Calibri Light"/>
          <w:i/>
          <w:noProof/>
          <w:sz w:val="20"/>
          <w:szCs w:val="20"/>
          <w:lang w:val="ru-RU" w:eastAsia="ru-RU"/>
        </w:rPr>
        <w:drawing>
          <wp:inline distT="0" distB="0" distL="0" distR="0" wp14:anchorId="46BEB549" wp14:editId="401483E4">
            <wp:extent cx="6256020" cy="3200400"/>
            <wp:effectExtent l="0" t="0" r="1143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9ACFC45" w14:textId="6149ADC6" w:rsidR="003D0784" w:rsidRPr="00736448" w:rsidRDefault="003D0784" w:rsidP="003D0784">
      <w:pPr>
        <w:rPr>
          <w:rFonts w:ascii="Calibri Light" w:eastAsia="Times New Roman" w:hAnsi="Calibri Light" w:cs="Calibri Light"/>
          <w:i/>
          <w:sz w:val="20"/>
          <w:szCs w:val="20"/>
          <w:lang w:val="ro-MD"/>
        </w:rPr>
      </w:pPr>
      <w:r w:rsidRPr="00736448">
        <w:rPr>
          <w:rFonts w:ascii="Calibri Light" w:eastAsia="Times New Roman" w:hAnsi="Calibri Light" w:cs="Calibri Light"/>
          <w:b/>
          <w:i/>
          <w:sz w:val="20"/>
          <w:szCs w:val="20"/>
          <w:lang w:val="ro-MD"/>
        </w:rPr>
        <w:t xml:space="preserve">     </w:t>
      </w:r>
      <w:r w:rsidR="00863CC5">
        <w:rPr>
          <w:rFonts w:ascii="Calibri Light" w:eastAsia="Times New Roman" w:hAnsi="Calibri Light" w:cs="Calibri Light"/>
          <w:b/>
          <w:i/>
          <w:sz w:val="20"/>
          <w:szCs w:val="20"/>
          <w:lang w:val="ro-MD"/>
        </w:rPr>
        <w:t>Источник</w:t>
      </w:r>
      <w:r w:rsidRPr="00736448">
        <w:rPr>
          <w:rFonts w:ascii="Calibri Light" w:eastAsia="Times New Roman" w:hAnsi="Calibri Light" w:cs="Calibri Light"/>
          <w:b/>
          <w:i/>
          <w:sz w:val="20"/>
          <w:szCs w:val="20"/>
          <w:lang w:val="ro-MD"/>
        </w:rPr>
        <w:t>:</w:t>
      </w:r>
      <w:r w:rsidRPr="00736448">
        <w:rPr>
          <w:rFonts w:ascii="Calibri Light" w:eastAsia="Times New Roman" w:hAnsi="Calibri Light" w:cs="Calibri Light"/>
          <w:i/>
          <w:sz w:val="20"/>
          <w:szCs w:val="20"/>
          <w:lang w:val="ro-MD"/>
        </w:rPr>
        <w:t xml:space="preserve"> </w:t>
      </w:r>
      <w:r w:rsidR="001E6D54" w:rsidRPr="009F1794">
        <w:rPr>
          <w:rFonts w:ascii="Calibri Light" w:eastAsia="Times New Roman" w:hAnsi="Calibri Light" w:cs="Calibri Light"/>
          <w:i/>
          <w:sz w:val="20"/>
          <w:szCs w:val="20"/>
          <w:lang w:val="ro-RO"/>
        </w:rPr>
        <w:t>Отчет</w:t>
      </w:r>
      <w:r w:rsidR="001E6D54">
        <w:rPr>
          <w:rFonts w:ascii="Calibri Light" w:eastAsia="Times New Roman" w:hAnsi="Calibri Light" w:cs="Calibri Light"/>
          <w:i/>
          <w:sz w:val="20"/>
          <w:szCs w:val="20"/>
          <w:lang w:val="ru-RU"/>
        </w:rPr>
        <w:t>ы</w:t>
      </w:r>
      <w:r w:rsidR="001E6D54" w:rsidRPr="009F1794">
        <w:rPr>
          <w:rFonts w:ascii="Calibri Light" w:eastAsia="Times New Roman" w:hAnsi="Calibri Light" w:cs="Calibri Light"/>
          <w:i/>
          <w:sz w:val="20"/>
          <w:szCs w:val="20"/>
          <w:lang w:val="ro-RO"/>
        </w:rPr>
        <w:t xml:space="preserve"> об исполнении бюджета государственного социального страхования за </w:t>
      </w:r>
      <w:r w:rsidR="001E6D54" w:rsidRPr="00E82CC1">
        <w:rPr>
          <w:rFonts w:ascii="Calibri Light" w:eastAsia="Times New Roman" w:hAnsi="Calibri Light" w:cs="Calibri Light"/>
          <w:i/>
          <w:sz w:val="20"/>
          <w:szCs w:val="20"/>
          <w:lang w:val="ro-RO"/>
        </w:rPr>
        <w:t>2019-202</w:t>
      </w:r>
      <w:r w:rsidR="001E6D54">
        <w:rPr>
          <w:rFonts w:ascii="Calibri Light" w:eastAsia="Times New Roman" w:hAnsi="Calibri Light" w:cs="Calibri Light"/>
          <w:i/>
          <w:sz w:val="20"/>
          <w:szCs w:val="20"/>
          <w:lang w:val="ru-RU"/>
        </w:rPr>
        <w:t>2годы</w:t>
      </w:r>
      <w:r w:rsidR="00AA6D17">
        <w:rPr>
          <w:rFonts w:ascii="Calibri Light" w:eastAsia="Times New Roman" w:hAnsi="Calibri Light" w:cs="Calibri Light"/>
          <w:i/>
          <w:sz w:val="20"/>
          <w:szCs w:val="20"/>
          <w:lang w:val="ro-MD"/>
        </w:rPr>
        <w:t>.</w:t>
      </w:r>
    </w:p>
    <w:p w14:paraId="1A4E5AB9" w14:textId="77777777" w:rsidR="004A65C4" w:rsidRDefault="004A65C4" w:rsidP="003D0784">
      <w:pPr>
        <w:tabs>
          <w:tab w:val="left" w:pos="162"/>
        </w:tabs>
        <w:spacing w:after="0" w:line="276" w:lineRule="auto"/>
        <w:jc w:val="right"/>
        <w:outlineLvl w:val="1"/>
        <w:rPr>
          <w:rFonts w:ascii="Calibri Light" w:eastAsia="Times New Roman" w:hAnsi="Calibri Light" w:cs="Calibri Light"/>
          <w:b/>
          <w:sz w:val="24"/>
          <w:szCs w:val="24"/>
          <w:lang w:val="ro-MD"/>
        </w:rPr>
      </w:pPr>
    </w:p>
    <w:p w14:paraId="2438D2C0" w14:textId="77777777" w:rsidR="00397428" w:rsidRDefault="00397428" w:rsidP="003D0784">
      <w:pPr>
        <w:tabs>
          <w:tab w:val="left" w:pos="162"/>
        </w:tabs>
        <w:spacing w:after="0" w:line="276" w:lineRule="auto"/>
        <w:jc w:val="right"/>
        <w:outlineLvl w:val="1"/>
        <w:rPr>
          <w:rFonts w:ascii="Calibri Light" w:eastAsia="Times New Roman" w:hAnsi="Calibri Light" w:cs="Calibri Light"/>
          <w:b/>
          <w:sz w:val="24"/>
          <w:szCs w:val="24"/>
          <w:lang w:val="ro-MD"/>
        </w:rPr>
      </w:pPr>
    </w:p>
    <w:p w14:paraId="6C56B0D7" w14:textId="05E102E6" w:rsidR="003D0784" w:rsidRPr="00736448" w:rsidRDefault="00FC62B3" w:rsidP="003D0784">
      <w:pPr>
        <w:tabs>
          <w:tab w:val="left" w:pos="162"/>
        </w:tabs>
        <w:spacing w:after="0" w:line="276" w:lineRule="auto"/>
        <w:jc w:val="right"/>
        <w:outlineLvl w:val="1"/>
        <w:rPr>
          <w:rFonts w:ascii="Calibri Light" w:eastAsia="Times New Roman" w:hAnsi="Calibri Light" w:cs="Calibri Light"/>
          <w:b/>
          <w:sz w:val="24"/>
          <w:szCs w:val="24"/>
          <w:lang w:val="ro-MD"/>
        </w:rPr>
      </w:pPr>
      <w:r>
        <w:rPr>
          <w:rFonts w:ascii="Calibri Light" w:eastAsia="Times New Roman" w:hAnsi="Calibri Light" w:cs="Calibri Light"/>
          <w:b/>
          <w:sz w:val="24"/>
          <w:szCs w:val="24"/>
          <w:lang w:val="ro-MD"/>
        </w:rPr>
        <w:t>Приложение №</w:t>
      </w:r>
      <w:r w:rsidR="003D0784" w:rsidRPr="00736448">
        <w:rPr>
          <w:rFonts w:ascii="Calibri Light" w:eastAsia="Times New Roman" w:hAnsi="Calibri Light" w:cs="Calibri Light"/>
          <w:b/>
          <w:sz w:val="24"/>
          <w:szCs w:val="24"/>
          <w:lang w:val="ro-MD"/>
        </w:rPr>
        <w:t xml:space="preserve"> </w:t>
      </w:r>
      <w:r w:rsidR="008B5EDB" w:rsidRPr="00736448">
        <w:rPr>
          <w:rFonts w:ascii="Calibri Light" w:eastAsia="Times New Roman" w:hAnsi="Calibri Light" w:cs="Calibri Light"/>
          <w:b/>
          <w:sz w:val="24"/>
          <w:szCs w:val="24"/>
          <w:lang w:val="ro-MD"/>
        </w:rPr>
        <w:t>17</w:t>
      </w:r>
    </w:p>
    <w:p w14:paraId="7CC3D2E7" w14:textId="77777777" w:rsidR="00397428" w:rsidRDefault="00397428" w:rsidP="003D0784">
      <w:pPr>
        <w:widowControl w:val="0"/>
        <w:spacing w:after="0" w:line="276" w:lineRule="auto"/>
        <w:jc w:val="center"/>
        <w:rPr>
          <w:rFonts w:ascii="Calibri Light" w:eastAsia="Times New Roman" w:hAnsi="Calibri Light" w:cs="Calibri Light"/>
          <w:b/>
          <w:sz w:val="24"/>
          <w:szCs w:val="24"/>
          <w:lang w:val="ro-RO"/>
        </w:rPr>
      </w:pPr>
    </w:p>
    <w:p w14:paraId="54CB16C6" w14:textId="66985362" w:rsidR="003D0784" w:rsidRPr="00736448" w:rsidRDefault="001E6D54" w:rsidP="003D0784">
      <w:pPr>
        <w:widowControl w:val="0"/>
        <w:spacing w:after="0" w:line="276" w:lineRule="auto"/>
        <w:jc w:val="center"/>
        <w:rPr>
          <w:rFonts w:ascii="Calibri Light" w:eastAsia="Times New Roman" w:hAnsi="Calibri Light" w:cs="Calibri Light"/>
          <w:b/>
          <w:sz w:val="24"/>
          <w:szCs w:val="24"/>
          <w:lang w:val="ro-MD"/>
        </w:rPr>
      </w:pPr>
      <w:r w:rsidRPr="00CB32FD">
        <w:rPr>
          <w:rFonts w:ascii="Calibri Light" w:eastAsia="Times New Roman" w:hAnsi="Calibri Light" w:cs="Calibri Light"/>
          <w:b/>
          <w:sz w:val="24"/>
          <w:szCs w:val="24"/>
          <w:lang w:val="ro-RO"/>
        </w:rPr>
        <w:t xml:space="preserve">Расходы бюджета государственного социального страхования </w:t>
      </w:r>
      <w:r>
        <w:rPr>
          <w:rFonts w:ascii="Calibri Light" w:eastAsia="Times New Roman" w:hAnsi="Calibri Light" w:cs="Calibri Light"/>
          <w:b/>
          <w:sz w:val="24"/>
          <w:szCs w:val="24"/>
          <w:lang w:val="ru-RU"/>
        </w:rPr>
        <w:t>за</w:t>
      </w:r>
      <w:r w:rsidRPr="00CB32FD">
        <w:rPr>
          <w:rFonts w:ascii="Calibri Light" w:eastAsia="Times New Roman" w:hAnsi="Calibri Light" w:cs="Calibri Light"/>
          <w:b/>
          <w:sz w:val="24"/>
          <w:szCs w:val="24"/>
          <w:lang w:val="ro-RO"/>
        </w:rPr>
        <w:t xml:space="preserve"> 202</w:t>
      </w:r>
      <w:r>
        <w:rPr>
          <w:rFonts w:ascii="Calibri Light" w:eastAsia="Times New Roman" w:hAnsi="Calibri Light" w:cs="Calibri Light"/>
          <w:b/>
          <w:sz w:val="24"/>
          <w:szCs w:val="24"/>
          <w:lang w:val="ru-RU"/>
        </w:rPr>
        <w:t>2</w:t>
      </w:r>
      <w:r w:rsidRPr="00CB32FD">
        <w:rPr>
          <w:rFonts w:ascii="Calibri Light" w:eastAsia="Times New Roman" w:hAnsi="Calibri Light" w:cs="Calibri Light"/>
          <w:b/>
          <w:sz w:val="24"/>
          <w:szCs w:val="24"/>
          <w:lang w:val="ro-RO"/>
        </w:rPr>
        <w:t xml:space="preserve"> год</w:t>
      </w:r>
      <w:r w:rsidR="003D0784" w:rsidRPr="00736448">
        <w:rPr>
          <w:rFonts w:ascii="Calibri Light" w:eastAsia="Times New Roman" w:hAnsi="Calibri Light" w:cs="Calibri Light"/>
          <w:b/>
          <w:sz w:val="24"/>
          <w:szCs w:val="24"/>
          <w:lang w:val="ro-MD"/>
        </w:rPr>
        <w:t xml:space="preserve"> </w:t>
      </w:r>
    </w:p>
    <w:p w14:paraId="0E358EB6" w14:textId="69274DE6" w:rsidR="003D0784" w:rsidRPr="00736448" w:rsidRDefault="003D0784" w:rsidP="003D0784">
      <w:pPr>
        <w:widowControl w:val="0"/>
        <w:spacing w:after="0" w:line="276" w:lineRule="auto"/>
        <w:jc w:val="right"/>
        <w:rPr>
          <w:rFonts w:ascii="Calibri Light" w:eastAsia="Times New Roman" w:hAnsi="Calibri Light" w:cs="Calibri Light"/>
          <w:b/>
          <w:sz w:val="20"/>
          <w:szCs w:val="20"/>
          <w:lang w:val="ro-MD"/>
        </w:rPr>
      </w:pPr>
      <w:r w:rsidRPr="00736448">
        <w:rPr>
          <w:rFonts w:ascii="Calibri Light" w:eastAsia="Times New Roman" w:hAnsi="Calibri Light" w:cs="Calibri Light"/>
          <w:b/>
          <w:sz w:val="20"/>
          <w:szCs w:val="20"/>
          <w:lang w:val="ro-MD"/>
        </w:rPr>
        <w:t>(</w:t>
      </w:r>
      <w:r w:rsidR="003B3DFD">
        <w:rPr>
          <w:rFonts w:ascii="Calibri Light" w:eastAsia="Times New Roman" w:hAnsi="Calibri Light" w:cs="Calibri Light"/>
          <w:b/>
          <w:sz w:val="20"/>
          <w:szCs w:val="20"/>
          <w:lang w:val="ro-MD"/>
        </w:rPr>
        <w:t>млн. леев</w:t>
      </w:r>
      <w:r w:rsidRPr="00736448">
        <w:rPr>
          <w:rFonts w:ascii="Calibri Light" w:eastAsia="Times New Roman" w:hAnsi="Calibri Light" w:cs="Calibri Light"/>
          <w:b/>
          <w:sz w:val="20"/>
          <w:szCs w:val="20"/>
          <w:lang w:val="ro-MD"/>
        </w:rPr>
        <w:t>)</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57"/>
        <w:gridCol w:w="610"/>
        <w:gridCol w:w="1135"/>
        <w:gridCol w:w="916"/>
        <w:gridCol w:w="1039"/>
        <w:gridCol w:w="1079"/>
        <w:gridCol w:w="976"/>
        <w:gridCol w:w="679"/>
        <w:gridCol w:w="703"/>
        <w:gridCol w:w="679"/>
        <w:gridCol w:w="806"/>
      </w:tblGrid>
      <w:tr w:rsidR="003D0784" w:rsidRPr="00B7675F" w14:paraId="30E3C6BA" w14:textId="77777777" w:rsidTr="007C6047">
        <w:trPr>
          <w:trHeight w:val="292"/>
        </w:trPr>
        <w:tc>
          <w:tcPr>
            <w:tcW w:w="1350" w:type="dxa"/>
            <w:vMerge w:val="restart"/>
            <w:shd w:val="clear" w:color="auto" w:fill="FFFFFF" w:themeFill="background1"/>
            <w:vAlign w:val="center"/>
            <w:hideMark/>
          </w:tcPr>
          <w:p w14:paraId="37B09B5C" w14:textId="12110125" w:rsidR="003D0784" w:rsidRPr="00736448" w:rsidRDefault="00FC62B3" w:rsidP="007C6047">
            <w:pPr>
              <w:spacing w:after="0" w:line="240" w:lineRule="auto"/>
              <w:jc w:val="center"/>
              <w:rPr>
                <w:rFonts w:asciiTheme="majorHAnsi" w:eastAsia="Times New Roman" w:hAnsiTheme="majorHAnsi" w:cstheme="majorHAnsi"/>
                <w:b/>
                <w:bCs/>
                <w:color w:val="000000"/>
                <w:sz w:val="18"/>
                <w:szCs w:val="18"/>
                <w:lang w:val="ro-MD"/>
              </w:rPr>
            </w:pPr>
            <w:r>
              <w:rPr>
                <w:rFonts w:asciiTheme="majorHAnsi" w:eastAsia="Times New Roman" w:hAnsiTheme="majorHAnsi" w:cstheme="majorHAnsi"/>
                <w:b/>
                <w:bCs/>
                <w:color w:val="000000"/>
                <w:sz w:val="18"/>
                <w:szCs w:val="18"/>
                <w:lang w:val="ro-MD"/>
              </w:rPr>
              <w:t>Показатели</w:t>
            </w:r>
          </w:p>
        </w:tc>
        <w:tc>
          <w:tcPr>
            <w:tcW w:w="611" w:type="dxa"/>
            <w:shd w:val="clear" w:color="auto" w:fill="FFFFFF" w:themeFill="background1"/>
            <w:vAlign w:val="center"/>
            <w:hideMark/>
          </w:tcPr>
          <w:p w14:paraId="0D44D797" w14:textId="7DCD9846" w:rsidR="003D0784" w:rsidRPr="007C6047" w:rsidRDefault="007C6047" w:rsidP="005F6348">
            <w:pPr>
              <w:spacing w:after="0" w:line="240" w:lineRule="auto"/>
              <w:jc w:val="center"/>
              <w:rPr>
                <w:rFonts w:asciiTheme="majorHAnsi" w:eastAsia="Times New Roman" w:hAnsiTheme="majorHAnsi" w:cstheme="majorHAnsi"/>
                <w:b/>
                <w:bCs/>
                <w:color w:val="000000"/>
                <w:sz w:val="18"/>
                <w:szCs w:val="18"/>
                <w:lang w:val="ru-RU"/>
              </w:rPr>
            </w:pPr>
            <w:r>
              <w:rPr>
                <w:rFonts w:asciiTheme="majorHAnsi" w:eastAsia="Times New Roman" w:hAnsiTheme="majorHAnsi" w:cstheme="majorHAnsi"/>
                <w:b/>
                <w:bCs/>
                <w:color w:val="000000"/>
                <w:sz w:val="18"/>
                <w:szCs w:val="18"/>
                <w:lang w:val="ru-RU"/>
              </w:rPr>
              <w:t>Код</w:t>
            </w:r>
          </w:p>
        </w:tc>
        <w:tc>
          <w:tcPr>
            <w:tcW w:w="5145" w:type="dxa"/>
            <w:gridSpan w:val="5"/>
            <w:shd w:val="clear" w:color="auto" w:fill="FFFFFF" w:themeFill="background1"/>
            <w:vAlign w:val="center"/>
            <w:hideMark/>
          </w:tcPr>
          <w:p w14:paraId="250F740E" w14:textId="2712C245" w:rsidR="003D0784" w:rsidRPr="007C6047" w:rsidRDefault="003D0784" w:rsidP="005F6348">
            <w:pPr>
              <w:spacing w:after="0" w:line="240" w:lineRule="auto"/>
              <w:jc w:val="center"/>
              <w:rPr>
                <w:rFonts w:asciiTheme="majorHAnsi" w:eastAsia="Times New Roman" w:hAnsiTheme="majorHAnsi" w:cstheme="majorHAnsi"/>
                <w:b/>
                <w:bCs/>
                <w:color w:val="000000"/>
                <w:sz w:val="18"/>
                <w:szCs w:val="18"/>
                <w:lang w:val="ru-RU"/>
              </w:rPr>
            </w:pPr>
            <w:r w:rsidRPr="00736448">
              <w:rPr>
                <w:rFonts w:asciiTheme="majorHAnsi" w:eastAsia="Times New Roman" w:hAnsiTheme="majorHAnsi" w:cstheme="majorHAnsi"/>
                <w:b/>
                <w:bCs/>
                <w:color w:val="000000"/>
                <w:sz w:val="18"/>
                <w:szCs w:val="18"/>
                <w:lang w:val="ro-MD"/>
              </w:rPr>
              <w:t>2022</w:t>
            </w:r>
            <w:r w:rsidR="007C6047">
              <w:rPr>
                <w:rFonts w:asciiTheme="majorHAnsi" w:eastAsia="Times New Roman" w:hAnsiTheme="majorHAnsi" w:cstheme="majorHAnsi"/>
                <w:b/>
                <w:bCs/>
                <w:color w:val="000000"/>
                <w:sz w:val="18"/>
                <w:szCs w:val="18"/>
                <w:lang w:val="ru-RU"/>
              </w:rPr>
              <w:t xml:space="preserve"> год</w:t>
            </w:r>
          </w:p>
        </w:tc>
        <w:tc>
          <w:tcPr>
            <w:tcW w:w="2873" w:type="dxa"/>
            <w:gridSpan w:val="4"/>
            <w:shd w:val="clear" w:color="auto" w:fill="FFFFFF" w:themeFill="background1"/>
            <w:vAlign w:val="center"/>
            <w:hideMark/>
          </w:tcPr>
          <w:p w14:paraId="5CE3F967" w14:textId="3EDC2576" w:rsidR="003D0784" w:rsidRPr="00736448" w:rsidRDefault="003B3DFD" w:rsidP="005F6348">
            <w:pPr>
              <w:spacing w:after="0" w:line="240" w:lineRule="auto"/>
              <w:jc w:val="center"/>
              <w:rPr>
                <w:rFonts w:asciiTheme="majorHAnsi" w:eastAsia="Times New Roman" w:hAnsiTheme="majorHAnsi" w:cstheme="majorHAnsi"/>
                <w:b/>
                <w:bCs/>
                <w:color w:val="000000"/>
                <w:sz w:val="18"/>
                <w:szCs w:val="18"/>
                <w:lang w:val="ro-MD"/>
              </w:rPr>
            </w:pPr>
            <w:r>
              <w:rPr>
                <w:rFonts w:asciiTheme="majorHAnsi" w:eastAsia="Times New Roman" w:hAnsiTheme="majorHAnsi" w:cstheme="majorHAnsi"/>
                <w:b/>
                <w:bCs/>
                <w:color w:val="000000"/>
                <w:sz w:val="18"/>
                <w:szCs w:val="18"/>
                <w:lang w:val="ro-MD"/>
              </w:rPr>
              <w:t>Отклонения</w:t>
            </w:r>
          </w:p>
        </w:tc>
      </w:tr>
      <w:tr w:rsidR="007C6047" w:rsidRPr="00B7675F" w14:paraId="4F513DBE" w14:textId="77777777" w:rsidTr="007C6047">
        <w:trPr>
          <w:trHeight w:val="769"/>
        </w:trPr>
        <w:tc>
          <w:tcPr>
            <w:tcW w:w="1350" w:type="dxa"/>
            <w:vMerge/>
            <w:tcBorders>
              <w:bottom w:val="single" w:sz="4" w:space="0" w:color="auto"/>
            </w:tcBorders>
            <w:shd w:val="clear" w:color="auto" w:fill="FFFFFF" w:themeFill="background1"/>
            <w:vAlign w:val="center"/>
            <w:hideMark/>
          </w:tcPr>
          <w:p w14:paraId="2D4B8D09" w14:textId="77777777" w:rsidR="007C6047" w:rsidRPr="00736448" w:rsidRDefault="007C6047" w:rsidP="007C6047">
            <w:pPr>
              <w:spacing w:after="0" w:line="240" w:lineRule="auto"/>
              <w:rPr>
                <w:rFonts w:asciiTheme="majorHAnsi" w:eastAsia="Times New Roman" w:hAnsiTheme="majorHAnsi" w:cstheme="majorHAnsi"/>
                <w:b/>
                <w:bCs/>
                <w:color w:val="000000"/>
                <w:sz w:val="18"/>
                <w:szCs w:val="18"/>
                <w:lang w:val="ro-MD"/>
              </w:rPr>
            </w:pPr>
          </w:p>
        </w:tc>
        <w:tc>
          <w:tcPr>
            <w:tcW w:w="611" w:type="dxa"/>
            <w:vMerge w:val="restart"/>
            <w:tcBorders>
              <w:bottom w:val="single" w:sz="4" w:space="0" w:color="auto"/>
            </w:tcBorders>
            <w:shd w:val="clear" w:color="auto" w:fill="FFFFFF" w:themeFill="background1"/>
            <w:vAlign w:val="center"/>
            <w:hideMark/>
          </w:tcPr>
          <w:p w14:paraId="466E6657" w14:textId="2D0CC60A" w:rsidR="007C6047" w:rsidRPr="007C6047" w:rsidRDefault="007C6047" w:rsidP="007C6047">
            <w:pPr>
              <w:spacing w:after="0" w:line="240" w:lineRule="auto"/>
              <w:jc w:val="center"/>
              <w:rPr>
                <w:rFonts w:asciiTheme="majorHAnsi" w:eastAsia="Times New Roman" w:hAnsiTheme="majorHAnsi" w:cstheme="majorHAnsi"/>
                <w:b/>
                <w:bCs/>
                <w:color w:val="000000"/>
                <w:sz w:val="18"/>
                <w:szCs w:val="18"/>
                <w:lang w:val="ru-RU"/>
              </w:rPr>
            </w:pPr>
            <w:r>
              <w:rPr>
                <w:rFonts w:asciiTheme="majorHAnsi" w:eastAsia="Times New Roman" w:hAnsiTheme="majorHAnsi" w:cstheme="majorHAnsi"/>
                <w:b/>
                <w:bCs/>
                <w:color w:val="000000"/>
                <w:sz w:val="18"/>
                <w:szCs w:val="18"/>
                <w:lang w:val="ru-RU"/>
              </w:rPr>
              <w:t>ЭКО</w:t>
            </w:r>
          </w:p>
        </w:tc>
        <w:tc>
          <w:tcPr>
            <w:tcW w:w="1135" w:type="dxa"/>
            <w:vMerge w:val="restart"/>
            <w:tcBorders>
              <w:bottom w:val="single" w:sz="4" w:space="0" w:color="auto"/>
            </w:tcBorders>
            <w:shd w:val="clear" w:color="auto" w:fill="FFFFFF" w:themeFill="background1"/>
            <w:vAlign w:val="center"/>
            <w:hideMark/>
          </w:tcPr>
          <w:p w14:paraId="1458E9CE" w14:textId="6550EA9D" w:rsidR="007C6047" w:rsidRPr="007C6047" w:rsidRDefault="007C6047" w:rsidP="007C6047">
            <w:pPr>
              <w:spacing w:after="0" w:line="240" w:lineRule="auto"/>
              <w:jc w:val="center"/>
              <w:rPr>
                <w:rFonts w:asciiTheme="majorHAnsi" w:eastAsia="Times New Roman" w:hAnsiTheme="majorHAnsi" w:cstheme="majorHAnsi"/>
                <w:b/>
                <w:bCs/>
                <w:color w:val="000000"/>
                <w:sz w:val="18"/>
                <w:szCs w:val="18"/>
                <w:lang w:val="ro-MD"/>
              </w:rPr>
            </w:pPr>
            <w:r w:rsidRPr="007C6047">
              <w:rPr>
                <w:rFonts w:ascii="Calibri Light" w:eastAsia="Times New Roman" w:hAnsi="Calibri Light" w:cs="Calibri Light"/>
                <w:b/>
                <w:bCs/>
                <w:color w:val="000000"/>
                <w:sz w:val="18"/>
                <w:szCs w:val="18"/>
                <w:lang w:val="ru-RU"/>
              </w:rPr>
              <w:t>утверждено</w:t>
            </w:r>
          </w:p>
        </w:tc>
        <w:tc>
          <w:tcPr>
            <w:tcW w:w="916" w:type="dxa"/>
            <w:vMerge w:val="restart"/>
            <w:tcBorders>
              <w:bottom w:val="single" w:sz="4" w:space="0" w:color="auto"/>
            </w:tcBorders>
            <w:shd w:val="clear" w:color="auto" w:fill="FFFFFF" w:themeFill="background1"/>
            <w:vAlign w:val="center"/>
            <w:hideMark/>
          </w:tcPr>
          <w:p w14:paraId="320E4147" w14:textId="42332065" w:rsidR="007C6047" w:rsidRPr="007C6047" w:rsidRDefault="007C6047" w:rsidP="007C6047">
            <w:pPr>
              <w:spacing w:after="0" w:line="240" w:lineRule="auto"/>
              <w:jc w:val="center"/>
              <w:rPr>
                <w:rFonts w:asciiTheme="majorHAnsi" w:eastAsia="Times New Roman" w:hAnsiTheme="majorHAnsi" w:cstheme="majorHAnsi"/>
                <w:b/>
                <w:bCs/>
                <w:color w:val="000000"/>
                <w:sz w:val="18"/>
                <w:szCs w:val="18"/>
                <w:lang w:val="ro-MD"/>
              </w:rPr>
            </w:pPr>
            <w:r w:rsidRPr="007C6047">
              <w:rPr>
                <w:rFonts w:ascii="Calibri Light" w:eastAsia="Times New Roman" w:hAnsi="Calibri Light" w:cs="Calibri Light"/>
                <w:b/>
                <w:bCs/>
                <w:color w:val="000000"/>
                <w:sz w:val="18"/>
                <w:szCs w:val="18"/>
                <w:lang w:val="ru-RU"/>
              </w:rPr>
              <w:t>уточнено</w:t>
            </w:r>
          </w:p>
        </w:tc>
        <w:tc>
          <w:tcPr>
            <w:tcW w:w="1039" w:type="dxa"/>
            <w:vMerge w:val="restart"/>
            <w:tcBorders>
              <w:bottom w:val="single" w:sz="4" w:space="0" w:color="auto"/>
            </w:tcBorders>
            <w:shd w:val="clear" w:color="auto" w:fill="FFFFFF" w:themeFill="background1"/>
            <w:vAlign w:val="center"/>
            <w:hideMark/>
          </w:tcPr>
          <w:p w14:paraId="67EB1888" w14:textId="3238F8F2" w:rsidR="007C6047" w:rsidRPr="007C6047" w:rsidRDefault="007C6047" w:rsidP="007C6047">
            <w:pPr>
              <w:spacing w:after="0" w:line="240" w:lineRule="auto"/>
              <w:jc w:val="center"/>
              <w:rPr>
                <w:rFonts w:asciiTheme="majorHAnsi" w:eastAsia="Times New Roman" w:hAnsiTheme="majorHAnsi" w:cstheme="majorHAnsi"/>
                <w:b/>
                <w:bCs/>
                <w:color w:val="000000"/>
                <w:sz w:val="18"/>
                <w:szCs w:val="18"/>
                <w:lang w:val="ro-MD"/>
              </w:rPr>
            </w:pPr>
            <w:r w:rsidRPr="007C6047">
              <w:rPr>
                <w:rFonts w:ascii="Calibri Light" w:eastAsia="Times New Roman" w:hAnsi="Calibri Light" w:cs="Calibri Light"/>
                <w:b/>
                <w:bCs/>
                <w:color w:val="000000"/>
                <w:sz w:val="18"/>
                <w:szCs w:val="18"/>
                <w:lang w:val="ru-RU"/>
              </w:rPr>
              <w:t>исполнено</w:t>
            </w:r>
          </w:p>
        </w:tc>
        <w:tc>
          <w:tcPr>
            <w:tcW w:w="1079" w:type="dxa"/>
            <w:vMerge w:val="restart"/>
            <w:tcBorders>
              <w:bottom w:val="single" w:sz="4" w:space="0" w:color="auto"/>
            </w:tcBorders>
            <w:shd w:val="clear" w:color="auto" w:fill="FFFFFF" w:themeFill="background1"/>
            <w:vAlign w:val="center"/>
            <w:hideMark/>
          </w:tcPr>
          <w:p w14:paraId="41190E25" w14:textId="4919E1B4" w:rsidR="007C6047" w:rsidRPr="007C6047" w:rsidRDefault="007C6047" w:rsidP="007C6047">
            <w:pPr>
              <w:spacing w:after="0" w:line="240" w:lineRule="auto"/>
              <w:jc w:val="center"/>
              <w:rPr>
                <w:rFonts w:asciiTheme="majorHAnsi" w:eastAsia="Times New Roman" w:hAnsiTheme="majorHAnsi" w:cstheme="majorHAnsi"/>
                <w:b/>
                <w:bCs/>
                <w:color w:val="000000"/>
                <w:sz w:val="18"/>
                <w:szCs w:val="18"/>
                <w:lang w:val="ro-MD"/>
              </w:rPr>
            </w:pPr>
            <w:r w:rsidRPr="007C6047">
              <w:rPr>
                <w:rFonts w:ascii="Calibri Light" w:eastAsia="Times New Roman" w:hAnsi="Calibri Light" w:cs="Calibri Light"/>
                <w:b/>
                <w:bCs/>
                <w:color w:val="000000"/>
                <w:sz w:val="18"/>
                <w:szCs w:val="18"/>
                <w:lang w:val="ru-RU"/>
              </w:rPr>
              <w:t>фактически</w:t>
            </w:r>
          </w:p>
        </w:tc>
        <w:tc>
          <w:tcPr>
            <w:tcW w:w="976" w:type="dxa"/>
            <w:tcBorders>
              <w:bottom w:val="single" w:sz="4" w:space="0" w:color="auto"/>
            </w:tcBorders>
            <w:shd w:val="clear" w:color="auto" w:fill="FFFFFF" w:themeFill="background1"/>
            <w:vAlign w:val="center"/>
            <w:hideMark/>
          </w:tcPr>
          <w:p w14:paraId="39C08B16" w14:textId="71A7A779" w:rsidR="007C6047" w:rsidRPr="00736448" w:rsidRDefault="007C6047" w:rsidP="007C6047">
            <w:pPr>
              <w:spacing w:after="0" w:line="240" w:lineRule="auto"/>
              <w:jc w:val="center"/>
              <w:rPr>
                <w:rFonts w:asciiTheme="majorHAnsi" w:eastAsia="Times New Roman" w:hAnsiTheme="majorHAnsi" w:cstheme="majorHAnsi"/>
                <w:b/>
                <w:bCs/>
                <w:color w:val="000000"/>
                <w:sz w:val="18"/>
                <w:szCs w:val="18"/>
                <w:lang w:val="ro-MD"/>
              </w:rPr>
            </w:pPr>
            <w:r w:rsidRPr="007C6047">
              <w:rPr>
                <w:rFonts w:asciiTheme="majorHAnsi" w:eastAsia="Times New Roman" w:hAnsiTheme="majorHAnsi" w:cstheme="majorHAnsi"/>
                <w:b/>
                <w:bCs/>
                <w:color w:val="000000"/>
                <w:sz w:val="18"/>
                <w:szCs w:val="18"/>
                <w:lang w:val="ru-RU"/>
              </w:rPr>
              <w:t>Удельный вес в общей</w:t>
            </w:r>
            <w:r>
              <w:rPr>
                <w:rFonts w:asciiTheme="majorHAnsi" w:eastAsia="Times New Roman" w:hAnsiTheme="majorHAnsi" w:cstheme="majorHAnsi"/>
                <w:b/>
                <w:bCs/>
                <w:color w:val="000000"/>
                <w:sz w:val="18"/>
                <w:szCs w:val="18"/>
                <w:lang w:val="ru-RU"/>
              </w:rPr>
              <w:t xml:space="preserve"> сумме</w:t>
            </w:r>
          </w:p>
        </w:tc>
        <w:tc>
          <w:tcPr>
            <w:tcW w:w="1384" w:type="dxa"/>
            <w:gridSpan w:val="2"/>
            <w:tcBorders>
              <w:bottom w:val="single" w:sz="4" w:space="0" w:color="auto"/>
            </w:tcBorders>
            <w:shd w:val="clear" w:color="auto" w:fill="FFFFFF" w:themeFill="background1"/>
            <w:vAlign w:val="center"/>
            <w:hideMark/>
          </w:tcPr>
          <w:p w14:paraId="2AA4ACA0" w14:textId="077D5551" w:rsidR="007C6047" w:rsidRPr="007C6047" w:rsidRDefault="007C6047" w:rsidP="007C6047">
            <w:pPr>
              <w:spacing w:after="0" w:line="240" w:lineRule="auto"/>
              <w:jc w:val="center"/>
              <w:rPr>
                <w:rFonts w:asciiTheme="majorHAnsi" w:eastAsia="Times New Roman" w:hAnsiTheme="majorHAnsi" w:cstheme="majorHAnsi"/>
                <w:b/>
                <w:bCs/>
                <w:color w:val="000000"/>
                <w:sz w:val="18"/>
                <w:szCs w:val="18"/>
                <w:lang w:val="ru-RU"/>
              </w:rPr>
            </w:pPr>
            <w:r>
              <w:rPr>
                <w:rFonts w:asciiTheme="majorHAnsi" w:eastAsia="Times New Roman" w:hAnsiTheme="majorHAnsi" w:cstheme="majorHAnsi"/>
                <w:b/>
                <w:bCs/>
                <w:color w:val="000000"/>
                <w:sz w:val="18"/>
                <w:szCs w:val="18"/>
                <w:lang w:val="ru-RU"/>
              </w:rPr>
              <w:t>исполнено против уточнено</w:t>
            </w:r>
          </w:p>
        </w:tc>
        <w:tc>
          <w:tcPr>
            <w:tcW w:w="1489" w:type="dxa"/>
            <w:gridSpan w:val="2"/>
            <w:tcBorders>
              <w:bottom w:val="single" w:sz="4" w:space="0" w:color="auto"/>
            </w:tcBorders>
            <w:shd w:val="clear" w:color="auto" w:fill="FFFFFF" w:themeFill="background1"/>
            <w:vAlign w:val="center"/>
            <w:hideMark/>
          </w:tcPr>
          <w:p w14:paraId="0A7F439B" w14:textId="1513518C" w:rsidR="007C6047" w:rsidRPr="007C6047" w:rsidRDefault="007C6047" w:rsidP="007C6047">
            <w:pPr>
              <w:spacing w:after="0" w:line="240" w:lineRule="auto"/>
              <w:jc w:val="center"/>
              <w:rPr>
                <w:rFonts w:asciiTheme="majorHAnsi" w:eastAsia="Times New Roman" w:hAnsiTheme="majorHAnsi" w:cstheme="majorHAnsi"/>
                <w:b/>
                <w:bCs/>
                <w:color w:val="000000"/>
                <w:sz w:val="18"/>
                <w:szCs w:val="18"/>
                <w:lang w:val="ru-RU"/>
              </w:rPr>
            </w:pPr>
            <w:r>
              <w:rPr>
                <w:rFonts w:asciiTheme="majorHAnsi" w:eastAsia="Times New Roman" w:hAnsiTheme="majorHAnsi" w:cstheme="majorHAnsi"/>
                <w:b/>
                <w:bCs/>
                <w:color w:val="000000"/>
                <w:sz w:val="18"/>
                <w:szCs w:val="18"/>
                <w:lang w:val="ru-RU"/>
              </w:rPr>
              <w:t>фактически против уточнено</w:t>
            </w:r>
          </w:p>
        </w:tc>
      </w:tr>
      <w:tr w:rsidR="007C6047" w:rsidRPr="00B7675F" w14:paraId="688EBC8F" w14:textId="77777777" w:rsidTr="007C6047">
        <w:trPr>
          <w:trHeight w:val="292"/>
        </w:trPr>
        <w:tc>
          <w:tcPr>
            <w:tcW w:w="1350" w:type="dxa"/>
            <w:vMerge/>
            <w:shd w:val="clear" w:color="auto" w:fill="FFFFFF" w:themeFill="background1"/>
            <w:vAlign w:val="center"/>
            <w:hideMark/>
          </w:tcPr>
          <w:p w14:paraId="7ABA70D8" w14:textId="77777777" w:rsidR="003D0784" w:rsidRPr="00736448" w:rsidRDefault="003D0784" w:rsidP="005F6348">
            <w:pPr>
              <w:spacing w:after="0" w:line="240" w:lineRule="auto"/>
              <w:rPr>
                <w:rFonts w:asciiTheme="majorHAnsi" w:eastAsia="Times New Roman" w:hAnsiTheme="majorHAnsi" w:cstheme="majorHAnsi"/>
                <w:b/>
                <w:bCs/>
                <w:color w:val="000000"/>
                <w:sz w:val="18"/>
                <w:szCs w:val="18"/>
                <w:lang w:val="ro-MD"/>
              </w:rPr>
            </w:pPr>
          </w:p>
        </w:tc>
        <w:tc>
          <w:tcPr>
            <w:tcW w:w="611" w:type="dxa"/>
            <w:vMerge/>
            <w:shd w:val="clear" w:color="auto" w:fill="FFFFFF" w:themeFill="background1"/>
            <w:vAlign w:val="center"/>
            <w:hideMark/>
          </w:tcPr>
          <w:p w14:paraId="5D8811F7" w14:textId="77777777" w:rsidR="003D0784" w:rsidRPr="00736448" w:rsidRDefault="003D0784" w:rsidP="005F6348">
            <w:pPr>
              <w:spacing w:after="0" w:line="240" w:lineRule="auto"/>
              <w:jc w:val="center"/>
              <w:rPr>
                <w:rFonts w:asciiTheme="majorHAnsi" w:eastAsia="Times New Roman" w:hAnsiTheme="majorHAnsi" w:cstheme="majorHAnsi"/>
                <w:color w:val="000000"/>
                <w:sz w:val="18"/>
                <w:szCs w:val="18"/>
                <w:lang w:val="ro-MD"/>
              </w:rPr>
            </w:pPr>
          </w:p>
        </w:tc>
        <w:tc>
          <w:tcPr>
            <w:tcW w:w="1135" w:type="dxa"/>
            <w:vMerge/>
            <w:shd w:val="clear" w:color="auto" w:fill="FFFFFF" w:themeFill="background1"/>
            <w:vAlign w:val="center"/>
            <w:hideMark/>
          </w:tcPr>
          <w:p w14:paraId="4826288A" w14:textId="77777777" w:rsidR="003D0784" w:rsidRPr="00736448" w:rsidRDefault="003D0784" w:rsidP="005F6348">
            <w:pPr>
              <w:spacing w:after="0" w:line="240" w:lineRule="auto"/>
              <w:rPr>
                <w:rFonts w:asciiTheme="majorHAnsi" w:eastAsia="Times New Roman" w:hAnsiTheme="majorHAnsi" w:cstheme="majorHAnsi"/>
                <w:b/>
                <w:bCs/>
                <w:color w:val="000000"/>
                <w:sz w:val="18"/>
                <w:szCs w:val="18"/>
                <w:lang w:val="ro-MD"/>
              </w:rPr>
            </w:pPr>
          </w:p>
        </w:tc>
        <w:tc>
          <w:tcPr>
            <w:tcW w:w="916" w:type="dxa"/>
            <w:vMerge/>
            <w:shd w:val="clear" w:color="auto" w:fill="FFFFFF" w:themeFill="background1"/>
            <w:vAlign w:val="center"/>
            <w:hideMark/>
          </w:tcPr>
          <w:p w14:paraId="7AEE20FA" w14:textId="77777777" w:rsidR="003D0784" w:rsidRPr="00736448" w:rsidRDefault="003D0784" w:rsidP="005F6348">
            <w:pPr>
              <w:spacing w:after="0" w:line="240" w:lineRule="auto"/>
              <w:rPr>
                <w:rFonts w:asciiTheme="majorHAnsi" w:eastAsia="Times New Roman" w:hAnsiTheme="majorHAnsi" w:cstheme="majorHAnsi"/>
                <w:b/>
                <w:bCs/>
                <w:color w:val="000000"/>
                <w:sz w:val="18"/>
                <w:szCs w:val="18"/>
                <w:lang w:val="ro-MD"/>
              </w:rPr>
            </w:pPr>
          </w:p>
        </w:tc>
        <w:tc>
          <w:tcPr>
            <w:tcW w:w="1039" w:type="dxa"/>
            <w:vMerge/>
            <w:shd w:val="clear" w:color="auto" w:fill="FFFFFF" w:themeFill="background1"/>
            <w:vAlign w:val="center"/>
            <w:hideMark/>
          </w:tcPr>
          <w:p w14:paraId="1C7417C6" w14:textId="77777777" w:rsidR="003D0784" w:rsidRPr="00736448" w:rsidRDefault="003D0784" w:rsidP="005F6348">
            <w:pPr>
              <w:spacing w:after="0" w:line="240" w:lineRule="auto"/>
              <w:rPr>
                <w:rFonts w:asciiTheme="majorHAnsi" w:eastAsia="Times New Roman" w:hAnsiTheme="majorHAnsi" w:cstheme="majorHAnsi"/>
                <w:b/>
                <w:bCs/>
                <w:color w:val="000000"/>
                <w:sz w:val="18"/>
                <w:szCs w:val="18"/>
                <w:lang w:val="ro-MD"/>
              </w:rPr>
            </w:pPr>
          </w:p>
        </w:tc>
        <w:tc>
          <w:tcPr>
            <w:tcW w:w="1079" w:type="dxa"/>
            <w:vMerge/>
            <w:shd w:val="clear" w:color="auto" w:fill="FFFFFF" w:themeFill="background1"/>
            <w:vAlign w:val="center"/>
            <w:hideMark/>
          </w:tcPr>
          <w:p w14:paraId="2CC0D1A2" w14:textId="77777777" w:rsidR="003D0784" w:rsidRPr="00736448" w:rsidRDefault="003D0784" w:rsidP="005F6348">
            <w:pPr>
              <w:spacing w:after="0" w:line="240" w:lineRule="auto"/>
              <w:rPr>
                <w:rFonts w:asciiTheme="majorHAnsi" w:eastAsia="Times New Roman" w:hAnsiTheme="majorHAnsi" w:cstheme="majorHAnsi"/>
                <w:b/>
                <w:bCs/>
                <w:color w:val="000000"/>
                <w:sz w:val="18"/>
                <w:szCs w:val="18"/>
                <w:lang w:val="ro-MD"/>
              </w:rPr>
            </w:pPr>
          </w:p>
        </w:tc>
        <w:tc>
          <w:tcPr>
            <w:tcW w:w="976" w:type="dxa"/>
            <w:shd w:val="clear" w:color="auto" w:fill="FFFFFF" w:themeFill="background1"/>
            <w:vAlign w:val="center"/>
            <w:hideMark/>
          </w:tcPr>
          <w:p w14:paraId="7C37115C" w14:textId="77777777" w:rsidR="003D0784" w:rsidRPr="00736448" w:rsidRDefault="003D0784" w:rsidP="005F6348">
            <w:pPr>
              <w:spacing w:after="0" w:line="240" w:lineRule="auto"/>
              <w:jc w:val="center"/>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w:t>
            </w:r>
          </w:p>
        </w:tc>
        <w:tc>
          <w:tcPr>
            <w:tcW w:w="680" w:type="dxa"/>
            <w:shd w:val="clear" w:color="auto" w:fill="FFFFFF" w:themeFill="background1"/>
            <w:vAlign w:val="center"/>
            <w:hideMark/>
          </w:tcPr>
          <w:p w14:paraId="67A1EAA2" w14:textId="77777777" w:rsidR="003D0784" w:rsidRPr="00736448" w:rsidRDefault="003D0784" w:rsidP="005F6348">
            <w:pPr>
              <w:spacing w:after="0" w:line="240" w:lineRule="auto"/>
              <w:jc w:val="center"/>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w:t>
            </w:r>
          </w:p>
        </w:tc>
        <w:tc>
          <w:tcPr>
            <w:tcW w:w="704" w:type="dxa"/>
            <w:shd w:val="clear" w:color="auto" w:fill="FFFFFF" w:themeFill="background1"/>
            <w:vAlign w:val="center"/>
            <w:hideMark/>
          </w:tcPr>
          <w:p w14:paraId="49B33E90" w14:textId="77777777" w:rsidR="003D0784" w:rsidRPr="00736448" w:rsidRDefault="003D0784" w:rsidP="005F6348">
            <w:pPr>
              <w:spacing w:after="0" w:line="240" w:lineRule="auto"/>
              <w:jc w:val="center"/>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w:t>
            </w:r>
          </w:p>
        </w:tc>
        <w:tc>
          <w:tcPr>
            <w:tcW w:w="680" w:type="dxa"/>
            <w:shd w:val="clear" w:color="auto" w:fill="FFFFFF" w:themeFill="background1"/>
            <w:vAlign w:val="center"/>
            <w:hideMark/>
          </w:tcPr>
          <w:p w14:paraId="7C7401DC" w14:textId="77777777" w:rsidR="003D0784" w:rsidRPr="00736448" w:rsidRDefault="003D0784" w:rsidP="005F6348">
            <w:pPr>
              <w:spacing w:after="0" w:line="240" w:lineRule="auto"/>
              <w:jc w:val="center"/>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w:t>
            </w:r>
          </w:p>
        </w:tc>
        <w:tc>
          <w:tcPr>
            <w:tcW w:w="809" w:type="dxa"/>
            <w:shd w:val="clear" w:color="auto" w:fill="FFFFFF" w:themeFill="background1"/>
            <w:vAlign w:val="center"/>
            <w:hideMark/>
          </w:tcPr>
          <w:p w14:paraId="0978562D" w14:textId="77777777" w:rsidR="003D0784" w:rsidRPr="00736448" w:rsidRDefault="003D0784" w:rsidP="005F6348">
            <w:pPr>
              <w:spacing w:after="0" w:line="240" w:lineRule="auto"/>
              <w:jc w:val="center"/>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w:t>
            </w:r>
          </w:p>
        </w:tc>
      </w:tr>
      <w:tr w:rsidR="007C6047" w:rsidRPr="00B7675F" w14:paraId="0A8D8536" w14:textId="77777777" w:rsidTr="007C6047">
        <w:trPr>
          <w:trHeight w:val="292"/>
        </w:trPr>
        <w:tc>
          <w:tcPr>
            <w:tcW w:w="1350" w:type="dxa"/>
            <w:shd w:val="clear" w:color="auto" w:fill="FFFFFF" w:themeFill="background1"/>
            <w:hideMark/>
          </w:tcPr>
          <w:p w14:paraId="46E4AD57"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Ab</w:t>
            </w:r>
          </w:p>
        </w:tc>
        <w:tc>
          <w:tcPr>
            <w:tcW w:w="611" w:type="dxa"/>
            <w:shd w:val="clear" w:color="auto" w:fill="FFFFFF" w:themeFill="background1"/>
            <w:vAlign w:val="center"/>
            <w:hideMark/>
          </w:tcPr>
          <w:p w14:paraId="4DDAB1F4"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1</w:t>
            </w:r>
          </w:p>
        </w:tc>
        <w:tc>
          <w:tcPr>
            <w:tcW w:w="1135" w:type="dxa"/>
            <w:shd w:val="clear" w:color="auto" w:fill="FFFFFF" w:themeFill="background1"/>
            <w:hideMark/>
          </w:tcPr>
          <w:p w14:paraId="59E9C531"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2</w:t>
            </w:r>
          </w:p>
        </w:tc>
        <w:tc>
          <w:tcPr>
            <w:tcW w:w="916" w:type="dxa"/>
            <w:shd w:val="clear" w:color="auto" w:fill="FFFFFF" w:themeFill="background1"/>
            <w:hideMark/>
          </w:tcPr>
          <w:p w14:paraId="783EC3B0"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3</w:t>
            </w:r>
          </w:p>
        </w:tc>
        <w:tc>
          <w:tcPr>
            <w:tcW w:w="1039" w:type="dxa"/>
            <w:shd w:val="clear" w:color="auto" w:fill="FFFFFF" w:themeFill="background1"/>
            <w:hideMark/>
          </w:tcPr>
          <w:p w14:paraId="1AE61D71"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4</w:t>
            </w:r>
          </w:p>
        </w:tc>
        <w:tc>
          <w:tcPr>
            <w:tcW w:w="1079" w:type="dxa"/>
            <w:shd w:val="clear" w:color="auto" w:fill="FFFFFF" w:themeFill="background1"/>
            <w:hideMark/>
          </w:tcPr>
          <w:p w14:paraId="09043E1D"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5</w:t>
            </w:r>
          </w:p>
        </w:tc>
        <w:tc>
          <w:tcPr>
            <w:tcW w:w="976" w:type="dxa"/>
            <w:shd w:val="clear" w:color="auto" w:fill="FFFFFF" w:themeFill="background1"/>
            <w:hideMark/>
          </w:tcPr>
          <w:p w14:paraId="02CF8BA5"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6</w:t>
            </w:r>
          </w:p>
        </w:tc>
        <w:tc>
          <w:tcPr>
            <w:tcW w:w="680" w:type="dxa"/>
            <w:shd w:val="clear" w:color="auto" w:fill="FFFFFF" w:themeFill="background1"/>
            <w:hideMark/>
          </w:tcPr>
          <w:p w14:paraId="6F2CF9C0"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7</w:t>
            </w:r>
          </w:p>
        </w:tc>
        <w:tc>
          <w:tcPr>
            <w:tcW w:w="704" w:type="dxa"/>
            <w:shd w:val="clear" w:color="auto" w:fill="FFFFFF" w:themeFill="background1"/>
            <w:hideMark/>
          </w:tcPr>
          <w:p w14:paraId="2B763F87"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8</w:t>
            </w:r>
          </w:p>
        </w:tc>
        <w:tc>
          <w:tcPr>
            <w:tcW w:w="680" w:type="dxa"/>
            <w:shd w:val="clear" w:color="auto" w:fill="FFFFFF" w:themeFill="background1"/>
            <w:hideMark/>
          </w:tcPr>
          <w:p w14:paraId="726FE380"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9</w:t>
            </w:r>
          </w:p>
        </w:tc>
        <w:tc>
          <w:tcPr>
            <w:tcW w:w="809" w:type="dxa"/>
            <w:shd w:val="clear" w:color="auto" w:fill="FFFFFF" w:themeFill="background1"/>
            <w:hideMark/>
          </w:tcPr>
          <w:p w14:paraId="49778DF3" w14:textId="77777777" w:rsidR="003D0784" w:rsidRPr="00736448" w:rsidRDefault="003D0784" w:rsidP="005F6348">
            <w:pPr>
              <w:spacing w:after="0" w:line="240" w:lineRule="auto"/>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10</w:t>
            </w:r>
          </w:p>
        </w:tc>
      </w:tr>
      <w:tr w:rsidR="007C6047" w:rsidRPr="00B7675F" w14:paraId="0447FE2A" w14:textId="77777777" w:rsidTr="007C6047">
        <w:trPr>
          <w:trHeight w:val="292"/>
        </w:trPr>
        <w:tc>
          <w:tcPr>
            <w:tcW w:w="1350" w:type="dxa"/>
            <w:shd w:val="clear" w:color="auto" w:fill="FFFFFF" w:themeFill="background1"/>
            <w:vAlign w:val="bottom"/>
            <w:hideMark/>
          </w:tcPr>
          <w:p w14:paraId="723C2B9A" w14:textId="18553FB2" w:rsidR="007C6047" w:rsidRPr="007C6047" w:rsidRDefault="007C6047" w:rsidP="007C6047">
            <w:pPr>
              <w:spacing w:after="0" w:line="240" w:lineRule="auto"/>
              <w:rPr>
                <w:rFonts w:asciiTheme="majorHAnsi" w:eastAsia="Times New Roman" w:hAnsiTheme="majorHAnsi" w:cstheme="majorHAnsi"/>
                <w:b/>
                <w:bCs/>
                <w:color w:val="000000"/>
                <w:sz w:val="18"/>
                <w:szCs w:val="18"/>
                <w:lang w:val="ro-MD"/>
              </w:rPr>
            </w:pPr>
            <w:r w:rsidRPr="007C6047">
              <w:rPr>
                <w:rFonts w:ascii="Calibri Light" w:eastAsia="Times New Roman" w:hAnsi="Calibri Light" w:cs="Calibri Light"/>
                <w:b/>
                <w:bCs/>
                <w:color w:val="000000"/>
                <w:sz w:val="18"/>
                <w:szCs w:val="18"/>
                <w:lang w:val="ru-RU"/>
              </w:rPr>
              <w:t>Расходы, всего</w:t>
            </w:r>
          </w:p>
        </w:tc>
        <w:tc>
          <w:tcPr>
            <w:tcW w:w="611" w:type="dxa"/>
            <w:shd w:val="clear" w:color="auto" w:fill="FFFFFF" w:themeFill="background1"/>
            <w:vAlign w:val="center"/>
            <w:hideMark/>
          </w:tcPr>
          <w:p w14:paraId="09619BA0" w14:textId="77777777" w:rsidR="007C6047" w:rsidRPr="00736448" w:rsidRDefault="007C6047" w:rsidP="007C6047">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2+3</w:t>
            </w:r>
          </w:p>
        </w:tc>
        <w:tc>
          <w:tcPr>
            <w:tcW w:w="1135" w:type="dxa"/>
            <w:shd w:val="clear" w:color="auto" w:fill="FFFFFF" w:themeFill="background1"/>
            <w:vAlign w:val="center"/>
            <w:hideMark/>
          </w:tcPr>
          <w:p w14:paraId="009BF32A"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31224.2</w:t>
            </w:r>
          </w:p>
        </w:tc>
        <w:tc>
          <w:tcPr>
            <w:tcW w:w="916" w:type="dxa"/>
            <w:shd w:val="clear" w:color="auto" w:fill="FFFFFF" w:themeFill="background1"/>
            <w:vAlign w:val="center"/>
            <w:hideMark/>
          </w:tcPr>
          <w:p w14:paraId="79CC41E9"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34200.6</w:t>
            </w:r>
          </w:p>
        </w:tc>
        <w:tc>
          <w:tcPr>
            <w:tcW w:w="1039" w:type="dxa"/>
            <w:shd w:val="clear" w:color="auto" w:fill="FFFFFF" w:themeFill="background1"/>
            <w:vAlign w:val="center"/>
            <w:hideMark/>
          </w:tcPr>
          <w:p w14:paraId="2C097591"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33745.3</w:t>
            </w:r>
          </w:p>
        </w:tc>
        <w:tc>
          <w:tcPr>
            <w:tcW w:w="1079" w:type="dxa"/>
            <w:shd w:val="clear" w:color="auto" w:fill="FFFFFF" w:themeFill="background1"/>
            <w:vAlign w:val="center"/>
            <w:hideMark/>
          </w:tcPr>
          <w:p w14:paraId="01F00CAD"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33773.3</w:t>
            </w:r>
          </w:p>
        </w:tc>
        <w:tc>
          <w:tcPr>
            <w:tcW w:w="976" w:type="dxa"/>
            <w:shd w:val="clear" w:color="auto" w:fill="FFFFFF" w:themeFill="background1"/>
            <w:vAlign w:val="center"/>
            <w:hideMark/>
          </w:tcPr>
          <w:p w14:paraId="712309E2"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100.00%</w:t>
            </w:r>
          </w:p>
        </w:tc>
        <w:tc>
          <w:tcPr>
            <w:tcW w:w="680" w:type="dxa"/>
            <w:shd w:val="clear" w:color="auto" w:fill="FFFFFF" w:themeFill="background1"/>
            <w:vAlign w:val="center"/>
            <w:hideMark/>
          </w:tcPr>
          <w:p w14:paraId="683F166B"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-455.3</w:t>
            </w:r>
          </w:p>
        </w:tc>
        <w:tc>
          <w:tcPr>
            <w:tcW w:w="704" w:type="dxa"/>
            <w:shd w:val="clear" w:color="auto" w:fill="FFFFFF" w:themeFill="background1"/>
            <w:vAlign w:val="center"/>
            <w:hideMark/>
          </w:tcPr>
          <w:p w14:paraId="574BE641"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98.7%</w:t>
            </w:r>
          </w:p>
        </w:tc>
        <w:tc>
          <w:tcPr>
            <w:tcW w:w="680" w:type="dxa"/>
            <w:shd w:val="clear" w:color="auto" w:fill="FFFFFF" w:themeFill="background1"/>
            <w:vAlign w:val="center"/>
            <w:hideMark/>
          </w:tcPr>
          <w:p w14:paraId="15CD2E39"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-427.3</w:t>
            </w:r>
          </w:p>
        </w:tc>
        <w:tc>
          <w:tcPr>
            <w:tcW w:w="809" w:type="dxa"/>
            <w:shd w:val="clear" w:color="auto" w:fill="FFFFFF" w:themeFill="background1"/>
            <w:vAlign w:val="center"/>
            <w:hideMark/>
          </w:tcPr>
          <w:p w14:paraId="7B72F5AE"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98.8%</w:t>
            </w:r>
          </w:p>
        </w:tc>
      </w:tr>
      <w:tr w:rsidR="007C6047" w:rsidRPr="00B7675F" w14:paraId="4A5F6AC9" w14:textId="77777777" w:rsidTr="007C6047">
        <w:trPr>
          <w:trHeight w:val="292"/>
        </w:trPr>
        <w:tc>
          <w:tcPr>
            <w:tcW w:w="1350" w:type="dxa"/>
            <w:shd w:val="clear" w:color="auto" w:fill="FFFFFF" w:themeFill="background1"/>
            <w:vAlign w:val="bottom"/>
            <w:hideMark/>
          </w:tcPr>
          <w:p w14:paraId="58EE3EBD" w14:textId="5E1CB636" w:rsidR="007C6047" w:rsidRPr="007C6047" w:rsidRDefault="007C6047" w:rsidP="007C6047">
            <w:pPr>
              <w:spacing w:after="0" w:line="240" w:lineRule="auto"/>
              <w:rPr>
                <w:rFonts w:asciiTheme="majorHAnsi" w:eastAsia="Times New Roman" w:hAnsiTheme="majorHAnsi" w:cstheme="majorHAnsi"/>
                <w:i/>
                <w:iCs/>
                <w:color w:val="000000"/>
                <w:sz w:val="18"/>
                <w:szCs w:val="18"/>
                <w:lang w:val="ro-MD"/>
              </w:rPr>
            </w:pPr>
            <w:r w:rsidRPr="007C6047">
              <w:rPr>
                <w:rFonts w:ascii="Calibri Light" w:eastAsia="Times New Roman" w:hAnsi="Calibri Light" w:cs="Calibri Light"/>
                <w:i/>
                <w:iCs/>
                <w:color w:val="000000"/>
                <w:sz w:val="18"/>
                <w:szCs w:val="18"/>
                <w:lang w:val="ru-RU"/>
              </w:rPr>
              <w:t>Расходы</w:t>
            </w:r>
          </w:p>
        </w:tc>
        <w:tc>
          <w:tcPr>
            <w:tcW w:w="611" w:type="dxa"/>
            <w:shd w:val="clear" w:color="auto" w:fill="FFFFFF" w:themeFill="background1"/>
            <w:vAlign w:val="center"/>
            <w:hideMark/>
          </w:tcPr>
          <w:p w14:paraId="46E9BC51" w14:textId="77777777" w:rsidR="007C6047" w:rsidRPr="00736448" w:rsidRDefault="007C6047" w:rsidP="007C6047">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2</w:t>
            </w:r>
          </w:p>
        </w:tc>
        <w:tc>
          <w:tcPr>
            <w:tcW w:w="1135" w:type="dxa"/>
            <w:shd w:val="clear" w:color="auto" w:fill="FFFFFF" w:themeFill="background1"/>
            <w:vAlign w:val="center"/>
            <w:hideMark/>
          </w:tcPr>
          <w:p w14:paraId="0FEA393C"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31203.2</w:t>
            </w:r>
          </w:p>
        </w:tc>
        <w:tc>
          <w:tcPr>
            <w:tcW w:w="916" w:type="dxa"/>
            <w:shd w:val="clear" w:color="auto" w:fill="FFFFFF" w:themeFill="background1"/>
            <w:vAlign w:val="center"/>
            <w:hideMark/>
          </w:tcPr>
          <w:p w14:paraId="27A2630D"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34180.7</w:t>
            </w:r>
          </w:p>
        </w:tc>
        <w:tc>
          <w:tcPr>
            <w:tcW w:w="1039" w:type="dxa"/>
            <w:shd w:val="clear" w:color="auto" w:fill="FFFFFF" w:themeFill="background1"/>
            <w:vAlign w:val="center"/>
            <w:hideMark/>
          </w:tcPr>
          <w:p w14:paraId="1BBEC2AA"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33728.3</w:t>
            </w:r>
          </w:p>
        </w:tc>
        <w:tc>
          <w:tcPr>
            <w:tcW w:w="1079" w:type="dxa"/>
            <w:shd w:val="clear" w:color="auto" w:fill="FFFFFF" w:themeFill="background1"/>
            <w:vAlign w:val="center"/>
            <w:hideMark/>
          </w:tcPr>
          <w:p w14:paraId="003EBE8A"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33757.2</w:t>
            </w:r>
          </w:p>
        </w:tc>
        <w:tc>
          <w:tcPr>
            <w:tcW w:w="976" w:type="dxa"/>
            <w:shd w:val="clear" w:color="auto" w:fill="FFFFFF" w:themeFill="background1"/>
            <w:vAlign w:val="center"/>
            <w:hideMark/>
          </w:tcPr>
          <w:p w14:paraId="02207241"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99.95%</w:t>
            </w:r>
          </w:p>
        </w:tc>
        <w:tc>
          <w:tcPr>
            <w:tcW w:w="680" w:type="dxa"/>
            <w:shd w:val="clear" w:color="auto" w:fill="FFFFFF" w:themeFill="background1"/>
            <w:vAlign w:val="center"/>
            <w:hideMark/>
          </w:tcPr>
          <w:p w14:paraId="31CBCAFB"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-452.4</w:t>
            </w:r>
          </w:p>
        </w:tc>
        <w:tc>
          <w:tcPr>
            <w:tcW w:w="704" w:type="dxa"/>
            <w:shd w:val="clear" w:color="auto" w:fill="FFFFFF" w:themeFill="background1"/>
            <w:vAlign w:val="center"/>
            <w:hideMark/>
          </w:tcPr>
          <w:p w14:paraId="7236DD34"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98.7%</w:t>
            </w:r>
          </w:p>
        </w:tc>
        <w:tc>
          <w:tcPr>
            <w:tcW w:w="680" w:type="dxa"/>
            <w:shd w:val="clear" w:color="auto" w:fill="FFFFFF" w:themeFill="background1"/>
            <w:vAlign w:val="center"/>
            <w:hideMark/>
          </w:tcPr>
          <w:p w14:paraId="3DD112A2"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-423.5</w:t>
            </w:r>
          </w:p>
        </w:tc>
        <w:tc>
          <w:tcPr>
            <w:tcW w:w="809" w:type="dxa"/>
            <w:shd w:val="clear" w:color="auto" w:fill="FFFFFF" w:themeFill="background1"/>
            <w:vAlign w:val="center"/>
            <w:hideMark/>
          </w:tcPr>
          <w:p w14:paraId="18C4A0F4"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98.8%</w:t>
            </w:r>
          </w:p>
        </w:tc>
      </w:tr>
      <w:tr w:rsidR="007C6047" w:rsidRPr="00B7675F" w14:paraId="32FF899C" w14:textId="77777777" w:rsidTr="007C6047">
        <w:trPr>
          <w:trHeight w:val="292"/>
        </w:trPr>
        <w:tc>
          <w:tcPr>
            <w:tcW w:w="1350" w:type="dxa"/>
            <w:shd w:val="clear" w:color="auto" w:fill="FFFFFF" w:themeFill="background1"/>
            <w:vAlign w:val="bottom"/>
            <w:hideMark/>
          </w:tcPr>
          <w:p w14:paraId="4990790F" w14:textId="70ECB034" w:rsidR="007C6047" w:rsidRPr="007C6047" w:rsidRDefault="007C6047" w:rsidP="007C6047">
            <w:pPr>
              <w:spacing w:after="0" w:line="240" w:lineRule="auto"/>
              <w:rPr>
                <w:rFonts w:asciiTheme="majorHAnsi" w:eastAsia="Times New Roman" w:hAnsiTheme="majorHAnsi" w:cstheme="majorHAnsi"/>
                <w:b/>
                <w:bCs/>
                <w:color w:val="000000"/>
                <w:sz w:val="18"/>
                <w:szCs w:val="18"/>
                <w:lang w:val="ro-MD"/>
              </w:rPr>
            </w:pPr>
            <w:r w:rsidRPr="007C6047">
              <w:rPr>
                <w:rFonts w:ascii="Calibri Light" w:eastAsia="Times New Roman" w:hAnsi="Calibri Light" w:cs="Calibri Light"/>
                <w:b/>
                <w:bCs/>
                <w:color w:val="000000"/>
                <w:sz w:val="18"/>
                <w:szCs w:val="18"/>
                <w:lang w:val="ru-RU"/>
              </w:rPr>
              <w:t>Расходы</w:t>
            </w:r>
            <w:r w:rsidRPr="007C6047">
              <w:rPr>
                <w:rFonts w:ascii="Calibri Light" w:eastAsia="Times New Roman" w:hAnsi="Calibri Light" w:cs="Calibri Light"/>
                <w:b/>
                <w:bCs/>
                <w:color w:val="000000"/>
                <w:sz w:val="18"/>
                <w:szCs w:val="18"/>
                <w:lang w:val="ro-RO"/>
              </w:rPr>
              <w:t xml:space="preserve"> </w:t>
            </w:r>
            <w:r w:rsidRPr="007C6047">
              <w:rPr>
                <w:rFonts w:ascii="Calibri Light" w:eastAsia="Times New Roman" w:hAnsi="Calibri Light" w:cs="Calibri Light"/>
                <w:b/>
                <w:bCs/>
                <w:color w:val="000000"/>
                <w:sz w:val="18"/>
                <w:szCs w:val="18"/>
                <w:lang w:val="ru-RU"/>
              </w:rPr>
              <w:t>на персонал</w:t>
            </w:r>
          </w:p>
        </w:tc>
        <w:tc>
          <w:tcPr>
            <w:tcW w:w="611" w:type="dxa"/>
            <w:shd w:val="clear" w:color="auto" w:fill="FFFFFF" w:themeFill="background1"/>
            <w:vAlign w:val="center"/>
            <w:hideMark/>
          </w:tcPr>
          <w:p w14:paraId="46811EB3" w14:textId="77777777" w:rsidR="007C6047" w:rsidRPr="00736448" w:rsidRDefault="007C6047" w:rsidP="007C6047">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21</w:t>
            </w:r>
          </w:p>
        </w:tc>
        <w:tc>
          <w:tcPr>
            <w:tcW w:w="1135" w:type="dxa"/>
            <w:shd w:val="clear" w:color="auto" w:fill="FFFFFF" w:themeFill="background1"/>
            <w:vAlign w:val="center"/>
            <w:hideMark/>
          </w:tcPr>
          <w:p w14:paraId="6283823B"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184.9</w:t>
            </w:r>
          </w:p>
        </w:tc>
        <w:tc>
          <w:tcPr>
            <w:tcW w:w="916" w:type="dxa"/>
            <w:shd w:val="clear" w:color="auto" w:fill="FFFFFF" w:themeFill="background1"/>
            <w:vAlign w:val="center"/>
            <w:hideMark/>
          </w:tcPr>
          <w:p w14:paraId="6A27FD07"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188.8</w:t>
            </w:r>
          </w:p>
        </w:tc>
        <w:tc>
          <w:tcPr>
            <w:tcW w:w="1039" w:type="dxa"/>
            <w:shd w:val="clear" w:color="auto" w:fill="FFFFFF" w:themeFill="background1"/>
            <w:vAlign w:val="center"/>
            <w:hideMark/>
          </w:tcPr>
          <w:p w14:paraId="1B22EF74"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185.7</w:t>
            </w:r>
          </w:p>
        </w:tc>
        <w:tc>
          <w:tcPr>
            <w:tcW w:w="1079" w:type="dxa"/>
            <w:shd w:val="clear" w:color="auto" w:fill="FFFFFF" w:themeFill="background1"/>
            <w:vAlign w:val="center"/>
            <w:hideMark/>
          </w:tcPr>
          <w:p w14:paraId="2648FCEC"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186.7</w:t>
            </w:r>
          </w:p>
        </w:tc>
        <w:tc>
          <w:tcPr>
            <w:tcW w:w="976" w:type="dxa"/>
            <w:shd w:val="clear" w:color="auto" w:fill="FFFFFF" w:themeFill="background1"/>
            <w:vAlign w:val="center"/>
            <w:hideMark/>
          </w:tcPr>
          <w:p w14:paraId="591BC406"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0.55%</w:t>
            </w:r>
          </w:p>
        </w:tc>
        <w:tc>
          <w:tcPr>
            <w:tcW w:w="680" w:type="dxa"/>
            <w:shd w:val="clear" w:color="auto" w:fill="FFFFFF" w:themeFill="background1"/>
            <w:vAlign w:val="center"/>
            <w:hideMark/>
          </w:tcPr>
          <w:p w14:paraId="193BEF4D"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-3.1</w:t>
            </w:r>
          </w:p>
        </w:tc>
        <w:tc>
          <w:tcPr>
            <w:tcW w:w="704" w:type="dxa"/>
            <w:shd w:val="clear" w:color="auto" w:fill="FFFFFF" w:themeFill="background1"/>
            <w:vAlign w:val="center"/>
            <w:hideMark/>
          </w:tcPr>
          <w:p w14:paraId="2B581DA3"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98.4%</w:t>
            </w:r>
          </w:p>
        </w:tc>
        <w:tc>
          <w:tcPr>
            <w:tcW w:w="680" w:type="dxa"/>
            <w:shd w:val="clear" w:color="auto" w:fill="FFFFFF" w:themeFill="background1"/>
            <w:vAlign w:val="center"/>
            <w:hideMark/>
          </w:tcPr>
          <w:p w14:paraId="6E75C6AF"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-2.1</w:t>
            </w:r>
          </w:p>
        </w:tc>
        <w:tc>
          <w:tcPr>
            <w:tcW w:w="809" w:type="dxa"/>
            <w:shd w:val="clear" w:color="auto" w:fill="FFFFFF" w:themeFill="background1"/>
            <w:vAlign w:val="center"/>
            <w:hideMark/>
          </w:tcPr>
          <w:p w14:paraId="37542AED"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98.9%</w:t>
            </w:r>
          </w:p>
        </w:tc>
      </w:tr>
      <w:tr w:rsidR="007C6047" w:rsidRPr="00B7675F" w14:paraId="1916ADDC" w14:textId="77777777" w:rsidTr="007C6047">
        <w:trPr>
          <w:trHeight w:val="292"/>
        </w:trPr>
        <w:tc>
          <w:tcPr>
            <w:tcW w:w="1350" w:type="dxa"/>
            <w:shd w:val="clear" w:color="auto" w:fill="FFFFFF" w:themeFill="background1"/>
            <w:vAlign w:val="bottom"/>
            <w:hideMark/>
          </w:tcPr>
          <w:p w14:paraId="104EF267" w14:textId="3F191E61" w:rsidR="007C6047" w:rsidRPr="007C6047" w:rsidRDefault="007C6047" w:rsidP="007C6047">
            <w:pPr>
              <w:spacing w:after="0" w:line="240" w:lineRule="auto"/>
              <w:rPr>
                <w:rFonts w:asciiTheme="majorHAnsi" w:eastAsia="Times New Roman" w:hAnsiTheme="majorHAnsi" w:cstheme="majorHAnsi"/>
                <w:b/>
                <w:bCs/>
                <w:color w:val="000000"/>
                <w:sz w:val="18"/>
                <w:szCs w:val="18"/>
                <w:lang w:val="ro-MD"/>
              </w:rPr>
            </w:pPr>
            <w:r w:rsidRPr="007C6047">
              <w:rPr>
                <w:rFonts w:ascii="Calibri Light" w:eastAsia="Times New Roman" w:hAnsi="Calibri Light" w:cs="Calibri Light"/>
                <w:b/>
                <w:bCs/>
                <w:color w:val="000000"/>
                <w:sz w:val="18"/>
                <w:szCs w:val="18"/>
                <w:lang w:val="ru-RU"/>
              </w:rPr>
              <w:t>Товары и услуги</w:t>
            </w:r>
          </w:p>
        </w:tc>
        <w:tc>
          <w:tcPr>
            <w:tcW w:w="611" w:type="dxa"/>
            <w:shd w:val="clear" w:color="auto" w:fill="FFFFFF" w:themeFill="background1"/>
            <w:vAlign w:val="center"/>
            <w:hideMark/>
          </w:tcPr>
          <w:p w14:paraId="3FB60CE5" w14:textId="77777777" w:rsidR="007C6047" w:rsidRPr="00736448" w:rsidRDefault="007C6047" w:rsidP="007C6047">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22</w:t>
            </w:r>
          </w:p>
        </w:tc>
        <w:tc>
          <w:tcPr>
            <w:tcW w:w="1135" w:type="dxa"/>
            <w:shd w:val="clear" w:color="auto" w:fill="FFFFFF" w:themeFill="background1"/>
            <w:vAlign w:val="center"/>
            <w:hideMark/>
          </w:tcPr>
          <w:p w14:paraId="46197EDD"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329.2</w:t>
            </w:r>
          </w:p>
        </w:tc>
        <w:tc>
          <w:tcPr>
            <w:tcW w:w="916" w:type="dxa"/>
            <w:shd w:val="clear" w:color="auto" w:fill="FFFFFF" w:themeFill="background1"/>
            <w:vAlign w:val="center"/>
            <w:hideMark/>
          </w:tcPr>
          <w:p w14:paraId="5B24BDAC"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280</w:t>
            </w:r>
          </w:p>
        </w:tc>
        <w:tc>
          <w:tcPr>
            <w:tcW w:w="1039" w:type="dxa"/>
            <w:shd w:val="clear" w:color="auto" w:fill="FFFFFF" w:themeFill="background1"/>
            <w:vAlign w:val="center"/>
            <w:hideMark/>
          </w:tcPr>
          <w:p w14:paraId="2B8D6413"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243.3</w:t>
            </w:r>
          </w:p>
        </w:tc>
        <w:tc>
          <w:tcPr>
            <w:tcW w:w="1079" w:type="dxa"/>
            <w:shd w:val="clear" w:color="auto" w:fill="FFFFFF" w:themeFill="background1"/>
            <w:vAlign w:val="center"/>
            <w:hideMark/>
          </w:tcPr>
          <w:p w14:paraId="6A44F8A7"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242.9</w:t>
            </w:r>
          </w:p>
        </w:tc>
        <w:tc>
          <w:tcPr>
            <w:tcW w:w="976" w:type="dxa"/>
            <w:shd w:val="clear" w:color="auto" w:fill="FFFFFF" w:themeFill="background1"/>
            <w:vAlign w:val="center"/>
            <w:hideMark/>
          </w:tcPr>
          <w:p w14:paraId="73041101"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0.72%</w:t>
            </w:r>
          </w:p>
        </w:tc>
        <w:tc>
          <w:tcPr>
            <w:tcW w:w="680" w:type="dxa"/>
            <w:shd w:val="clear" w:color="auto" w:fill="FFFFFF" w:themeFill="background1"/>
            <w:vAlign w:val="center"/>
            <w:hideMark/>
          </w:tcPr>
          <w:p w14:paraId="7E0D5A9B"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-36.7</w:t>
            </w:r>
          </w:p>
        </w:tc>
        <w:tc>
          <w:tcPr>
            <w:tcW w:w="704" w:type="dxa"/>
            <w:shd w:val="clear" w:color="auto" w:fill="FFFFFF" w:themeFill="background1"/>
            <w:vAlign w:val="center"/>
            <w:hideMark/>
          </w:tcPr>
          <w:p w14:paraId="6159E744"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86.9%</w:t>
            </w:r>
          </w:p>
        </w:tc>
        <w:tc>
          <w:tcPr>
            <w:tcW w:w="680" w:type="dxa"/>
            <w:shd w:val="clear" w:color="auto" w:fill="FFFFFF" w:themeFill="background1"/>
            <w:vAlign w:val="center"/>
            <w:hideMark/>
          </w:tcPr>
          <w:p w14:paraId="5109F864"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-37.1</w:t>
            </w:r>
          </w:p>
        </w:tc>
        <w:tc>
          <w:tcPr>
            <w:tcW w:w="809" w:type="dxa"/>
            <w:shd w:val="clear" w:color="auto" w:fill="FFFFFF" w:themeFill="background1"/>
            <w:vAlign w:val="center"/>
            <w:hideMark/>
          </w:tcPr>
          <w:p w14:paraId="068AE242"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86.8%</w:t>
            </w:r>
          </w:p>
        </w:tc>
      </w:tr>
      <w:tr w:rsidR="007C6047" w:rsidRPr="00B7675F" w14:paraId="5FCA0632" w14:textId="77777777" w:rsidTr="007C6047">
        <w:trPr>
          <w:trHeight w:val="292"/>
        </w:trPr>
        <w:tc>
          <w:tcPr>
            <w:tcW w:w="1350" w:type="dxa"/>
            <w:shd w:val="clear" w:color="auto" w:fill="FFFFFF" w:themeFill="background1"/>
            <w:vAlign w:val="bottom"/>
            <w:hideMark/>
          </w:tcPr>
          <w:p w14:paraId="16188706" w14:textId="7E062540" w:rsidR="007C6047" w:rsidRPr="007C6047" w:rsidRDefault="007C6047" w:rsidP="007C6047">
            <w:pPr>
              <w:spacing w:after="0" w:line="240" w:lineRule="auto"/>
              <w:rPr>
                <w:rFonts w:asciiTheme="majorHAnsi" w:eastAsia="Times New Roman" w:hAnsiTheme="majorHAnsi" w:cstheme="majorHAnsi"/>
                <w:b/>
                <w:bCs/>
                <w:color w:val="000000"/>
                <w:sz w:val="18"/>
                <w:szCs w:val="18"/>
                <w:lang w:val="ro-MD"/>
              </w:rPr>
            </w:pPr>
            <w:r w:rsidRPr="007C6047">
              <w:rPr>
                <w:rFonts w:ascii="Calibri Light" w:eastAsia="Times New Roman" w:hAnsi="Calibri Light" w:cs="Calibri Light"/>
                <w:b/>
                <w:bCs/>
                <w:color w:val="000000"/>
                <w:sz w:val="18"/>
                <w:szCs w:val="18"/>
                <w:lang w:val="ru-RU"/>
              </w:rPr>
              <w:t>Социальные выплаты</w:t>
            </w:r>
          </w:p>
        </w:tc>
        <w:tc>
          <w:tcPr>
            <w:tcW w:w="611" w:type="dxa"/>
            <w:shd w:val="clear" w:color="auto" w:fill="FFFFFF" w:themeFill="background1"/>
            <w:vAlign w:val="center"/>
            <w:hideMark/>
          </w:tcPr>
          <w:p w14:paraId="4600AA33" w14:textId="77777777" w:rsidR="007C6047" w:rsidRPr="00736448" w:rsidRDefault="007C6047" w:rsidP="007C6047">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27</w:t>
            </w:r>
          </w:p>
        </w:tc>
        <w:tc>
          <w:tcPr>
            <w:tcW w:w="1135" w:type="dxa"/>
            <w:shd w:val="clear" w:color="auto" w:fill="FFFFFF" w:themeFill="background1"/>
            <w:vAlign w:val="center"/>
            <w:hideMark/>
          </w:tcPr>
          <w:p w14:paraId="228E4923"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30683.9</w:t>
            </w:r>
          </w:p>
        </w:tc>
        <w:tc>
          <w:tcPr>
            <w:tcW w:w="916" w:type="dxa"/>
            <w:shd w:val="clear" w:color="auto" w:fill="FFFFFF" w:themeFill="background1"/>
            <w:vAlign w:val="center"/>
            <w:hideMark/>
          </w:tcPr>
          <w:p w14:paraId="479878B0"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33706.1</w:t>
            </w:r>
          </w:p>
        </w:tc>
        <w:tc>
          <w:tcPr>
            <w:tcW w:w="1039" w:type="dxa"/>
            <w:shd w:val="clear" w:color="auto" w:fill="FFFFFF" w:themeFill="background1"/>
            <w:vAlign w:val="center"/>
            <w:hideMark/>
          </w:tcPr>
          <w:p w14:paraId="3F5AE1E3"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33294.2</w:t>
            </w:r>
          </w:p>
        </w:tc>
        <w:tc>
          <w:tcPr>
            <w:tcW w:w="1079" w:type="dxa"/>
            <w:shd w:val="clear" w:color="auto" w:fill="FFFFFF" w:themeFill="background1"/>
            <w:vAlign w:val="center"/>
            <w:hideMark/>
          </w:tcPr>
          <w:p w14:paraId="1C98952A"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33322.6</w:t>
            </w:r>
          </w:p>
        </w:tc>
        <w:tc>
          <w:tcPr>
            <w:tcW w:w="976" w:type="dxa"/>
            <w:shd w:val="clear" w:color="auto" w:fill="FFFFFF" w:themeFill="background1"/>
            <w:vAlign w:val="center"/>
            <w:hideMark/>
          </w:tcPr>
          <w:p w14:paraId="249F1B9D"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98.71%</w:t>
            </w:r>
          </w:p>
        </w:tc>
        <w:tc>
          <w:tcPr>
            <w:tcW w:w="680" w:type="dxa"/>
            <w:shd w:val="clear" w:color="auto" w:fill="FFFFFF" w:themeFill="background1"/>
            <w:vAlign w:val="center"/>
            <w:hideMark/>
          </w:tcPr>
          <w:p w14:paraId="06F32816"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-411.9</w:t>
            </w:r>
          </w:p>
        </w:tc>
        <w:tc>
          <w:tcPr>
            <w:tcW w:w="704" w:type="dxa"/>
            <w:shd w:val="clear" w:color="auto" w:fill="FFFFFF" w:themeFill="background1"/>
            <w:vAlign w:val="center"/>
            <w:hideMark/>
          </w:tcPr>
          <w:p w14:paraId="3955837F"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98.8%</w:t>
            </w:r>
          </w:p>
        </w:tc>
        <w:tc>
          <w:tcPr>
            <w:tcW w:w="680" w:type="dxa"/>
            <w:shd w:val="clear" w:color="auto" w:fill="FFFFFF" w:themeFill="background1"/>
            <w:vAlign w:val="center"/>
            <w:hideMark/>
          </w:tcPr>
          <w:p w14:paraId="20A27F1F"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-383.5</w:t>
            </w:r>
          </w:p>
        </w:tc>
        <w:tc>
          <w:tcPr>
            <w:tcW w:w="809" w:type="dxa"/>
            <w:shd w:val="clear" w:color="auto" w:fill="FFFFFF" w:themeFill="background1"/>
            <w:vAlign w:val="center"/>
            <w:hideMark/>
          </w:tcPr>
          <w:p w14:paraId="14F395E4"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98.9%</w:t>
            </w:r>
          </w:p>
        </w:tc>
      </w:tr>
      <w:tr w:rsidR="007C6047" w:rsidRPr="00B7675F" w14:paraId="29D1F466" w14:textId="77777777" w:rsidTr="007C6047">
        <w:trPr>
          <w:trHeight w:val="292"/>
        </w:trPr>
        <w:tc>
          <w:tcPr>
            <w:tcW w:w="1350" w:type="dxa"/>
            <w:shd w:val="clear" w:color="auto" w:fill="FFFFFF" w:themeFill="background1"/>
            <w:vAlign w:val="bottom"/>
            <w:hideMark/>
          </w:tcPr>
          <w:p w14:paraId="645C991C" w14:textId="64A1B34C" w:rsidR="007C6047" w:rsidRPr="007C6047" w:rsidRDefault="007C6047" w:rsidP="007C6047">
            <w:pPr>
              <w:spacing w:after="0" w:line="240" w:lineRule="auto"/>
              <w:rPr>
                <w:rFonts w:asciiTheme="majorHAnsi" w:eastAsia="Times New Roman" w:hAnsiTheme="majorHAnsi" w:cstheme="majorHAnsi"/>
                <w:b/>
                <w:bCs/>
                <w:color w:val="000000"/>
                <w:sz w:val="18"/>
                <w:szCs w:val="18"/>
                <w:lang w:val="ro-MD"/>
              </w:rPr>
            </w:pPr>
            <w:r w:rsidRPr="007C6047">
              <w:rPr>
                <w:rFonts w:ascii="Calibri Light" w:eastAsia="Times New Roman" w:hAnsi="Calibri Light" w:cs="Calibri Light"/>
                <w:b/>
                <w:bCs/>
                <w:color w:val="000000"/>
                <w:sz w:val="18"/>
                <w:szCs w:val="18"/>
                <w:lang w:val="ru-RU"/>
              </w:rPr>
              <w:t>Другие расходы</w:t>
            </w:r>
          </w:p>
        </w:tc>
        <w:tc>
          <w:tcPr>
            <w:tcW w:w="611" w:type="dxa"/>
            <w:shd w:val="clear" w:color="auto" w:fill="FFFFFF" w:themeFill="background1"/>
            <w:vAlign w:val="center"/>
            <w:hideMark/>
          </w:tcPr>
          <w:p w14:paraId="4F6AA50E" w14:textId="77777777" w:rsidR="007C6047" w:rsidRPr="00736448" w:rsidRDefault="007C6047" w:rsidP="007C6047">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28</w:t>
            </w:r>
          </w:p>
        </w:tc>
        <w:tc>
          <w:tcPr>
            <w:tcW w:w="1135" w:type="dxa"/>
            <w:shd w:val="clear" w:color="auto" w:fill="FFFFFF" w:themeFill="background1"/>
            <w:vAlign w:val="center"/>
            <w:hideMark/>
          </w:tcPr>
          <w:p w14:paraId="494AFAC7"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5.2</w:t>
            </w:r>
          </w:p>
        </w:tc>
        <w:tc>
          <w:tcPr>
            <w:tcW w:w="916" w:type="dxa"/>
            <w:shd w:val="clear" w:color="auto" w:fill="FFFFFF" w:themeFill="background1"/>
            <w:vAlign w:val="center"/>
            <w:hideMark/>
          </w:tcPr>
          <w:p w14:paraId="5C838553"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5.8</w:t>
            </w:r>
          </w:p>
        </w:tc>
        <w:tc>
          <w:tcPr>
            <w:tcW w:w="1039" w:type="dxa"/>
            <w:shd w:val="clear" w:color="auto" w:fill="FFFFFF" w:themeFill="background1"/>
            <w:vAlign w:val="center"/>
            <w:hideMark/>
          </w:tcPr>
          <w:p w14:paraId="3C9EA39C"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5</w:t>
            </w:r>
          </w:p>
        </w:tc>
        <w:tc>
          <w:tcPr>
            <w:tcW w:w="1079" w:type="dxa"/>
            <w:shd w:val="clear" w:color="auto" w:fill="FFFFFF" w:themeFill="background1"/>
            <w:vAlign w:val="center"/>
            <w:hideMark/>
          </w:tcPr>
          <w:p w14:paraId="2CF76513"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5</w:t>
            </w:r>
          </w:p>
        </w:tc>
        <w:tc>
          <w:tcPr>
            <w:tcW w:w="976" w:type="dxa"/>
            <w:shd w:val="clear" w:color="auto" w:fill="FFFFFF" w:themeFill="background1"/>
            <w:vAlign w:val="center"/>
            <w:hideMark/>
          </w:tcPr>
          <w:p w14:paraId="29ED55BB"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0.02%</w:t>
            </w:r>
          </w:p>
        </w:tc>
        <w:tc>
          <w:tcPr>
            <w:tcW w:w="680" w:type="dxa"/>
            <w:shd w:val="clear" w:color="auto" w:fill="FFFFFF" w:themeFill="background1"/>
            <w:vAlign w:val="center"/>
            <w:hideMark/>
          </w:tcPr>
          <w:p w14:paraId="10FEB9E2"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-0.8</w:t>
            </w:r>
          </w:p>
        </w:tc>
        <w:tc>
          <w:tcPr>
            <w:tcW w:w="704" w:type="dxa"/>
            <w:shd w:val="clear" w:color="auto" w:fill="FFFFFF" w:themeFill="background1"/>
            <w:vAlign w:val="center"/>
            <w:hideMark/>
          </w:tcPr>
          <w:p w14:paraId="172DC981"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86.2%</w:t>
            </w:r>
          </w:p>
        </w:tc>
        <w:tc>
          <w:tcPr>
            <w:tcW w:w="680" w:type="dxa"/>
            <w:shd w:val="clear" w:color="auto" w:fill="FFFFFF" w:themeFill="background1"/>
            <w:vAlign w:val="center"/>
            <w:hideMark/>
          </w:tcPr>
          <w:p w14:paraId="52980865"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-0.8</w:t>
            </w:r>
          </w:p>
        </w:tc>
        <w:tc>
          <w:tcPr>
            <w:tcW w:w="809" w:type="dxa"/>
            <w:shd w:val="clear" w:color="auto" w:fill="FFFFFF" w:themeFill="background1"/>
            <w:vAlign w:val="center"/>
            <w:hideMark/>
          </w:tcPr>
          <w:p w14:paraId="2D86DCD0"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86.2%</w:t>
            </w:r>
          </w:p>
        </w:tc>
      </w:tr>
      <w:tr w:rsidR="007C6047" w:rsidRPr="00B7675F" w14:paraId="697D617D" w14:textId="77777777" w:rsidTr="007C6047">
        <w:trPr>
          <w:trHeight w:val="292"/>
        </w:trPr>
        <w:tc>
          <w:tcPr>
            <w:tcW w:w="1350" w:type="dxa"/>
            <w:shd w:val="clear" w:color="auto" w:fill="FFFFFF" w:themeFill="background1"/>
            <w:vAlign w:val="bottom"/>
            <w:hideMark/>
          </w:tcPr>
          <w:p w14:paraId="7699C8EA" w14:textId="7DF9D73B" w:rsidR="007C6047" w:rsidRPr="007C6047" w:rsidRDefault="007C6047" w:rsidP="007C6047">
            <w:pPr>
              <w:spacing w:after="0" w:line="240" w:lineRule="auto"/>
              <w:rPr>
                <w:rFonts w:asciiTheme="majorHAnsi" w:eastAsia="Times New Roman" w:hAnsiTheme="majorHAnsi" w:cstheme="majorHAnsi"/>
                <w:i/>
                <w:iCs/>
                <w:color w:val="000000"/>
                <w:sz w:val="18"/>
                <w:szCs w:val="18"/>
                <w:lang w:val="ro-MD"/>
              </w:rPr>
            </w:pPr>
            <w:r w:rsidRPr="007C6047">
              <w:rPr>
                <w:rFonts w:ascii="Calibri Light" w:eastAsia="Times New Roman" w:hAnsi="Calibri Light" w:cs="Calibri Light"/>
                <w:i/>
                <w:iCs/>
                <w:color w:val="000000"/>
                <w:sz w:val="18"/>
                <w:szCs w:val="18"/>
                <w:lang w:val="ru-RU"/>
              </w:rPr>
              <w:t>Нефинансовые активы</w:t>
            </w:r>
          </w:p>
        </w:tc>
        <w:tc>
          <w:tcPr>
            <w:tcW w:w="611" w:type="dxa"/>
            <w:shd w:val="clear" w:color="auto" w:fill="FFFFFF" w:themeFill="background1"/>
            <w:vAlign w:val="center"/>
            <w:hideMark/>
          </w:tcPr>
          <w:p w14:paraId="04BDAD60" w14:textId="77777777" w:rsidR="007C6047" w:rsidRPr="00736448" w:rsidRDefault="007C6047" w:rsidP="007C6047">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3</w:t>
            </w:r>
          </w:p>
        </w:tc>
        <w:tc>
          <w:tcPr>
            <w:tcW w:w="1135" w:type="dxa"/>
            <w:shd w:val="clear" w:color="auto" w:fill="FFFFFF" w:themeFill="background1"/>
            <w:vAlign w:val="center"/>
            <w:hideMark/>
          </w:tcPr>
          <w:p w14:paraId="7BB0F2CB"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21.1</w:t>
            </w:r>
          </w:p>
        </w:tc>
        <w:tc>
          <w:tcPr>
            <w:tcW w:w="916" w:type="dxa"/>
            <w:shd w:val="clear" w:color="auto" w:fill="FFFFFF" w:themeFill="background1"/>
            <w:vAlign w:val="center"/>
            <w:hideMark/>
          </w:tcPr>
          <w:p w14:paraId="4E5F5B6B"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19.9</w:t>
            </w:r>
          </w:p>
        </w:tc>
        <w:tc>
          <w:tcPr>
            <w:tcW w:w="1039" w:type="dxa"/>
            <w:shd w:val="clear" w:color="auto" w:fill="FFFFFF" w:themeFill="background1"/>
            <w:vAlign w:val="center"/>
            <w:hideMark/>
          </w:tcPr>
          <w:p w14:paraId="3B42F382"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17</w:t>
            </w:r>
          </w:p>
        </w:tc>
        <w:tc>
          <w:tcPr>
            <w:tcW w:w="1079" w:type="dxa"/>
            <w:shd w:val="clear" w:color="auto" w:fill="FFFFFF" w:themeFill="background1"/>
            <w:vAlign w:val="center"/>
            <w:hideMark/>
          </w:tcPr>
          <w:p w14:paraId="1284A1B0"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16.2</w:t>
            </w:r>
          </w:p>
        </w:tc>
        <w:tc>
          <w:tcPr>
            <w:tcW w:w="976" w:type="dxa"/>
            <w:shd w:val="clear" w:color="auto" w:fill="FFFFFF" w:themeFill="background1"/>
            <w:vAlign w:val="center"/>
            <w:hideMark/>
          </w:tcPr>
          <w:p w14:paraId="053BA027"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0.05%</w:t>
            </w:r>
          </w:p>
        </w:tc>
        <w:tc>
          <w:tcPr>
            <w:tcW w:w="680" w:type="dxa"/>
            <w:shd w:val="clear" w:color="auto" w:fill="FFFFFF" w:themeFill="background1"/>
            <w:vAlign w:val="center"/>
            <w:hideMark/>
          </w:tcPr>
          <w:p w14:paraId="5B7BA905"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-2.9</w:t>
            </w:r>
          </w:p>
        </w:tc>
        <w:tc>
          <w:tcPr>
            <w:tcW w:w="704" w:type="dxa"/>
            <w:shd w:val="clear" w:color="auto" w:fill="FFFFFF" w:themeFill="background1"/>
            <w:vAlign w:val="center"/>
            <w:hideMark/>
          </w:tcPr>
          <w:p w14:paraId="32100F24"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85.4%</w:t>
            </w:r>
          </w:p>
        </w:tc>
        <w:tc>
          <w:tcPr>
            <w:tcW w:w="680" w:type="dxa"/>
            <w:shd w:val="clear" w:color="auto" w:fill="FFFFFF" w:themeFill="background1"/>
            <w:vAlign w:val="center"/>
            <w:hideMark/>
          </w:tcPr>
          <w:p w14:paraId="2D21A841"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-3.7</w:t>
            </w:r>
          </w:p>
        </w:tc>
        <w:tc>
          <w:tcPr>
            <w:tcW w:w="809" w:type="dxa"/>
            <w:shd w:val="clear" w:color="auto" w:fill="FFFFFF" w:themeFill="background1"/>
            <w:vAlign w:val="center"/>
            <w:hideMark/>
          </w:tcPr>
          <w:p w14:paraId="7F4086B9"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81.4%</w:t>
            </w:r>
          </w:p>
        </w:tc>
      </w:tr>
      <w:tr w:rsidR="007C6047" w:rsidRPr="00B7675F" w14:paraId="25655CA2" w14:textId="77777777" w:rsidTr="007C6047">
        <w:trPr>
          <w:trHeight w:val="292"/>
        </w:trPr>
        <w:tc>
          <w:tcPr>
            <w:tcW w:w="1350" w:type="dxa"/>
            <w:shd w:val="clear" w:color="auto" w:fill="FFFFFF" w:themeFill="background1"/>
            <w:vAlign w:val="bottom"/>
            <w:hideMark/>
          </w:tcPr>
          <w:p w14:paraId="0A11E309" w14:textId="730629DD" w:rsidR="007C6047" w:rsidRPr="007C6047" w:rsidRDefault="007C6047" w:rsidP="007C6047">
            <w:pPr>
              <w:spacing w:after="0" w:line="240" w:lineRule="auto"/>
              <w:rPr>
                <w:rFonts w:asciiTheme="majorHAnsi" w:eastAsia="Times New Roman" w:hAnsiTheme="majorHAnsi" w:cstheme="majorHAnsi"/>
                <w:b/>
                <w:bCs/>
                <w:color w:val="000000"/>
                <w:sz w:val="18"/>
                <w:szCs w:val="18"/>
                <w:lang w:val="ro-MD"/>
              </w:rPr>
            </w:pPr>
            <w:r w:rsidRPr="007C6047">
              <w:rPr>
                <w:rFonts w:ascii="Calibri Light" w:eastAsia="Times New Roman" w:hAnsi="Calibri Light" w:cs="Calibri Light"/>
                <w:b/>
                <w:bCs/>
                <w:color w:val="000000"/>
                <w:sz w:val="18"/>
                <w:szCs w:val="18"/>
                <w:lang w:val="ru-RU"/>
              </w:rPr>
              <w:t>Основные средства</w:t>
            </w:r>
          </w:p>
        </w:tc>
        <w:tc>
          <w:tcPr>
            <w:tcW w:w="611" w:type="dxa"/>
            <w:shd w:val="clear" w:color="auto" w:fill="FFFFFF" w:themeFill="background1"/>
            <w:vAlign w:val="center"/>
            <w:hideMark/>
          </w:tcPr>
          <w:p w14:paraId="6B3F95F3" w14:textId="77777777" w:rsidR="007C6047" w:rsidRPr="00736448" w:rsidRDefault="007C6047" w:rsidP="007C6047">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31</w:t>
            </w:r>
          </w:p>
        </w:tc>
        <w:tc>
          <w:tcPr>
            <w:tcW w:w="1135" w:type="dxa"/>
            <w:shd w:val="clear" w:color="auto" w:fill="FFFFFF" w:themeFill="background1"/>
            <w:vAlign w:val="center"/>
            <w:hideMark/>
          </w:tcPr>
          <w:p w14:paraId="016888A3"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15.6</w:t>
            </w:r>
          </w:p>
        </w:tc>
        <w:tc>
          <w:tcPr>
            <w:tcW w:w="916" w:type="dxa"/>
            <w:shd w:val="clear" w:color="auto" w:fill="FFFFFF" w:themeFill="background1"/>
            <w:vAlign w:val="center"/>
            <w:hideMark/>
          </w:tcPr>
          <w:p w14:paraId="224E8459"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14.4</w:t>
            </w:r>
          </w:p>
        </w:tc>
        <w:tc>
          <w:tcPr>
            <w:tcW w:w="1039" w:type="dxa"/>
            <w:shd w:val="clear" w:color="auto" w:fill="FFFFFF" w:themeFill="background1"/>
            <w:vAlign w:val="center"/>
            <w:hideMark/>
          </w:tcPr>
          <w:p w14:paraId="3938077A"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13</w:t>
            </w:r>
          </w:p>
        </w:tc>
        <w:tc>
          <w:tcPr>
            <w:tcW w:w="1079" w:type="dxa"/>
            <w:shd w:val="clear" w:color="auto" w:fill="FFFFFF" w:themeFill="background1"/>
            <w:vAlign w:val="center"/>
            <w:hideMark/>
          </w:tcPr>
          <w:p w14:paraId="35839AB1"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12.9</w:t>
            </w:r>
          </w:p>
        </w:tc>
        <w:tc>
          <w:tcPr>
            <w:tcW w:w="976" w:type="dxa"/>
            <w:shd w:val="clear" w:color="auto" w:fill="FFFFFF" w:themeFill="background1"/>
            <w:vAlign w:val="center"/>
            <w:hideMark/>
          </w:tcPr>
          <w:p w14:paraId="14D23F7C"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79.63%</w:t>
            </w:r>
          </w:p>
        </w:tc>
        <w:tc>
          <w:tcPr>
            <w:tcW w:w="680" w:type="dxa"/>
            <w:shd w:val="clear" w:color="auto" w:fill="FFFFFF" w:themeFill="background1"/>
            <w:vAlign w:val="center"/>
            <w:hideMark/>
          </w:tcPr>
          <w:p w14:paraId="60DA40F3"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-1.4</w:t>
            </w:r>
          </w:p>
        </w:tc>
        <w:tc>
          <w:tcPr>
            <w:tcW w:w="704" w:type="dxa"/>
            <w:shd w:val="clear" w:color="auto" w:fill="FFFFFF" w:themeFill="background1"/>
            <w:vAlign w:val="center"/>
            <w:hideMark/>
          </w:tcPr>
          <w:p w14:paraId="2FFAA05E"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90.3%</w:t>
            </w:r>
          </w:p>
        </w:tc>
        <w:tc>
          <w:tcPr>
            <w:tcW w:w="680" w:type="dxa"/>
            <w:shd w:val="clear" w:color="auto" w:fill="FFFFFF" w:themeFill="background1"/>
            <w:vAlign w:val="center"/>
            <w:hideMark/>
          </w:tcPr>
          <w:p w14:paraId="3CE6F3D1"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-1.5</w:t>
            </w:r>
          </w:p>
        </w:tc>
        <w:tc>
          <w:tcPr>
            <w:tcW w:w="809" w:type="dxa"/>
            <w:shd w:val="clear" w:color="auto" w:fill="FFFFFF" w:themeFill="background1"/>
            <w:vAlign w:val="center"/>
            <w:hideMark/>
          </w:tcPr>
          <w:p w14:paraId="03245F36"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89.6%</w:t>
            </w:r>
          </w:p>
        </w:tc>
      </w:tr>
      <w:tr w:rsidR="007C6047" w:rsidRPr="00B7675F" w14:paraId="78F3B780" w14:textId="77777777" w:rsidTr="007C6047">
        <w:trPr>
          <w:trHeight w:val="526"/>
        </w:trPr>
        <w:tc>
          <w:tcPr>
            <w:tcW w:w="1350" w:type="dxa"/>
            <w:shd w:val="clear" w:color="auto" w:fill="FFFFFF" w:themeFill="background1"/>
            <w:vAlign w:val="bottom"/>
            <w:hideMark/>
          </w:tcPr>
          <w:p w14:paraId="3C9F674E" w14:textId="42E34D06" w:rsidR="007C6047" w:rsidRPr="007C6047" w:rsidRDefault="007C6047" w:rsidP="007C6047">
            <w:pPr>
              <w:spacing w:after="0" w:line="240" w:lineRule="auto"/>
              <w:rPr>
                <w:rFonts w:asciiTheme="majorHAnsi" w:eastAsia="Times New Roman" w:hAnsiTheme="majorHAnsi" w:cstheme="majorHAnsi"/>
                <w:b/>
                <w:bCs/>
                <w:color w:val="000000"/>
                <w:sz w:val="18"/>
                <w:szCs w:val="18"/>
                <w:lang w:val="ro-MD"/>
              </w:rPr>
            </w:pPr>
            <w:r w:rsidRPr="007C6047">
              <w:rPr>
                <w:rFonts w:ascii="Calibri Light" w:eastAsia="Times New Roman" w:hAnsi="Calibri Light" w:cs="Calibri Light"/>
                <w:b/>
                <w:bCs/>
                <w:color w:val="000000"/>
                <w:sz w:val="18"/>
                <w:szCs w:val="18"/>
                <w:lang w:val="ru-RU"/>
              </w:rPr>
              <w:t>Запасы</w:t>
            </w:r>
            <w:r w:rsidRPr="007C6047">
              <w:rPr>
                <w:rFonts w:ascii="Calibri Light" w:eastAsia="Times New Roman" w:hAnsi="Calibri Light" w:cs="Calibri Light"/>
                <w:b/>
                <w:bCs/>
                <w:color w:val="000000"/>
                <w:sz w:val="18"/>
                <w:szCs w:val="18"/>
              </w:rPr>
              <w:t xml:space="preserve"> </w:t>
            </w:r>
            <w:r w:rsidRPr="007C6047">
              <w:rPr>
                <w:rFonts w:ascii="Calibri Light" w:eastAsia="Times New Roman" w:hAnsi="Calibri Light" w:cs="Calibri Light"/>
                <w:b/>
                <w:bCs/>
                <w:color w:val="000000"/>
                <w:sz w:val="18"/>
                <w:szCs w:val="18"/>
                <w:lang w:val="ru-RU"/>
              </w:rPr>
              <w:t>оборотных</w:t>
            </w:r>
            <w:r w:rsidRPr="007C6047">
              <w:rPr>
                <w:rFonts w:ascii="Calibri Light" w:eastAsia="Times New Roman" w:hAnsi="Calibri Light" w:cs="Calibri Light"/>
                <w:b/>
                <w:bCs/>
                <w:color w:val="000000"/>
                <w:sz w:val="18"/>
                <w:szCs w:val="18"/>
              </w:rPr>
              <w:t xml:space="preserve"> </w:t>
            </w:r>
            <w:r w:rsidRPr="007C6047">
              <w:rPr>
                <w:rFonts w:ascii="Calibri Light" w:eastAsia="Times New Roman" w:hAnsi="Calibri Light" w:cs="Calibri Light"/>
                <w:b/>
                <w:bCs/>
                <w:color w:val="000000"/>
                <w:sz w:val="18"/>
                <w:szCs w:val="18"/>
                <w:lang w:val="ru-RU"/>
              </w:rPr>
              <w:t>материалов</w:t>
            </w:r>
          </w:p>
        </w:tc>
        <w:tc>
          <w:tcPr>
            <w:tcW w:w="611" w:type="dxa"/>
            <w:shd w:val="clear" w:color="auto" w:fill="FFFFFF" w:themeFill="background1"/>
            <w:vAlign w:val="center"/>
            <w:hideMark/>
          </w:tcPr>
          <w:p w14:paraId="4A4AEB82" w14:textId="77777777" w:rsidR="007C6047" w:rsidRPr="00736448" w:rsidRDefault="007C6047" w:rsidP="007C6047">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33</w:t>
            </w:r>
          </w:p>
        </w:tc>
        <w:tc>
          <w:tcPr>
            <w:tcW w:w="1135" w:type="dxa"/>
            <w:shd w:val="clear" w:color="auto" w:fill="FFFFFF" w:themeFill="background1"/>
            <w:vAlign w:val="center"/>
            <w:hideMark/>
          </w:tcPr>
          <w:p w14:paraId="3739C1B4"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4.2</w:t>
            </w:r>
          </w:p>
        </w:tc>
        <w:tc>
          <w:tcPr>
            <w:tcW w:w="916" w:type="dxa"/>
            <w:shd w:val="clear" w:color="auto" w:fill="FFFFFF" w:themeFill="background1"/>
            <w:vAlign w:val="center"/>
            <w:hideMark/>
          </w:tcPr>
          <w:p w14:paraId="3DC8EA50"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4.2</w:t>
            </w:r>
          </w:p>
        </w:tc>
        <w:tc>
          <w:tcPr>
            <w:tcW w:w="1039" w:type="dxa"/>
            <w:shd w:val="clear" w:color="auto" w:fill="FFFFFF" w:themeFill="background1"/>
            <w:vAlign w:val="center"/>
            <w:hideMark/>
          </w:tcPr>
          <w:p w14:paraId="5FD1C352"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3.1</w:t>
            </w:r>
          </w:p>
        </w:tc>
        <w:tc>
          <w:tcPr>
            <w:tcW w:w="1079" w:type="dxa"/>
            <w:shd w:val="clear" w:color="auto" w:fill="FFFFFF" w:themeFill="background1"/>
            <w:vAlign w:val="center"/>
            <w:hideMark/>
          </w:tcPr>
          <w:p w14:paraId="0D3F0CD7"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2.4</w:t>
            </w:r>
          </w:p>
        </w:tc>
        <w:tc>
          <w:tcPr>
            <w:tcW w:w="976" w:type="dxa"/>
            <w:shd w:val="clear" w:color="auto" w:fill="FFFFFF" w:themeFill="background1"/>
            <w:vAlign w:val="center"/>
            <w:hideMark/>
          </w:tcPr>
          <w:p w14:paraId="46DC44BC"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18.60%</w:t>
            </w:r>
          </w:p>
        </w:tc>
        <w:tc>
          <w:tcPr>
            <w:tcW w:w="680" w:type="dxa"/>
            <w:shd w:val="clear" w:color="auto" w:fill="FFFFFF" w:themeFill="background1"/>
            <w:vAlign w:val="center"/>
            <w:hideMark/>
          </w:tcPr>
          <w:p w14:paraId="0B45B5B8"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-1.1</w:t>
            </w:r>
          </w:p>
        </w:tc>
        <w:tc>
          <w:tcPr>
            <w:tcW w:w="704" w:type="dxa"/>
            <w:shd w:val="clear" w:color="auto" w:fill="FFFFFF" w:themeFill="background1"/>
            <w:vAlign w:val="center"/>
            <w:hideMark/>
          </w:tcPr>
          <w:p w14:paraId="0C590A05"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73.8%</w:t>
            </w:r>
          </w:p>
        </w:tc>
        <w:tc>
          <w:tcPr>
            <w:tcW w:w="680" w:type="dxa"/>
            <w:shd w:val="clear" w:color="auto" w:fill="FFFFFF" w:themeFill="background1"/>
            <w:vAlign w:val="center"/>
            <w:hideMark/>
          </w:tcPr>
          <w:p w14:paraId="4EE221CE"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-1.8</w:t>
            </w:r>
          </w:p>
        </w:tc>
        <w:tc>
          <w:tcPr>
            <w:tcW w:w="809" w:type="dxa"/>
            <w:shd w:val="clear" w:color="auto" w:fill="FFFFFF" w:themeFill="background1"/>
            <w:vAlign w:val="center"/>
            <w:hideMark/>
          </w:tcPr>
          <w:p w14:paraId="5437BA52"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57.1%</w:t>
            </w:r>
          </w:p>
        </w:tc>
      </w:tr>
      <w:tr w:rsidR="007C6047" w:rsidRPr="00B7675F" w14:paraId="45AF8A3B" w14:textId="77777777" w:rsidTr="007C6047">
        <w:trPr>
          <w:trHeight w:val="292"/>
        </w:trPr>
        <w:tc>
          <w:tcPr>
            <w:tcW w:w="1350" w:type="dxa"/>
            <w:shd w:val="clear" w:color="auto" w:fill="FFFFFF" w:themeFill="background1"/>
            <w:hideMark/>
          </w:tcPr>
          <w:p w14:paraId="38D38FEE" w14:textId="41865EDC" w:rsidR="007C6047" w:rsidRPr="007C6047" w:rsidRDefault="007C6047" w:rsidP="007C6047">
            <w:pPr>
              <w:spacing w:after="0" w:line="240" w:lineRule="auto"/>
              <w:rPr>
                <w:rFonts w:asciiTheme="majorHAnsi" w:eastAsia="Times New Roman" w:hAnsiTheme="majorHAnsi" w:cstheme="majorHAnsi"/>
                <w:b/>
                <w:bCs/>
                <w:color w:val="000000"/>
                <w:sz w:val="18"/>
                <w:szCs w:val="18"/>
                <w:lang w:val="ro-MD"/>
              </w:rPr>
            </w:pPr>
            <w:r w:rsidRPr="007C6047">
              <w:rPr>
                <w:rFonts w:ascii="Calibri Light" w:eastAsia="Times New Roman" w:hAnsi="Calibri Light" w:cs="Calibri Light"/>
                <w:b/>
                <w:bCs/>
                <w:color w:val="000000"/>
                <w:sz w:val="18"/>
                <w:szCs w:val="18"/>
                <w:lang w:val="ru-RU"/>
              </w:rPr>
              <w:t>Товары</w:t>
            </w:r>
          </w:p>
        </w:tc>
        <w:tc>
          <w:tcPr>
            <w:tcW w:w="611" w:type="dxa"/>
            <w:shd w:val="clear" w:color="auto" w:fill="FFFFFF" w:themeFill="background1"/>
            <w:vAlign w:val="center"/>
            <w:hideMark/>
          </w:tcPr>
          <w:p w14:paraId="27455CA1" w14:textId="77777777" w:rsidR="007C6047" w:rsidRPr="00736448" w:rsidRDefault="007C6047" w:rsidP="007C6047">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35</w:t>
            </w:r>
          </w:p>
        </w:tc>
        <w:tc>
          <w:tcPr>
            <w:tcW w:w="1135" w:type="dxa"/>
            <w:shd w:val="clear" w:color="auto" w:fill="FFFFFF" w:themeFill="background1"/>
            <w:vAlign w:val="center"/>
            <w:hideMark/>
          </w:tcPr>
          <w:p w14:paraId="2AFF44B0"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1.2</w:t>
            </w:r>
          </w:p>
        </w:tc>
        <w:tc>
          <w:tcPr>
            <w:tcW w:w="916" w:type="dxa"/>
            <w:shd w:val="clear" w:color="auto" w:fill="FFFFFF" w:themeFill="background1"/>
            <w:vAlign w:val="center"/>
            <w:hideMark/>
          </w:tcPr>
          <w:p w14:paraId="1DFAD042"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1.2</w:t>
            </w:r>
          </w:p>
        </w:tc>
        <w:tc>
          <w:tcPr>
            <w:tcW w:w="1039" w:type="dxa"/>
            <w:shd w:val="clear" w:color="auto" w:fill="FFFFFF" w:themeFill="background1"/>
            <w:vAlign w:val="center"/>
            <w:hideMark/>
          </w:tcPr>
          <w:p w14:paraId="3A142FEB"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0.8</w:t>
            </w:r>
          </w:p>
        </w:tc>
        <w:tc>
          <w:tcPr>
            <w:tcW w:w="1079" w:type="dxa"/>
            <w:shd w:val="clear" w:color="auto" w:fill="FFFFFF" w:themeFill="background1"/>
            <w:vAlign w:val="center"/>
            <w:hideMark/>
          </w:tcPr>
          <w:p w14:paraId="337F3033"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0.8</w:t>
            </w:r>
          </w:p>
        </w:tc>
        <w:tc>
          <w:tcPr>
            <w:tcW w:w="976" w:type="dxa"/>
            <w:shd w:val="clear" w:color="auto" w:fill="FFFFFF" w:themeFill="background1"/>
            <w:vAlign w:val="center"/>
            <w:hideMark/>
          </w:tcPr>
          <w:p w14:paraId="3168E899"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4.94%</w:t>
            </w:r>
          </w:p>
        </w:tc>
        <w:tc>
          <w:tcPr>
            <w:tcW w:w="680" w:type="dxa"/>
            <w:shd w:val="clear" w:color="auto" w:fill="FFFFFF" w:themeFill="background1"/>
            <w:vAlign w:val="center"/>
            <w:hideMark/>
          </w:tcPr>
          <w:p w14:paraId="20B007C8"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-0.4</w:t>
            </w:r>
          </w:p>
        </w:tc>
        <w:tc>
          <w:tcPr>
            <w:tcW w:w="704" w:type="dxa"/>
            <w:shd w:val="clear" w:color="auto" w:fill="FFFFFF" w:themeFill="background1"/>
            <w:vAlign w:val="center"/>
            <w:hideMark/>
          </w:tcPr>
          <w:p w14:paraId="1C27411A" w14:textId="77777777" w:rsidR="007C6047" w:rsidRPr="00736448" w:rsidRDefault="007C6047" w:rsidP="007C6047">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66.7%</w:t>
            </w:r>
          </w:p>
        </w:tc>
        <w:tc>
          <w:tcPr>
            <w:tcW w:w="680" w:type="dxa"/>
            <w:shd w:val="clear" w:color="auto" w:fill="FFFFFF" w:themeFill="background1"/>
            <w:vAlign w:val="center"/>
            <w:hideMark/>
          </w:tcPr>
          <w:p w14:paraId="28F933D3"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-0.4</w:t>
            </w:r>
          </w:p>
        </w:tc>
        <w:tc>
          <w:tcPr>
            <w:tcW w:w="809" w:type="dxa"/>
            <w:shd w:val="clear" w:color="auto" w:fill="FFFFFF" w:themeFill="background1"/>
            <w:vAlign w:val="center"/>
            <w:hideMark/>
          </w:tcPr>
          <w:p w14:paraId="7B45F406" w14:textId="77777777" w:rsidR="007C6047" w:rsidRPr="00736448" w:rsidRDefault="007C6047" w:rsidP="007C6047">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66.7%</w:t>
            </w:r>
          </w:p>
        </w:tc>
      </w:tr>
    </w:tbl>
    <w:p w14:paraId="7A56E39B" w14:textId="0CAA767D" w:rsidR="003D0784" w:rsidRPr="00736448" w:rsidRDefault="00281F6D" w:rsidP="003D0784">
      <w:pPr>
        <w:rPr>
          <w:rFonts w:asciiTheme="majorHAnsi" w:hAnsiTheme="majorHAnsi" w:cstheme="majorHAnsi"/>
          <w:sz w:val="18"/>
          <w:szCs w:val="18"/>
          <w:lang w:val="ro-MD"/>
        </w:rPr>
      </w:pPr>
      <w:r>
        <w:rPr>
          <w:rFonts w:asciiTheme="majorHAnsi" w:hAnsiTheme="majorHAnsi" w:cstheme="majorHAnsi"/>
          <w:sz w:val="18"/>
          <w:szCs w:val="18"/>
          <w:lang w:val="ro-MD"/>
        </w:rPr>
        <w:t>Источник</w:t>
      </w:r>
      <w:r w:rsidR="003D0784" w:rsidRPr="00736448">
        <w:rPr>
          <w:rFonts w:asciiTheme="majorHAnsi" w:hAnsiTheme="majorHAnsi" w:cstheme="majorHAnsi"/>
          <w:sz w:val="18"/>
          <w:szCs w:val="18"/>
          <w:lang w:val="ro-MD"/>
        </w:rPr>
        <w:t xml:space="preserve">: </w:t>
      </w:r>
      <w:r w:rsidR="007C6047">
        <w:rPr>
          <w:rFonts w:ascii="Calibri Light" w:eastAsia="Times New Roman" w:hAnsi="Calibri Light" w:cs="Calibri Light"/>
          <w:i/>
          <w:sz w:val="20"/>
          <w:szCs w:val="20"/>
          <w:lang w:val="ro-RO"/>
        </w:rPr>
        <w:t>Отчет об исполнении бюджета государственного социального страхования за</w:t>
      </w:r>
      <w:r w:rsidR="007C6047">
        <w:rPr>
          <w:rFonts w:ascii="Calibri Light" w:eastAsia="Times New Roman" w:hAnsi="Calibri Light" w:cs="Calibri Light"/>
          <w:i/>
          <w:sz w:val="20"/>
          <w:szCs w:val="20"/>
          <w:lang w:val="ru-RU"/>
        </w:rPr>
        <w:t xml:space="preserve"> </w:t>
      </w:r>
      <w:r w:rsidR="007C6047" w:rsidRPr="00E82CC1">
        <w:rPr>
          <w:rFonts w:ascii="Calibri Light" w:eastAsia="Times New Roman" w:hAnsi="Calibri Light" w:cs="Calibri Light"/>
          <w:i/>
          <w:sz w:val="20"/>
          <w:szCs w:val="20"/>
          <w:lang w:val="ro-RO"/>
        </w:rPr>
        <w:t>202</w:t>
      </w:r>
      <w:r w:rsidR="007C6047">
        <w:rPr>
          <w:rFonts w:ascii="Calibri Light" w:eastAsia="Times New Roman" w:hAnsi="Calibri Light" w:cs="Calibri Light"/>
          <w:i/>
          <w:sz w:val="20"/>
          <w:szCs w:val="20"/>
          <w:lang w:val="ru-RU"/>
        </w:rPr>
        <w:t>2 год</w:t>
      </w:r>
      <w:r w:rsidR="00AA6D17">
        <w:rPr>
          <w:rFonts w:asciiTheme="majorHAnsi" w:hAnsiTheme="majorHAnsi" w:cstheme="majorHAnsi"/>
          <w:sz w:val="18"/>
          <w:szCs w:val="18"/>
          <w:lang w:val="ro-MD"/>
        </w:rPr>
        <w:t>.</w:t>
      </w:r>
    </w:p>
    <w:p w14:paraId="726699E8" w14:textId="77777777" w:rsidR="003D0784" w:rsidRPr="00736448" w:rsidRDefault="003D0784" w:rsidP="00F84A00">
      <w:pPr>
        <w:rPr>
          <w:rFonts w:ascii="Calibri Light" w:eastAsia="Times New Roman" w:hAnsi="Calibri Light" w:cs="Calibri Light"/>
          <w:b/>
          <w:sz w:val="24"/>
          <w:szCs w:val="24"/>
          <w:lang w:val="ro-MD"/>
        </w:rPr>
      </w:pPr>
    </w:p>
    <w:p w14:paraId="4D466510" w14:textId="77777777" w:rsidR="00397428" w:rsidRDefault="00397428" w:rsidP="003D0784">
      <w:pPr>
        <w:tabs>
          <w:tab w:val="left" w:pos="162"/>
        </w:tabs>
        <w:spacing w:after="0" w:line="276" w:lineRule="auto"/>
        <w:jc w:val="right"/>
        <w:outlineLvl w:val="1"/>
        <w:rPr>
          <w:rFonts w:ascii="Calibri Light" w:eastAsia="Times New Roman" w:hAnsi="Calibri Light" w:cs="Calibri Light"/>
          <w:b/>
          <w:sz w:val="24"/>
          <w:szCs w:val="24"/>
          <w:lang w:val="ro-MD"/>
        </w:rPr>
      </w:pPr>
    </w:p>
    <w:p w14:paraId="652B48FF" w14:textId="4A0F6FF2" w:rsidR="003D0784" w:rsidRPr="00736448" w:rsidRDefault="00FC62B3" w:rsidP="003D0784">
      <w:pPr>
        <w:tabs>
          <w:tab w:val="left" w:pos="162"/>
        </w:tabs>
        <w:spacing w:after="0" w:line="276" w:lineRule="auto"/>
        <w:jc w:val="right"/>
        <w:outlineLvl w:val="1"/>
        <w:rPr>
          <w:rFonts w:ascii="Calibri Light" w:eastAsia="Times New Roman" w:hAnsi="Calibri Light" w:cs="Calibri Light"/>
          <w:b/>
          <w:sz w:val="24"/>
          <w:szCs w:val="24"/>
          <w:lang w:val="ro-MD"/>
        </w:rPr>
      </w:pPr>
      <w:r>
        <w:rPr>
          <w:rFonts w:ascii="Calibri Light" w:eastAsia="Times New Roman" w:hAnsi="Calibri Light" w:cs="Calibri Light"/>
          <w:b/>
          <w:sz w:val="24"/>
          <w:szCs w:val="24"/>
          <w:lang w:val="ro-MD"/>
        </w:rPr>
        <w:t>Приложение №</w:t>
      </w:r>
      <w:r w:rsidR="003D0784" w:rsidRPr="00736448">
        <w:rPr>
          <w:rFonts w:ascii="Calibri Light" w:eastAsia="Times New Roman" w:hAnsi="Calibri Light" w:cs="Calibri Light"/>
          <w:b/>
          <w:sz w:val="24"/>
          <w:szCs w:val="24"/>
          <w:lang w:val="ro-MD"/>
        </w:rPr>
        <w:t xml:space="preserve"> </w:t>
      </w:r>
      <w:r w:rsidR="008B5EDB" w:rsidRPr="00736448">
        <w:rPr>
          <w:rFonts w:ascii="Calibri Light" w:eastAsia="Times New Roman" w:hAnsi="Calibri Light" w:cs="Calibri Light"/>
          <w:b/>
          <w:sz w:val="24"/>
          <w:szCs w:val="24"/>
          <w:lang w:val="ro-MD"/>
        </w:rPr>
        <w:t>18</w:t>
      </w:r>
    </w:p>
    <w:p w14:paraId="200AA809" w14:textId="77777777" w:rsidR="00397428" w:rsidRDefault="00397428" w:rsidP="00E0262F">
      <w:pPr>
        <w:widowControl w:val="0"/>
        <w:spacing w:after="0" w:line="276" w:lineRule="auto"/>
        <w:jc w:val="center"/>
        <w:rPr>
          <w:rFonts w:ascii="Calibri Light" w:eastAsia="Calibri" w:hAnsi="Calibri Light" w:cs="Calibri Light"/>
          <w:b/>
          <w:bCs/>
          <w:sz w:val="24"/>
          <w:szCs w:val="24"/>
          <w:lang w:val="ro-RO"/>
        </w:rPr>
      </w:pPr>
    </w:p>
    <w:p w14:paraId="524BC3E9" w14:textId="188ACDEC" w:rsidR="00E0262F" w:rsidRPr="00D72D27" w:rsidRDefault="00E0262F" w:rsidP="00E0262F">
      <w:pPr>
        <w:widowControl w:val="0"/>
        <w:spacing w:after="0" w:line="276" w:lineRule="auto"/>
        <w:jc w:val="center"/>
        <w:rPr>
          <w:rFonts w:ascii="Calibri Light" w:eastAsia="Calibri" w:hAnsi="Calibri Light" w:cs="Calibri Light"/>
          <w:b/>
          <w:bCs/>
          <w:sz w:val="24"/>
          <w:szCs w:val="24"/>
          <w:lang w:val="ro-RO"/>
        </w:rPr>
      </w:pPr>
      <w:r w:rsidRPr="00D72D27">
        <w:rPr>
          <w:rFonts w:ascii="Calibri Light" w:eastAsia="Calibri" w:hAnsi="Calibri Light" w:cs="Calibri Light"/>
          <w:b/>
          <w:bCs/>
          <w:sz w:val="24"/>
          <w:szCs w:val="24"/>
          <w:lang w:val="ro-RO"/>
        </w:rPr>
        <w:t>Динамика фактических расходов бюджета государственного социального</w:t>
      </w:r>
    </w:p>
    <w:p w14:paraId="3FA7A5D3" w14:textId="57F91E84" w:rsidR="00E0262F" w:rsidRPr="006A2294" w:rsidRDefault="00E0262F" w:rsidP="00E0262F">
      <w:pPr>
        <w:widowControl w:val="0"/>
        <w:spacing w:after="0" w:line="276" w:lineRule="auto"/>
        <w:jc w:val="center"/>
        <w:rPr>
          <w:rFonts w:ascii="Calibri Light" w:eastAsia="Calibri" w:hAnsi="Calibri Light" w:cs="Calibri Light"/>
          <w:b/>
          <w:bCs/>
          <w:sz w:val="24"/>
          <w:szCs w:val="24"/>
          <w:lang w:val="ru-RU"/>
        </w:rPr>
      </w:pPr>
      <w:r w:rsidRPr="00D72D27">
        <w:rPr>
          <w:rFonts w:ascii="Calibri Light" w:eastAsia="Calibri" w:hAnsi="Calibri Light" w:cs="Calibri Light"/>
          <w:b/>
          <w:bCs/>
          <w:sz w:val="24"/>
          <w:szCs w:val="24"/>
          <w:lang w:val="ro-RO"/>
        </w:rPr>
        <w:t xml:space="preserve"> страхования </w:t>
      </w:r>
      <w:r w:rsidRPr="00D72D27">
        <w:rPr>
          <w:rFonts w:ascii="Calibri Light" w:eastAsia="Calibri" w:hAnsi="Calibri Light" w:cs="Calibri Light"/>
          <w:b/>
          <w:bCs/>
          <w:sz w:val="24"/>
          <w:szCs w:val="24"/>
          <w:lang w:val="ru-RU"/>
        </w:rPr>
        <w:t>за</w:t>
      </w:r>
      <w:r w:rsidRPr="00D72D27">
        <w:rPr>
          <w:rFonts w:ascii="Calibri Light" w:eastAsia="Calibri" w:hAnsi="Calibri Light" w:cs="Calibri Light"/>
          <w:b/>
          <w:bCs/>
          <w:sz w:val="24"/>
          <w:szCs w:val="24"/>
          <w:lang w:val="ro-RO"/>
        </w:rPr>
        <w:t xml:space="preserve"> 2018-202</w:t>
      </w:r>
      <w:r>
        <w:rPr>
          <w:rFonts w:ascii="Calibri Light" w:eastAsia="Calibri" w:hAnsi="Calibri Light" w:cs="Calibri Light"/>
          <w:b/>
          <w:bCs/>
          <w:sz w:val="24"/>
          <w:szCs w:val="24"/>
          <w:lang w:val="ru-RU"/>
        </w:rPr>
        <w:t>2</w:t>
      </w:r>
      <w:r w:rsidRPr="00D72D27">
        <w:rPr>
          <w:rFonts w:ascii="Calibri Light" w:eastAsia="Calibri" w:hAnsi="Calibri Light" w:cs="Calibri Light"/>
          <w:b/>
          <w:bCs/>
          <w:sz w:val="24"/>
          <w:szCs w:val="24"/>
          <w:lang w:val="ro-RO"/>
        </w:rPr>
        <w:t xml:space="preserve"> год</w:t>
      </w:r>
      <w:r w:rsidRPr="00D72D27">
        <w:rPr>
          <w:rFonts w:ascii="Calibri Light" w:eastAsia="Calibri" w:hAnsi="Calibri Light" w:cs="Calibri Light"/>
          <w:b/>
          <w:bCs/>
          <w:sz w:val="24"/>
          <w:szCs w:val="24"/>
          <w:lang w:val="ru-RU"/>
        </w:rPr>
        <w:t>ы</w:t>
      </w:r>
    </w:p>
    <w:p w14:paraId="30F23B29" w14:textId="1D9163E0" w:rsidR="003D0784" w:rsidRPr="00736448" w:rsidRDefault="00E0262F" w:rsidP="00E0262F">
      <w:pPr>
        <w:widowControl w:val="0"/>
        <w:spacing w:after="0" w:line="276" w:lineRule="auto"/>
        <w:jc w:val="right"/>
        <w:rPr>
          <w:rFonts w:ascii="Calibri Light" w:eastAsia="Times New Roman" w:hAnsi="Calibri Light" w:cs="Calibri Light"/>
          <w:b/>
          <w:szCs w:val="24"/>
          <w:lang w:val="ro-MD"/>
        </w:rPr>
      </w:pPr>
      <w:r w:rsidRPr="00736448">
        <w:rPr>
          <w:rFonts w:ascii="Calibri Light" w:eastAsia="Times New Roman" w:hAnsi="Calibri Light" w:cs="Calibri Light"/>
          <w:b/>
          <w:sz w:val="20"/>
          <w:szCs w:val="20"/>
          <w:lang w:val="ro-MD"/>
        </w:rPr>
        <w:t xml:space="preserve"> </w:t>
      </w:r>
      <w:r w:rsidR="003D0784" w:rsidRPr="00736448">
        <w:rPr>
          <w:rFonts w:ascii="Calibri Light" w:eastAsia="Times New Roman" w:hAnsi="Calibri Light" w:cs="Calibri Light"/>
          <w:b/>
          <w:sz w:val="20"/>
          <w:szCs w:val="20"/>
          <w:lang w:val="ro-MD"/>
        </w:rPr>
        <w:t>(</w:t>
      </w:r>
      <w:r w:rsidR="003B3DFD">
        <w:rPr>
          <w:rFonts w:ascii="Calibri Light" w:eastAsia="Times New Roman" w:hAnsi="Calibri Light" w:cs="Calibri Light"/>
          <w:b/>
          <w:sz w:val="20"/>
          <w:szCs w:val="20"/>
          <w:lang w:val="ro-MD"/>
        </w:rPr>
        <w:t>млн. леев</w:t>
      </w:r>
      <w:r w:rsidR="003D0784" w:rsidRPr="00736448">
        <w:rPr>
          <w:rFonts w:ascii="Calibri Light" w:eastAsia="Times New Roman" w:hAnsi="Calibri Light" w:cs="Calibri Light"/>
          <w:b/>
          <w:sz w:val="20"/>
          <w:szCs w:val="20"/>
          <w:lang w:val="ro-MD"/>
        </w:rPr>
        <w:t>)</w:t>
      </w:r>
    </w:p>
    <w:p w14:paraId="57D4584E" w14:textId="77777777" w:rsidR="003D0784" w:rsidRPr="00736448" w:rsidRDefault="003D0784" w:rsidP="003D0784">
      <w:pPr>
        <w:tabs>
          <w:tab w:val="left" w:pos="162"/>
        </w:tabs>
        <w:spacing w:after="0" w:line="276" w:lineRule="auto"/>
        <w:jc w:val="both"/>
        <w:rPr>
          <w:rFonts w:ascii="Times New Roman" w:eastAsia="Times New Roman" w:hAnsi="Times New Roman" w:cs="Times New Roman"/>
          <w:noProof/>
          <w:sz w:val="24"/>
          <w:szCs w:val="24"/>
          <w:lang w:val="ro-MD"/>
        </w:rPr>
      </w:pPr>
      <w:r w:rsidRPr="00653E85">
        <w:rPr>
          <w:rFonts w:asciiTheme="majorHAnsi" w:eastAsia="Times New Roman" w:hAnsiTheme="majorHAnsi" w:cstheme="majorHAnsi"/>
          <w:noProof/>
          <w:sz w:val="24"/>
          <w:szCs w:val="24"/>
          <w:lang w:val="ru-RU" w:eastAsia="ru-RU"/>
        </w:rPr>
        <w:drawing>
          <wp:inline distT="0" distB="0" distL="0" distR="0" wp14:anchorId="5B0731E3" wp14:editId="46DC3AD4">
            <wp:extent cx="6309360" cy="2857500"/>
            <wp:effectExtent l="0" t="0" r="1524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84C7BF6" w14:textId="5821913B" w:rsidR="003D0784" w:rsidRPr="00736448" w:rsidRDefault="00863CC5" w:rsidP="003D0784">
      <w:pPr>
        <w:tabs>
          <w:tab w:val="left" w:pos="6504"/>
        </w:tabs>
        <w:rPr>
          <w:rFonts w:ascii="Times New Roman" w:eastAsia="Times New Roman" w:hAnsi="Times New Roman" w:cs="Times New Roman"/>
          <w:noProof/>
          <w:sz w:val="24"/>
          <w:szCs w:val="24"/>
          <w:lang w:val="ro-MD"/>
        </w:rPr>
      </w:pPr>
      <w:r>
        <w:rPr>
          <w:rFonts w:ascii="Calibri Light" w:eastAsia="Calibri" w:hAnsi="Calibri Light" w:cs="Calibri Light"/>
          <w:b/>
          <w:bCs/>
          <w:i/>
          <w:sz w:val="20"/>
          <w:szCs w:val="20"/>
          <w:lang w:val="ro-MD"/>
        </w:rPr>
        <w:t>Источник</w:t>
      </w:r>
      <w:r w:rsidR="00E0262F" w:rsidRPr="00E0262F">
        <w:rPr>
          <w:rFonts w:ascii="Calibri Light" w:eastAsia="Times New Roman" w:hAnsi="Calibri Light" w:cs="Calibri Light"/>
          <w:i/>
          <w:sz w:val="20"/>
          <w:szCs w:val="20"/>
          <w:lang w:val="ro-RO"/>
        </w:rPr>
        <w:t xml:space="preserve"> </w:t>
      </w:r>
      <w:r w:rsidR="00E0262F">
        <w:rPr>
          <w:rFonts w:ascii="Calibri Light" w:eastAsia="Times New Roman" w:hAnsi="Calibri Light" w:cs="Calibri Light"/>
          <w:i/>
          <w:sz w:val="20"/>
          <w:szCs w:val="20"/>
          <w:lang w:val="ro-RO"/>
        </w:rPr>
        <w:t>Отчет</w:t>
      </w:r>
      <w:r w:rsidR="00E0262F">
        <w:rPr>
          <w:rFonts w:ascii="Calibri Light" w:eastAsia="Times New Roman" w:hAnsi="Calibri Light" w:cs="Calibri Light"/>
          <w:i/>
          <w:sz w:val="20"/>
          <w:szCs w:val="20"/>
          <w:lang w:val="ru-RU"/>
        </w:rPr>
        <w:t>ы</w:t>
      </w:r>
      <w:r w:rsidR="00E0262F">
        <w:rPr>
          <w:rFonts w:ascii="Calibri Light" w:eastAsia="Times New Roman" w:hAnsi="Calibri Light" w:cs="Calibri Light"/>
          <w:i/>
          <w:sz w:val="20"/>
          <w:szCs w:val="20"/>
          <w:lang w:val="ro-RO"/>
        </w:rPr>
        <w:t xml:space="preserve"> об исполнении бюджета государственного социального страхования за</w:t>
      </w:r>
      <w:r w:rsidR="00E0262F">
        <w:rPr>
          <w:rFonts w:ascii="Calibri Light" w:eastAsia="Times New Roman" w:hAnsi="Calibri Light" w:cs="Calibri Light"/>
          <w:i/>
          <w:sz w:val="20"/>
          <w:szCs w:val="20"/>
          <w:lang w:val="ru-RU"/>
        </w:rPr>
        <w:t xml:space="preserve"> </w:t>
      </w:r>
      <w:r w:rsidR="00E0262F" w:rsidRPr="00E82CC1">
        <w:rPr>
          <w:rFonts w:ascii="Calibri Light" w:eastAsia="Calibri" w:hAnsi="Calibri Light" w:cs="Calibri Light"/>
          <w:i/>
          <w:sz w:val="20"/>
          <w:szCs w:val="20"/>
          <w:lang w:val="ro-RO"/>
        </w:rPr>
        <w:t>2018-202</w:t>
      </w:r>
      <w:r w:rsidR="00E0262F">
        <w:rPr>
          <w:rFonts w:ascii="Calibri Light" w:eastAsia="Calibri" w:hAnsi="Calibri Light" w:cs="Calibri Light"/>
          <w:i/>
          <w:sz w:val="20"/>
          <w:szCs w:val="20"/>
          <w:lang w:val="ru-RU"/>
        </w:rPr>
        <w:t>2 годы</w:t>
      </w:r>
      <w:r w:rsidR="00AA6D17">
        <w:rPr>
          <w:rFonts w:ascii="Calibri Light" w:eastAsia="Calibri" w:hAnsi="Calibri Light" w:cs="Calibri Light"/>
          <w:i/>
          <w:sz w:val="20"/>
          <w:szCs w:val="20"/>
          <w:lang w:val="ro-MD"/>
        </w:rPr>
        <w:t>.</w:t>
      </w:r>
    </w:p>
    <w:p w14:paraId="793C34C0" w14:textId="77777777" w:rsidR="003D0784" w:rsidRPr="00736448" w:rsidRDefault="003D0784" w:rsidP="003D0784">
      <w:pPr>
        <w:rPr>
          <w:rFonts w:asciiTheme="majorHAnsi" w:hAnsiTheme="majorHAnsi" w:cstheme="majorHAnsi"/>
          <w:sz w:val="18"/>
          <w:szCs w:val="18"/>
          <w:lang w:val="ro-MD"/>
        </w:rPr>
      </w:pPr>
    </w:p>
    <w:p w14:paraId="3691C7D0" w14:textId="77777777" w:rsidR="00306DFB" w:rsidRDefault="00306DFB" w:rsidP="003D0784">
      <w:pPr>
        <w:keepNext/>
        <w:keepLines/>
        <w:spacing w:before="40" w:after="0" w:line="240" w:lineRule="auto"/>
        <w:jc w:val="right"/>
        <w:outlineLvl w:val="1"/>
        <w:rPr>
          <w:rFonts w:ascii="Calibri Light" w:eastAsia="Times New Roman" w:hAnsi="Calibri Light" w:cs="Calibri Light"/>
          <w:b/>
          <w:sz w:val="24"/>
          <w:szCs w:val="24"/>
          <w:lang w:val="ro-MD" w:eastAsia="ro-RO"/>
        </w:rPr>
      </w:pPr>
      <w:r>
        <w:rPr>
          <w:rFonts w:ascii="Calibri Light" w:eastAsia="Times New Roman" w:hAnsi="Calibri Light" w:cs="Calibri Light"/>
          <w:b/>
          <w:sz w:val="24"/>
          <w:szCs w:val="24"/>
          <w:lang w:val="ro-MD" w:eastAsia="ro-RO"/>
        </w:rPr>
        <w:br w:type="page"/>
      </w:r>
    </w:p>
    <w:p w14:paraId="15C0A649" w14:textId="3004788F" w:rsidR="003D0784" w:rsidRPr="00736448" w:rsidRDefault="00FC62B3" w:rsidP="003D0784">
      <w:pPr>
        <w:keepNext/>
        <w:keepLines/>
        <w:spacing w:before="40" w:after="0" w:line="240" w:lineRule="auto"/>
        <w:jc w:val="right"/>
        <w:outlineLvl w:val="1"/>
        <w:rPr>
          <w:rFonts w:ascii="Calibri Light" w:eastAsia="Times New Roman" w:hAnsi="Calibri Light" w:cs="Calibri Light"/>
          <w:b/>
          <w:sz w:val="24"/>
          <w:szCs w:val="24"/>
          <w:lang w:val="ro-MD" w:eastAsia="ro-RO"/>
        </w:rPr>
      </w:pPr>
      <w:r>
        <w:rPr>
          <w:rFonts w:ascii="Calibri Light" w:eastAsia="Times New Roman" w:hAnsi="Calibri Light" w:cs="Calibri Light"/>
          <w:b/>
          <w:sz w:val="24"/>
          <w:szCs w:val="24"/>
          <w:lang w:val="ro-MD" w:eastAsia="ro-RO"/>
        </w:rPr>
        <w:t>Приложение №</w:t>
      </w:r>
      <w:r w:rsidR="003D0784" w:rsidRPr="00736448">
        <w:rPr>
          <w:rFonts w:ascii="Calibri Light" w:eastAsia="Times New Roman" w:hAnsi="Calibri Light" w:cs="Calibri Light"/>
          <w:b/>
          <w:sz w:val="24"/>
          <w:szCs w:val="24"/>
          <w:lang w:val="ro-MD" w:eastAsia="ro-RO"/>
        </w:rPr>
        <w:t xml:space="preserve"> </w:t>
      </w:r>
      <w:r w:rsidR="008B5EDB" w:rsidRPr="00736448">
        <w:rPr>
          <w:rFonts w:ascii="Calibri Light" w:eastAsia="Times New Roman" w:hAnsi="Calibri Light" w:cs="Calibri Light"/>
          <w:b/>
          <w:sz w:val="24"/>
          <w:szCs w:val="24"/>
          <w:lang w:val="ro-MD" w:eastAsia="ro-RO"/>
        </w:rPr>
        <w:t>19</w:t>
      </w:r>
    </w:p>
    <w:p w14:paraId="1CED05EE" w14:textId="34B93C81" w:rsidR="00E80690" w:rsidRDefault="00E80690" w:rsidP="00E80690">
      <w:pPr>
        <w:spacing w:after="0" w:line="276" w:lineRule="auto"/>
        <w:jc w:val="center"/>
        <w:rPr>
          <w:rFonts w:ascii="Calibri Light" w:eastAsia="Calibri" w:hAnsi="Calibri Light" w:cs="Calibri Light"/>
          <w:b/>
          <w:bCs/>
          <w:sz w:val="24"/>
          <w:szCs w:val="24"/>
          <w:lang w:val="ro-RO"/>
        </w:rPr>
      </w:pPr>
      <w:r w:rsidRPr="00D72D27">
        <w:rPr>
          <w:rFonts w:ascii="Calibri Light" w:eastAsia="Calibri" w:hAnsi="Calibri Light" w:cs="Calibri Light"/>
          <w:b/>
          <w:bCs/>
          <w:sz w:val="24"/>
          <w:szCs w:val="24"/>
          <w:lang w:val="ru-RU"/>
        </w:rPr>
        <w:t>Удельный вес</w:t>
      </w:r>
      <w:r w:rsidRPr="00D72D27">
        <w:rPr>
          <w:rFonts w:ascii="Calibri Light" w:eastAsia="Calibri" w:hAnsi="Calibri Light" w:cs="Calibri Light"/>
          <w:b/>
          <w:bCs/>
          <w:sz w:val="24"/>
          <w:szCs w:val="24"/>
          <w:lang w:val="ro-RO"/>
        </w:rPr>
        <w:t xml:space="preserve"> расходов по программам в общих расходах B</w:t>
      </w:r>
      <w:r w:rsidRPr="00D72D27">
        <w:rPr>
          <w:rFonts w:ascii="Calibri Light" w:eastAsia="Calibri" w:hAnsi="Calibri Light" w:cs="Calibri Light"/>
          <w:b/>
          <w:bCs/>
          <w:sz w:val="24"/>
          <w:szCs w:val="24"/>
          <w:lang w:val="ru-RU"/>
        </w:rPr>
        <w:t>ГСС</w:t>
      </w:r>
      <w:r w:rsidRPr="00D72D27">
        <w:rPr>
          <w:rFonts w:ascii="Calibri Light" w:eastAsia="Calibri" w:hAnsi="Calibri Light" w:cs="Calibri Light"/>
          <w:b/>
          <w:bCs/>
          <w:sz w:val="24"/>
          <w:szCs w:val="24"/>
          <w:lang w:val="ro-RO"/>
        </w:rPr>
        <w:t xml:space="preserve">, </w:t>
      </w:r>
      <w:r w:rsidRPr="00D72D27">
        <w:rPr>
          <w:rFonts w:ascii="Calibri Light" w:eastAsia="Calibri" w:hAnsi="Calibri Light" w:cs="Calibri Light"/>
          <w:b/>
          <w:bCs/>
          <w:sz w:val="24"/>
          <w:szCs w:val="24"/>
          <w:lang w:val="ru-RU"/>
        </w:rPr>
        <w:t>ис</w:t>
      </w:r>
      <w:r w:rsidRPr="00D72D27">
        <w:rPr>
          <w:rFonts w:ascii="Calibri Light" w:eastAsia="Calibri" w:hAnsi="Calibri Light" w:cs="Calibri Light"/>
          <w:b/>
          <w:bCs/>
          <w:sz w:val="24"/>
          <w:szCs w:val="24"/>
          <w:lang w:val="ro-RO"/>
        </w:rPr>
        <w:t xml:space="preserve">полненных </w:t>
      </w:r>
      <w:r w:rsidRPr="00D72D27">
        <w:rPr>
          <w:rFonts w:ascii="Calibri Light" w:eastAsia="Calibri" w:hAnsi="Calibri Light" w:cs="Calibri Light"/>
          <w:b/>
          <w:bCs/>
          <w:sz w:val="24"/>
          <w:szCs w:val="24"/>
          <w:lang w:val="ru-RU"/>
        </w:rPr>
        <w:t>за</w:t>
      </w:r>
      <w:r w:rsidRPr="00D72D27">
        <w:rPr>
          <w:rFonts w:ascii="Calibri Light" w:eastAsia="Calibri" w:hAnsi="Calibri Light" w:cs="Calibri Light"/>
          <w:b/>
          <w:bCs/>
          <w:sz w:val="24"/>
          <w:szCs w:val="24"/>
          <w:lang w:val="ro-RO"/>
        </w:rPr>
        <w:t xml:space="preserve"> 202</w:t>
      </w:r>
      <w:r>
        <w:rPr>
          <w:rFonts w:ascii="Calibri Light" w:eastAsia="Calibri" w:hAnsi="Calibri Light" w:cs="Calibri Light"/>
          <w:b/>
          <w:bCs/>
          <w:sz w:val="24"/>
          <w:szCs w:val="24"/>
          <w:lang w:val="ru-RU"/>
        </w:rPr>
        <w:t>2</w:t>
      </w:r>
      <w:r w:rsidRPr="00D72D27">
        <w:rPr>
          <w:rFonts w:ascii="Calibri Light" w:eastAsia="Calibri" w:hAnsi="Calibri Light" w:cs="Calibri Light"/>
          <w:b/>
          <w:bCs/>
          <w:sz w:val="24"/>
          <w:szCs w:val="24"/>
          <w:lang w:val="ro-RO"/>
        </w:rPr>
        <w:t xml:space="preserve"> год</w:t>
      </w:r>
    </w:p>
    <w:p w14:paraId="4E8472B4" w14:textId="63203A73" w:rsidR="00FD4CF8" w:rsidRDefault="00FD4CF8" w:rsidP="003D0784">
      <w:pPr>
        <w:tabs>
          <w:tab w:val="left" w:pos="6504"/>
        </w:tabs>
        <w:jc w:val="both"/>
        <w:rPr>
          <w:rFonts w:ascii="Calibri Light" w:eastAsia="Calibri" w:hAnsi="Calibri Light" w:cs="Calibri Light"/>
          <w:b/>
          <w:i/>
          <w:sz w:val="20"/>
          <w:szCs w:val="20"/>
          <w:lang w:val="ro-MD"/>
        </w:rPr>
      </w:pPr>
      <w:r w:rsidRPr="00653E85">
        <w:rPr>
          <w:rFonts w:ascii="Calibri Light" w:eastAsia="Calibri" w:hAnsi="Calibri Light" w:cs="Calibri Light"/>
          <w:b/>
          <w:bCs/>
          <w:noProof/>
          <w:sz w:val="24"/>
          <w:szCs w:val="24"/>
          <w:lang w:val="ru-RU" w:eastAsia="ru-RU"/>
        </w:rPr>
        <w:drawing>
          <wp:inline distT="0" distB="0" distL="0" distR="0" wp14:anchorId="666F49B5" wp14:editId="0C837495">
            <wp:extent cx="6203950" cy="3514240"/>
            <wp:effectExtent l="0" t="0" r="6350" b="101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6C4A737" w14:textId="12F7FBD2" w:rsidR="003D0784" w:rsidRPr="00736448" w:rsidRDefault="00863CC5" w:rsidP="003D0784">
      <w:pPr>
        <w:tabs>
          <w:tab w:val="left" w:pos="6504"/>
        </w:tabs>
        <w:jc w:val="both"/>
        <w:rPr>
          <w:rFonts w:ascii="Calibri Light" w:eastAsia="Calibri" w:hAnsi="Calibri Light" w:cs="Calibri Light"/>
          <w:i/>
          <w:sz w:val="20"/>
          <w:szCs w:val="20"/>
          <w:lang w:val="ro-MD"/>
        </w:rPr>
      </w:pPr>
      <w:r>
        <w:rPr>
          <w:rFonts w:ascii="Calibri Light" w:eastAsia="Calibri" w:hAnsi="Calibri Light" w:cs="Calibri Light"/>
          <w:b/>
          <w:i/>
          <w:sz w:val="20"/>
          <w:szCs w:val="20"/>
          <w:lang w:val="ro-MD"/>
        </w:rPr>
        <w:t>Источник</w:t>
      </w:r>
      <w:r w:rsidR="003D0784" w:rsidRPr="00736448">
        <w:rPr>
          <w:rFonts w:ascii="Calibri Light" w:eastAsia="Calibri" w:hAnsi="Calibri Light" w:cs="Calibri Light"/>
          <w:b/>
          <w:i/>
          <w:sz w:val="20"/>
          <w:szCs w:val="20"/>
          <w:lang w:val="ro-MD"/>
        </w:rPr>
        <w:t>:</w:t>
      </w:r>
      <w:r w:rsidR="003D0784" w:rsidRPr="00736448">
        <w:rPr>
          <w:rFonts w:ascii="Calibri Light" w:eastAsia="Calibri" w:hAnsi="Calibri Light" w:cs="Calibri Light"/>
          <w:i/>
          <w:sz w:val="20"/>
          <w:szCs w:val="20"/>
          <w:lang w:val="ro-MD"/>
        </w:rPr>
        <w:t xml:space="preserve"> </w:t>
      </w:r>
      <w:r w:rsidR="00E80690">
        <w:rPr>
          <w:rFonts w:ascii="Calibri Light" w:eastAsia="Calibri" w:hAnsi="Calibri Light" w:cs="Calibri Light"/>
          <w:i/>
          <w:sz w:val="20"/>
          <w:szCs w:val="20"/>
          <w:lang w:val="ru-RU"/>
        </w:rPr>
        <w:t>Данные, исчисленные аудитом на основе информации из</w:t>
      </w:r>
      <w:r w:rsidR="00E80690" w:rsidRPr="00E82CC1">
        <w:rPr>
          <w:rFonts w:ascii="Calibri Light" w:eastAsia="Calibri" w:hAnsi="Calibri Light" w:cs="Calibri Light"/>
          <w:i/>
          <w:sz w:val="20"/>
          <w:szCs w:val="20"/>
          <w:lang w:val="ro-RO"/>
        </w:rPr>
        <w:t xml:space="preserve"> </w:t>
      </w:r>
      <w:r w:rsidR="00E80690">
        <w:rPr>
          <w:rFonts w:ascii="Calibri Light" w:eastAsia="Calibri" w:hAnsi="Calibri Light" w:cs="Calibri Light"/>
          <w:i/>
          <w:sz w:val="20"/>
          <w:szCs w:val="20"/>
          <w:lang w:val="ro-RO"/>
        </w:rPr>
        <w:t>Отчет</w:t>
      </w:r>
      <w:r w:rsidR="00E80690">
        <w:rPr>
          <w:rFonts w:ascii="Calibri Light" w:eastAsia="Calibri" w:hAnsi="Calibri Light" w:cs="Calibri Light"/>
          <w:i/>
          <w:sz w:val="20"/>
          <w:szCs w:val="20"/>
          <w:lang w:val="ru-RU"/>
        </w:rPr>
        <w:t>а</w:t>
      </w:r>
      <w:r w:rsidR="00E80690">
        <w:rPr>
          <w:rFonts w:ascii="Calibri Light" w:eastAsia="Calibri" w:hAnsi="Calibri Light" w:cs="Calibri Light"/>
          <w:i/>
          <w:sz w:val="20"/>
          <w:szCs w:val="20"/>
          <w:lang w:val="ro-RO"/>
        </w:rPr>
        <w:t xml:space="preserve"> об исполнении бюджета государственного социального страхования за</w:t>
      </w:r>
      <w:r w:rsidR="00E80690">
        <w:rPr>
          <w:rFonts w:ascii="Calibri Light" w:eastAsia="Calibri" w:hAnsi="Calibri Light" w:cs="Calibri Light"/>
          <w:i/>
          <w:sz w:val="20"/>
          <w:szCs w:val="20"/>
          <w:lang w:val="ru-RU"/>
        </w:rPr>
        <w:t xml:space="preserve"> </w:t>
      </w:r>
      <w:r w:rsidR="00E80690" w:rsidRPr="00E82CC1">
        <w:rPr>
          <w:rFonts w:ascii="Calibri Light" w:eastAsia="Calibri" w:hAnsi="Calibri Light" w:cs="Calibri Light"/>
          <w:i/>
          <w:sz w:val="20"/>
          <w:szCs w:val="20"/>
          <w:lang w:val="ro-RO"/>
        </w:rPr>
        <w:t>202</w:t>
      </w:r>
      <w:r w:rsidR="00E80690">
        <w:rPr>
          <w:rFonts w:ascii="Calibri Light" w:eastAsia="Calibri" w:hAnsi="Calibri Light" w:cs="Calibri Light"/>
          <w:i/>
          <w:sz w:val="20"/>
          <w:szCs w:val="20"/>
          <w:lang w:val="ru-RU"/>
        </w:rPr>
        <w:t>2</w:t>
      </w:r>
      <w:r w:rsidR="00E80690" w:rsidRPr="00E82CC1">
        <w:rPr>
          <w:rFonts w:ascii="Calibri Light" w:eastAsia="Calibri" w:hAnsi="Calibri Light" w:cs="Calibri Light"/>
          <w:i/>
          <w:sz w:val="20"/>
          <w:szCs w:val="20"/>
          <w:lang w:val="ro-RO"/>
        </w:rPr>
        <w:t xml:space="preserve"> </w:t>
      </w:r>
      <w:r w:rsidR="00E80690">
        <w:rPr>
          <w:rFonts w:ascii="Calibri Light" w:eastAsia="Calibri" w:hAnsi="Calibri Light" w:cs="Calibri Light"/>
          <w:i/>
          <w:sz w:val="20"/>
          <w:szCs w:val="20"/>
          <w:lang w:val="ru-RU"/>
        </w:rPr>
        <w:t xml:space="preserve">год </w:t>
      </w:r>
      <w:r w:rsidR="00E80690" w:rsidRPr="00E82CC1">
        <w:rPr>
          <w:rFonts w:ascii="Calibri Light" w:eastAsia="Calibri" w:hAnsi="Calibri Light" w:cs="Calibri Light"/>
          <w:i/>
          <w:sz w:val="20"/>
          <w:szCs w:val="20"/>
          <w:lang w:val="ro-RO"/>
        </w:rPr>
        <w:t>(</w:t>
      </w:r>
      <w:r w:rsidR="00E80690">
        <w:rPr>
          <w:rFonts w:ascii="Calibri Light" w:eastAsia="Calibri" w:hAnsi="Calibri Light" w:cs="Calibri Light"/>
          <w:i/>
          <w:sz w:val="20"/>
          <w:szCs w:val="20"/>
          <w:lang w:val="ro-RO"/>
        </w:rPr>
        <w:t>Формуляр №</w:t>
      </w:r>
      <w:r w:rsidR="00E80690" w:rsidRPr="00E82CC1">
        <w:rPr>
          <w:rFonts w:ascii="Calibri Light" w:eastAsia="Calibri" w:hAnsi="Calibri Light" w:cs="Calibri Light"/>
          <w:i/>
          <w:sz w:val="20"/>
          <w:szCs w:val="20"/>
          <w:lang w:val="ro-RO"/>
        </w:rPr>
        <w:t xml:space="preserve">2 </w:t>
      </w:r>
      <w:r w:rsidR="00E80690">
        <w:rPr>
          <w:rFonts w:ascii="Calibri Light" w:eastAsia="Calibri" w:hAnsi="Calibri Light" w:cs="Calibri Light"/>
          <w:i/>
          <w:sz w:val="20"/>
          <w:szCs w:val="20"/>
          <w:lang w:val="ro-RO"/>
        </w:rPr>
        <w:t>НКСС</w:t>
      </w:r>
      <w:r w:rsidR="00E80690" w:rsidRPr="00E82CC1">
        <w:rPr>
          <w:rFonts w:ascii="Calibri Light" w:eastAsia="Calibri" w:hAnsi="Calibri Light" w:cs="Calibri Light"/>
          <w:i/>
          <w:sz w:val="20"/>
          <w:szCs w:val="20"/>
          <w:lang w:val="ro-RO"/>
        </w:rPr>
        <w:t>)</w:t>
      </w:r>
      <w:r w:rsidR="00AA6D17">
        <w:rPr>
          <w:rFonts w:ascii="Calibri Light" w:eastAsia="Calibri" w:hAnsi="Calibri Light" w:cs="Calibri Light"/>
          <w:i/>
          <w:sz w:val="20"/>
          <w:szCs w:val="20"/>
          <w:lang w:val="ro-MD"/>
        </w:rPr>
        <w:t>.</w:t>
      </w:r>
    </w:p>
    <w:p w14:paraId="270F5C38" w14:textId="7958A0D1" w:rsidR="003D0784" w:rsidRPr="00736448" w:rsidRDefault="00FC62B3" w:rsidP="003D0784">
      <w:pPr>
        <w:keepNext/>
        <w:keepLines/>
        <w:spacing w:before="40" w:after="0" w:line="240" w:lineRule="auto"/>
        <w:jc w:val="right"/>
        <w:outlineLvl w:val="1"/>
        <w:rPr>
          <w:rFonts w:ascii="Calibri Light" w:eastAsia="Times New Roman" w:hAnsi="Calibri Light" w:cs="Calibri Light"/>
          <w:b/>
          <w:bCs/>
          <w:sz w:val="24"/>
          <w:szCs w:val="24"/>
          <w:lang w:val="ro-MD" w:eastAsia="ro-RO"/>
        </w:rPr>
      </w:pPr>
      <w:r>
        <w:rPr>
          <w:rFonts w:ascii="Calibri Light" w:eastAsia="Times New Roman" w:hAnsi="Calibri Light" w:cs="Calibri Light"/>
          <w:b/>
          <w:bCs/>
          <w:sz w:val="24"/>
          <w:szCs w:val="24"/>
          <w:lang w:val="ro-MD" w:eastAsia="ro-RO"/>
        </w:rPr>
        <w:t>Приложение №</w:t>
      </w:r>
      <w:r w:rsidR="003D0784" w:rsidRPr="00736448">
        <w:rPr>
          <w:rFonts w:ascii="Calibri Light" w:eastAsia="Times New Roman" w:hAnsi="Calibri Light" w:cs="Calibri Light"/>
          <w:b/>
          <w:bCs/>
          <w:sz w:val="24"/>
          <w:szCs w:val="24"/>
          <w:lang w:val="ro-MD" w:eastAsia="ro-RO"/>
        </w:rPr>
        <w:t xml:space="preserve"> </w:t>
      </w:r>
      <w:r w:rsidR="008B5EDB" w:rsidRPr="00736448">
        <w:rPr>
          <w:rFonts w:ascii="Calibri Light" w:eastAsia="Times New Roman" w:hAnsi="Calibri Light" w:cs="Calibri Light"/>
          <w:b/>
          <w:bCs/>
          <w:sz w:val="24"/>
          <w:szCs w:val="24"/>
          <w:lang w:val="ro-MD" w:eastAsia="ro-RO"/>
        </w:rPr>
        <w:t>20</w:t>
      </w:r>
    </w:p>
    <w:p w14:paraId="13519F52" w14:textId="604B6BD8" w:rsidR="003D0784" w:rsidRPr="00736448" w:rsidRDefault="0048795F" w:rsidP="003D0784">
      <w:pPr>
        <w:tabs>
          <w:tab w:val="left" w:pos="1080"/>
        </w:tabs>
        <w:spacing w:after="0" w:line="276" w:lineRule="auto"/>
        <w:contextualSpacing/>
        <w:jc w:val="center"/>
        <w:rPr>
          <w:rFonts w:ascii="Calibri Light" w:eastAsia="Calibri" w:hAnsi="Calibri Light" w:cs="Calibri Light"/>
          <w:sz w:val="18"/>
          <w:szCs w:val="18"/>
          <w:lang w:val="ro-MD"/>
        </w:rPr>
      </w:pPr>
      <w:r w:rsidRPr="001D0F95">
        <w:rPr>
          <w:rFonts w:ascii="Calibri Light" w:eastAsia="Calibri" w:hAnsi="Calibri Light" w:cs="Calibri Light"/>
          <w:b/>
          <w:sz w:val="24"/>
          <w:szCs w:val="24"/>
          <w:lang w:val="ro-RO"/>
        </w:rPr>
        <w:t>Структура фактических расходов на предоставление пенсий социально</w:t>
      </w:r>
      <w:r w:rsidRPr="001D0F95">
        <w:rPr>
          <w:rFonts w:ascii="Calibri Light" w:eastAsia="Calibri" w:hAnsi="Calibri Light" w:cs="Calibri Light"/>
          <w:b/>
          <w:sz w:val="24"/>
          <w:szCs w:val="24"/>
          <w:lang w:val="ru-RU"/>
        </w:rPr>
        <w:t>го</w:t>
      </w:r>
      <w:r w:rsidRPr="001D0F95">
        <w:rPr>
          <w:rFonts w:ascii="Calibri Light" w:eastAsia="Calibri" w:hAnsi="Calibri Light" w:cs="Calibri Light"/>
          <w:b/>
          <w:sz w:val="24"/>
          <w:szCs w:val="24"/>
          <w:lang w:val="ro-RO"/>
        </w:rPr>
        <w:t xml:space="preserve"> </w:t>
      </w:r>
      <w:r w:rsidRPr="001D0F95">
        <w:rPr>
          <w:rFonts w:ascii="Calibri Light" w:eastAsia="Calibri" w:hAnsi="Calibri Light" w:cs="Calibri Light"/>
          <w:b/>
          <w:sz w:val="24"/>
          <w:szCs w:val="24"/>
          <w:lang w:val="ru-RU"/>
        </w:rPr>
        <w:t>страхова</w:t>
      </w:r>
      <w:r w:rsidRPr="001D0F95">
        <w:rPr>
          <w:rFonts w:ascii="Calibri Light" w:eastAsia="Calibri" w:hAnsi="Calibri Light" w:cs="Calibri Light"/>
          <w:b/>
          <w:sz w:val="24"/>
          <w:szCs w:val="24"/>
          <w:lang w:val="ro-RO"/>
        </w:rPr>
        <w:t>ни</w:t>
      </w:r>
      <w:r w:rsidRPr="001D0F95">
        <w:rPr>
          <w:rFonts w:ascii="Calibri Light" w:eastAsia="Calibri" w:hAnsi="Calibri Light" w:cs="Calibri Light"/>
          <w:b/>
          <w:sz w:val="24"/>
          <w:szCs w:val="24"/>
          <w:lang w:val="ru-RU"/>
        </w:rPr>
        <w:t>я</w:t>
      </w:r>
    </w:p>
    <w:p w14:paraId="3D59D180" w14:textId="77777777" w:rsidR="003D0784" w:rsidRPr="00736448" w:rsidRDefault="003D0784" w:rsidP="003D0784">
      <w:pPr>
        <w:tabs>
          <w:tab w:val="left" w:pos="6504"/>
        </w:tabs>
        <w:spacing w:after="0"/>
        <w:rPr>
          <w:rFonts w:ascii="Calibri" w:eastAsia="Calibri" w:hAnsi="Calibri" w:cs="Times New Roman"/>
          <w:lang w:val="ro-MD"/>
        </w:rPr>
      </w:pPr>
      <w:r w:rsidRPr="00653E85">
        <w:rPr>
          <w:rFonts w:asciiTheme="majorHAnsi" w:hAnsiTheme="majorHAnsi" w:cstheme="majorHAnsi"/>
          <w:noProof/>
          <w:sz w:val="24"/>
          <w:szCs w:val="24"/>
          <w:lang w:val="ru-RU" w:eastAsia="ru-RU"/>
        </w:rPr>
        <w:drawing>
          <wp:inline distT="0" distB="0" distL="0" distR="0" wp14:anchorId="2CB57265" wp14:editId="4CCCF81C">
            <wp:extent cx="6156960" cy="2743200"/>
            <wp:effectExtent l="0" t="0" r="1524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9C6E4A1" w14:textId="2868C7E2" w:rsidR="00306DFB" w:rsidRDefault="00863CC5" w:rsidP="00306DFB">
      <w:pPr>
        <w:tabs>
          <w:tab w:val="left" w:pos="6504"/>
        </w:tabs>
        <w:spacing w:after="0"/>
        <w:jc w:val="both"/>
        <w:rPr>
          <w:rFonts w:ascii="Calibri Light" w:eastAsia="Calibri" w:hAnsi="Calibri Light" w:cs="Calibri Light"/>
          <w:i/>
          <w:sz w:val="20"/>
          <w:szCs w:val="20"/>
          <w:lang w:val="ro-MD"/>
        </w:rPr>
      </w:pPr>
      <w:r>
        <w:rPr>
          <w:rFonts w:ascii="Calibri Light" w:eastAsia="Calibri" w:hAnsi="Calibri Light" w:cs="Calibri Light"/>
          <w:b/>
          <w:i/>
          <w:sz w:val="20"/>
          <w:szCs w:val="20"/>
          <w:lang w:val="ro-MD"/>
        </w:rPr>
        <w:t>Источник</w:t>
      </w:r>
      <w:r w:rsidR="003D0784" w:rsidRPr="00736448">
        <w:rPr>
          <w:rFonts w:ascii="Calibri Light" w:eastAsia="Calibri" w:hAnsi="Calibri Light" w:cs="Calibri Light"/>
          <w:b/>
          <w:i/>
          <w:sz w:val="20"/>
          <w:szCs w:val="20"/>
          <w:lang w:val="ro-MD"/>
        </w:rPr>
        <w:t>:</w:t>
      </w:r>
      <w:r w:rsidR="003D0784" w:rsidRPr="00736448">
        <w:rPr>
          <w:rFonts w:ascii="Calibri Light" w:eastAsia="Calibri" w:hAnsi="Calibri Light" w:cs="Calibri Light"/>
          <w:i/>
          <w:sz w:val="20"/>
          <w:szCs w:val="20"/>
          <w:lang w:val="ro-MD"/>
        </w:rPr>
        <w:t xml:space="preserve"> </w:t>
      </w:r>
      <w:r w:rsidR="0048795F" w:rsidRPr="00CD27E6">
        <w:rPr>
          <w:rFonts w:ascii="Calibri Light" w:eastAsia="Calibri" w:hAnsi="Calibri Light" w:cs="Calibri Light"/>
          <w:i/>
          <w:sz w:val="20"/>
          <w:szCs w:val="20"/>
          <w:lang w:val="ro-RO"/>
        </w:rPr>
        <w:t>Данные, исчисленные аудитом на основе информации из Отчета об исполнении бюджета государственного социального страхования, в части расходов на социальные пособия, по состоянию на 1 января 202</w:t>
      </w:r>
      <w:r w:rsidR="0048795F" w:rsidRPr="0048795F">
        <w:rPr>
          <w:rFonts w:ascii="Calibri Light" w:eastAsia="Calibri" w:hAnsi="Calibri Light" w:cs="Calibri Light"/>
          <w:i/>
          <w:sz w:val="20"/>
          <w:szCs w:val="20"/>
          <w:lang w:val="ro-MD"/>
        </w:rPr>
        <w:t>3</w:t>
      </w:r>
      <w:r w:rsidR="0048795F" w:rsidRPr="00CD27E6">
        <w:rPr>
          <w:rFonts w:ascii="Calibri Light" w:eastAsia="Calibri" w:hAnsi="Calibri Light" w:cs="Calibri Light"/>
          <w:i/>
          <w:sz w:val="20"/>
          <w:szCs w:val="20"/>
          <w:lang w:val="ro-RO"/>
        </w:rPr>
        <w:t xml:space="preserve"> года </w:t>
      </w:r>
      <w:r w:rsidR="0048795F" w:rsidRPr="00E82CC1">
        <w:rPr>
          <w:rFonts w:ascii="Calibri Light" w:eastAsia="Calibri" w:hAnsi="Calibri Light" w:cs="Calibri Light"/>
          <w:i/>
          <w:sz w:val="20"/>
          <w:szCs w:val="20"/>
          <w:lang w:val="ro-RO"/>
        </w:rPr>
        <w:t>(</w:t>
      </w:r>
      <w:r w:rsidR="0048795F">
        <w:rPr>
          <w:rFonts w:ascii="Calibri Light" w:eastAsia="Calibri" w:hAnsi="Calibri Light" w:cs="Calibri Light"/>
          <w:i/>
          <w:sz w:val="20"/>
          <w:szCs w:val="20"/>
          <w:lang w:val="ro-RO"/>
        </w:rPr>
        <w:t>Формуляр №</w:t>
      </w:r>
      <w:r w:rsidR="0048795F" w:rsidRPr="00E82CC1">
        <w:rPr>
          <w:rFonts w:ascii="Calibri Light" w:eastAsia="Calibri" w:hAnsi="Calibri Light" w:cs="Calibri Light"/>
          <w:i/>
          <w:sz w:val="20"/>
          <w:szCs w:val="20"/>
          <w:lang w:val="ro-RO"/>
        </w:rPr>
        <w:t xml:space="preserve">7 </w:t>
      </w:r>
      <w:r w:rsidR="0048795F">
        <w:rPr>
          <w:rFonts w:ascii="Calibri Light" w:eastAsia="Calibri" w:hAnsi="Calibri Light" w:cs="Calibri Light"/>
          <w:i/>
          <w:sz w:val="20"/>
          <w:szCs w:val="20"/>
          <w:lang w:val="ro-RO"/>
        </w:rPr>
        <w:t>НКСС</w:t>
      </w:r>
      <w:r w:rsidR="0048795F" w:rsidRPr="00E82CC1">
        <w:rPr>
          <w:rFonts w:ascii="Calibri Light" w:eastAsia="Calibri" w:hAnsi="Calibri Light" w:cs="Calibri Light"/>
          <w:i/>
          <w:sz w:val="20"/>
          <w:szCs w:val="20"/>
          <w:lang w:val="ro-RO"/>
        </w:rPr>
        <w:t>)</w:t>
      </w:r>
      <w:r w:rsidR="003D0784" w:rsidRPr="00736448">
        <w:rPr>
          <w:rFonts w:ascii="Calibri Light" w:eastAsia="Calibri" w:hAnsi="Calibri Light" w:cs="Calibri Light"/>
          <w:i/>
          <w:sz w:val="20"/>
          <w:szCs w:val="20"/>
          <w:lang w:val="ro-MD"/>
        </w:rPr>
        <w:t>.</w:t>
      </w:r>
    </w:p>
    <w:p w14:paraId="014E737D" w14:textId="77777777" w:rsidR="003D0784" w:rsidRPr="00736448" w:rsidRDefault="003D0784" w:rsidP="003D0784">
      <w:pPr>
        <w:tabs>
          <w:tab w:val="left" w:pos="6504"/>
        </w:tabs>
        <w:spacing w:after="0"/>
        <w:rPr>
          <w:rFonts w:ascii="Calibri Light" w:eastAsia="Calibri" w:hAnsi="Calibri Light" w:cs="Calibri Light"/>
          <w:i/>
          <w:sz w:val="20"/>
          <w:szCs w:val="20"/>
          <w:lang w:val="ro-MD"/>
        </w:rPr>
      </w:pPr>
    </w:p>
    <w:p w14:paraId="1E3DD91F" w14:textId="77777777" w:rsidR="003D0784" w:rsidRPr="00736448" w:rsidRDefault="003D0784" w:rsidP="003D0784">
      <w:pPr>
        <w:tabs>
          <w:tab w:val="left" w:pos="6504"/>
        </w:tabs>
        <w:jc w:val="both"/>
        <w:rPr>
          <w:rFonts w:ascii="Calibri Light" w:eastAsia="Calibri" w:hAnsi="Calibri Light" w:cs="Calibri Light"/>
          <w:i/>
          <w:sz w:val="20"/>
          <w:szCs w:val="20"/>
          <w:lang w:val="ro-MD"/>
        </w:rPr>
      </w:pPr>
    </w:p>
    <w:p w14:paraId="45BF2B91" w14:textId="77777777" w:rsidR="003D0784" w:rsidRPr="00736448" w:rsidRDefault="003D0784" w:rsidP="003D0784">
      <w:pPr>
        <w:rPr>
          <w:rFonts w:asciiTheme="majorHAnsi" w:hAnsiTheme="majorHAnsi" w:cstheme="majorHAnsi"/>
          <w:sz w:val="18"/>
          <w:szCs w:val="18"/>
          <w:lang w:val="ro-MD"/>
        </w:rPr>
        <w:sectPr w:rsidR="003D0784" w:rsidRPr="00736448" w:rsidSect="005F6348">
          <w:pgSz w:w="12240" w:h="15840"/>
          <w:pgMar w:top="1134" w:right="850" w:bottom="1134" w:left="1620" w:header="720" w:footer="720" w:gutter="0"/>
          <w:cols w:space="720"/>
          <w:docGrid w:linePitch="360"/>
        </w:sectPr>
      </w:pPr>
    </w:p>
    <w:p w14:paraId="51F72115" w14:textId="4812EE09" w:rsidR="003D0784" w:rsidRPr="00736448" w:rsidRDefault="00FC62B3" w:rsidP="003D0784">
      <w:pPr>
        <w:keepNext/>
        <w:keepLines/>
        <w:spacing w:before="40" w:after="0" w:line="240" w:lineRule="auto"/>
        <w:jc w:val="right"/>
        <w:outlineLvl w:val="1"/>
        <w:rPr>
          <w:rFonts w:ascii="Calibri Light" w:eastAsia="Times New Roman" w:hAnsi="Calibri Light" w:cs="Calibri Light"/>
          <w:b/>
          <w:bCs/>
          <w:sz w:val="24"/>
          <w:szCs w:val="24"/>
          <w:lang w:val="ro-MD" w:eastAsia="ro-RO"/>
        </w:rPr>
      </w:pPr>
      <w:r>
        <w:rPr>
          <w:rFonts w:ascii="Calibri Light" w:eastAsia="Times New Roman" w:hAnsi="Calibri Light" w:cs="Calibri Light"/>
          <w:b/>
          <w:bCs/>
          <w:sz w:val="24"/>
          <w:szCs w:val="24"/>
          <w:lang w:val="ro-MD" w:eastAsia="ro-RO"/>
        </w:rPr>
        <w:t>Приложение №</w:t>
      </w:r>
      <w:r w:rsidR="003D0784" w:rsidRPr="00736448">
        <w:rPr>
          <w:rFonts w:ascii="Calibri Light" w:eastAsia="Times New Roman" w:hAnsi="Calibri Light" w:cs="Calibri Light"/>
          <w:b/>
          <w:bCs/>
          <w:sz w:val="24"/>
          <w:szCs w:val="24"/>
          <w:lang w:val="ro-MD" w:eastAsia="ro-RO"/>
        </w:rPr>
        <w:t xml:space="preserve"> </w:t>
      </w:r>
      <w:r w:rsidR="008B5EDB" w:rsidRPr="00736448">
        <w:rPr>
          <w:rFonts w:ascii="Calibri Light" w:eastAsia="Times New Roman" w:hAnsi="Calibri Light" w:cs="Calibri Light"/>
          <w:b/>
          <w:bCs/>
          <w:sz w:val="24"/>
          <w:szCs w:val="24"/>
          <w:lang w:val="ro-MD" w:eastAsia="ro-RO"/>
        </w:rPr>
        <w:t>21</w:t>
      </w:r>
    </w:p>
    <w:p w14:paraId="10BD0071" w14:textId="66EC9022" w:rsidR="003D0784" w:rsidRDefault="00F329A2" w:rsidP="00BF35C9">
      <w:pPr>
        <w:tabs>
          <w:tab w:val="left" w:pos="6504"/>
        </w:tabs>
        <w:spacing w:after="0"/>
        <w:jc w:val="center"/>
        <w:rPr>
          <w:rFonts w:ascii="Calibri Light" w:eastAsia="Calibri" w:hAnsi="Calibri Light" w:cs="Calibri Light"/>
          <w:b/>
          <w:sz w:val="24"/>
          <w:szCs w:val="24"/>
          <w:lang w:val="ro-RO"/>
        </w:rPr>
      </w:pPr>
      <w:r w:rsidRPr="00F110DC">
        <w:rPr>
          <w:rFonts w:ascii="Calibri Light" w:eastAsia="Calibri" w:hAnsi="Calibri Light" w:cs="Calibri Light"/>
          <w:b/>
          <w:sz w:val="24"/>
          <w:szCs w:val="24"/>
          <w:lang w:val="ro-RO"/>
        </w:rPr>
        <w:t>Реальное число бенефициаров, получающих социальные выплаты, за 201</w:t>
      </w:r>
      <w:r>
        <w:rPr>
          <w:rFonts w:ascii="Calibri Light" w:eastAsia="Calibri" w:hAnsi="Calibri Light" w:cs="Calibri Light"/>
          <w:b/>
          <w:sz w:val="24"/>
          <w:szCs w:val="24"/>
          <w:lang w:val="ru-RU"/>
        </w:rPr>
        <w:t>9</w:t>
      </w:r>
      <w:r w:rsidRPr="00F110DC">
        <w:rPr>
          <w:rFonts w:ascii="Calibri Light" w:eastAsia="Calibri" w:hAnsi="Calibri Light" w:cs="Calibri Light"/>
          <w:b/>
          <w:sz w:val="24"/>
          <w:szCs w:val="24"/>
          <w:lang w:val="ro-RO"/>
        </w:rPr>
        <w:t xml:space="preserve"> - 202</w:t>
      </w:r>
      <w:r w:rsidRPr="00F329A2">
        <w:rPr>
          <w:rFonts w:ascii="Calibri Light" w:eastAsia="Calibri" w:hAnsi="Calibri Light" w:cs="Calibri Light"/>
          <w:b/>
          <w:sz w:val="24"/>
          <w:szCs w:val="24"/>
          <w:lang w:val="ro-MD"/>
        </w:rPr>
        <w:t>2</w:t>
      </w:r>
      <w:r>
        <w:rPr>
          <w:rFonts w:ascii="Calibri Light" w:eastAsia="Calibri" w:hAnsi="Calibri Light" w:cs="Calibri Light"/>
          <w:b/>
          <w:sz w:val="24"/>
          <w:szCs w:val="24"/>
          <w:lang w:val="ro-RO"/>
        </w:rPr>
        <w:t xml:space="preserve"> </w:t>
      </w:r>
      <w:r w:rsidRPr="00F110DC">
        <w:rPr>
          <w:rFonts w:ascii="Calibri Light" w:eastAsia="Calibri" w:hAnsi="Calibri Light" w:cs="Calibri Light"/>
          <w:b/>
          <w:sz w:val="24"/>
          <w:szCs w:val="24"/>
          <w:lang w:val="ro-RO"/>
        </w:rPr>
        <w:t>годы</w:t>
      </w:r>
    </w:p>
    <w:p w14:paraId="1C624A23" w14:textId="77777777" w:rsidR="008D4E9B" w:rsidRPr="00736448" w:rsidRDefault="008D4E9B" w:rsidP="00BF35C9">
      <w:pPr>
        <w:tabs>
          <w:tab w:val="left" w:pos="6504"/>
        </w:tabs>
        <w:spacing w:after="0"/>
        <w:jc w:val="center"/>
        <w:rPr>
          <w:rFonts w:ascii="Calibri Light" w:eastAsia="Calibri" w:hAnsi="Calibri Light" w:cs="Calibri Light"/>
          <w:b/>
          <w:sz w:val="24"/>
          <w:szCs w:val="24"/>
          <w:lang w:val="ro-MD"/>
        </w:rPr>
      </w:pPr>
    </w:p>
    <w:tbl>
      <w:tblPr>
        <w:tblW w:w="140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261"/>
        <w:gridCol w:w="1080"/>
        <w:gridCol w:w="1170"/>
        <w:gridCol w:w="1170"/>
        <w:gridCol w:w="1170"/>
        <w:gridCol w:w="1080"/>
        <w:gridCol w:w="810"/>
        <w:gridCol w:w="990"/>
        <w:gridCol w:w="810"/>
        <w:gridCol w:w="891"/>
        <w:gridCol w:w="616"/>
        <w:gridCol w:w="7"/>
      </w:tblGrid>
      <w:tr w:rsidR="003D0784" w:rsidRPr="00B7675F" w14:paraId="5D9FBDAE" w14:textId="77777777" w:rsidTr="00B27804">
        <w:trPr>
          <w:trHeight w:val="20"/>
        </w:trPr>
        <w:tc>
          <w:tcPr>
            <w:tcW w:w="4261" w:type="dxa"/>
            <w:vMerge w:val="restart"/>
            <w:shd w:val="clear" w:color="auto" w:fill="FFFFFF" w:themeFill="background1"/>
            <w:vAlign w:val="center"/>
            <w:hideMark/>
          </w:tcPr>
          <w:p w14:paraId="3DC6B269" w14:textId="29133794" w:rsidR="003D0784" w:rsidRPr="00736448" w:rsidRDefault="00F329A2" w:rsidP="00F329A2">
            <w:pPr>
              <w:spacing w:after="0"/>
              <w:jc w:val="center"/>
              <w:rPr>
                <w:rFonts w:asciiTheme="majorHAnsi" w:hAnsiTheme="majorHAnsi" w:cstheme="majorHAnsi"/>
                <w:b/>
                <w:bCs/>
                <w:color w:val="000000"/>
                <w:sz w:val="18"/>
                <w:szCs w:val="18"/>
                <w:lang w:val="ro-MD"/>
              </w:rPr>
            </w:pPr>
            <w:r>
              <w:rPr>
                <w:rFonts w:asciiTheme="majorHAnsi" w:hAnsiTheme="majorHAnsi" w:cstheme="majorHAnsi"/>
                <w:b/>
                <w:bCs/>
                <w:color w:val="000000"/>
                <w:sz w:val="18"/>
                <w:szCs w:val="18"/>
                <w:lang w:val="ru-RU"/>
              </w:rPr>
              <w:t>Тип выплаты</w:t>
            </w:r>
          </w:p>
        </w:tc>
        <w:tc>
          <w:tcPr>
            <w:tcW w:w="1080" w:type="dxa"/>
            <w:vMerge w:val="restart"/>
            <w:shd w:val="clear" w:color="auto" w:fill="FFFFFF" w:themeFill="background1"/>
            <w:vAlign w:val="center"/>
            <w:hideMark/>
          </w:tcPr>
          <w:p w14:paraId="0AB74B4D" w14:textId="5B9B5C23" w:rsidR="003D0784" w:rsidRPr="00F329A2" w:rsidRDefault="00F329A2" w:rsidP="005F6348">
            <w:pPr>
              <w:spacing w:after="0"/>
              <w:jc w:val="center"/>
              <w:rPr>
                <w:rFonts w:asciiTheme="majorHAnsi" w:hAnsiTheme="majorHAnsi" w:cstheme="majorHAnsi"/>
                <w:b/>
                <w:bCs/>
                <w:color w:val="000000"/>
                <w:sz w:val="18"/>
                <w:szCs w:val="18"/>
                <w:lang w:val="ru-RU"/>
              </w:rPr>
            </w:pPr>
            <w:r>
              <w:rPr>
                <w:rFonts w:asciiTheme="majorHAnsi" w:hAnsiTheme="majorHAnsi" w:cstheme="majorHAnsi"/>
                <w:b/>
                <w:bCs/>
                <w:color w:val="000000"/>
                <w:sz w:val="18"/>
                <w:szCs w:val="18"/>
                <w:lang w:val="ru-RU"/>
              </w:rPr>
              <w:t>на</w:t>
            </w:r>
          </w:p>
          <w:p w14:paraId="34D084B1"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31.12.2019</w:t>
            </w:r>
          </w:p>
        </w:tc>
        <w:tc>
          <w:tcPr>
            <w:tcW w:w="1170" w:type="dxa"/>
            <w:vMerge w:val="restart"/>
            <w:shd w:val="clear" w:color="auto" w:fill="FFFFFF" w:themeFill="background1"/>
            <w:vAlign w:val="center"/>
            <w:hideMark/>
          </w:tcPr>
          <w:p w14:paraId="3E7F4B39" w14:textId="111A72C1" w:rsidR="003D0784" w:rsidRPr="00F329A2" w:rsidRDefault="00F329A2" w:rsidP="005F6348">
            <w:pPr>
              <w:spacing w:after="0"/>
              <w:jc w:val="center"/>
              <w:rPr>
                <w:rFonts w:asciiTheme="majorHAnsi" w:hAnsiTheme="majorHAnsi" w:cstheme="majorHAnsi"/>
                <w:b/>
                <w:bCs/>
                <w:color w:val="000000"/>
                <w:sz w:val="18"/>
                <w:szCs w:val="18"/>
                <w:lang w:val="ru-RU"/>
              </w:rPr>
            </w:pPr>
            <w:r>
              <w:rPr>
                <w:rFonts w:asciiTheme="majorHAnsi" w:hAnsiTheme="majorHAnsi" w:cstheme="majorHAnsi"/>
                <w:b/>
                <w:bCs/>
                <w:color w:val="000000"/>
                <w:sz w:val="18"/>
                <w:szCs w:val="18"/>
                <w:lang w:val="ru-RU"/>
              </w:rPr>
              <w:t>на</w:t>
            </w:r>
          </w:p>
          <w:p w14:paraId="3475AA24"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31.12.2020</w:t>
            </w:r>
          </w:p>
        </w:tc>
        <w:tc>
          <w:tcPr>
            <w:tcW w:w="1170" w:type="dxa"/>
            <w:vMerge w:val="restart"/>
            <w:shd w:val="clear" w:color="auto" w:fill="FFFFFF" w:themeFill="background1"/>
            <w:vAlign w:val="center"/>
            <w:hideMark/>
          </w:tcPr>
          <w:p w14:paraId="210CF827" w14:textId="3CEC654A" w:rsidR="003D0784" w:rsidRPr="00F329A2" w:rsidRDefault="00F329A2" w:rsidP="005F6348">
            <w:pPr>
              <w:spacing w:after="0"/>
              <w:jc w:val="center"/>
              <w:rPr>
                <w:rFonts w:asciiTheme="majorHAnsi" w:hAnsiTheme="majorHAnsi" w:cstheme="majorHAnsi"/>
                <w:b/>
                <w:bCs/>
                <w:color w:val="000000"/>
                <w:sz w:val="18"/>
                <w:szCs w:val="18"/>
                <w:lang w:val="ru-RU"/>
              </w:rPr>
            </w:pPr>
            <w:r>
              <w:rPr>
                <w:rFonts w:asciiTheme="majorHAnsi" w:hAnsiTheme="majorHAnsi" w:cstheme="majorHAnsi"/>
                <w:b/>
                <w:bCs/>
                <w:color w:val="000000"/>
                <w:sz w:val="18"/>
                <w:szCs w:val="18"/>
                <w:lang w:val="ru-RU"/>
              </w:rPr>
              <w:t>на</w:t>
            </w:r>
          </w:p>
          <w:p w14:paraId="0998B82D"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31.12.2021</w:t>
            </w:r>
          </w:p>
        </w:tc>
        <w:tc>
          <w:tcPr>
            <w:tcW w:w="1170" w:type="dxa"/>
            <w:vMerge w:val="restart"/>
            <w:shd w:val="clear" w:color="auto" w:fill="FFFFFF" w:themeFill="background1"/>
            <w:vAlign w:val="center"/>
            <w:hideMark/>
          </w:tcPr>
          <w:p w14:paraId="42DE5F2E" w14:textId="10E5F07D" w:rsidR="003D0784" w:rsidRPr="00F329A2" w:rsidRDefault="00F329A2" w:rsidP="005F6348">
            <w:pPr>
              <w:spacing w:after="0"/>
              <w:jc w:val="center"/>
              <w:rPr>
                <w:rFonts w:asciiTheme="majorHAnsi" w:hAnsiTheme="majorHAnsi" w:cstheme="majorHAnsi"/>
                <w:b/>
                <w:bCs/>
                <w:color w:val="000000"/>
                <w:sz w:val="18"/>
                <w:szCs w:val="18"/>
                <w:lang w:val="ru-RU"/>
              </w:rPr>
            </w:pPr>
            <w:r>
              <w:rPr>
                <w:rFonts w:asciiTheme="majorHAnsi" w:hAnsiTheme="majorHAnsi" w:cstheme="majorHAnsi"/>
                <w:b/>
                <w:bCs/>
                <w:color w:val="000000"/>
                <w:sz w:val="18"/>
                <w:szCs w:val="18"/>
                <w:lang w:val="ru-RU"/>
              </w:rPr>
              <w:t>на</w:t>
            </w:r>
          </w:p>
          <w:p w14:paraId="67F63077"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31.12.2022</w:t>
            </w:r>
          </w:p>
        </w:tc>
        <w:tc>
          <w:tcPr>
            <w:tcW w:w="1890" w:type="dxa"/>
            <w:gridSpan w:val="2"/>
            <w:shd w:val="clear" w:color="auto" w:fill="FFFFFF" w:themeFill="background1"/>
            <w:vAlign w:val="center"/>
            <w:hideMark/>
          </w:tcPr>
          <w:p w14:paraId="6AAE2D61" w14:textId="039E5820" w:rsidR="003D0784" w:rsidRPr="00736448" w:rsidRDefault="003B3DFD" w:rsidP="005F6348">
            <w:pPr>
              <w:spacing w:after="0"/>
              <w:jc w:val="center"/>
              <w:rPr>
                <w:rFonts w:asciiTheme="majorHAnsi" w:hAnsiTheme="majorHAnsi" w:cstheme="majorHAnsi"/>
                <w:b/>
                <w:bCs/>
                <w:color w:val="000000"/>
                <w:sz w:val="18"/>
                <w:szCs w:val="18"/>
                <w:lang w:val="ro-MD"/>
              </w:rPr>
            </w:pPr>
            <w:r>
              <w:rPr>
                <w:rFonts w:asciiTheme="majorHAnsi" w:hAnsiTheme="majorHAnsi" w:cstheme="majorHAnsi"/>
                <w:b/>
                <w:bCs/>
                <w:color w:val="000000"/>
                <w:sz w:val="18"/>
                <w:szCs w:val="18"/>
                <w:lang w:val="ro-MD"/>
              </w:rPr>
              <w:t>Отклонения</w:t>
            </w:r>
            <w:r w:rsidR="003D0784" w:rsidRPr="00736448">
              <w:rPr>
                <w:rFonts w:asciiTheme="majorHAnsi" w:hAnsiTheme="majorHAnsi" w:cstheme="majorHAnsi"/>
                <w:b/>
                <w:bCs/>
                <w:color w:val="000000"/>
                <w:sz w:val="18"/>
                <w:szCs w:val="18"/>
                <w:lang w:val="ro-MD"/>
              </w:rPr>
              <w:t xml:space="preserve"> 2022/2021</w:t>
            </w:r>
          </w:p>
        </w:tc>
        <w:tc>
          <w:tcPr>
            <w:tcW w:w="1800" w:type="dxa"/>
            <w:gridSpan w:val="2"/>
            <w:shd w:val="clear" w:color="auto" w:fill="FFFFFF" w:themeFill="background1"/>
            <w:vAlign w:val="center"/>
            <w:hideMark/>
          </w:tcPr>
          <w:p w14:paraId="370FCE83" w14:textId="37ED7A15" w:rsidR="003D0784" w:rsidRPr="00736448" w:rsidRDefault="003B3DFD" w:rsidP="005F6348">
            <w:pPr>
              <w:spacing w:after="0"/>
              <w:jc w:val="center"/>
              <w:rPr>
                <w:rFonts w:asciiTheme="majorHAnsi" w:hAnsiTheme="majorHAnsi" w:cstheme="majorHAnsi"/>
                <w:b/>
                <w:bCs/>
                <w:color w:val="000000"/>
                <w:sz w:val="18"/>
                <w:szCs w:val="18"/>
                <w:lang w:val="ro-MD"/>
              </w:rPr>
            </w:pPr>
            <w:r>
              <w:rPr>
                <w:rFonts w:asciiTheme="majorHAnsi" w:hAnsiTheme="majorHAnsi" w:cstheme="majorHAnsi"/>
                <w:b/>
                <w:bCs/>
                <w:color w:val="000000"/>
                <w:sz w:val="18"/>
                <w:szCs w:val="18"/>
                <w:lang w:val="ro-MD"/>
              </w:rPr>
              <w:t>Отклонения</w:t>
            </w:r>
            <w:r w:rsidR="003D0784" w:rsidRPr="00736448">
              <w:rPr>
                <w:rFonts w:asciiTheme="majorHAnsi" w:hAnsiTheme="majorHAnsi" w:cstheme="majorHAnsi"/>
                <w:b/>
                <w:bCs/>
                <w:color w:val="000000"/>
                <w:sz w:val="18"/>
                <w:szCs w:val="18"/>
                <w:lang w:val="ro-MD"/>
              </w:rPr>
              <w:t xml:space="preserve"> 2021/2020</w:t>
            </w:r>
          </w:p>
        </w:tc>
        <w:tc>
          <w:tcPr>
            <w:tcW w:w="1514" w:type="dxa"/>
            <w:gridSpan w:val="3"/>
            <w:shd w:val="clear" w:color="auto" w:fill="FFFFFF" w:themeFill="background1"/>
            <w:vAlign w:val="center"/>
            <w:hideMark/>
          </w:tcPr>
          <w:p w14:paraId="74723D1F" w14:textId="67C3EDCF" w:rsidR="003D0784" w:rsidRPr="00736448" w:rsidRDefault="003B3DFD" w:rsidP="005F6348">
            <w:pPr>
              <w:spacing w:after="0"/>
              <w:jc w:val="center"/>
              <w:rPr>
                <w:rFonts w:asciiTheme="majorHAnsi" w:hAnsiTheme="majorHAnsi" w:cstheme="majorHAnsi"/>
                <w:b/>
                <w:bCs/>
                <w:color w:val="000000"/>
                <w:sz w:val="18"/>
                <w:szCs w:val="18"/>
                <w:lang w:val="ro-MD"/>
              </w:rPr>
            </w:pPr>
            <w:r>
              <w:rPr>
                <w:rFonts w:asciiTheme="majorHAnsi" w:hAnsiTheme="majorHAnsi" w:cstheme="majorHAnsi"/>
                <w:b/>
                <w:bCs/>
                <w:color w:val="000000"/>
                <w:sz w:val="18"/>
                <w:szCs w:val="18"/>
                <w:lang w:val="ro-MD"/>
              </w:rPr>
              <w:t>Отклонения</w:t>
            </w:r>
            <w:r w:rsidR="003D0784" w:rsidRPr="00736448">
              <w:rPr>
                <w:rFonts w:asciiTheme="majorHAnsi" w:hAnsiTheme="majorHAnsi" w:cstheme="majorHAnsi"/>
                <w:b/>
                <w:bCs/>
                <w:color w:val="000000"/>
                <w:sz w:val="18"/>
                <w:szCs w:val="18"/>
                <w:lang w:val="ro-MD"/>
              </w:rPr>
              <w:t xml:space="preserve"> 2020/2019</w:t>
            </w:r>
          </w:p>
        </w:tc>
      </w:tr>
      <w:tr w:rsidR="003D0784" w:rsidRPr="00B7675F" w14:paraId="420A2ECD" w14:textId="77777777" w:rsidTr="00B27804">
        <w:trPr>
          <w:gridAfter w:val="1"/>
          <w:wAfter w:w="7" w:type="dxa"/>
          <w:trHeight w:val="20"/>
        </w:trPr>
        <w:tc>
          <w:tcPr>
            <w:tcW w:w="4261" w:type="dxa"/>
            <w:vMerge/>
            <w:shd w:val="clear" w:color="auto" w:fill="FFFFFF" w:themeFill="background1"/>
            <w:vAlign w:val="center"/>
            <w:hideMark/>
          </w:tcPr>
          <w:p w14:paraId="543C99F2" w14:textId="77777777" w:rsidR="003D0784" w:rsidRPr="00736448" w:rsidRDefault="003D0784" w:rsidP="005F6348">
            <w:pPr>
              <w:spacing w:after="0"/>
              <w:rPr>
                <w:rFonts w:asciiTheme="majorHAnsi" w:hAnsiTheme="majorHAnsi" w:cstheme="majorHAnsi"/>
                <w:b/>
                <w:bCs/>
                <w:color w:val="000000"/>
                <w:sz w:val="18"/>
                <w:szCs w:val="18"/>
                <w:lang w:val="ro-MD"/>
              </w:rPr>
            </w:pPr>
          </w:p>
        </w:tc>
        <w:tc>
          <w:tcPr>
            <w:tcW w:w="1080" w:type="dxa"/>
            <w:vMerge/>
            <w:shd w:val="clear" w:color="auto" w:fill="FFFFFF" w:themeFill="background1"/>
            <w:vAlign w:val="center"/>
            <w:hideMark/>
          </w:tcPr>
          <w:p w14:paraId="33EABBAC" w14:textId="77777777" w:rsidR="003D0784" w:rsidRPr="00736448" w:rsidRDefault="003D0784" w:rsidP="005F6348">
            <w:pPr>
              <w:spacing w:after="0"/>
              <w:jc w:val="center"/>
              <w:rPr>
                <w:rFonts w:asciiTheme="majorHAnsi" w:hAnsiTheme="majorHAnsi" w:cstheme="majorHAnsi"/>
                <w:b/>
                <w:bCs/>
                <w:color w:val="000000"/>
                <w:sz w:val="18"/>
                <w:szCs w:val="18"/>
                <w:lang w:val="ro-MD"/>
              </w:rPr>
            </w:pPr>
          </w:p>
        </w:tc>
        <w:tc>
          <w:tcPr>
            <w:tcW w:w="1170" w:type="dxa"/>
            <w:vMerge/>
            <w:shd w:val="clear" w:color="auto" w:fill="FFFFFF" w:themeFill="background1"/>
            <w:vAlign w:val="center"/>
            <w:hideMark/>
          </w:tcPr>
          <w:p w14:paraId="4F2E7865" w14:textId="77777777" w:rsidR="003D0784" w:rsidRPr="00736448" w:rsidRDefault="003D0784" w:rsidP="005F6348">
            <w:pPr>
              <w:spacing w:after="0"/>
              <w:jc w:val="center"/>
              <w:rPr>
                <w:rFonts w:asciiTheme="majorHAnsi" w:hAnsiTheme="majorHAnsi" w:cstheme="majorHAnsi"/>
                <w:b/>
                <w:bCs/>
                <w:color w:val="000000"/>
                <w:sz w:val="18"/>
                <w:szCs w:val="18"/>
                <w:lang w:val="ro-MD"/>
              </w:rPr>
            </w:pPr>
          </w:p>
        </w:tc>
        <w:tc>
          <w:tcPr>
            <w:tcW w:w="1170" w:type="dxa"/>
            <w:vMerge/>
            <w:shd w:val="clear" w:color="auto" w:fill="FFFFFF" w:themeFill="background1"/>
            <w:vAlign w:val="center"/>
            <w:hideMark/>
          </w:tcPr>
          <w:p w14:paraId="44CD9C66" w14:textId="77777777" w:rsidR="003D0784" w:rsidRPr="00736448" w:rsidRDefault="003D0784" w:rsidP="005F6348">
            <w:pPr>
              <w:spacing w:after="0"/>
              <w:jc w:val="center"/>
              <w:rPr>
                <w:rFonts w:asciiTheme="majorHAnsi" w:hAnsiTheme="majorHAnsi" w:cstheme="majorHAnsi"/>
                <w:b/>
                <w:bCs/>
                <w:color w:val="000000"/>
                <w:sz w:val="18"/>
                <w:szCs w:val="18"/>
                <w:lang w:val="ro-MD"/>
              </w:rPr>
            </w:pPr>
          </w:p>
        </w:tc>
        <w:tc>
          <w:tcPr>
            <w:tcW w:w="1170" w:type="dxa"/>
            <w:vMerge/>
            <w:shd w:val="clear" w:color="auto" w:fill="FFFFFF" w:themeFill="background1"/>
            <w:vAlign w:val="center"/>
            <w:hideMark/>
          </w:tcPr>
          <w:p w14:paraId="1EF5C980" w14:textId="77777777" w:rsidR="003D0784" w:rsidRPr="00736448" w:rsidRDefault="003D0784" w:rsidP="005F6348">
            <w:pPr>
              <w:spacing w:after="0"/>
              <w:jc w:val="center"/>
              <w:rPr>
                <w:rFonts w:asciiTheme="majorHAnsi" w:hAnsiTheme="majorHAnsi" w:cstheme="majorHAnsi"/>
                <w:b/>
                <w:bCs/>
                <w:color w:val="000000"/>
                <w:sz w:val="18"/>
                <w:szCs w:val="18"/>
                <w:lang w:val="ro-MD"/>
              </w:rPr>
            </w:pPr>
          </w:p>
        </w:tc>
        <w:tc>
          <w:tcPr>
            <w:tcW w:w="1080" w:type="dxa"/>
            <w:shd w:val="clear" w:color="auto" w:fill="FFFFFF" w:themeFill="background1"/>
            <w:vAlign w:val="center"/>
            <w:hideMark/>
          </w:tcPr>
          <w:p w14:paraId="5640022C"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w:t>
            </w:r>
          </w:p>
        </w:tc>
        <w:tc>
          <w:tcPr>
            <w:tcW w:w="810" w:type="dxa"/>
            <w:shd w:val="clear" w:color="auto" w:fill="FFFFFF" w:themeFill="background1"/>
            <w:vAlign w:val="center"/>
            <w:hideMark/>
          </w:tcPr>
          <w:p w14:paraId="70A0478B"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w:t>
            </w:r>
          </w:p>
        </w:tc>
        <w:tc>
          <w:tcPr>
            <w:tcW w:w="990" w:type="dxa"/>
            <w:shd w:val="clear" w:color="auto" w:fill="FFFFFF" w:themeFill="background1"/>
            <w:vAlign w:val="center"/>
            <w:hideMark/>
          </w:tcPr>
          <w:p w14:paraId="4FE59F79"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w:t>
            </w:r>
          </w:p>
        </w:tc>
        <w:tc>
          <w:tcPr>
            <w:tcW w:w="810" w:type="dxa"/>
            <w:shd w:val="clear" w:color="auto" w:fill="FFFFFF" w:themeFill="background1"/>
            <w:vAlign w:val="center"/>
            <w:hideMark/>
          </w:tcPr>
          <w:p w14:paraId="3723C817"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w:t>
            </w:r>
          </w:p>
        </w:tc>
        <w:tc>
          <w:tcPr>
            <w:tcW w:w="891" w:type="dxa"/>
            <w:shd w:val="clear" w:color="auto" w:fill="FFFFFF" w:themeFill="background1"/>
            <w:vAlign w:val="center"/>
            <w:hideMark/>
          </w:tcPr>
          <w:p w14:paraId="72BFD9BE"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w:t>
            </w:r>
          </w:p>
        </w:tc>
        <w:tc>
          <w:tcPr>
            <w:tcW w:w="616" w:type="dxa"/>
            <w:shd w:val="clear" w:color="auto" w:fill="FFFFFF" w:themeFill="background1"/>
            <w:vAlign w:val="center"/>
            <w:hideMark/>
          </w:tcPr>
          <w:p w14:paraId="4511417D"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w:t>
            </w:r>
          </w:p>
        </w:tc>
      </w:tr>
      <w:tr w:rsidR="003D0784" w:rsidRPr="00B7675F" w14:paraId="69FEAA07" w14:textId="77777777" w:rsidTr="00B27804">
        <w:trPr>
          <w:gridAfter w:val="1"/>
          <w:wAfter w:w="7" w:type="dxa"/>
          <w:trHeight w:val="20"/>
        </w:trPr>
        <w:tc>
          <w:tcPr>
            <w:tcW w:w="4261" w:type="dxa"/>
            <w:shd w:val="clear" w:color="auto" w:fill="FFFFFF" w:themeFill="background1"/>
            <w:vAlign w:val="center"/>
            <w:hideMark/>
          </w:tcPr>
          <w:p w14:paraId="1BB258E0" w14:textId="3CA82F04" w:rsidR="003D0784" w:rsidRPr="00736448" w:rsidRDefault="00E97AD4" w:rsidP="005F6348">
            <w:pPr>
              <w:spacing w:after="0"/>
              <w:rPr>
                <w:rFonts w:asciiTheme="majorHAnsi" w:hAnsiTheme="majorHAnsi" w:cstheme="majorHAnsi"/>
                <w:color w:val="000000"/>
                <w:sz w:val="18"/>
                <w:szCs w:val="18"/>
                <w:lang w:val="ro-MD"/>
              </w:rPr>
            </w:pPr>
            <w:r w:rsidRPr="00F110DC">
              <w:rPr>
                <w:rFonts w:asciiTheme="majorHAnsi" w:eastAsia="Times New Roman" w:hAnsiTheme="majorHAnsi" w:cstheme="majorHAnsi"/>
                <w:color w:val="000000"/>
                <w:sz w:val="18"/>
                <w:szCs w:val="18"/>
                <w:lang w:val="ro-RO"/>
              </w:rPr>
              <w:t>Защита пожилых людей, пенсия (по старости, пенсия депутатам, пенсия прокурорам)</w:t>
            </w:r>
          </w:p>
        </w:tc>
        <w:tc>
          <w:tcPr>
            <w:tcW w:w="1080" w:type="dxa"/>
            <w:shd w:val="clear" w:color="auto" w:fill="FFFFFF" w:themeFill="background1"/>
            <w:vAlign w:val="center"/>
            <w:hideMark/>
          </w:tcPr>
          <w:p w14:paraId="24083A28"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538519</w:t>
            </w:r>
          </w:p>
        </w:tc>
        <w:tc>
          <w:tcPr>
            <w:tcW w:w="1170" w:type="dxa"/>
            <w:shd w:val="clear" w:color="auto" w:fill="FFFFFF" w:themeFill="background1"/>
            <w:vAlign w:val="center"/>
            <w:hideMark/>
          </w:tcPr>
          <w:p w14:paraId="6AABCD85"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532979</w:t>
            </w:r>
          </w:p>
        </w:tc>
        <w:tc>
          <w:tcPr>
            <w:tcW w:w="1170" w:type="dxa"/>
            <w:shd w:val="clear" w:color="auto" w:fill="FFFFFF" w:themeFill="background1"/>
            <w:vAlign w:val="center"/>
            <w:hideMark/>
          </w:tcPr>
          <w:p w14:paraId="5BF861F9"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529359</w:t>
            </w:r>
          </w:p>
        </w:tc>
        <w:tc>
          <w:tcPr>
            <w:tcW w:w="1170" w:type="dxa"/>
            <w:shd w:val="clear" w:color="auto" w:fill="FFFFFF" w:themeFill="background1"/>
            <w:vAlign w:val="center"/>
            <w:hideMark/>
          </w:tcPr>
          <w:p w14:paraId="62D3748E"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538300</w:t>
            </w:r>
          </w:p>
        </w:tc>
        <w:tc>
          <w:tcPr>
            <w:tcW w:w="1080" w:type="dxa"/>
            <w:shd w:val="clear" w:color="auto" w:fill="FFFFFF" w:themeFill="background1"/>
            <w:vAlign w:val="center"/>
            <w:hideMark/>
          </w:tcPr>
          <w:p w14:paraId="652B6963"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8941</w:t>
            </w:r>
          </w:p>
        </w:tc>
        <w:tc>
          <w:tcPr>
            <w:tcW w:w="810" w:type="dxa"/>
            <w:shd w:val="clear" w:color="auto" w:fill="FFFFFF" w:themeFill="background1"/>
            <w:vAlign w:val="center"/>
            <w:hideMark/>
          </w:tcPr>
          <w:p w14:paraId="4D76FA3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101.7</w:t>
            </w:r>
          </w:p>
        </w:tc>
        <w:tc>
          <w:tcPr>
            <w:tcW w:w="990" w:type="dxa"/>
            <w:shd w:val="clear" w:color="auto" w:fill="FFFFFF" w:themeFill="background1"/>
            <w:vAlign w:val="center"/>
            <w:hideMark/>
          </w:tcPr>
          <w:p w14:paraId="686913F9"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-3620</w:t>
            </w:r>
          </w:p>
        </w:tc>
        <w:tc>
          <w:tcPr>
            <w:tcW w:w="810" w:type="dxa"/>
            <w:shd w:val="clear" w:color="auto" w:fill="FFFFFF" w:themeFill="background1"/>
            <w:vAlign w:val="center"/>
            <w:hideMark/>
          </w:tcPr>
          <w:p w14:paraId="2230200F"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99.3</w:t>
            </w:r>
          </w:p>
        </w:tc>
        <w:tc>
          <w:tcPr>
            <w:tcW w:w="891" w:type="dxa"/>
            <w:shd w:val="clear" w:color="auto" w:fill="FFFFFF" w:themeFill="background1"/>
            <w:vAlign w:val="center"/>
            <w:hideMark/>
          </w:tcPr>
          <w:p w14:paraId="2B4AA8CE"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-5540</w:t>
            </w:r>
          </w:p>
        </w:tc>
        <w:tc>
          <w:tcPr>
            <w:tcW w:w="616" w:type="dxa"/>
            <w:shd w:val="clear" w:color="auto" w:fill="FFFFFF" w:themeFill="background1"/>
            <w:vAlign w:val="center"/>
            <w:hideMark/>
          </w:tcPr>
          <w:p w14:paraId="6A3ABA0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99</w:t>
            </w:r>
          </w:p>
        </w:tc>
      </w:tr>
      <w:tr w:rsidR="003D0784" w:rsidRPr="00B7675F" w14:paraId="0AEC1494" w14:textId="77777777" w:rsidTr="00B27804">
        <w:trPr>
          <w:gridAfter w:val="1"/>
          <w:wAfter w:w="7" w:type="dxa"/>
          <w:trHeight w:val="20"/>
        </w:trPr>
        <w:tc>
          <w:tcPr>
            <w:tcW w:w="4261" w:type="dxa"/>
            <w:shd w:val="clear" w:color="auto" w:fill="FFFFFF" w:themeFill="background1"/>
            <w:vAlign w:val="center"/>
            <w:hideMark/>
          </w:tcPr>
          <w:p w14:paraId="69CDBD6F" w14:textId="337C6669" w:rsidR="003D0784" w:rsidRPr="00736448" w:rsidRDefault="00E97AD4" w:rsidP="005F6348">
            <w:pPr>
              <w:spacing w:after="0"/>
              <w:rPr>
                <w:rFonts w:asciiTheme="majorHAnsi" w:hAnsiTheme="majorHAnsi" w:cstheme="majorHAnsi"/>
                <w:color w:val="000000"/>
                <w:sz w:val="18"/>
                <w:szCs w:val="18"/>
                <w:lang w:val="ro-MD"/>
              </w:rPr>
            </w:pPr>
            <w:r w:rsidRPr="00F110DC">
              <w:rPr>
                <w:rFonts w:asciiTheme="majorHAnsi" w:eastAsia="Times New Roman" w:hAnsiTheme="majorHAnsi" w:cstheme="majorHAnsi"/>
                <w:color w:val="000000"/>
                <w:sz w:val="18"/>
                <w:szCs w:val="18"/>
                <w:lang w:val="ro-RO"/>
              </w:rPr>
              <w:t xml:space="preserve">Защита в связи с потерей кормильца (пенсия по случаю потери кормильца и </w:t>
            </w:r>
            <w:r>
              <w:rPr>
                <w:rFonts w:asciiTheme="majorHAnsi" w:eastAsia="Times New Roman" w:hAnsiTheme="majorHAnsi" w:cstheme="majorHAnsi"/>
                <w:color w:val="000000"/>
                <w:sz w:val="18"/>
                <w:szCs w:val="18"/>
                <w:lang w:val="ru-RU"/>
              </w:rPr>
              <w:t>др</w:t>
            </w:r>
            <w:r w:rsidRPr="00F110DC">
              <w:rPr>
                <w:rFonts w:asciiTheme="majorHAnsi" w:eastAsia="Times New Roman" w:hAnsiTheme="majorHAnsi" w:cstheme="majorHAnsi"/>
                <w:color w:val="000000"/>
                <w:sz w:val="18"/>
                <w:szCs w:val="18"/>
                <w:lang w:val="ro-RO"/>
              </w:rPr>
              <w:t>.)</w:t>
            </w:r>
          </w:p>
        </w:tc>
        <w:tc>
          <w:tcPr>
            <w:tcW w:w="1080" w:type="dxa"/>
            <w:shd w:val="clear" w:color="auto" w:fill="FFFFFF" w:themeFill="background1"/>
            <w:vAlign w:val="center"/>
            <w:hideMark/>
          </w:tcPr>
          <w:p w14:paraId="14E944F0"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43091</w:t>
            </w:r>
          </w:p>
        </w:tc>
        <w:tc>
          <w:tcPr>
            <w:tcW w:w="1170" w:type="dxa"/>
            <w:shd w:val="clear" w:color="auto" w:fill="FFFFFF" w:themeFill="background1"/>
            <w:vAlign w:val="center"/>
            <w:hideMark/>
          </w:tcPr>
          <w:p w14:paraId="54065718"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45798</w:t>
            </w:r>
          </w:p>
        </w:tc>
        <w:tc>
          <w:tcPr>
            <w:tcW w:w="1170" w:type="dxa"/>
            <w:shd w:val="clear" w:color="auto" w:fill="FFFFFF" w:themeFill="background1"/>
            <w:vAlign w:val="center"/>
            <w:hideMark/>
          </w:tcPr>
          <w:p w14:paraId="12481E7F"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52386</w:t>
            </w:r>
          </w:p>
        </w:tc>
        <w:tc>
          <w:tcPr>
            <w:tcW w:w="1170" w:type="dxa"/>
            <w:shd w:val="clear" w:color="auto" w:fill="FFFFFF" w:themeFill="background1"/>
            <w:vAlign w:val="center"/>
            <w:hideMark/>
          </w:tcPr>
          <w:p w14:paraId="73C69B64"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44843</w:t>
            </w:r>
          </w:p>
        </w:tc>
        <w:tc>
          <w:tcPr>
            <w:tcW w:w="1080" w:type="dxa"/>
            <w:shd w:val="clear" w:color="auto" w:fill="FFFFFF" w:themeFill="background1"/>
            <w:vAlign w:val="center"/>
            <w:hideMark/>
          </w:tcPr>
          <w:p w14:paraId="2544407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-7543</w:t>
            </w:r>
          </w:p>
        </w:tc>
        <w:tc>
          <w:tcPr>
            <w:tcW w:w="810" w:type="dxa"/>
            <w:shd w:val="clear" w:color="auto" w:fill="FFFFFF" w:themeFill="background1"/>
            <w:vAlign w:val="center"/>
            <w:hideMark/>
          </w:tcPr>
          <w:p w14:paraId="4669054B"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85.6</w:t>
            </w:r>
          </w:p>
        </w:tc>
        <w:tc>
          <w:tcPr>
            <w:tcW w:w="990" w:type="dxa"/>
            <w:shd w:val="clear" w:color="auto" w:fill="FFFFFF" w:themeFill="background1"/>
            <w:vAlign w:val="center"/>
            <w:hideMark/>
          </w:tcPr>
          <w:p w14:paraId="45FCEAB5"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6588</w:t>
            </w:r>
          </w:p>
        </w:tc>
        <w:tc>
          <w:tcPr>
            <w:tcW w:w="810" w:type="dxa"/>
            <w:shd w:val="clear" w:color="auto" w:fill="FFFFFF" w:themeFill="background1"/>
            <w:vAlign w:val="center"/>
            <w:hideMark/>
          </w:tcPr>
          <w:p w14:paraId="12C50124"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114</w:t>
            </w:r>
          </w:p>
        </w:tc>
        <w:tc>
          <w:tcPr>
            <w:tcW w:w="891" w:type="dxa"/>
            <w:shd w:val="clear" w:color="auto" w:fill="FFFFFF" w:themeFill="background1"/>
            <w:vAlign w:val="center"/>
            <w:hideMark/>
          </w:tcPr>
          <w:p w14:paraId="2AC97E5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2707</w:t>
            </w:r>
          </w:p>
        </w:tc>
        <w:tc>
          <w:tcPr>
            <w:tcW w:w="616" w:type="dxa"/>
            <w:shd w:val="clear" w:color="auto" w:fill="FFFFFF" w:themeFill="background1"/>
            <w:vAlign w:val="center"/>
            <w:hideMark/>
          </w:tcPr>
          <w:p w14:paraId="0EFFEB2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106</w:t>
            </w:r>
          </w:p>
        </w:tc>
      </w:tr>
      <w:tr w:rsidR="003D0784" w:rsidRPr="00B7675F" w14:paraId="2F36CD63" w14:textId="77777777" w:rsidTr="00B27804">
        <w:trPr>
          <w:gridAfter w:val="1"/>
          <w:wAfter w:w="7" w:type="dxa"/>
          <w:trHeight w:val="20"/>
        </w:trPr>
        <w:tc>
          <w:tcPr>
            <w:tcW w:w="4261" w:type="dxa"/>
            <w:shd w:val="clear" w:color="auto" w:fill="FFFFFF" w:themeFill="background1"/>
            <w:vAlign w:val="center"/>
            <w:hideMark/>
          </w:tcPr>
          <w:p w14:paraId="1DDE1F1A" w14:textId="663930F3" w:rsidR="003D0784" w:rsidRPr="00736448" w:rsidRDefault="00E97AD4" w:rsidP="005F6348">
            <w:pPr>
              <w:spacing w:after="0"/>
              <w:jc w:val="both"/>
              <w:rPr>
                <w:rFonts w:asciiTheme="majorHAnsi" w:hAnsiTheme="majorHAnsi" w:cstheme="majorHAnsi"/>
                <w:color w:val="000000"/>
                <w:sz w:val="18"/>
                <w:szCs w:val="18"/>
                <w:lang w:val="ro-MD"/>
              </w:rPr>
            </w:pPr>
            <w:r w:rsidRPr="00F110DC">
              <w:rPr>
                <w:rFonts w:asciiTheme="majorHAnsi" w:eastAsia="Times New Roman" w:hAnsiTheme="majorHAnsi" w:cstheme="majorHAnsi"/>
                <w:color w:val="000000"/>
                <w:sz w:val="18"/>
                <w:szCs w:val="18"/>
                <w:lang w:val="ro-RO"/>
              </w:rPr>
              <w:t>Защита людей с ограниченными возможностями</w:t>
            </w:r>
          </w:p>
        </w:tc>
        <w:tc>
          <w:tcPr>
            <w:tcW w:w="1080" w:type="dxa"/>
            <w:shd w:val="clear" w:color="auto" w:fill="FFFFFF" w:themeFill="background1"/>
            <w:vAlign w:val="center"/>
            <w:hideMark/>
          </w:tcPr>
          <w:p w14:paraId="6D5BD7CC"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123276</w:t>
            </w:r>
          </w:p>
        </w:tc>
        <w:tc>
          <w:tcPr>
            <w:tcW w:w="1170" w:type="dxa"/>
            <w:shd w:val="clear" w:color="auto" w:fill="FFFFFF" w:themeFill="background1"/>
            <w:vAlign w:val="center"/>
            <w:hideMark/>
          </w:tcPr>
          <w:p w14:paraId="7772A584"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119389</w:t>
            </w:r>
          </w:p>
        </w:tc>
        <w:tc>
          <w:tcPr>
            <w:tcW w:w="1170" w:type="dxa"/>
            <w:shd w:val="clear" w:color="auto" w:fill="FFFFFF" w:themeFill="background1"/>
            <w:vAlign w:val="center"/>
            <w:hideMark/>
          </w:tcPr>
          <w:p w14:paraId="0444B543"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111224</w:t>
            </w:r>
          </w:p>
        </w:tc>
        <w:tc>
          <w:tcPr>
            <w:tcW w:w="1170" w:type="dxa"/>
            <w:shd w:val="clear" w:color="auto" w:fill="FFFFFF" w:themeFill="background1"/>
            <w:vAlign w:val="center"/>
            <w:hideMark/>
          </w:tcPr>
          <w:p w14:paraId="5AEA8C00"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102643</w:t>
            </w:r>
          </w:p>
        </w:tc>
        <w:tc>
          <w:tcPr>
            <w:tcW w:w="1080" w:type="dxa"/>
            <w:shd w:val="clear" w:color="auto" w:fill="FFFFFF" w:themeFill="background1"/>
            <w:vAlign w:val="center"/>
            <w:hideMark/>
          </w:tcPr>
          <w:p w14:paraId="7309D2D5"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-8581</w:t>
            </w:r>
          </w:p>
        </w:tc>
        <w:tc>
          <w:tcPr>
            <w:tcW w:w="810" w:type="dxa"/>
            <w:shd w:val="clear" w:color="auto" w:fill="FFFFFF" w:themeFill="background1"/>
            <w:vAlign w:val="center"/>
            <w:hideMark/>
          </w:tcPr>
          <w:p w14:paraId="5AEA38BA"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92.28</w:t>
            </w:r>
          </w:p>
        </w:tc>
        <w:tc>
          <w:tcPr>
            <w:tcW w:w="990" w:type="dxa"/>
            <w:shd w:val="clear" w:color="auto" w:fill="FFFFFF" w:themeFill="background1"/>
            <w:vAlign w:val="center"/>
            <w:hideMark/>
          </w:tcPr>
          <w:p w14:paraId="668F217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-8165</w:t>
            </w:r>
          </w:p>
        </w:tc>
        <w:tc>
          <w:tcPr>
            <w:tcW w:w="810" w:type="dxa"/>
            <w:shd w:val="clear" w:color="auto" w:fill="FFFFFF" w:themeFill="background1"/>
            <w:vAlign w:val="center"/>
            <w:hideMark/>
          </w:tcPr>
          <w:p w14:paraId="1C02DF25"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93.2</w:t>
            </w:r>
          </w:p>
        </w:tc>
        <w:tc>
          <w:tcPr>
            <w:tcW w:w="891" w:type="dxa"/>
            <w:shd w:val="clear" w:color="auto" w:fill="FFFFFF" w:themeFill="background1"/>
            <w:vAlign w:val="center"/>
            <w:hideMark/>
          </w:tcPr>
          <w:p w14:paraId="353741EB"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-3887</w:t>
            </w:r>
          </w:p>
        </w:tc>
        <w:tc>
          <w:tcPr>
            <w:tcW w:w="616" w:type="dxa"/>
            <w:shd w:val="clear" w:color="auto" w:fill="FFFFFF" w:themeFill="background1"/>
            <w:vAlign w:val="center"/>
            <w:hideMark/>
          </w:tcPr>
          <w:p w14:paraId="23E8A60C"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96.8</w:t>
            </w:r>
          </w:p>
        </w:tc>
      </w:tr>
      <w:tr w:rsidR="003D0784" w:rsidRPr="00B7675F" w14:paraId="138A26F3" w14:textId="77777777" w:rsidTr="00B27804">
        <w:trPr>
          <w:gridAfter w:val="1"/>
          <w:wAfter w:w="7" w:type="dxa"/>
          <w:trHeight w:val="20"/>
        </w:trPr>
        <w:tc>
          <w:tcPr>
            <w:tcW w:w="4261" w:type="dxa"/>
            <w:shd w:val="clear" w:color="auto" w:fill="FFFFFF" w:themeFill="background1"/>
            <w:vAlign w:val="center"/>
            <w:hideMark/>
          </w:tcPr>
          <w:p w14:paraId="64721D30" w14:textId="06BA0161" w:rsidR="003D0784" w:rsidRPr="00736448" w:rsidRDefault="00E97AD4" w:rsidP="005F6348">
            <w:pPr>
              <w:spacing w:after="0"/>
              <w:jc w:val="both"/>
              <w:rPr>
                <w:rFonts w:asciiTheme="majorHAnsi" w:hAnsiTheme="majorHAnsi" w:cstheme="majorHAnsi"/>
                <w:color w:val="000000"/>
                <w:sz w:val="18"/>
                <w:szCs w:val="18"/>
                <w:lang w:val="ro-MD"/>
              </w:rPr>
            </w:pPr>
            <w:r w:rsidRPr="00F110DC">
              <w:rPr>
                <w:rFonts w:asciiTheme="majorHAnsi" w:eastAsia="Times New Roman" w:hAnsiTheme="majorHAnsi" w:cstheme="majorHAnsi"/>
                <w:color w:val="000000"/>
                <w:sz w:val="18"/>
                <w:szCs w:val="18"/>
                <w:lang w:val="ro-RO"/>
              </w:rPr>
              <w:t>Защита в случае временной нетрудоспособности</w:t>
            </w:r>
          </w:p>
        </w:tc>
        <w:tc>
          <w:tcPr>
            <w:tcW w:w="1080" w:type="dxa"/>
            <w:shd w:val="clear" w:color="auto" w:fill="FFFFFF" w:themeFill="background1"/>
            <w:vAlign w:val="center"/>
            <w:hideMark/>
          </w:tcPr>
          <w:p w14:paraId="08D6AC8F"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217997</w:t>
            </w:r>
          </w:p>
        </w:tc>
        <w:tc>
          <w:tcPr>
            <w:tcW w:w="1170" w:type="dxa"/>
            <w:shd w:val="clear" w:color="auto" w:fill="FFFFFF" w:themeFill="background1"/>
            <w:vAlign w:val="center"/>
            <w:hideMark/>
          </w:tcPr>
          <w:p w14:paraId="2EA68F9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221525</w:t>
            </w:r>
          </w:p>
        </w:tc>
        <w:tc>
          <w:tcPr>
            <w:tcW w:w="1170" w:type="dxa"/>
            <w:shd w:val="clear" w:color="auto" w:fill="FFFFFF" w:themeFill="background1"/>
            <w:vAlign w:val="center"/>
            <w:hideMark/>
          </w:tcPr>
          <w:p w14:paraId="46DE683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253979</w:t>
            </w:r>
          </w:p>
        </w:tc>
        <w:tc>
          <w:tcPr>
            <w:tcW w:w="1170" w:type="dxa"/>
            <w:shd w:val="clear" w:color="auto" w:fill="FFFFFF" w:themeFill="background1"/>
            <w:vAlign w:val="center"/>
            <w:hideMark/>
          </w:tcPr>
          <w:p w14:paraId="5D501AAF"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209811</w:t>
            </w:r>
          </w:p>
        </w:tc>
        <w:tc>
          <w:tcPr>
            <w:tcW w:w="1080" w:type="dxa"/>
            <w:shd w:val="clear" w:color="auto" w:fill="FFFFFF" w:themeFill="background1"/>
            <w:vAlign w:val="center"/>
            <w:hideMark/>
          </w:tcPr>
          <w:p w14:paraId="651C8137"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-44168</w:t>
            </w:r>
          </w:p>
        </w:tc>
        <w:tc>
          <w:tcPr>
            <w:tcW w:w="810" w:type="dxa"/>
            <w:shd w:val="clear" w:color="auto" w:fill="FFFFFF" w:themeFill="background1"/>
            <w:vAlign w:val="center"/>
            <w:hideMark/>
          </w:tcPr>
          <w:p w14:paraId="11960C6D"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82.61</w:t>
            </w:r>
          </w:p>
        </w:tc>
        <w:tc>
          <w:tcPr>
            <w:tcW w:w="990" w:type="dxa"/>
            <w:shd w:val="clear" w:color="auto" w:fill="FFFFFF" w:themeFill="background1"/>
            <w:vAlign w:val="center"/>
            <w:hideMark/>
          </w:tcPr>
          <w:p w14:paraId="44676539"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32454</w:t>
            </w:r>
          </w:p>
        </w:tc>
        <w:tc>
          <w:tcPr>
            <w:tcW w:w="810" w:type="dxa"/>
            <w:shd w:val="clear" w:color="auto" w:fill="FFFFFF" w:themeFill="background1"/>
            <w:vAlign w:val="center"/>
            <w:hideMark/>
          </w:tcPr>
          <w:p w14:paraId="4DA31B5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115</w:t>
            </w:r>
          </w:p>
        </w:tc>
        <w:tc>
          <w:tcPr>
            <w:tcW w:w="891" w:type="dxa"/>
            <w:shd w:val="clear" w:color="auto" w:fill="FFFFFF" w:themeFill="background1"/>
            <w:vAlign w:val="center"/>
            <w:hideMark/>
          </w:tcPr>
          <w:p w14:paraId="055BC394"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3528</w:t>
            </w:r>
          </w:p>
        </w:tc>
        <w:tc>
          <w:tcPr>
            <w:tcW w:w="616" w:type="dxa"/>
            <w:shd w:val="clear" w:color="auto" w:fill="FFFFFF" w:themeFill="background1"/>
            <w:vAlign w:val="center"/>
            <w:hideMark/>
          </w:tcPr>
          <w:p w14:paraId="2C6AAD6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102</w:t>
            </w:r>
          </w:p>
        </w:tc>
      </w:tr>
      <w:tr w:rsidR="003D0784" w:rsidRPr="00B7675F" w14:paraId="3603E167" w14:textId="77777777" w:rsidTr="00B27804">
        <w:trPr>
          <w:gridAfter w:val="1"/>
          <w:wAfter w:w="7" w:type="dxa"/>
          <w:trHeight w:val="20"/>
        </w:trPr>
        <w:tc>
          <w:tcPr>
            <w:tcW w:w="4261" w:type="dxa"/>
            <w:shd w:val="clear" w:color="auto" w:fill="FFFFFF" w:themeFill="background1"/>
            <w:vAlign w:val="center"/>
            <w:hideMark/>
          </w:tcPr>
          <w:p w14:paraId="36050169" w14:textId="03AE917F" w:rsidR="003D0784" w:rsidRPr="00736448" w:rsidRDefault="00E97AD4" w:rsidP="005F6348">
            <w:pPr>
              <w:spacing w:after="0"/>
              <w:jc w:val="both"/>
              <w:rPr>
                <w:rFonts w:asciiTheme="majorHAnsi" w:hAnsiTheme="majorHAnsi" w:cstheme="majorHAnsi"/>
                <w:color w:val="000000"/>
                <w:sz w:val="18"/>
                <w:szCs w:val="18"/>
                <w:lang w:val="ro-MD"/>
              </w:rPr>
            </w:pPr>
            <w:r w:rsidRPr="00F110DC">
              <w:rPr>
                <w:rFonts w:asciiTheme="majorHAnsi" w:eastAsia="Times New Roman" w:hAnsiTheme="majorHAnsi" w:cstheme="majorHAnsi"/>
                <w:color w:val="000000"/>
                <w:sz w:val="18"/>
                <w:szCs w:val="18"/>
                <w:lang w:val="ro-RO"/>
              </w:rPr>
              <w:t xml:space="preserve">Защита семьи и ребенка (пособие по </w:t>
            </w:r>
            <w:r>
              <w:rPr>
                <w:rFonts w:asciiTheme="majorHAnsi" w:eastAsia="Times New Roman" w:hAnsiTheme="majorHAnsi" w:cstheme="majorHAnsi"/>
                <w:color w:val="000000"/>
                <w:sz w:val="18"/>
                <w:szCs w:val="18"/>
                <w:lang w:val="ru-RU"/>
              </w:rPr>
              <w:t>материнству</w:t>
            </w:r>
            <w:r w:rsidRPr="00F110DC">
              <w:rPr>
                <w:rFonts w:asciiTheme="majorHAnsi" w:eastAsia="Times New Roman" w:hAnsiTheme="majorHAnsi" w:cstheme="majorHAnsi"/>
                <w:color w:val="000000"/>
                <w:sz w:val="18"/>
                <w:szCs w:val="18"/>
                <w:lang w:val="ro-RO"/>
              </w:rPr>
              <w:t xml:space="preserve">, </w:t>
            </w:r>
            <w:r>
              <w:rPr>
                <w:rFonts w:asciiTheme="majorHAnsi" w:eastAsia="Times New Roman" w:hAnsiTheme="majorHAnsi" w:cstheme="majorHAnsi"/>
                <w:color w:val="000000"/>
                <w:sz w:val="18"/>
                <w:szCs w:val="18"/>
                <w:lang w:val="ru-RU"/>
              </w:rPr>
              <w:t xml:space="preserve">по </w:t>
            </w:r>
            <w:r w:rsidRPr="00F110DC">
              <w:rPr>
                <w:rFonts w:asciiTheme="majorHAnsi" w:eastAsia="Times New Roman" w:hAnsiTheme="majorHAnsi" w:cstheme="majorHAnsi"/>
                <w:color w:val="000000"/>
                <w:sz w:val="18"/>
                <w:szCs w:val="18"/>
                <w:lang w:val="ro-RO"/>
              </w:rPr>
              <w:t>уход</w:t>
            </w:r>
            <w:r>
              <w:rPr>
                <w:rFonts w:asciiTheme="majorHAnsi" w:eastAsia="Times New Roman" w:hAnsiTheme="majorHAnsi" w:cstheme="majorHAnsi"/>
                <w:color w:val="000000"/>
                <w:sz w:val="18"/>
                <w:szCs w:val="18"/>
                <w:lang w:val="ru-RU"/>
              </w:rPr>
              <w:t>у</w:t>
            </w:r>
            <w:r w:rsidRPr="00F110DC">
              <w:rPr>
                <w:rFonts w:asciiTheme="majorHAnsi" w:eastAsia="Times New Roman" w:hAnsiTheme="majorHAnsi" w:cstheme="majorHAnsi"/>
                <w:color w:val="000000"/>
                <w:sz w:val="18"/>
                <w:szCs w:val="18"/>
                <w:lang w:val="ro-RO"/>
              </w:rPr>
              <w:t xml:space="preserve"> за ребенком до 3 лет и </w:t>
            </w:r>
            <w:r>
              <w:rPr>
                <w:rFonts w:asciiTheme="majorHAnsi" w:eastAsia="Times New Roman" w:hAnsiTheme="majorHAnsi" w:cstheme="majorHAnsi"/>
                <w:color w:val="000000"/>
                <w:sz w:val="18"/>
                <w:szCs w:val="18"/>
                <w:lang w:val="ru-RU"/>
              </w:rPr>
              <w:t>др</w:t>
            </w:r>
            <w:r w:rsidRPr="00F110DC">
              <w:rPr>
                <w:rFonts w:asciiTheme="majorHAnsi" w:eastAsia="Times New Roman" w:hAnsiTheme="majorHAnsi" w:cstheme="majorHAnsi"/>
                <w:color w:val="000000"/>
                <w:sz w:val="18"/>
                <w:szCs w:val="18"/>
                <w:lang w:val="ro-RO"/>
              </w:rPr>
              <w:t>.)</w:t>
            </w:r>
          </w:p>
        </w:tc>
        <w:tc>
          <w:tcPr>
            <w:tcW w:w="1080" w:type="dxa"/>
            <w:shd w:val="clear" w:color="auto" w:fill="FFFFFF" w:themeFill="background1"/>
            <w:vAlign w:val="center"/>
            <w:hideMark/>
          </w:tcPr>
          <w:p w14:paraId="7913D768"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72856</w:t>
            </w:r>
          </w:p>
        </w:tc>
        <w:tc>
          <w:tcPr>
            <w:tcW w:w="1170" w:type="dxa"/>
            <w:shd w:val="clear" w:color="auto" w:fill="FFFFFF" w:themeFill="background1"/>
            <w:vAlign w:val="center"/>
            <w:hideMark/>
          </w:tcPr>
          <w:p w14:paraId="093BAED0"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73863</w:t>
            </w:r>
          </w:p>
        </w:tc>
        <w:tc>
          <w:tcPr>
            <w:tcW w:w="1170" w:type="dxa"/>
            <w:shd w:val="clear" w:color="auto" w:fill="FFFFFF" w:themeFill="background1"/>
            <w:vAlign w:val="center"/>
            <w:hideMark/>
          </w:tcPr>
          <w:p w14:paraId="51AE291E"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73482</w:t>
            </w:r>
          </w:p>
        </w:tc>
        <w:tc>
          <w:tcPr>
            <w:tcW w:w="1170" w:type="dxa"/>
            <w:shd w:val="clear" w:color="auto" w:fill="FFFFFF" w:themeFill="background1"/>
            <w:vAlign w:val="center"/>
            <w:hideMark/>
          </w:tcPr>
          <w:p w14:paraId="216C4FA6"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110150</w:t>
            </w:r>
          </w:p>
        </w:tc>
        <w:tc>
          <w:tcPr>
            <w:tcW w:w="1080" w:type="dxa"/>
            <w:shd w:val="clear" w:color="auto" w:fill="FFFFFF" w:themeFill="background1"/>
            <w:vAlign w:val="center"/>
            <w:hideMark/>
          </w:tcPr>
          <w:p w14:paraId="53384E6C"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36668</w:t>
            </w:r>
          </w:p>
        </w:tc>
        <w:tc>
          <w:tcPr>
            <w:tcW w:w="810" w:type="dxa"/>
            <w:shd w:val="clear" w:color="auto" w:fill="FFFFFF" w:themeFill="background1"/>
            <w:vAlign w:val="center"/>
            <w:hideMark/>
          </w:tcPr>
          <w:p w14:paraId="32256B23"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149.9</w:t>
            </w:r>
          </w:p>
        </w:tc>
        <w:tc>
          <w:tcPr>
            <w:tcW w:w="990" w:type="dxa"/>
            <w:shd w:val="clear" w:color="auto" w:fill="FFFFFF" w:themeFill="background1"/>
            <w:vAlign w:val="center"/>
            <w:hideMark/>
          </w:tcPr>
          <w:p w14:paraId="608BF8C0"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-381</w:t>
            </w:r>
          </w:p>
        </w:tc>
        <w:tc>
          <w:tcPr>
            <w:tcW w:w="810" w:type="dxa"/>
            <w:shd w:val="clear" w:color="auto" w:fill="FFFFFF" w:themeFill="background1"/>
            <w:vAlign w:val="center"/>
            <w:hideMark/>
          </w:tcPr>
          <w:p w14:paraId="74D2D230"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99.5</w:t>
            </w:r>
          </w:p>
        </w:tc>
        <w:tc>
          <w:tcPr>
            <w:tcW w:w="891" w:type="dxa"/>
            <w:shd w:val="clear" w:color="auto" w:fill="FFFFFF" w:themeFill="background1"/>
            <w:vAlign w:val="center"/>
            <w:hideMark/>
          </w:tcPr>
          <w:p w14:paraId="56D65F9E"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1007</w:t>
            </w:r>
          </w:p>
        </w:tc>
        <w:tc>
          <w:tcPr>
            <w:tcW w:w="616" w:type="dxa"/>
            <w:shd w:val="clear" w:color="auto" w:fill="FFFFFF" w:themeFill="background1"/>
            <w:vAlign w:val="center"/>
            <w:hideMark/>
          </w:tcPr>
          <w:p w14:paraId="791F04B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101</w:t>
            </w:r>
          </w:p>
        </w:tc>
      </w:tr>
      <w:tr w:rsidR="003D0784" w:rsidRPr="00B7675F" w14:paraId="0DB756D1" w14:textId="77777777" w:rsidTr="00B27804">
        <w:trPr>
          <w:gridAfter w:val="1"/>
          <w:wAfter w:w="7" w:type="dxa"/>
          <w:trHeight w:val="20"/>
        </w:trPr>
        <w:tc>
          <w:tcPr>
            <w:tcW w:w="4261" w:type="dxa"/>
            <w:shd w:val="clear" w:color="auto" w:fill="FFFFFF" w:themeFill="background1"/>
            <w:vAlign w:val="center"/>
            <w:hideMark/>
          </w:tcPr>
          <w:p w14:paraId="4DEB03DC" w14:textId="170DA0CF" w:rsidR="003D0784" w:rsidRPr="00736448" w:rsidRDefault="00E97AD4" w:rsidP="005F6348">
            <w:pPr>
              <w:spacing w:after="0"/>
              <w:jc w:val="both"/>
              <w:rPr>
                <w:rFonts w:asciiTheme="majorHAnsi" w:hAnsiTheme="majorHAnsi" w:cstheme="majorHAnsi"/>
                <w:color w:val="000000"/>
                <w:sz w:val="18"/>
                <w:szCs w:val="18"/>
                <w:lang w:val="ro-MD"/>
              </w:rPr>
            </w:pPr>
            <w:r>
              <w:rPr>
                <w:rFonts w:asciiTheme="majorHAnsi" w:eastAsia="Times New Roman" w:hAnsiTheme="majorHAnsi" w:cstheme="majorHAnsi"/>
                <w:color w:val="000000"/>
                <w:sz w:val="18"/>
                <w:szCs w:val="18"/>
                <w:lang w:val="ru-RU"/>
              </w:rPr>
              <w:t>Защита безработных</w:t>
            </w:r>
          </w:p>
        </w:tc>
        <w:tc>
          <w:tcPr>
            <w:tcW w:w="1080" w:type="dxa"/>
            <w:shd w:val="clear" w:color="auto" w:fill="FFFFFF" w:themeFill="background1"/>
            <w:vAlign w:val="center"/>
            <w:hideMark/>
          </w:tcPr>
          <w:p w14:paraId="4BFFE7C9"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2654</w:t>
            </w:r>
          </w:p>
        </w:tc>
        <w:tc>
          <w:tcPr>
            <w:tcW w:w="1170" w:type="dxa"/>
            <w:shd w:val="clear" w:color="auto" w:fill="FFFFFF" w:themeFill="background1"/>
            <w:vAlign w:val="center"/>
            <w:hideMark/>
          </w:tcPr>
          <w:p w14:paraId="336BF43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3010</w:t>
            </w:r>
          </w:p>
        </w:tc>
        <w:tc>
          <w:tcPr>
            <w:tcW w:w="1170" w:type="dxa"/>
            <w:shd w:val="clear" w:color="auto" w:fill="FFFFFF" w:themeFill="background1"/>
            <w:vAlign w:val="center"/>
            <w:hideMark/>
          </w:tcPr>
          <w:p w14:paraId="4F83E466"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1945</w:t>
            </w:r>
          </w:p>
        </w:tc>
        <w:tc>
          <w:tcPr>
            <w:tcW w:w="1170" w:type="dxa"/>
            <w:shd w:val="clear" w:color="auto" w:fill="FFFFFF" w:themeFill="background1"/>
            <w:vAlign w:val="center"/>
            <w:hideMark/>
          </w:tcPr>
          <w:p w14:paraId="11DE0CC7"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2062</w:t>
            </w:r>
          </w:p>
        </w:tc>
        <w:tc>
          <w:tcPr>
            <w:tcW w:w="1080" w:type="dxa"/>
            <w:shd w:val="clear" w:color="auto" w:fill="FFFFFF" w:themeFill="background1"/>
            <w:vAlign w:val="center"/>
            <w:hideMark/>
          </w:tcPr>
          <w:p w14:paraId="0E9CDB1A"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117</w:t>
            </w:r>
          </w:p>
        </w:tc>
        <w:tc>
          <w:tcPr>
            <w:tcW w:w="810" w:type="dxa"/>
            <w:shd w:val="clear" w:color="auto" w:fill="FFFFFF" w:themeFill="background1"/>
            <w:vAlign w:val="center"/>
            <w:hideMark/>
          </w:tcPr>
          <w:p w14:paraId="328E3FC0"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106</w:t>
            </w:r>
          </w:p>
        </w:tc>
        <w:tc>
          <w:tcPr>
            <w:tcW w:w="990" w:type="dxa"/>
            <w:shd w:val="clear" w:color="auto" w:fill="FFFFFF" w:themeFill="background1"/>
            <w:vAlign w:val="center"/>
            <w:hideMark/>
          </w:tcPr>
          <w:p w14:paraId="16307149"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-1065</w:t>
            </w:r>
          </w:p>
        </w:tc>
        <w:tc>
          <w:tcPr>
            <w:tcW w:w="810" w:type="dxa"/>
            <w:shd w:val="clear" w:color="auto" w:fill="FFFFFF" w:themeFill="background1"/>
            <w:vAlign w:val="center"/>
            <w:hideMark/>
          </w:tcPr>
          <w:p w14:paraId="5B76AA66"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64.6</w:t>
            </w:r>
          </w:p>
        </w:tc>
        <w:tc>
          <w:tcPr>
            <w:tcW w:w="891" w:type="dxa"/>
            <w:shd w:val="clear" w:color="auto" w:fill="FFFFFF" w:themeFill="background1"/>
            <w:vAlign w:val="center"/>
            <w:hideMark/>
          </w:tcPr>
          <w:p w14:paraId="727403B0"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356</w:t>
            </w:r>
          </w:p>
        </w:tc>
        <w:tc>
          <w:tcPr>
            <w:tcW w:w="616" w:type="dxa"/>
            <w:shd w:val="clear" w:color="auto" w:fill="FFFFFF" w:themeFill="background1"/>
            <w:vAlign w:val="center"/>
            <w:hideMark/>
          </w:tcPr>
          <w:p w14:paraId="67BE61B5"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113</w:t>
            </w:r>
          </w:p>
        </w:tc>
      </w:tr>
      <w:tr w:rsidR="003D0784" w:rsidRPr="00B7675F" w14:paraId="7DF41A74" w14:textId="77777777" w:rsidTr="00B27804">
        <w:trPr>
          <w:gridAfter w:val="1"/>
          <w:wAfter w:w="7" w:type="dxa"/>
          <w:trHeight w:val="20"/>
        </w:trPr>
        <w:tc>
          <w:tcPr>
            <w:tcW w:w="4261" w:type="dxa"/>
            <w:shd w:val="clear" w:color="auto" w:fill="FFFFFF" w:themeFill="background1"/>
            <w:vAlign w:val="center"/>
            <w:hideMark/>
          </w:tcPr>
          <w:p w14:paraId="4D8A3F48" w14:textId="52AD2068" w:rsidR="003D0784" w:rsidRPr="00736448" w:rsidRDefault="00E97AD4" w:rsidP="005F6348">
            <w:pPr>
              <w:spacing w:after="0"/>
              <w:jc w:val="both"/>
              <w:rPr>
                <w:rFonts w:asciiTheme="majorHAnsi" w:hAnsiTheme="majorHAnsi" w:cstheme="majorHAnsi"/>
                <w:color w:val="000000"/>
                <w:sz w:val="18"/>
                <w:szCs w:val="18"/>
                <w:lang w:val="ro-MD"/>
              </w:rPr>
            </w:pPr>
            <w:r w:rsidRPr="00F110DC">
              <w:rPr>
                <w:rFonts w:asciiTheme="majorHAnsi" w:eastAsia="Times New Roman" w:hAnsiTheme="majorHAnsi" w:cstheme="majorHAnsi"/>
                <w:color w:val="000000"/>
                <w:sz w:val="18"/>
                <w:szCs w:val="18"/>
                <w:lang w:val="ro-RO"/>
              </w:rPr>
              <w:t>Социальная защита некоторых категорий граждан (санаторно-курортное лечение)</w:t>
            </w:r>
          </w:p>
        </w:tc>
        <w:tc>
          <w:tcPr>
            <w:tcW w:w="1080" w:type="dxa"/>
            <w:shd w:val="clear" w:color="auto" w:fill="FFFFFF" w:themeFill="background1"/>
            <w:vAlign w:val="center"/>
            <w:hideMark/>
          </w:tcPr>
          <w:p w14:paraId="4BAA7F34"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7092</w:t>
            </w:r>
          </w:p>
        </w:tc>
        <w:tc>
          <w:tcPr>
            <w:tcW w:w="1170" w:type="dxa"/>
            <w:shd w:val="clear" w:color="auto" w:fill="FFFFFF" w:themeFill="background1"/>
            <w:vAlign w:val="center"/>
            <w:hideMark/>
          </w:tcPr>
          <w:p w14:paraId="66DEC3C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1725</w:t>
            </w:r>
          </w:p>
        </w:tc>
        <w:tc>
          <w:tcPr>
            <w:tcW w:w="1170" w:type="dxa"/>
            <w:shd w:val="clear" w:color="auto" w:fill="FFFFFF" w:themeFill="background1"/>
            <w:vAlign w:val="center"/>
            <w:hideMark/>
          </w:tcPr>
          <w:p w14:paraId="0B08C977"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4202</w:t>
            </w:r>
          </w:p>
        </w:tc>
        <w:tc>
          <w:tcPr>
            <w:tcW w:w="1170" w:type="dxa"/>
            <w:shd w:val="clear" w:color="auto" w:fill="FFFFFF" w:themeFill="background1"/>
            <w:vAlign w:val="center"/>
            <w:hideMark/>
          </w:tcPr>
          <w:p w14:paraId="6B25817E"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3999</w:t>
            </w:r>
          </w:p>
        </w:tc>
        <w:tc>
          <w:tcPr>
            <w:tcW w:w="1080" w:type="dxa"/>
            <w:shd w:val="clear" w:color="auto" w:fill="FFFFFF" w:themeFill="background1"/>
            <w:vAlign w:val="center"/>
            <w:hideMark/>
          </w:tcPr>
          <w:p w14:paraId="18E59F8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-203</w:t>
            </w:r>
          </w:p>
        </w:tc>
        <w:tc>
          <w:tcPr>
            <w:tcW w:w="810" w:type="dxa"/>
            <w:shd w:val="clear" w:color="auto" w:fill="FFFFFF" w:themeFill="background1"/>
            <w:vAlign w:val="center"/>
            <w:hideMark/>
          </w:tcPr>
          <w:p w14:paraId="3C2504E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95.17</w:t>
            </w:r>
          </w:p>
        </w:tc>
        <w:tc>
          <w:tcPr>
            <w:tcW w:w="990" w:type="dxa"/>
            <w:shd w:val="clear" w:color="auto" w:fill="FFFFFF" w:themeFill="background1"/>
            <w:vAlign w:val="center"/>
            <w:hideMark/>
          </w:tcPr>
          <w:p w14:paraId="733936F4"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2477</w:t>
            </w:r>
          </w:p>
        </w:tc>
        <w:tc>
          <w:tcPr>
            <w:tcW w:w="810" w:type="dxa"/>
            <w:shd w:val="clear" w:color="auto" w:fill="FFFFFF" w:themeFill="background1"/>
            <w:vAlign w:val="center"/>
            <w:hideMark/>
          </w:tcPr>
          <w:p w14:paraId="74FE1B35"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244</w:t>
            </w:r>
          </w:p>
        </w:tc>
        <w:tc>
          <w:tcPr>
            <w:tcW w:w="891" w:type="dxa"/>
            <w:shd w:val="clear" w:color="auto" w:fill="FFFFFF" w:themeFill="background1"/>
            <w:vAlign w:val="center"/>
            <w:hideMark/>
          </w:tcPr>
          <w:p w14:paraId="5366C819"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-5367</w:t>
            </w:r>
          </w:p>
        </w:tc>
        <w:tc>
          <w:tcPr>
            <w:tcW w:w="616" w:type="dxa"/>
            <w:shd w:val="clear" w:color="auto" w:fill="FFFFFF" w:themeFill="background1"/>
            <w:vAlign w:val="center"/>
            <w:hideMark/>
          </w:tcPr>
          <w:p w14:paraId="29174D10"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24.3</w:t>
            </w:r>
          </w:p>
        </w:tc>
      </w:tr>
      <w:tr w:rsidR="003D0784" w:rsidRPr="00B7675F" w14:paraId="77EA0668" w14:textId="77777777" w:rsidTr="00B27804">
        <w:trPr>
          <w:gridAfter w:val="1"/>
          <w:wAfter w:w="7" w:type="dxa"/>
          <w:trHeight w:val="20"/>
        </w:trPr>
        <w:tc>
          <w:tcPr>
            <w:tcW w:w="4261" w:type="dxa"/>
            <w:shd w:val="clear" w:color="auto" w:fill="FFFFFF" w:themeFill="background1"/>
            <w:vAlign w:val="center"/>
            <w:hideMark/>
          </w:tcPr>
          <w:p w14:paraId="18A7C476" w14:textId="73C45601" w:rsidR="003D0784" w:rsidRPr="00736448" w:rsidRDefault="00917A1A" w:rsidP="005F6348">
            <w:pPr>
              <w:spacing w:after="0"/>
              <w:jc w:val="both"/>
              <w:rPr>
                <w:rFonts w:asciiTheme="majorHAnsi" w:hAnsiTheme="majorHAnsi" w:cstheme="majorHAnsi"/>
                <w:color w:val="000000"/>
                <w:sz w:val="18"/>
                <w:szCs w:val="18"/>
                <w:lang w:val="ro-MD"/>
              </w:rPr>
            </w:pPr>
            <w:r w:rsidRPr="00F110DC">
              <w:rPr>
                <w:rFonts w:asciiTheme="majorHAnsi" w:eastAsia="Times New Roman" w:hAnsiTheme="majorHAnsi" w:cstheme="majorHAnsi"/>
                <w:color w:val="000000"/>
                <w:sz w:val="18"/>
                <w:szCs w:val="18"/>
                <w:lang w:val="ro-RO"/>
              </w:rPr>
              <w:t>Защита в связи с потерей кормильца (финансовая поддержка незастрахованных умерших лиц, пенсия по случаю потери кормильца пенсионеров из числа военнослужащих и др.)</w:t>
            </w:r>
          </w:p>
        </w:tc>
        <w:tc>
          <w:tcPr>
            <w:tcW w:w="1080" w:type="dxa"/>
            <w:shd w:val="clear" w:color="auto" w:fill="FFFFFF" w:themeFill="background1"/>
            <w:vAlign w:val="center"/>
            <w:hideMark/>
          </w:tcPr>
          <w:p w14:paraId="7728A12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5810</w:t>
            </w:r>
          </w:p>
        </w:tc>
        <w:tc>
          <w:tcPr>
            <w:tcW w:w="1170" w:type="dxa"/>
            <w:shd w:val="clear" w:color="auto" w:fill="FFFFFF" w:themeFill="background1"/>
            <w:vAlign w:val="center"/>
            <w:hideMark/>
          </w:tcPr>
          <w:p w14:paraId="6CBA6D04"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5525</w:t>
            </w:r>
          </w:p>
        </w:tc>
        <w:tc>
          <w:tcPr>
            <w:tcW w:w="1170" w:type="dxa"/>
            <w:shd w:val="clear" w:color="auto" w:fill="FFFFFF" w:themeFill="background1"/>
            <w:vAlign w:val="center"/>
            <w:hideMark/>
          </w:tcPr>
          <w:p w14:paraId="46F5205F"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6321</w:t>
            </w:r>
          </w:p>
        </w:tc>
        <w:tc>
          <w:tcPr>
            <w:tcW w:w="1170" w:type="dxa"/>
            <w:shd w:val="clear" w:color="auto" w:fill="FFFFFF" w:themeFill="background1"/>
            <w:vAlign w:val="center"/>
            <w:hideMark/>
          </w:tcPr>
          <w:p w14:paraId="44E7C855"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5698</w:t>
            </w:r>
          </w:p>
        </w:tc>
        <w:tc>
          <w:tcPr>
            <w:tcW w:w="1080" w:type="dxa"/>
            <w:shd w:val="clear" w:color="auto" w:fill="FFFFFF" w:themeFill="background1"/>
            <w:vAlign w:val="center"/>
            <w:hideMark/>
          </w:tcPr>
          <w:p w14:paraId="0AFD4D55"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-623</w:t>
            </w:r>
          </w:p>
        </w:tc>
        <w:tc>
          <w:tcPr>
            <w:tcW w:w="810" w:type="dxa"/>
            <w:shd w:val="clear" w:color="auto" w:fill="FFFFFF" w:themeFill="background1"/>
            <w:vAlign w:val="center"/>
            <w:hideMark/>
          </w:tcPr>
          <w:p w14:paraId="328C714C"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90.14</w:t>
            </w:r>
          </w:p>
        </w:tc>
        <w:tc>
          <w:tcPr>
            <w:tcW w:w="990" w:type="dxa"/>
            <w:shd w:val="clear" w:color="auto" w:fill="FFFFFF" w:themeFill="background1"/>
            <w:vAlign w:val="center"/>
            <w:hideMark/>
          </w:tcPr>
          <w:p w14:paraId="50E34C05"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796</w:t>
            </w:r>
          </w:p>
        </w:tc>
        <w:tc>
          <w:tcPr>
            <w:tcW w:w="810" w:type="dxa"/>
            <w:shd w:val="clear" w:color="auto" w:fill="FFFFFF" w:themeFill="background1"/>
            <w:vAlign w:val="center"/>
            <w:hideMark/>
          </w:tcPr>
          <w:p w14:paraId="3AE84CBC"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114</w:t>
            </w:r>
          </w:p>
        </w:tc>
        <w:tc>
          <w:tcPr>
            <w:tcW w:w="891" w:type="dxa"/>
            <w:shd w:val="clear" w:color="auto" w:fill="FFFFFF" w:themeFill="background1"/>
            <w:vAlign w:val="center"/>
            <w:hideMark/>
          </w:tcPr>
          <w:p w14:paraId="7CD497DE"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-285</w:t>
            </w:r>
          </w:p>
        </w:tc>
        <w:tc>
          <w:tcPr>
            <w:tcW w:w="616" w:type="dxa"/>
            <w:shd w:val="clear" w:color="auto" w:fill="FFFFFF" w:themeFill="background1"/>
            <w:vAlign w:val="center"/>
            <w:hideMark/>
          </w:tcPr>
          <w:p w14:paraId="02D31C1C"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95.1</w:t>
            </w:r>
          </w:p>
        </w:tc>
      </w:tr>
      <w:tr w:rsidR="003D0784" w:rsidRPr="00B7675F" w14:paraId="7921781A" w14:textId="77777777" w:rsidTr="00B27804">
        <w:trPr>
          <w:gridAfter w:val="1"/>
          <w:wAfter w:w="7" w:type="dxa"/>
          <w:trHeight w:val="20"/>
        </w:trPr>
        <w:tc>
          <w:tcPr>
            <w:tcW w:w="4261" w:type="dxa"/>
            <w:shd w:val="clear" w:color="auto" w:fill="FFFFFF" w:themeFill="background1"/>
            <w:vAlign w:val="center"/>
            <w:hideMark/>
          </w:tcPr>
          <w:p w14:paraId="6804B260" w14:textId="1B26BC77" w:rsidR="003D0784" w:rsidRPr="00736448" w:rsidRDefault="00917A1A" w:rsidP="00AA6D17">
            <w:pPr>
              <w:spacing w:after="0"/>
              <w:jc w:val="both"/>
              <w:rPr>
                <w:rFonts w:asciiTheme="majorHAnsi" w:hAnsiTheme="majorHAnsi" w:cstheme="majorHAnsi"/>
                <w:color w:val="000000"/>
                <w:sz w:val="18"/>
                <w:szCs w:val="18"/>
                <w:lang w:val="ro-MD"/>
              </w:rPr>
            </w:pPr>
            <w:r w:rsidRPr="00F110DC">
              <w:rPr>
                <w:rFonts w:asciiTheme="majorHAnsi" w:eastAsia="Times New Roman" w:hAnsiTheme="majorHAnsi" w:cstheme="majorHAnsi"/>
                <w:color w:val="000000"/>
                <w:sz w:val="18"/>
                <w:szCs w:val="18"/>
                <w:lang w:val="ro-RO"/>
              </w:rPr>
              <w:t>Защита семьи и ребенка (организация летнего отдыха, финансовая поддержка семьи при рождении ребенка и др.)</w:t>
            </w:r>
          </w:p>
        </w:tc>
        <w:tc>
          <w:tcPr>
            <w:tcW w:w="1080" w:type="dxa"/>
            <w:shd w:val="clear" w:color="auto" w:fill="FFFFFF" w:themeFill="background1"/>
            <w:vAlign w:val="center"/>
            <w:hideMark/>
          </w:tcPr>
          <w:p w14:paraId="173C01B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83265</w:t>
            </w:r>
          </w:p>
        </w:tc>
        <w:tc>
          <w:tcPr>
            <w:tcW w:w="1170" w:type="dxa"/>
            <w:shd w:val="clear" w:color="auto" w:fill="FFFFFF" w:themeFill="background1"/>
            <w:vAlign w:val="center"/>
            <w:hideMark/>
          </w:tcPr>
          <w:p w14:paraId="74199D98"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70089</w:t>
            </w:r>
          </w:p>
        </w:tc>
        <w:tc>
          <w:tcPr>
            <w:tcW w:w="1170" w:type="dxa"/>
            <w:shd w:val="clear" w:color="auto" w:fill="FFFFFF" w:themeFill="background1"/>
            <w:vAlign w:val="center"/>
            <w:hideMark/>
          </w:tcPr>
          <w:p w14:paraId="15BFB633"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71113</w:t>
            </w:r>
          </w:p>
        </w:tc>
        <w:tc>
          <w:tcPr>
            <w:tcW w:w="1170" w:type="dxa"/>
            <w:shd w:val="clear" w:color="auto" w:fill="FFFFFF" w:themeFill="background1"/>
            <w:vAlign w:val="center"/>
            <w:hideMark/>
          </w:tcPr>
          <w:p w14:paraId="76BD7E3E"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104444</w:t>
            </w:r>
          </w:p>
        </w:tc>
        <w:tc>
          <w:tcPr>
            <w:tcW w:w="1080" w:type="dxa"/>
            <w:shd w:val="clear" w:color="auto" w:fill="FFFFFF" w:themeFill="background1"/>
            <w:vAlign w:val="center"/>
            <w:hideMark/>
          </w:tcPr>
          <w:p w14:paraId="5EA107CF"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33331</w:t>
            </w:r>
          </w:p>
        </w:tc>
        <w:tc>
          <w:tcPr>
            <w:tcW w:w="810" w:type="dxa"/>
            <w:shd w:val="clear" w:color="auto" w:fill="FFFFFF" w:themeFill="background1"/>
            <w:vAlign w:val="center"/>
            <w:hideMark/>
          </w:tcPr>
          <w:p w14:paraId="62B570A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146.9</w:t>
            </w:r>
          </w:p>
        </w:tc>
        <w:tc>
          <w:tcPr>
            <w:tcW w:w="990" w:type="dxa"/>
            <w:shd w:val="clear" w:color="auto" w:fill="FFFFFF" w:themeFill="background1"/>
            <w:vAlign w:val="center"/>
            <w:hideMark/>
          </w:tcPr>
          <w:p w14:paraId="65AEC7EC"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1024</w:t>
            </w:r>
          </w:p>
        </w:tc>
        <w:tc>
          <w:tcPr>
            <w:tcW w:w="810" w:type="dxa"/>
            <w:shd w:val="clear" w:color="auto" w:fill="FFFFFF" w:themeFill="background1"/>
            <w:vAlign w:val="center"/>
            <w:hideMark/>
          </w:tcPr>
          <w:p w14:paraId="7D38971A"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102</w:t>
            </w:r>
          </w:p>
        </w:tc>
        <w:tc>
          <w:tcPr>
            <w:tcW w:w="891" w:type="dxa"/>
            <w:shd w:val="clear" w:color="auto" w:fill="FFFFFF" w:themeFill="background1"/>
            <w:vAlign w:val="center"/>
            <w:hideMark/>
          </w:tcPr>
          <w:p w14:paraId="7F09AFA3"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-13176</w:t>
            </w:r>
          </w:p>
        </w:tc>
        <w:tc>
          <w:tcPr>
            <w:tcW w:w="616" w:type="dxa"/>
            <w:shd w:val="clear" w:color="auto" w:fill="FFFFFF" w:themeFill="background1"/>
            <w:vAlign w:val="center"/>
            <w:hideMark/>
          </w:tcPr>
          <w:p w14:paraId="31A3EF56"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84.2</w:t>
            </w:r>
          </w:p>
        </w:tc>
      </w:tr>
      <w:tr w:rsidR="003D0784" w:rsidRPr="00B7675F" w14:paraId="57D0AF5F" w14:textId="77777777" w:rsidTr="00B27804">
        <w:trPr>
          <w:gridAfter w:val="1"/>
          <w:wAfter w:w="7" w:type="dxa"/>
          <w:trHeight w:val="20"/>
        </w:trPr>
        <w:tc>
          <w:tcPr>
            <w:tcW w:w="4261" w:type="dxa"/>
            <w:shd w:val="clear" w:color="auto" w:fill="FFFFFF" w:themeFill="background1"/>
            <w:vAlign w:val="center"/>
            <w:hideMark/>
          </w:tcPr>
          <w:p w14:paraId="140970B0" w14:textId="1F8108BB" w:rsidR="003D0784" w:rsidRPr="00736448" w:rsidRDefault="00917A1A" w:rsidP="005F6348">
            <w:pPr>
              <w:spacing w:after="0"/>
              <w:jc w:val="both"/>
              <w:rPr>
                <w:rFonts w:asciiTheme="majorHAnsi" w:hAnsiTheme="majorHAnsi" w:cstheme="majorHAnsi"/>
                <w:color w:val="000000"/>
                <w:sz w:val="18"/>
                <w:szCs w:val="18"/>
                <w:lang w:val="ro-MD"/>
              </w:rPr>
            </w:pPr>
            <w:r w:rsidRPr="00F110DC">
              <w:rPr>
                <w:rFonts w:asciiTheme="majorHAnsi" w:eastAsia="Times New Roman" w:hAnsiTheme="majorHAnsi" w:cstheme="majorHAnsi"/>
                <w:color w:val="000000"/>
                <w:sz w:val="18"/>
                <w:szCs w:val="18"/>
                <w:lang w:val="ro-RO"/>
              </w:rPr>
              <w:t>Защита безработных (пособие на профессиональную интеграцию со статусом безработного и т. д.)</w:t>
            </w:r>
          </w:p>
        </w:tc>
        <w:tc>
          <w:tcPr>
            <w:tcW w:w="1080" w:type="dxa"/>
            <w:shd w:val="clear" w:color="auto" w:fill="FFFFFF" w:themeFill="background1"/>
            <w:vAlign w:val="center"/>
            <w:hideMark/>
          </w:tcPr>
          <w:p w14:paraId="4934D180"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w:t>
            </w:r>
          </w:p>
        </w:tc>
        <w:tc>
          <w:tcPr>
            <w:tcW w:w="1170" w:type="dxa"/>
            <w:shd w:val="clear" w:color="auto" w:fill="FFFFFF" w:themeFill="background1"/>
            <w:vAlign w:val="center"/>
            <w:hideMark/>
          </w:tcPr>
          <w:p w14:paraId="0A55F2DF"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16</w:t>
            </w:r>
          </w:p>
        </w:tc>
        <w:tc>
          <w:tcPr>
            <w:tcW w:w="1170" w:type="dxa"/>
            <w:shd w:val="clear" w:color="auto" w:fill="FFFFFF" w:themeFill="background1"/>
            <w:vAlign w:val="center"/>
            <w:hideMark/>
          </w:tcPr>
          <w:p w14:paraId="1E53008C"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244</w:t>
            </w:r>
          </w:p>
        </w:tc>
        <w:tc>
          <w:tcPr>
            <w:tcW w:w="1170" w:type="dxa"/>
            <w:shd w:val="clear" w:color="auto" w:fill="FFFFFF" w:themeFill="background1"/>
            <w:vAlign w:val="center"/>
            <w:hideMark/>
          </w:tcPr>
          <w:p w14:paraId="7148C2CA"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1378</w:t>
            </w:r>
          </w:p>
        </w:tc>
        <w:tc>
          <w:tcPr>
            <w:tcW w:w="1080" w:type="dxa"/>
            <w:shd w:val="clear" w:color="auto" w:fill="FFFFFF" w:themeFill="background1"/>
            <w:vAlign w:val="center"/>
            <w:hideMark/>
          </w:tcPr>
          <w:p w14:paraId="0F65A79D"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1134</w:t>
            </w:r>
          </w:p>
        </w:tc>
        <w:tc>
          <w:tcPr>
            <w:tcW w:w="810" w:type="dxa"/>
            <w:shd w:val="clear" w:color="auto" w:fill="FFFFFF" w:themeFill="background1"/>
            <w:vAlign w:val="center"/>
            <w:hideMark/>
          </w:tcPr>
          <w:p w14:paraId="49DBD89F"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564.8</w:t>
            </w:r>
          </w:p>
        </w:tc>
        <w:tc>
          <w:tcPr>
            <w:tcW w:w="990" w:type="dxa"/>
            <w:shd w:val="clear" w:color="auto" w:fill="FFFFFF" w:themeFill="background1"/>
            <w:vAlign w:val="center"/>
            <w:hideMark/>
          </w:tcPr>
          <w:p w14:paraId="12123A8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228</w:t>
            </w:r>
          </w:p>
        </w:tc>
        <w:tc>
          <w:tcPr>
            <w:tcW w:w="810" w:type="dxa"/>
            <w:shd w:val="clear" w:color="auto" w:fill="FFFFFF" w:themeFill="background1"/>
            <w:vAlign w:val="center"/>
            <w:hideMark/>
          </w:tcPr>
          <w:p w14:paraId="605B5289"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1525</w:t>
            </w:r>
          </w:p>
        </w:tc>
        <w:tc>
          <w:tcPr>
            <w:tcW w:w="891" w:type="dxa"/>
            <w:shd w:val="clear" w:color="auto" w:fill="FFFFFF" w:themeFill="background1"/>
            <w:vAlign w:val="center"/>
            <w:hideMark/>
          </w:tcPr>
          <w:p w14:paraId="2A7A2C49"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w:t>
            </w:r>
          </w:p>
        </w:tc>
        <w:tc>
          <w:tcPr>
            <w:tcW w:w="616" w:type="dxa"/>
            <w:shd w:val="clear" w:color="auto" w:fill="FFFFFF" w:themeFill="background1"/>
            <w:vAlign w:val="center"/>
            <w:hideMark/>
          </w:tcPr>
          <w:p w14:paraId="2C01B02E"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200</w:t>
            </w:r>
          </w:p>
        </w:tc>
      </w:tr>
      <w:tr w:rsidR="003D0784" w:rsidRPr="00B7675F" w14:paraId="06058CE7" w14:textId="77777777" w:rsidTr="00B27804">
        <w:trPr>
          <w:gridAfter w:val="1"/>
          <w:wAfter w:w="7" w:type="dxa"/>
          <w:trHeight w:val="20"/>
        </w:trPr>
        <w:tc>
          <w:tcPr>
            <w:tcW w:w="4261" w:type="dxa"/>
            <w:shd w:val="clear" w:color="auto" w:fill="FFFFFF" w:themeFill="background1"/>
            <w:vAlign w:val="center"/>
            <w:hideMark/>
          </w:tcPr>
          <w:p w14:paraId="7BE4C778" w14:textId="43817426" w:rsidR="003D0784" w:rsidRPr="00736448" w:rsidRDefault="00917A1A" w:rsidP="005F6348">
            <w:pPr>
              <w:spacing w:after="0"/>
              <w:jc w:val="both"/>
              <w:rPr>
                <w:rFonts w:asciiTheme="majorHAnsi" w:hAnsiTheme="majorHAnsi" w:cstheme="majorHAnsi"/>
                <w:color w:val="000000"/>
                <w:sz w:val="18"/>
                <w:szCs w:val="18"/>
                <w:lang w:val="ro-MD"/>
              </w:rPr>
            </w:pPr>
            <w:r w:rsidRPr="00AE2868">
              <w:rPr>
                <w:rFonts w:asciiTheme="majorHAnsi" w:eastAsia="Times New Roman" w:hAnsiTheme="majorHAnsi" w:cstheme="majorHAnsi"/>
                <w:color w:val="000000"/>
                <w:sz w:val="18"/>
                <w:szCs w:val="18"/>
                <w:lang w:val="ro-RO"/>
              </w:rPr>
              <w:t>Защита лиц с ограниченными возможностями (уход за инвалидами, поддержка лиц в случае инвалидности или смерти в результате несчастных случаев на производстве и т. д.)</w:t>
            </w:r>
          </w:p>
        </w:tc>
        <w:tc>
          <w:tcPr>
            <w:tcW w:w="1080" w:type="dxa"/>
            <w:shd w:val="clear" w:color="auto" w:fill="FFFFFF" w:themeFill="background1"/>
            <w:vAlign w:val="center"/>
            <w:hideMark/>
          </w:tcPr>
          <w:p w14:paraId="12C53F6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84639</w:t>
            </w:r>
          </w:p>
        </w:tc>
        <w:tc>
          <w:tcPr>
            <w:tcW w:w="1170" w:type="dxa"/>
            <w:shd w:val="clear" w:color="auto" w:fill="FFFFFF" w:themeFill="background1"/>
            <w:vAlign w:val="center"/>
            <w:hideMark/>
          </w:tcPr>
          <w:p w14:paraId="341D3E96"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86009</w:t>
            </w:r>
          </w:p>
        </w:tc>
        <w:tc>
          <w:tcPr>
            <w:tcW w:w="1170" w:type="dxa"/>
            <w:shd w:val="clear" w:color="auto" w:fill="FFFFFF" w:themeFill="background1"/>
            <w:vAlign w:val="center"/>
            <w:hideMark/>
          </w:tcPr>
          <w:p w14:paraId="60F6CBDE"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90128</w:t>
            </w:r>
          </w:p>
        </w:tc>
        <w:tc>
          <w:tcPr>
            <w:tcW w:w="1170" w:type="dxa"/>
            <w:shd w:val="clear" w:color="auto" w:fill="FFFFFF" w:themeFill="background1"/>
            <w:vAlign w:val="center"/>
            <w:hideMark/>
          </w:tcPr>
          <w:p w14:paraId="76F7F98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96551</w:t>
            </w:r>
          </w:p>
        </w:tc>
        <w:tc>
          <w:tcPr>
            <w:tcW w:w="1080" w:type="dxa"/>
            <w:shd w:val="clear" w:color="auto" w:fill="FFFFFF" w:themeFill="background1"/>
            <w:vAlign w:val="center"/>
            <w:hideMark/>
          </w:tcPr>
          <w:p w14:paraId="222BE5B7"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6423</w:t>
            </w:r>
          </w:p>
        </w:tc>
        <w:tc>
          <w:tcPr>
            <w:tcW w:w="810" w:type="dxa"/>
            <w:shd w:val="clear" w:color="auto" w:fill="FFFFFF" w:themeFill="background1"/>
            <w:vAlign w:val="center"/>
            <w:hideMark/>
          </w:tcPr>
          <w:p w14:paraId="0918702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107.1</w:t>
            </w:r>
          </w:p>
        </w:tc>
        <w:tc>
          <w:tcPr>
            <w:tcW w:w="990" w:type="dxa"/>
            <w:shd w:val="clear" w:color="auto" w:fill="FFFFFF" w:themeFill="background1"/>
            <w:vAlign w:val="center"/>
            <w:hideMark/>
          </w:tcPr>
          <w:p w14:paraId="099262E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4119</w:t>
            </w:r>
          </w:p>
        </w:tc>
        <w:tc>
          <w:tcPr>
            <w:tcW w:w="810" w:type="dxa"/>
            <w:shd w:val="clear" w:color="auto" w:fill="FFFFFF" w:themeFill="background1"/>
            <w:vAlign w:val="center"/>
            <w:hideMark/>
          </w:tcPr>
          <w:p w14:paraId="4FE810C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105</w:t>
            </w:r>
          </w:p>
        </w:tc>
        <w:tc>
          <w:tcPr>
            <w:tcW w:w="891" w:type="dxa"/>
            <w:shd w:val="clear" w:color="auto" w:fill="FFFFFF" w:themeFill="background1"/>
            <w:vAlign w:val="center"/>
            <w:hideMark/>
          </w:tcPr>
          <w:p w14:paraId="14D78CBD"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1370</w:t>
            </w:r>
          </w:p>
        </w:tc>
        <w:tc>
          <w:tcPr>
            <w:tcW w:w="616" w:type="dxa"/>
            <w:shd w:val="clear" w:color="auto" w:fill="FFFFFF" w:themeFill="background1"/>
            <w:vAlign w:val="center"/>
            <w:hideMark/>
          </w:tcPr>
          <w:p w14:paraId="2C3EF339"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102</w:t>
            </w:r>
          </w:p>
        </w:tc>
      </w:tr>
      <w:tr w:rsidR="003D0784" w:rsidRPr="00B7675F" w14:paraId="3860C089" w14:textId="77777777" w:rsidTr="00B27804">
        <w:trPr>
          <w:gridAfter w:val="1"/>
          <w:wAfter w:w="7" w:type="dxa"/>
          <w:trHeight w:val="20"/>
        </w:trPr>
        <w:tc>
          <w:tcPr>
            <w:tcW w:w="4261" w:type="dxa"/>
            <w:shd w:val="clear" w:color="auto" w:fill="FFFFFF" w:themeFill="background1"/>
            <w:vAlign w:val="center"/>
            <w:hideMark/>
          </w:tcPr>
          <w:p w14:paraId="1DFB406E" w14:textId="31D66B63" w:rsidR="003D0784" w:rsidRPr="00736448" w:rsidRDefault="00917A1A" w:rsidP="005F6348">
            <w:pPr>
              <w:spacing w:after="0"/>
              <w:jc w:val="both"/>
              <w:rPr>
                <w:rFonts w:asciiTheme="majorHAnsi" w:hAnsiTheme="majorHAnsi" w:cstheme="majorHAnsi"/>
                <w:color w:val="000000"/>
                <w:sz w:val="18"/>
                <w:szCs w:val="18"/>
                <w:lang w:val="ro-MD"/>
              </w:rPr>
            </w:pPr>
            <w:r w:rsidRPr="00AE2868">
              <w:rPr>
                <w:rFonts w:asciiTheme="majorHAnsi" w:eastAsia="Times New Roman" w:hAnsiTheme="majorHAnsi" w:cstheme="majorHAnsi"/>
                <w:color w:val="000000"/>
                <w:sz w:val="18"/>
                <w:szCs w:val="18"/>
                <w:lang w:val="ro-RO"/>
              </w:rPr>
              <w:t>Дополнительная поддержка некоторых категорий населения (</w:t>
            </w:r>
            <w:r>
              <w:rPr>
                <w:rFonts w:asciiTheme="majorHAnsi" w:eastAsia="Times New Roman" w:hAnsiTheme="majorHAnsi" w:cstheme="majorHAnsi"/>
                <w:color w:val="000000"/>
                <w:sz w:val="18"/>
                <w:szCs w:val="18"/>
                <w:lang w:val="ru-RU"/>
              </w:rPr>
              <w:t>бенефициаров</w:t>
            </w:r>
            <w:r w:rsidRPr="00AE2868">
              <w:rPr>
                <w:rFonts w:asciiTheme="majorHAnsi" w:eastAsia="Times New Roman" w:hAnsiTheme="majorHAnsi" w:cstheme="majorHAnsi"/>
                <w:color w:val="000000"/>
                <w:sz w:val="18"/>
                <w:szCs w:val="18"/>
                <w:lang w:val="ro-RO"/>
              </w:rPr>
              <w:t xml:space="preserve"> социального страхования, социальных пособий и </w:t>
            </w:r>
            <w:r>
              <w:rPr>
                <w:rFonts w:asciiTheme="majorHAnsi" w:eastAsia="Times New Roman" w:hAnsiTheme="majorHAnsi" w:cstheme="majorHAnsi"/>
                <w:color w:val="000000"/>
                <w:sz w:val="18"/>
                <w:szCs w:val="18"/>
                <w:lang w:val="ru-RU"/>
              </w:rPr>
              <w:t>др</w:t>
            </w:r>
            <w:r w:rsidRPr="00AE2868">
              <w:rPr>
                <w:rFonts w:asciiTheme="majorHAnsi" w:eastAsia="Times New Roman" w:hAnsiTheme="majorHAnsi" w:cstheme="majorHAnsi"/>
                <w:color w:val="000000"/>
                <w:sz w:val="18"/>
                <w:szCs w:val="18"/>
                <w:lang w:val="ro-RO"/>
              </w:rPr>
              <w:t>.)</w:t>
            </w:r>
          </w:p>
        </w:tc>
        <w:tc>
          <w:tcPr>
            <w:tcW w:w="1080" w:type="dxa"/>
            <w:shd w:val="clear" w:color="auto" w:fill="FFFFFF" w:themeFill="background1"/>
            <w:vAlign w:val="center"/>
            <w:hideMark/>
          </w:tcPr>
          <w:p w14:paraId="4AE36C84"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1070615</w:t>
            </w:r>
          </w:p>
        </w:tc>
        <w:tc>
          <w:tcPr>
            <w:tcW w:w="1170" w:type="dxa"/>
            <w:shd w:val="clear" w:color="auto" w:fill="FFFFFF" w:themeFill="background1"/>
            <w:vAlign w:val="center"/>
            <w:hideMark/>
          </w:tcPr>
          <w:p w14:paraId="11C6D268"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1601128</w:t>
            </w:r>
          </w:p>
        </w:tc>
        <w:tc>
          <w:tcPr>
            <w:tcW w:w="1170" w:type="dxa"/>
            <w:shd w:val="clear" w:color="auto" w:fill="FFFFFF" w:themeFill="background1"/>
            <w:vAlign w:val="center"/>
            <w:hideMark/>
          </w:tcPr>
          <w:p w14:paraId="13829A14"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864351</w:t>
            </w:r>
          </w:p>
        </w:tc>
        <w:tc>
          <w:tcPr>
            <w:tcW w:w="1170" w:type="dxa"/>
            <w:shd w:val="clear" w:color="auto" w:fill="FFFFFF" w:themeFill="background1"/>
            <w:vAlign w:val="center"/>
            <w:hideMark/>
          </w:tcPr>
          <w:p w14:paraId="145DB0E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780155</w:t>
            </w:r>
          </w:p>
        </w:tc>
        <w:tc>
          <w:tcPr>
            <w:tcW w:w="1080" w:type="dxa"/>
            <w:shd w:val="clear" w:color="auto" w:fill="FFFFFF" w:themeFill="background1"/>
            <w:vAlign w:val="center"/>
            <w:hideMark/>
          </w:tcPr>
          <w:p w14:paraId="695789BE"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-84196</w:t>
            </w:r>
          </w:p>
        </w:tc>
        <w:tc>
          <w:tcPr>
            <w:tcW w:w="810" w:type="dxa"/>
            <w:shd w:val="clear" w:color="auto" w:fill="FFFFFF" w:themeFill="background1"/>
            <w:vAlign w:val="center"/>
            <w:hideMark/>
          </w:tcPr>
          <w:p w14:paraId="5E4C2E57"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90.26</w:t>
            </w:r>
          </w:p>
        </w:tc>
        <w:tc>
          <w:tcPr>
            <w:tcW w:w="990" w:type="dxa"/>
            <w:shd w:val="clear" w:color="auto" w:fill="FFFFFF" w:themeFill="background1"/>
            <w:vAlign w:val="center"/>
            <w:hideMark/>
          </w:tcPr>
          <w:p w14:paraId="2B9AA429"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-736777</w:t>
            </w:r>
          </w:p>
        </w:tc>
        <w:tc>
          <w:tcPr>
            <w:tcW w:w="810" w:type="dxa"/>
            <w:shd w:val="clear" w:color="auto" w:fill="FFFFFF" w:themeFill="background1"/>
            <w:vAlign w:val="center"/>
            <w:hideMark/>
          </w:tcPr>
          <w:p w14:paraId="66988997"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54</w:t>
            </w:r>
          </w:p>
        </w:tc>
        <w:tc>
          <w:tcPr>
            <w:tcW w:w="891" w:type="dxa"/>
            <w:shd w:val="clear" w:color="auto" w:fill="FFFFFF" w:themeFill="background1"/>
            <w:vAlign w:val="center"/>
            <w:hideMark/>
          </w:tcPr>
          <w:p w14:paraId="04E357C0"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530513</w:t>
            </w:r>
          </w:p>
        </w:tc>
        <w:tc>
          <w:tcPr>
            <w:tcW w:w="616" w:type="dxa"/>
            <w:shd w:val="clear" w:color="auto" w:fill="FFFFFF" w:themeFill="background1"/>
            <w:vAlign w:val="center"/>
            <w:hideMark/>
          </w:tcPr>
          <w:p w14:paraId="20AA17D3"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150</w:t>
            </w:r>
          </w:p>
        </w:tc>
      </w:tr>
      <w:tr w:rsidR="003D0784" w:rsidRPr="00B7675F" w14:paraId="465188FB" w14:textId="77777777" w:rsidTr="00B27804">
        <w:trPr>
          <w:gridAfter w:val="1"/>
          <w:wAfter w:w="7" w:type="dxa"/>
          <w:trHeight w:val="20"/>
        </w:trPr>
        <w:tc>
          <w:tcPr>
            <w:tcW w:w="4261" w:type="dxa"/>
            <w:shd w:val="clear" w:color="auto" w:fill="FFFFFF" w:themeFill="background1"/>
            <w:vAlign w:val="center"/>
            <w:hideMark/>
          </w:tcPr>
          <w:p w14:paraId="72C71B29" w14:textId="00CECEAD" w:rsidR="003D0784" w:rsidRPr="00736448" w:rsidRDefault="00917A1A" w:rsidP="00917A1A">
            <w:pPr>
              <w:spacing w:after="0"/>
              <w:jc w:val="both"/>
              <w:rPr>
                <w:rFonts w:asciiTheme="majorHAnsi" w:hAnsiTheme="majorHAnsi" w:cstheme="majorHAnsi"/>
                <w:color w:val="000000"/>
                <w:sz w:val="18"/>
                <w:szCs w:val="18"/>
                <w:lang w:val="ro-MD"/>
              </w:rPr>
            </w:pPr>
            <w:r w:rsidRPr="00AE2868">
              <w:rPr>
                <w:rFonts w:asciiTheme="majorHAnsi" w:eastAsia="Times New Roman" w:hAnsiTheme="majorHAnsi" w:cstheme="majorHAnsi"/>
                <w:color w:val="000000"/>
                <w:sz w:val="18"/>
                <w:szCs w:val="18"/>
                <w:lang w:val="ro-RO"/>
              </w:rPr>
              <w:t>Социальная защита в исключительных случаях (социальн</w:t>
            </w:r>
            <w:r>
              <w:rPr>
                <w:rFonts w:asciiTheme="majorHAnsi" w:eastAsia="Times New Roman" w:hAnsiTheme="majorHAnsi" w:cstheme="majorHAnsi"/>
                <w:color w:val="000000"/>
                <w:sz w:val="18"/>
                <w:szCs w:val="18"/>
                <w:lang w:val="ru-RU"/>
              </w:rPr>
              <w:t>ая</w:t>
            </w:r>
            <w:r w:rsidRPr="00AE2868">
              <w:rPr>
                <w:rFonts w:asciiTheme="majorHAnsi" w:eastAsia="Times New Roman" w:hAnsiTheme="majorHAnsi" w:cstheme="majorHAnsi"/>
                <w:color w:val="000000"/>
                <w:sz w:val="18"/>
                <w:szCs w:val="18"/>
                <w:lang w:val="ro-RO"/>
              </w:rPr>
              <w:t xml:space="preserve"> по</w:t>
            </w:r>
            <w:r>
              <w:rPr>
                <w:rFonts w:asciiTheme="majorHAnsi" w:eastAsia="Times New Roman" w:hAnsiTheme="majorHAnsi" w:cstheme="majorHAnsi"/>
                <w:color w:val="000000"/>
                <w:sz w:val="18"/>
                <w:szCs w:val="18"/>
                <w:lang w:val="ru-RU"/>
              </w:rPr>
              <w:t>мощь</w:t>
            </w:r>
            <w:r w:rsidRPr="00AE2868">
              <w:rPr>
                <w:rFonts w:asciiTheme="majorHAnsi" w:eastAsia="Times New Roman" w:hAnsiTheme="majorHAnsi" w:cstheme="majorHAnsi"/>
                <w:color w:val="000000"/>
                <w:sz w:val="18"/>
                <w:szCs w:val="18"/>
                <w:lang w:val="ro-RO"/>
              </w:rPr>
              <w:t>, по</w:t>
            </w:r>
            <w:r>
              <w:rPr>
                <w:rFonts w:asciiTheme="majorHAnsi" w:eastAsia="Times New Roman" w:hAnsiTheme="majorHAnsi" w:cstheme="majorHAnsi"/>
                <w:color w:val="000000"/>
                <w:sz w:val="18"/>
                <w:szCs w:val="18"/>
                <w:lang w:val="ru-RU"/>
              </w:rPr>
              <w:t>собие на</w:t>
            </w:r>
            <w:r w:rsidRPr="00AE2868">
              <w:rPr>
                <w:rFonts w:asciiTheme="majorHAnsi" w:eastAsia="Times New Roman" w:hAnsiTheme="majorHAnsi" w:cstheme="majorHAnsi"/>
                <w:color w:val="000000"/>
                <w:sz w:val="18"/>
                <w:szCs w:val="18"/>
                <w:lang w:val="ro-RO"/>
              </w:rPr>
              <w:t xml:space="preserve"> холодн</w:t>
            </w:r>
            <w:r>
              <w:rPr>
                <w:rFonts w:asciiTheme="majorHAnsi" w:eastAsia="Times New Roman" w:hAnsiTheme="majorHAnsi" w:cstheme="majorHAnsi"/>
                <w:color w:val="000000"/>
                <w:sz w:val="18"/>
                <w:szCs w:val="18"/>
                <w:lang w:val="ru-RU"/>
              </w:rPr>
              <w:t>ый</w:t>
            </w:r>
            <w:r w:rsidRPr="00AE2868">
              <w:rPr>
                <w:rFonts w:asciiTheme="majorHAnsi" w:eastAsia="Times New Roman" w:hAnsiTheme="majorHAnsi" w:cstheme="majorHAnsi"/>
                <w:color w:val="000000"/>
                <w:sz w:val="18"/>
                <w:szCs w:val="18"/>
                <w:lang w:val="ro-RO"/>
              </w:rPr>
              <w:t xml:space="preserve"> </w:t>
            </w:r>
            <w:r>
              <w:rPr>
                <w:rFonts w:asciiTheme="majorHAnsi" w:eastAsia="Times New Roman" w:hAnsiTheme="majorHAnsi" w:cstheme="majorHAnsi"/>
                <w:color w:val="000000"/>
                <w:sz w:val="18"/>
                <w:szCs w:val="18"/>
                <w:lang w:val="ru-RU"/>
              </w:rPr>
              <w:t>период</w:t>
            </w:r>
            <w:r w:rsidRPr="00AE2868">
              <w:rPr>
                <w:rFonts w:asciiTheme="majorHAnsi" w:eastAsia="Times New Roman" w:hAnsiTheme="majorHAnsi" w:cstheme="majorHAnsi"/>
                <w:color w:val="000000"/>
                <w:sz w:val="18"/>
                <w:szCs w:val="18"/>
                <w:lang w:val="ro-RO"/>
              </w:rPr>
              <w:t xml:space="preserve"> года)</w:t>
            </w:r>
          </w:p>
        </w:tc>
        <w:tc>
          <w:tcPr>
            <w:tcW w:w="1080" w:type="dxa"/>
            <w:shd w:val="clear" w:color="auto" w:fill="FFFFFF" w:themeFill="background1"/>
            <w:vAlign w:val="center"/>
            <w:hideMark/>
          </w:tcPr>
          <w:p w14:paraId="5B69FA77"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227886</w:t>
            </w:r>
          </w:p>
        </w:tc>
        <w:tc>
          <w:tcPr>
            <w:tcW w:w="1170" w:type="dxa"/>
            <w:shd w:val="clear" w:color="auto" w:fill="FFFFFF" w:themeFill="background1"/>
            <w:vAlign w:val="center"/>
            <w:hideMark/>
          </w:tcPr>
          <w:p w14:paraId="0BBA89C4"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260933</w:t>
            </w:r>
          </w:p>
        </w:tc>
        <w:tc>
          <w:tcPr>
            <w:tcW w:w="1170" w:type="dxa"/>
            <w:shd w:val="clear" w:color="auto" w:fill="FFFFFF" w:themeFill="background1"/>
            <w:vAlign w:val="center"/>
            <w:hideMark/>
          </w:tcPr>
          <w:p w14:paraId="0E43D236"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246268</w:t>
            </w:r>
          </w:p>
        </w:tc>
        <w:tc>
          <w:tcPr>
            <w:tcW w:w="1170" w:type="dxa"/>
            <w:shd w:val="clear" w:color="auto" w:fill="FFFFFF" w:themeFill="background1"/>
            <w:vAlign w:val="center"/>
            <w:hideMark/>
          </w:tcPr>
          <w:p w14:paraId="5AE4295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217273</w:t>
            </w:r>
          </w:p>
        </w:tc>
        <w:tc>
          <w:tcPr>
            <w:tcW w:w="1080" w:type="dxa"/>
            <w:shd w:val="clear" w:color="auto" w:fill="FFFFFF" w:themeFill="background1"/>
            <w:vAlign w:val="center"/>
            <w:hideMark/>
          </w:tcPr>
          <w:p w14:paraId="7E122878"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-28995</w:t>
            </w:r>
          </w:p>
        </w:tc>
        <w:tc>
          <w:tcPr>
            <w:tcW w:w="810" w:type="dxa"/>
            <w:shd w:val="clear" w:color="auto" w:fill="FFFFFF" w:themeFill="background1"/>
            <w:vAlign w:val="center"/>
            <w:hideMark/>
          </w:tcPr>
          <w:p w14:paraId="19A78333"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88.23</w:t>
            </w:r>
          </w:p>
        </w:tc>
        <w:tc>
          <w:tcPr>
            <w:tcW w:w="990" w:type="dxa"/>
            <w:shd w:val="clear" w:color="auto" w:fill="FFFFFF" w:themeFill="background1"/>
            <w:vAlign w:val="center"/>
            <w:hideMark/>
          </w:tcPr>
          <w:p w14:paraId="4A60FBE4"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-14665</w:t>
            </w:r>
          </w:p>
        </w:tc>
        <w:tc>
          <w:tcPr>
            <w:tcW w:w="810" w:type="dxa"/>
            <w:shd w:val="clear" w:color="auto" w:fill="FFFFFF" w:themeFill="background1"/>
            <w:vAlign w:val="center"/>
            <w:hideMark/>
          </w:tcPr>
          <w:p w14:paraId="05AC34CC"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94.4</w:t>
            </w:r>
          </w:p>
        </w:tc>
        <w:tc>
          <w:tcPr>
            <w:tcW w:w="891" w:type="dxa"/>
            <w:shd w:val="clear" w:color="auto" w:fill="FFFFFF" w:themeFill="background1"/>
            <w:vAlign w:val="center"/>
            <w:hideMark/>
          </w:tcPr>
          <w:p w14:paraId="3A7216DB"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33047</w:t>
            </w:r>
          </w:p>
        </w:tc>
        <w:tc>
          <w:tcPr>
            <w:tcW w:w="616" w:type="dxa"/>
            <w:shd w:val="clear" w:color="auto" w:fill="FFFFFF" w:themeFill="background1"/>
            <w:vAlign w:val="center"/>
            <w:hideMark/>
          </w:tcPr>
          <w:p w14:paraId="45E3917F"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115</w:t>
            </w:r>
          </w:p>
        </w:tc>
      </w:tr>
      <w:tr w:rsidR="003D0784" w:rsidRPr="00B7675F" w14:paraId="2DD52AB4" w14:textId="77777777" w:rsidTr="00B27804">
        <w:trPr>
          <w:gridAfter w:val="1"/>
          <w:wAfter w:w="7" w:type="dxa"/>
          <w:trHeight w:val="20"/>
        </w:trPr>
        <w:tc>
          <w:tcPr>
            <w:tcW w:w="4261" w:type="dxa"/>
            <w:shd w:val="clear" w:color="auto" w:fill="FFFFFF" w:themeFill="background1"/>
            <w:vAlign w:val="center"/>
            <w:hideMark/>
          </w:tcPr>
          <w:p w14:paraId="4100E8D7" w14:textId="6EC47A6B" w:rsidR="003D0784" w:rsidRPr="00736448" w:rsidRDefault="00917A1A" w:rsidP="005F6348">
            <w:pPr>
              <w:spacing w:after="0"/>
              <w:jc w:val="both"/>
              <w:rPr>
                <w:rFonts w:asciiTheme="majorHAnsi" w:hAnsiTheme="majorHAnsi" w:cstheme="majorHAnsi"/>
                <w:color w:val="000000"/>
                <w:sz w:val="18"/>
                <w:szCs w:val="18"/>
                <w:lang w:val="ro-MD"/>
              </w:rPr>
            </w:pPr>
            <w:r w:rsidRPr="00AE2868">
              <w:rPr>
                <w:rFonts w:asciiTheme="majorHAnsi" w:eastAsia="Times New Roman" w:hAnsiTheme="majorHAnsi" w:cstheme="majorHAnsi"/>
                <w:color w:val="000000"/>
                <w:sz w:val="18"/>
                <w:szCs w:val="18"/>
                <w:lang w:val="ro-RO"/>
              </w:rPr>
              <w:t>Социальная защита отдельных категорий граждан (пожизненное пособие спортсменам-профессионалам, прекратившим спортивную деятельность, страхование на санаторно-курортное лечение и др.)</w:t>
            </w:r>
          </w:p>
        </w:tc>
        <w:tc>
          <w:tcPr>
            <w:tcW w:w="1080" w:type="dxa"/>
            <w:shd w:val="clear" w:color="auto" w:fill="FFFFFF" w:themeFill="background1"/>
            <w:vAlign w:val="center"/>
            <w:hideMark/>
          </w:tcPr>
          <w:p w14:paraId="5AF149E9"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74546</w:t>
            </w:r>
          </w:p>
        </w:tc>
        <w:tc>
          <w:tcPr>
            <w:tcW w:w="1170" w:type="dxa"/>
            <w:shd w:val="clear" w:color="auto" w:fill="FFFFFF" w:themeFill="background1"/>
            <w:vAlign w:val="center"/>
            <w:hideMark/>
          </w:tcPr>
          <w:p w14:paraId="75AD464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67448</w:t>
            </w:r>
          </w:p>
        </w:tc>
        <w:tc>
          <w:tcPr>
            <w:tcW w:w="1170" w:type="dxa"/>
            <w:shd w:val="clear" w:color="auto" w:fill="FFFFFF" w:themeFill="background1"/>
            <w:vAlign w:val="center"/>
            <w:hideMark/>
          </w:tcPr>
          <w:p w14:paraId="136D5148"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71183</w:t>
            </w:r>
          </w:p>
        </w:tc>
        <w:tc>
          <w:tcPr>
            <w:tcW w:w="1170" w:type="dxa"/>
            <w:shd w:val="clear" w:color="auto" w:fill="FFFFFF" w:themeFill="background1"/>
            <w:vAlign w:val="center"/>
            <w:hideMark/>
          </w:tcPr>
          <w:p w14:paraId="63D4020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92719</w:t>
            </w:r>
          </w:p>
        </w:tc>
        <w:tc>
          <w:tcPr>
            <w:tcW w:w="1080" w:type="dxa"/>
            <w:shd w:val="clear" w:color="auto" w:fill="FFFFFF" w:themeFill="background1"/>
            <w:vAlign w:val="center"/>
            <w:hideMark/>
          </w:tcPr>
          <w:p w14:paraId="575DF22C"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21536</w:t>
            </w:r>
          </w:p>
        </w:tc>
        <w:tc>
          <w:tcPr>
            <w:tcW w:w="810" w:type="dxa"/>
            <w:shd w:val="clear" w:color="auto" w:fill="FFFFFF" w:themeFill="background1"/>
            <w:vAlign w:val="center"/>
            <w:hideMark/>
          </w:tcPr>
          <w:p w14:paraId="4A206DF5"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130.3</w:t>
            </w:r>
          </w:p>
        </w:tc>
        <w:tc>
          <w:tcPr>
            <w:tcW w:w="990" w:type="dxa"/>
            <w:shd w:val="clear" w:color="auto" w:fill="FFFFFF" w:themeFill="background1"/>
            <w:vAlign w:val="center"/>
            <w:hideMark/>
          </w:tcPr>
          <w:p w14:paraId="59272007"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3735</w:t>
            </w:r>
          </w:p>
        </w:tc>
        <w:tc>
          <w:tcPr>
            <w:tcW w:w="810" w:type="dxa"/>
            <w:shd w:val="clear" w:color="auto" w:fill="FFFFFF" w:themeFill="background1"/>
            <w:vAlign w:val="center"/>
            <w:hideMark/>
          </w:tcPr>
          <w:p w14:paraId="4D048615"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106</w:t>
            </w:r>
          </w:p>
        </w:tc>
        <w:tc>
          <w:tcPr>
            <w:tcW w:w="891" w:type="dxa"/>
            <w:shd w:val="clear" w:color="auto" w:fill="FFFFFF" w:themeFill="background1"/>
            <w:vAlign w:val="center"/>
            <w:hideMark/>
          </w:tcPr>
          <w:p w14:paraId="4198AFCA"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-7399</w:t>
            </w:r>
          </w:p>
        </w:tc>
        <w:tc>
          <w:tcPr>
            <w:tcW w:w="616" w:type="dxa"/>
            <w:shd w:val="clear" w:color="auto" w:fill="FFFFFF" w:themeFill="background1"/>
            <w:vAlign w:val="center"/>
            <w:hideMark/>
          </w:tcPr>
          <w:p w14:paraId="199CC24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90.1</w:t>
            </w:r>
          </w:p>
        </w:tc>
      </w:tr>
      <w:tr w:rsidR="003D0784" w:rsidRPr="00B7675F" w14:paraId="786D559E" w14:textId="77777777" w:rsidTr="00B27804">
        <w:trPr>
          <w:gridAfter w:val="1"/>
          <w:wAfter w:w="7" w:type="dxa"/>
          <w:trHeight w:val="20"/>
        </w:trPr>
        <w:tc>
          <w:tcPr>
            <w:tcW w:w="4261" w:type="dxa"/>
            <w:shd w:val="clear" w:color="auto" w:fill="FFFFFF" w:themeFill="background1"/>
            <w:vAlign w:val="center"/>
            <w:hideMark/>
          </w:tcPr>
          <w:p w14:paraId="65D4153A" w14:textId="5CE9D6D5" w:rsidR="003D0784" w:rsidRPr="00917A1A" w:rsidRDefault="00917A1A" w:rsidP="005F6348">
            <w:pPr>
              <w:spacing w:after="0"/>
              <w:jc w:val="both"/>
              <w:rPr>
                <w:rFonts w:asciiTheme="majorHAnsi" w:hAnsiTheme="majorHAnsi" w:cstheme="majorHAnsi"/>
                <w:b/>
                <w:bCs/>
                <w:color w:val="000000"/>
                <w:sz w:val="18"/>
                <w:szCs w:val="18"/>
                <w:lang w:val="ru-RU"/>
              </w:rPr>
            </w:pPr>
            <w:r>
              <w:rPr>
                <w:rFonts w:asciiTheme="majorHAnsi" w:hAnsiTheme="majorHAnsi" w:cstheme="majorHAnsi"/>
                <w:b/>
                <w:bCs/>
                <w:color w:val="000000"/>
                <w:sz w:val="18"/>
                <w:szCs w:val="18"/>
                <w:lang w:val="ru-RU"/>
              </w:rPr>
              <w:t>ВСЕГО</w:t>
            </w:r>
          </w:p>
        </w:tc>
        <w:tc>
          <w:tcPr>
            <w:tcW w:w="1080" w:type="dxa"/>
            <w:shd w:val="clear" w:color="auto" w:fill="FFFFFF" w:themeFill="background1"/>
            <w:vAlign w:val="center"/>
            <w:hideMark/>
          </w:tcPr>
          <w:p w14:paraId="143F4A1C"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2552254</w:t>
            </w:r>
          </w:p>
        </w:tc>
        <w:tc>
          <w:tcPr>
            <w:tcW w:w="1170" w:type="dxa"/>
            <w:shd w:val="clear" w:color="auto" w:fill="FFFFFF" w:themeFill="background1"/>
            <w:vAlign w:val="center"/>
            <w:hideMark/>
          </w:tcPr>
          <w:p w14:paraId="5B0AC732"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3089437</w:t>
            </w:r>
          </w:p>
        </w:tc>
        <w:tc>
          <w:tcPr>
            <w:tcW w:w="1170" w:type="dxa"/>
            <w:shd w:val="clear" w:color="auto" w:fill="FFFFFF" w:themeFill="background1"/>
            <w:vAlign w:val="center"/>
            <w:hideMark/>
          </w:tcPr>
          <w:p w14:paraId="4788BDC1"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2376185</w:t>
            </w:r>
          </w:p>
        </w:tc>
        <w:tc>
          <w:tcPr>
            <w:tcW w:w="1170" w:type="dxa"/>
            <w:shd w:val="clear" w:color="auto" w:fill="FFFFFF" w:themeFill="background1"/>
            <w:vAlign w:val="center"/>
            <w:hideMark/>
          </w:tcPr>
          <w:p w14:paraId="63E460DD"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2310026</w:t>
            </w:r>
          </w:p>
        </w:tc>
        <w:tc>
          <w:tcPr>
            <w:tcW w:w="1080" w:type="dxa"/>
            <w:shd w:val="clear" w:color="auto" w:fill="FFFFFF" w:themeFill="background1"/>
            <w:vAlign w:val="center"/>
            <w:hideMark/>
          </w:tcPr>
          <w:p w14:paraId="4B64F0A0"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-66159</w:t>
            </w:r>
          </w:p>
        </w:tc>
        <w:tc>
          <w:tcPr>
            <w:tcW w:w="810" w:type="dxa"/>
            <w:shd w:val="clear" w:color="auto" w:fill="FFFFFF" w:themeFill="background1"/>
            <w:vAlign w:val="center"/>
            <w:hideMark/>
          </w:tcPr>
          <w:p w14:paraId="7A700B01"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97.22</w:t>
            </w:r>
          </w:p>
        </w:tc>
        <w:tc>
          <w:tcPr>
            <w:tcW w:w="990" w:type="dxa"/>
            <w:shd w:val="clear" w:color="auto" w:fill="FFFFFF" w:themeFill="background1"/>
            <w:vAlign w:val="center"/>
            <w:hideMark/>
          </w:tcPr>
          <w:p w14:paraId="3763203F"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-713252</w:t>
            </w:r>
          </w:p>
        </w:tc>
        <w:tc>
          <w:tcPr>
            <w:tcW w:w="810" w:type="dxa"/>
            <w:shd w:val="clear" w:color="auto" w:fill="FFFFFF" w:themeFill="background1"/>
            <w:vAlign w:val="center"/>
            <w:hideMark/>
          </w:tcPr>
          <w:p w14:paraId="70D8E687"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77</w:t>
            </w:r>
          </w:p>
        </w:tc>
        <w:tc>
          <w:tcPr>
            <w:tcW w:w="891" w:type="dxa"/>
            <w:shd w:val="clear" w:color="auto" w:fill="FFFFFF" w:themeFill="background1"/>
            <w:vAlign w:val="center"/>
            <w:hideMark/>
          </w:tcPr>
          <w:p w14:paraId="4C10BA7C"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537183</w:t>
            </w:r>
          </w:p>
        </w:tc>
        <w:tc>
          <w:tcPr>
            <w:tcW w:w="616" w:type="dxa"/>
            <w:shd w:val="clear" w:color="auto" w:fill="FFFFFF" w:themeFill="background1"/>
            <w:vAlign w:val="center"/>
            <w:hideMark/>
          </w:tcPr>
          <w:p w14:paraId="38CF0130"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121</w:t>
            </w:r>
          </w:p>
        </w:tc>
      </w:tr>
    </w:tbl>
    <w:p w14:paraId="157A7DAB" w14:textId="47126A4C" w:rsidR="003D0784" w:rsidRPr="00736448" w:rsidRDefault="00863CC5" w:rsidP="003D0784">
      <w:pPr>
        <w:spacing w:after="0" w:line="276" w:lineRule="auto"/>
        <w:jc w:val="both"/>
        <w:rPr>
          <w:rFonts w:ascii="Calibri" w:eastAsia="Calibri" w:hAnsi="Calibri" w:cs="Times New Roman"/>
          <w:lang w:val="ro-MD"/>
        </w:rPr>
      </w:pPr>
      <w:r>
        <w:rPr>
          <w:rFonts w:ascii="Calibri Light" w:eastAsia="Calibri" w:hAnsi="Calibri Light" w:cs="Calibri Light"/>
          <w:b/>
          <w:bCs/>
          <w:i/>
          <w:sz w:val="20"/>
          <w:szCs w:val="20"/>
          <w:lang w:val="ro-MD"/>
        </w:rPr>
        <w:t>Источник</w:t>
      </w:r>
      <w:r w:rsidR="003D0784" w:rsidRPr="00736448">
        <w:rPr>
          <w:rFonts w:ascii="Calibri Light" w:eastAsia="Calibri" w:hAnsi="Calibri Light" w:cs="Calibri Light"/>
          <w:b/>
          <w:bCs/>
          <w:i/>
          <w:sz w:val="20"/>
          <w:szCs w:val="20"/>
          <w:lang w:val="ro-MD"/>
        </w:rPr>
        <w:t>:</w:t>
      </w:r>
      <w:r w:rsidR="003D0784" w:rsidRPr="00736448">
        <w:rPr>
          <w:rFonts w:ascii="Calibri Light" w:eastAsia="Calibri" w:hAnsi="Calibri Light" w:cs="Calibri Light"/>
          <w:i/>
          <w:sz w:val="20"/>
          <w:szCs w:val="20"/>
          <w:lang w:val="ro-MD"/>
        </w:rPr>
        <w:t xml:space="preserve"> </w:t>
      </w:r>
      <w:r w:rsidR="00917A1A" w:rsidRPr="002C222D">
        <w:rPr>
          <w:rFonts w:ascii="Calibri Light" w:eastAsia="Calibri" w:hAnsi="Calibri Light" w:cs="Calibri Light"/>
          <w:bCs/>
          <w:i/>
          <w:sz w:val="20"/>
          <w:szCs w:val="20"/>
          <w:lang w:val="ru-RU"/>
        </w:rPr>
        <w:t>Отчет</w:t>
      </w:r>
      <w:r w:rsidR="00917A1A" w:rsidRPr="00856CF2">
        <w:rPr>
          <w:rFonts w:ascii="Calibri Light" w:eastAsia="Calibri" w:hAnsi="Calibri Light" w:cs="Calibri Light"/>
          <w:bCs/>
          <w:i/>
          <w:sz w:val="20"/>
          <w:szCs w:val="20"/>
          <w:lang w:val="ru-RU"/>
        </w:rPr>
        <w:t xml:space="preserve"> </w:t>
      </w:r>
      <w:r w:rsidR="00917A1A" w:rsidRPr="002C222D">
        <w:rPr>
          <w:rFonts w:ascii="Calibri Light" w:eastAsia="Calibri" w:hAnsi="Calibri Light" w:cs="Calibri Light"/>
          <w:bCs/>
          <w:i/>
          <w:sz w:val="20"/>
          <w:szCs w:val="20"/>
          <w:lang w:val="ru-RU"/>
        </w:rPr>
        <w:t>об</w:t>
      </w:r>
      <w:r w:rsidR="00917A1A" w:rsidRPr="00856CF2">
        <w:rPr>
          <w:rFonts w:ascii="Calibri Light" w:eastAsia="Calibri" w:hAnsi="Calibri Light" w:cs="Calibri Light"/>
          <w:bCs/>
          <w:i/>
          <w:sz w:val="20"/>
          <w:szCs w:val="20"/>
          <w:lang w:val="ru-RU"/>
        </w:rPr>
        <w:t xml:space="preserve"> </w:t>
      </w:r>
      <w:r w:rsidR="00917A1A" w:rsidRPr="002C222D">
        <w:rPr>
          <w:rFonts w:ascii="Calibri Light" w:eastAsia="Calibri" w:hAnsi="Calibri Light" w:cs="Calibri Light"/>
          <w:bCs/>
          <w:i/>
          <w:sz w:val="20"/>
          <w:szCs w:val="20"/>
          <w:lang w:val="ru-RU"/>
        </w:rPr>
        <w:t>исполнении</w:t>
      </w:r>
      <w:r w:rsidR="00917A1A" w:rsidRPr="00856CF2">
        <w:rPr>
          <w:rFonts w:ascii="Calibri Light" w:eastAsia="Calibri" w:hAnsi="Calibri Light" w:cs="Calibri Light"/>
          <w:bCs/>
          <w:i/>
          <w:sz w:val="20"/>
          <w:szCs w:val="20"/>
          <w:lang w:val="ru-RU"/>
        </w:rPr>
        <w:t xml:space="preserve"> </w:t>
      </w:r>
      <w:r w:rsidR="00917A1A" w:rsidRPr="002C222D">
        <w:rPr>
          <w:rFonts w:ascii="Calibri Light" w:eastAsia="Calibri" w:hAnsi="Calibri Light" w:cs="Calibri Light"/>
          <w:bCs/>
          <w:i/>
          <w:sz w:val="20"/>
          <w:szCs w:val="20"/>
          <w:lang w:val="ru-RU"/>
        </w:rPr>
        <w:t>плана</w:t>
      </w:r>
      <w:r w:rsidR="00917A1A" w:rsidRPr="00856CF2">
        <w:rPr>
          <w:rFonts w:ascii="Calibri Light" w:eastAsia="Calibri" w:hAnsi="Calibri Light" w:cs="Calibri Light"/>
          <w:bCs/>
          <w:i/>
          <w:sz w:val="20"/>
          <w:szCs w:val="20"/>
          <w:lang w:val="ru-RU"/>
        </w:rPr>
        <w:t xml:space="preserve"> </w:t>
      </w:r>
      <w:r w:rsidR="00917A1A" w:rsidRPr="002C222D">
        <w:rPr>
          <w:rFonts w:ascii="Calibri Light" w:eastAsia="Calibri" w:hAnsi="Calibri Light" w:cs="Calibri Light"/>
          <w:bCs/>
          <w:i/>
          <w:sz w:val="20"/>
          <w:szCs w:val="20"/>
          <w:lang w:val="ru-RU"/>
        </w:rPr>
        <w:t>по</w:t>
      </w:r>
      <w:r w:rsidR="00917A1A" w:rsidRPr="00856CF2">
        <w:rPr>
          <w:rFonts w:ascii="Calibri Light" w:eastAsia="Calibri" w:hAnsi="Calibri Light" w:cs="Calibri Light"/>
          <w:bCs/>
          <w:i/>
          <w:sz w:val="20"/>
          <w:szCs w:val="20"/>
          <w:lang w:val="ru-RU"/>
        </w:rPr>
        <w:t xml:space="preserve"> </w:t>
      </w:r>
      <w:r w:rsidR="00917A1A" w:rsidRPr="002C222D">
        <w:rPr>
          <w:rFonts w:ascii="Calibri Light" w:eastAsia="Calibri" w:hAnsi="Calibri Light" w:cs="Calibri Light"/>
          <w:bCs/>
          <w:i/>
          <w:sz w:val="20"/>
          <w:szCs w:val="20"/>
          <w:lang w:val="ru-RU"/>
        </w:rPr>
        <w:t>контингенту</w:t>
      </w:r>
      <w:r w:rsidR="00917A1A" w:rsidRPr="00856CF2">
        <w:rPr>
          <w:rFonts w:ascii="Calibri Light" w:eastAsia="Calibri" w:hAnsi="Calibri Light" w:cs="Calibri Light"/>
          <w:bCs/>
          <w:i/>
          <w:sz w:val="20"/>
          <w:szCs w:val="20"/>
          <w:lang w:val="ru-RU"/>
        </w:rPr>
        <w:t xml:space="preserve">, </w:t>
      </w:r>
      <w:r w:rsidR="00917A1A" w:rsidRPr="002C222D">
        <w:rPr>
          <w:rFonts w:ascii="Calibri Light" w:eastAsia="Calibri" w:hAnsi="Calibri Light" w:cs="Calibri Light"/>
          <w:bCs/>
          <w:i/>
          <w:sz w:val="20"/>
          <w:szCs w:val="20"/>
          <w:lang w:val="ru-RU"/>
        </w:rPr>
        <w:t>получателям</w:t>
      </w:r>
      <w:r w:rsidR="00917A1A" w:rsidRPr="00856CF2">
        <w:rPr>
          <w:rFonts w:ascii="Calibri Light" w:eastAsia="Calibri" w:hAnsi="Calibri Light" w:cs="Calibri Light"/>
          <w:bCs/>
          <w:i/>
          <w:sz w:val="20"/>
          <w:szCs w:val="20"/>
          <w:lang w:val="ru-RU"/>
        </w:rPr>
        <w:t xml:space="preserve"> </w:t>
      </w:r>
      <w:r w:rsidR="00917A1A" w:rsidRPr="002C222D">
        <w:rPr>
          <w:rFonts w:ascii="Calibri Light" w:eastAsia="Calibri" w:hAnsi="Calibri Light" w:cs="Calibri Light"/>
          <w:bCs/>
          <w:i/>
          <w:sz w:val="20"/>
          <w:szCs w:val="20"/>
          <w:lang w:val="ru-RU"/>
        </w:rPr>
        <w:t>выплат</w:t>
      </w:r>
      <w:r w:rsidR="00917A1A" w:rsidRPr="00856CF2">
        <w:rPr>
          <w:rFonts w:ascii="Calibri Light" w:eastAsia="Calibri" w:hAnsi="Calibri Light" w:cs="Calibri Light"/>
          <w:bCs/>
          <w:i/>
          <w:sz w:val="20"/>
          <w:szCs w:val="20"/>
          <w:lang w:val="ru-RU"/>
        </w:rPr>
        <w:t xml:space="preserve"> </w:t>
      </w:r>
      <w:r w:rsidR="00917A1A" w:rsidRPr="002C222D">
        <w:rPr>
          <w:rFonts w:ascii="Calibri Light" w:eastAsia="Calibri" w:hAnsi="Calibri Light" w:cs="Calibri Light"/>
          <w:bCs/>
          <w:i/>
          <w:sz w:val="20"/>
          <w:szCs w:val="20"/>
          <w:lang w:val="ru-RU"/>
        </w:rPr>
        <w:t>и</w:t>
      </w:r>
      <w:r w:rsidR="00917A1A" w:rsidRPr="00856CF2">
        <w:rPr>
          <w:rFonts w:ascii="Calibri Light" w:eastAsia="Calibri" w:hAnsi="Calibri Light" w:cs="Calibri Light"/>
          <w:bCs/>
          <w:i/>
          <w:sz w:val="20"/>
          <w:szCs w:val="20"/>
          <w:lang w:val="ru-RU"/>
        </w:rPr>
        <w:t xml:space="preserve"> </w:t>
      </w:r>
      <w:r w:rsidR="00917A1A" w:rsidRPr="002C222D">
        <w:rPr>
          <w:rFonts w:ascii="Calibri Light" w:eastAsia="Calibri" w:hAnsi="Calibri Light" w:cs="Calibri Light"/>
          <w:bCs/>
          <w:i/>
          <w:sz w:val="20"/>
          <w:szCs w:val="20"/>
          <w:lang w:val="ru-RU"/>
        </w:rPr>
        <w:t>их</w:t>
      </w:r>
      <w:r w:rsidR="00917A1A" w:rsidRPr="00856CF2">
        <w:rPr>
          <w:rFonts w:ascii="Calibri Light" w:eastAsia="Calibri" w:hAnsi="Calibri Light" w:cs="Calibri Light"/>
          <w:bCs/>
          <w:i/>
          <w:sz w:val="20"/>
          <w:szCs w:val="20"/>
          <w:lang w:val="ru-RU"/>
        </w:rPr>
        <w:t xml:space="preserve"> </w:t>
      </w:r>
      <w:r w:rsidR="00917A1A" w:rsidRPr="002C222D">
        <w:rPr>
          <w:rFonts w:ascii="Calibri Light" w:eastAsia="Calibri" w:hAnsi="Calibri Light" w:cs="Calibri Light"/>
          <w:bCs/>
          <w:i/>
          <w:sz w:val="20"/>
          <w:szCs w:val="20"/>
          <w:lang w:val="ru-RU"/>
        </w:rPr>
        <w:t>размеру</w:t>
      </w:r>
      <w:r w:rsidR="00917A1A" w:rsidRPr="00856CF2">
        <w:rPr>
          <w:rFonts w:ascii="Calibri Light" w:eastAsia="Calibri" w:hAnsi="Calibri Light" w:cs="Calibri Light"/>
          <w:bCs/>
          <w:i/>
          <w:sz w:val="20"/>
          <w:szCs w:val="20"/>
          <w:lang w:val="ru-RU"/>
        </w:rPr>
        <w:t xml:space="preserve"> </w:t>
      </w:r>
      <w:r w:rsidR="00917A1A" w:rsidRPr="002C222D">
        <w:rPr>
          <w:rFonts w:ascii="Calibri Light" w:eastAsia="Calibri" w:hAnsi="Calibri Light" w:cs="Calibri Light"/>
          <w:bCs/>
          <w:i/>
          <w:sz w:val="20"/>
          <w:szCs w:val="20"/>
          <w:lang w:val="ru-RU"/>
        </w:rPr>
        <w:t>из</w:t>
      </w:r>
      <w:r w:rsidR="00917A1A" w:rsidRPr="00856CF2">
        <w:rPr>
          <w:rFonts w:ascii="Calibri Light" w:eastAsia="Calibri" w:hAnsi="Calibri Light" w:cs="Calibri Light"/>
          <w:bCs/>
          <w:i/>
          <w:sz w:val="20"/>
          <w:szCs w:val="20"/>
          <w:lang w:val="ru-RU"/>
        </w:rPr>
        <w:t xml:space="preserve"> </w:t>
      </w:r>
      <w:r w:rsidR="00917A1A" w:rsidRPr="002C222D">
        <w:rPr>
          <w:rFonts w:ascii="Calibri Light" w:eastAsia="Calibri" w:hAnsi="Calibri Light" w:cs="Calibri Light"/>
          <w:bCs/>
          <w:i/>
          <w:sz w:val="20"/>
          <w:szCs w:val="20"/>
          <w:lang w:val="ru-RU"/>
        </w:rPr>
        <w:t>бюджета</w:t>
      </w:r>
      <w:r w:rsidR="00917A1A" w:rsidRPr="00856CF2">
        <w:rPr>
          <w:rFonts w:ascii="Calibri Light" w:eastAsia="Calibri" w:hAnsi="Calibri Light" w:cs="Calibri Light"/>
          <w:bCs/>
          <w:i/>
          <w:sz w:val="20"/>
          <w:szCs w:val="20"/>
          <w:lang w:val="ru-RU"/>
        </w:rPr>
        <w:t xml:space="preserve"> </w:t>
      </w:r>
      <w:r w:rsidR="00917A1A" w:rsidRPr="002C222D">
        <w:rPr>
          <w:rFonts w:ascii="Calibri Light" w:eastAsia="Calibri" w:hAnsi="Calibri Light" w:cs="Calibri Light"/>
          <w:bCs/>
          <w:i/>
          <w:sz w:val="20"/>
          <w:szCs w:val="20"/>
          <w:lang w:val="ru-RU"/>
        </w:rPr>
        <w:t>государственного</w:t>
      </w:r>
      <w:r w:rsidR="00917A1A" w:rsidRPr="00856CF2">
        <w:rPr>
          <w:rFonts w:ascii="Calibri Light" w:eastAsia="Calibri" w:hAnsi="Calibri Light" w:cs="Calibri Light"/>
          <w:bCs/>
          <w:i/>
          <w:sz w:val="20"/>
          <w:szCs w:val="20"/>
          <w:lang w:val="ru-RU"/>
        </w:rPr>
        <w:t xml:space="preserve"> </w:t>
      </w:r>
      <w:r w:rsidR="00917A1A" w:rsidRPr="002C222D">
        <w:rPr>
          <w:rFonts w:ascii="Calibri Light" w:eastAsia="Calibri" w:hAnsi="Calibri Light" w:cs="Calibri Light"/>
          <w:bCs/>
          <w:i/>
          <w:sz w:val="20"/>
          <w:szCs w:val="20"/>
          <w:lang w:val="ru-RU"/>
        </w:rPr>
        <w:t>социального</w:t>
      </w:r>
      <w:r w:rsidR="00917A1A" w:rsidRPr="00856CF2">
        <w:rPr>
          <w:rFonts w:ascii="Calibri Light" w:eastAsia="Calibri" w:hAnsi="Calibri Light" w:cs="Calibri Light"/>
          <w:bCs/>
          <w:i/>
          <w:sz w:val="20"/>
          <w:szCs w:val="20"/>
          <w:lang w:val="ru-RU"/>
        </w:rPr>
        <w:t xml:space="preserve"> </w:t>
      </w:r>
      <w:r w:rsidR="00917A1A" w:rsidRPr="002C222D">
        <w:rPr>
          <w:rFonts w:ascii="Calibri Light" w:eastAsia="Calibri" w:hAnsi="Calibri Light" w:cs="Calibri Light"/>
          <w:bCs/>
          <w:i/>
          <w:sz w:val="20"/>
          <w:szCs w:val="20"/>
          <w:lang w:val="ru-RU"/>
        </w:rPr>
        <w:t>страхования</w:t>
      </w:r>
      <w:r w:rsidR="00917A1A" w:rsidRPr="00856CF2">
        <w:rPr>
          <w:rFonts w:ascii="Calibri Light" w:eastAsia="Calibri" w:hAnsi="Calibri Light" w:cs="Calibri Light"/>
          <w:i/>
          <w:sz w:val="20"/>
          <w:szCs w:val="20"/>
          <w:lang w:val="ru-RU"/>
        </w:rPr>
        <w:t xml:space="preserve"> </w:t>
      </w:r>
      <w:r w:rsidR="00917A1A" w:rsidRPr="00E82CC1">
        <w:rPr>
          <w:rFonts w:ascii="Calibri Light" w:eastAsia="Calibri" w:hAnsi="Calibri Light" w:cs="Calibri Light"/>
          <w:i/>
          <w:sz w:val="20"/>
          <w:szCs w:val="20"/>
          <w:lang w:val="ro-RO"/>
        </w:rPr>
        <w:t>(</w:t>
      </w:r>
      <w:r w:rsidR="00917A1A">
        <w:rPr>
          <w:rFonts w:ascii="Calibri Light" w:eastAsia="Calibri" w:hAnsi="Calibri Light" w:cs="Calibri Light"/>
          <w:i/>
          <w:sz w:val="20"/>
          <w:szCs w:val="20"/>
          <w:lang w:val="ro-RO"/>
        </w:rPr>
        <w:t>Формуляр №</w:t>
      </w:r>
      <w:r w:rsidR="00917A1A" w:rsidRPr="00E82CC1">
        <w:rPr>
          <w:rFonts w:ascii="Calibri Light" w:eastAsia="Calibri" w:hAnsi="Calibri Light" w:cs="Calibri Light"/>
          <w:i/>
          <w:sz w:val="20"/>
          <w:szCs w:val="20"/>
          <w:lang w:val="ro-RO"/>
        </w:rPr>
        <w:t xml:space="preserve">5 </w:t>
      </w:r>
      <w:r w:rsidR="00917A1A">
        <w:rPr>
          <w:rFonts w:ascii="Calibri Light" w:eastAsia="Calibri" w:hAnsi="Calibri Light" w:cs="Calibri Light"/>
          <w:i/>
          <w:sz w:val="20"/>
          <w:szCs w:val="20"/>
          <w:lang w:val="ro-RO"/>
        </w:rPr>
        <w:t>НКСС</w:t>
      </w:r>
      <w:r w:rsidR="00917A1A" w:rsidRPr="00E82CC1">
        <w:rPr>
          <w:rFonts w:ascii="Calibri Light" w:eastAsia="Calibri" w:hAnsi="Calibri Light" w:cs="Calibri Light"/>
          <w:i/>
          <w:sz w:val="20"/>
          <w:szCs w:val="20"/>
          <w:lang w:val="ro-RO"/>
        </w:rPr>
        <w:t xml:space="preserve"> </w:t>
      </w:r>
      <w:r w:rsidR="00917A1A">
        <w:rPr>
          <w:rFonts w:ascii="Calibri Light" w:eastAsia="Calibri" w:hAnsi="Calibri Light" w:cs="Calibri Light"/>
          <w:i/>
          <w:sz w:val="20"/>
          <w:szCs w:val="20"/>
          <w:lang w:val="ru-RU"/>
        </w:rPr>
        <w:t>за</w:t>
      </w:r>
      <w:r w:rsidR="00917A1A" w:rsidRPr="00E82CC1">
        <w:rPr>
          <w:rFonts w:ascii="Calibri Light" w:eastAsia="Calibri" w:hAnsi="Calibri Light" w:cs="Calibri Light"/>
          <w:i/>
          <w:sz w:val="20"/>
          <w:szCs w:val="20"/>
          <w:lang w:val="ro-RO"/>
        </w:rPr>
        <w:t xml:space="preserve"> 2019,</w:t>
      </w:r>
      <w:r w:rsidR="00917A1A">
        <w:rPr>
          <w:rFonts w:ascii="Calibri Light" w:eastAsia="Calibri" w:hAnsi="Calibri Light" w:cs="Calibri Light"/>
          <w:i/>
          <w:sz w:val="20"/>
          <w:szCs w:val="20"/>
          <w:lang w:val="ro-RO"/>
        </w:rPr>
        <w:t xml:space="preserve"> </w:t>
      </w:r>
      <w:r w:rsidR="00917A1A" w:rsidRPr="00E82CC1">
        <w:rPr>
          <w:rFonts w:ascii="Calibri Light" w:eastAsia="Calibri" w:hAnsi="Calibri Light" w:cs="Calibri Light"/>
          <w:i/>
          <w:sz w:val="20"/>
          <w:szCs w:val="20"/>
          <w:lang w:val="ro-RO"/>
        </w:rPr>
        <w:t>2020</w:t>
      </w:r>
      <w:r w:rsidR="00EF5A50" w:rsidRPr="00856CF2">
        <w:rPr>
          <w:rFonts w:ascii="Calibri Light" w:eastAsia="Calibri" w:hAnsi="Calibri Light" w:cs="Calibri Light"/>
          <w:i/>
          <w:sz w:val="20"/>
          <w:szCs w:val="20"/>
          <w:lang w:val="ru-RU"/>
        </w:rPr>
        <w:t xml:space="preserve">, </w:t>
      </w:r>
      <w:r w:rsidR="00917A1A" w:rsidRPr="00E82CC1">
        <w:rPr>
          <w:rFonts w:ascii="Calibri Light" w:eastAsia="Calibri" w:hAnsi="Calibri Light" w:cs="Calibri Light"/>
          <w:i/>
          <w:sz w:val="20"/>
          <w:szCs w:val="20"/>
          <w:lang w:val="ro-RO"/>
        </w:rPr>
        <w:t>2021</w:t>
      </w:r>
      <w:r w:rsidR="00EF5A50" w:rsidRPr="00856CF2">
        <w:rPr>
          <w:rFonts w:ascii="Calibri Light" w:eastAsia="Calibri" w:hAnsi="Calibri Light" w:cs="Calibri Light"/>
          <w:i/>
          <w:sz w:val="20"/>
          <w:szCs w:val="20"/>
          <w:lang w:val="ru-RU"/>
        </w:rPr>
        <w:t xml:space="preserve"> </w:t>
      </w:r>
      <w:r w:rsidR="00EF5A50">
        <w:rPr>
          <w:rFonts w:ascii="Calibri Light" w:eastAsia="Calibri" w:hAnsi="Calibri Light" w:cs="Calibri Light"/>
          <w:i/>
          <w:sz w:val="20"/>
          <w:szCs w:val="20"/>
          <w:lang w:val="ru-RU"/>
        </w:rPr>
        <w:t>и</w:t>
      </w:r>
      <w:r w:rsidR="00EF5A50" w:rsidRPr="00856CF2">
        <w:rPr>
          <w:rFonts w:ascii="Calibri Light" w:eastAsia="Calibri" w:hAnsi="Calibri Light" w:cs="Calibri Light"/>
          <w:i/>
          <w:sz w:val="20"/>
          <w:szCs w:val="20"/>
          <w:lang w:val="ru-RU"/>
        </w:rPr>
        <w:t xml:space="preserve"> 2022</w:t>
      </w:r>
      <w:r w:rsidR="00917A1A" w:rsidRPr="00856CF2">
        <w:rPr>
          <w:rFonts w:ascii="Calibri Light" w:eastAsia="Calibri" w:hAnsi="Calibri Light" w:cs="Calibri Light"/>
          <w:i/>
          <w:sz w:val="20"/>
          <w:szCs w:val="20"/>
          <w:lang w:val="ru-RU"/>
        </w:rPr>
        <w:t xml:space="preserve"> </w:t>
      </w:r>
      <w:r w:rsidR="00917A1A">
        <w:rPr>
          <w:rFonts w:ascii="Calibri Light" w:eastAsia="Calibri" w:hAnsi="Calibri Light" w:cs="Calibri Light"/>
          <w:i/>
          <w:sz w:val="20"/>
          <w:szCs w:val="20"/>
          <w:lang w:val="ru-RU"/>
        </w:rPr>
        <w:t>годы</w:t>
      </w:r>
      <w:r w:rsidR="00917A1A">
        <w:rPr>
          <w:rFonts w:ascii="Calibri Light" w:eastAsia="Calibri" w:hAnsi="Calibri Light" w:cs="Calibri Light"/>
          <w:i/>
          <w:sz w:val="20"/>
          <w:szCs w:val="20"/>
          <w:lang w:val="ro-RO"/>
        </w:rPr>
        <w:t>)</w:t>
      </w:r>
      <w:r w:rsidR="003D0784" w:rsidRPr="00736448">
        <w:rPr>
          <w:rFonts w:ascii="Calibri Light" w:eastAsia="Calibri" w:hAnsi="Calibri Light" w:cs="Calibri Light"/>
          <w:i/>
          <w:sz w:val="20"/>
          <w:szCs w:val="20"/>
          <w:lang w:val="ro-MD"/>
        </w:rPr>
        <w:t>.</w:t>
      </w:r>
    </w:p>
    <w:p w14:paraId="30965857" w14:textId="77777777" w:rsidR="008D4E9B" w:rsidRDefault="008D4E9B" w:rsidP="00A25BFF">
      <w:pPr>
        <w:pStyle w:val="2"/>
        <w:spacing w:line="276" w:lineRule="auto"/>
        <w:jc w:val="right"/>
        <w:rPr>
          <w:rFonts w:cstheme="majorHAnsi"/>
          <w:b/>
          <w:color w:val="000000" w:themeColor="text1"/>
          <w:sz w:val="24"/>
          <w:szCs w:val="24"/>
          <w:lang w:val="ro-MD"/>
        </w:rPr>
      </w:pPr>
    </w:p>
    <w:p w14:paraId="4ECD0F92" w14:textId="16E0291F" w:rsidR="00A25BFF" w:rsidRPr="00736448" w:rsidRDefault="00FC62B3" w:rsidP="00A25BFF">
      <w:pPr>
        <w:pStyle w:val="2"/>
        <w:spacing w:line="276" w:lineRule="auto"/>
        <w:jc w:val="right"/>
        <w:rPr>
          <w:rFonts w:cstheme="majorHAnsi"/>
          <w:b/>
          <w:color w:val="000000" w:themeColor="text1"/>
          <w:sz w:val="24"/>
          <w:szCs w:val="24"/>
          <w:lang w:val="ro-MD"/>
        </w:rPr>
      </w:pPr>
      <w:r>
        <w:rPr>
          <w:rFonts w:cstheme="majorHAnsi"/>
          <w:b/>
          <w:color w:val="000000" w:themeColor="text1"/>
          <w:sz w:val="24"/>
          <w:szCs w:val="24"/>
          <w:lang w:val="ro-MD"/>
        </w:rPr>
        <w:t>Приложение №</w:t>
      </w:r>
      <w:r w:rsidR="00A25BFF" w:rsidRPr="00736448">
        <w:rPr>
          <w:rFonts w:cstheme="majorHAnsi"/>
          <w:b/>
          <w:color w:val="000000" w:themeColor="text1"/>
          <w:sz w:val="24"/>
          <w:szCs w:val="24"/>
          <w:lang w:val="ro-MD"/>
        </w:rPr>
        <w:t xml:space="preserve"> </w:t>
      </w:r>
      <w:r w:rsidR="008B5EDB" w:rsidRPr="00736448">
        <w:rPr>
          <w:rFonts w:cstheme="majorHAnsi"/>
          <w:b/>
          <w:color w:val="000000" w:themeColor="text1"/>
          <w:sz w:val="24"/>
          <w:szCs w:val="24"/>
          <w:lang w:val="ro-MD"/>
        </w:rPr>
        <w:t>22</w:t>
      </w:r>
    </w:p>
    <w:p w14:paraId="2BDB250A" w14:textId="688DD013" w:rsidR="00A25BFF" w:rsidRPr="00736448" w:rsidRDefault="00856CF2" w:rsidP="00A25BFF">
      <w:pPr>
        <w:spacing w:line="276" w:lineRule="auto"/>
        <w:jc w:val="center"/>
        <w:rPr>
          <w:rFonts w:asciiTheme="majorHAnsi" w:hAnsiTheme="majorHAnsi" w:cstheme="majorHAnsi"/>
          <w:b/>
          <w:sz w:val="24"/>
          <w:szCs w:val="24"/>
          <w:lang w:val="ro-MD"/>
        </w:rPr>
      </w:pPr>
      <w:r w:rsidRPr="00B419F0">
        <w:rPr>
          <w:rFonts w:asciiTheme="majorHAnsi" w:hAnsiTheme="majorHAnsi" w:cstheme="majorHAnsi"/>
          <w:b/>
          <w:sz w:val="24"/>
          <w:szCs w:val="24"/>
          <w:lang w:val="ro-RO"/>
        </w:rPr>
        <w:t>Анализ выполнения рекомендаций, направленных Счетной палатой</w:t>
      </w:r>
      <w:r>
        <w:rPr>
          <w:rFonts w:asciiTheme="majorHAnsi" w:hAnsiTheme="majorHAnsi" w:cstheme="majorHAnsi"/>
          <w:b/>
          <w:sz w:val="24"/>
          <w:szCs w:val="24"/>
          <w:lang w:val="ro-RO"/>
        </w:rPr>
        <w:t xml:space="preserve"> </w:t>
      </w:r>
    </w:p>
    <w:tbl>
      <w:tblPr>
        <w:tblW w:w="144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906"/>
        <w:gridCol w:w="8190"/>
        <w:gridCol w:w="810"/>
        <w:gridCol w:w="900"/>
        <w:gridCol w:w="990"/>
      </w:tblGrid>
      <w:tr w:rsidR="00A25BFF" w:rsidRPr="00B7675F" w14:paraId="5DC1D358" w14:textId="77777777" w:rsidTr="00860800">
        <w:trPr>
          <w:trHeight w:val="20"/>
        </w:trPr>
        <w:tc>
          <w:tcPr>
            <w:tcW w:w="604" w:type="dxa"/>
            <w:vMerge w:val="restart"/>
            <w:shd w:val="clear" w:color="auto" w:fill="FFFFFF" w:themeFill="background1"/>
            <w:noWrap/>
            <w:vAlign w:val="center"/>
            <w:hideMark/>
          </w:tcPr>
          <w:p w14:paraId="1128B1AC" w14:textId="2A5F0C2D" w:rsidR="00A25BFF" w:rsidRPr="00125D65" w:rsidRDefault="00125D65" w:rsidP="00860800">
            <w:pPr>
              <w:spacing w:after="0" w:line="240" w:lineRule="auto"/>
              <w:jc w:val="center"/>
              <w:rPr>
                <w:rFonts w:asciiTheme="majorHAnsi" w:eastAsia="Times New Roman" w:hAnsiTheme="majorHAnsi" w:cstheme="majorHAnsi"/>
                <w:b/>
                <w:bCs/>
                <w:sz w:val="18"/>
                <w:szCs w:val="18"/>
                <w:lang w:val="ru-RU"/>
              </w:rPr>
            </w:pPr>
            <w:r>
              <w:rPr>
                <w:rFonts w:asciiTheme="majorHAnsi" w:eastAsia="Times New Roman" w:hAnsiTheme="majorHAnsi" w:cstheme="majorHAnsi"/>
                <w:b/>
                <w:bCs/>
                <w:sz w:val="18"/>
                <w:szCs w:val="18"/>
                <w:lang w:val="ru-RU"/>
              </w:rPr>
              <w:t>№</w:t>
            </w:r>
          </w:p>
        </w:tc>
        <w:tc>
          <w:tcPr>
            <w:tcW w:w="2906" w:type="dxa"/>
            <w:vMerge w:val="restart"/>
            <w:shd w:val="clear" w:color="auto" w:fill="FFFFFF" w:themeFill="background1"/>
            <w:vAlign w:val="center"/>
            <w:hideMark/>
          </w:tcPr>
          <w:p w14:paraId="6134E06F" w14:textId="77EBB912" w:rsidR="00A25BFF" w:rsidRPr="00125D65" w:rsidRDefault="00125D65" w:rsidP="00860800">
            <w:pPr>
              <w:spacing w:after="0" w:line="240" w:lineRule="auto"/>
              <w:jc w:val="center"/>
              <w:rPr>
                <w:rFonts w:asciiTheme="majorHAnsi" w:eastAsia="Times New Roman" w:hAnsiTheme="majorHAnsi" w:cstheme="majorHAnsi"/>
                <w:bCs/>
                <w:sz w:val="18"/>
                <w:szCs w:val="18"/>
                <w:lang w:val="ru-RU"/>
              </w:rPr>
            </w:pPr>
            <w:r>
              <w:rPr>
                <w:rFonts w:asciiTheme="majorHAnsi" w:eastAsia="Times New Roman" w:hAnsiTheme="majorHAnsi" w:cstheme="majorHAnsi"/>
                <w:bCs/>
                <w:sz w:val="18"/>
                <w:szCs w:val="18"/>
                <w:lang w:val="ru-RU"/>
              </w:rPr>
              <w:t>Рекомендация</w:t>
            </w:r>
          </w:p>
        </w:tc>
        <w:tc>
          <w:tcPr>
            <w:tcW w:w="8190" w:type="dxa"/>
            <w:vMerge w:val="restart"/>
            <w:shd w:val="clear" w:color="auto" w:fill="FFFFFF" w:themeFill="background1"/>
            <w:vAlign w:val="center"/>
            <w:hideMark/>
          </w:tcPr>
          <w:p w14:paraId="4492F111" w14:textId="13146CA9" w:rsidR="00A25BFF" w:rsidRPr="00856CF2" w:rsidRDefault="00856CF2" w:rsidP="00860800">
            <w:pPr>
              <w:spacing w:after="0" w:line="240" w:lineRule="auto"/>
              <w:jc w:val="center"/>
              <w:rPr>
                <w:rFonts w:asciiTheme="majorHAnsi" w:eastAsia="Times New Roman" w:hAnsiTheme="majorHAnsi" w:cstheme="majorHAnsi"/>
                <w:b/>
                <w:bCs/>
                <w:sz w:val="18"/>
                <w:szCs w:val="18"/>
                <w:lang w:val="ru-RU"/>
              </w:rPr>
            </w:pPr>
            <w:r>
              <w:rPr>
                <w:rFonts w:asciiTheme="majorHAnsi" w:eastAsia="Times New Roman" w:hAnsiTheme="majorHAnsi" w:cstheme="majorHAnsi"/>
                <w:b/>
                <w:bCs/>
                <w:sz w:val="18"/>
                <w:szCs w:val="18"/>
                <w:lang w:val="ru-RU"/>
              </w:rPr>
              <w:t>Принятые меры</w:t>
            </w:r>
          </w:p>
        </w:tc>
        <w:tc>
          <w:tcPr>
            <w:tcW w:w="2700" w:type="dxa"/>
            <w:gridSpan w:val="3"/>
            <w:shd w:val="clear" w:color="auto" w:fill="FFFFFF" w:themeFill="background1"/>
          </w:tcPr>
          <w:p w14:paraId="543704D9" w14:textId="0CB1721D" w:rsidR="00A25BFF" w:rsidRPr="00736448" w:rsidRDefault="00125D65" w:rsidP="00125D65">
            <w:pPr>
              <w:spacing w:after="0" w:line="240" w:lineRule="auto"/>
              <w:jc w:val="center"/>
              <w:rPr>
                <w:rFonts w:asciiTheme="majorHAnsi" w:eastAsia="Times New Roman" w:hAnsiTheme="majorHAnsi" w:cstheme="majorHAnsi"/>
                <w:b/>
                <w:bCs/>
                <w:sz w:val="18"/>
                <w:szCs w:val="18"/>
                <w:lang w:val="ro-MD"/>
              </w:rPr>
            </w:pPr>
            <w:r>
              <w:rPr>
                <w:rFonts w:asciiTheme="majorHAnsi" w:eastAsia="Times New Roman" w:hAnsiTheme="majorHAnsi" w:cstheme="majorHAnsi"/>
                <w:b/>
                <w:bCs/>
                <w:sz w:val="18"/>
                <w:szCs w:val="18"/>
                <w:lang w:val="ru-RU"/>
              </w:rPr>
              <w:t>Статус вввнедрения рекомендации</w:t>
            </w:r>
          </w:p>
        </w:tc>
      </w:tr>
      <w:tr w:rsidR="00A25BFF" w:rsidRPr="00B7675F" w14:paraId="732ED3F5" w14:textId="77777777" w:rsidTr="00860800">
        <w:trPr>
          <w:trHeight w:val="20"/>
        </w:trPr>
        <w:tc>
          <w:tcPr>
            <w:tcW w:w="604" w:type="dxa"/>
            <w:vMerge/>
            <w:shd w:val="clear" w:color="auto" w:fill="FFFFFF" w:themeFill="background1"/>
            <w:noWrap/>
            <w:vAlign w:val="center"/>
          </w:tcPr>
          <w:p w14:paraId="6FD5C0FD"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2906" w:type="dxa"/>
            <w:vMerge/>
            <w:shd w:val="clear" w:color="auto" w:fill="FFFFFF" w:themeFill="background1"/>
          </w:tcPr>
          <w:p w14:paraId="7659AAEF"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8190" w:type="dxa"/>
            <w:vMerge/>
            <w:shd w:val="clear" w:color="auto" w:fill="FFFFFF" w:themeFill="background1"/>
          </w:tcPr>
          <w:p w14:paraId="68FF8AEF"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810" w:type="dxa"/>
            <w:shd w:val="clear" w:color="auto" w:fill="FFFFFF" w:themeFill="background1"/>
          </w:tcPr>
          <w:p w14:paraId="2E81D342" w14:textId="4FEBFDAE" w:rsidR="00A25BFF" w:rsidRPr="00125D65" w:rsidRDefault="00125D65" w:rsidP="00860800">
            <w:pPr>
              <w:spacing w:after="0" w:line="240" w:lineRule="auto"/>
              <w:jc w:val="center"/>
              <w:rPr>
                <w:rFonts w:asciiTheme="majorHAnsi" w:eastAsia="Times New Roman" w:hAnsiTheme="majorHAnsi" w:cstheme="majorHAnsi"/>
                <w:b/>
                <w:bCs/>
                <w:sz w:val="18"/>
                <w:szCs w:val="18"/>
                <w:lang w:val="ru-RU"/>
              </w:rPr>
            </w:pPr>
            <w:r>
              <w:rPr>
                <w:rFonts w:asciiTheme="majorHAnsi" w:eastAsia="Times New Roman" w:hAnsiTheme="majorHAnsi" w:cstheme="majorHAnsi"/>
                <w:b/>
                <w:bCs/>
                <w:sz w:val="18"/>
                <w:szCs w:val="18"/>
                <w:lang w:val="ru-RU"/>
              </w:rPr>
              <w:t>реализована</w:t>
            </w:r>
          </w:p>
        </w:tc>
        <w:tc>
          <w:tcPr>
            <w:tcW w:w="900" w:type="dxa"/>
            <w:shd w:val="clear" w:color="auto" w:fill="FFFFFF" w:themeFill="background1"/>
          </w:tcPr>
          <w:p w14:paraId="1AE226BB" w14:textId="334FF641" w:rsidR="00A25BFF" w:rsidRPr="00125D65" w:rsidRDefault="00125D65" w:rsidP="00860800">
            <w:pPr>
              <w:spacing w:after="0" w:line="240" w:lineRule="auto"/>
              <w:jc w:val="center"/>
              <w:rPr>
                <w:rFonts w:asciiTheme="majorHAnsi" w:eastAsia="Times New Roman" w:hAnsiTheme="majorHAnsi" w:cstheme="majorHAnsi"/>
                <w:b/>
                <w:bCs/>
                <w:sz w:val="18"/>
                <w:szCs w:val="18"/>
                <w:lang w:val="ru-RU"/>
              </w:rPr>
            </w:pPr>
            <w:r>
              <w:rPr>
                <w:rFonts w:asciiTheme="majorHAnsi" w:eastAsia="Times New Roman" w:hAnsiTheme="majorHAnsi" w:cstheme="majorHAnsi"/>
                <w:b/>
                <w:bCs/>
                <w:sz w:val="18"/>
                <w:szCs w:val="18"/>
                <w:lang w:val="ru-RU"/>
              </w:rPr>
              <w:t>реализована частично</w:t>
            </w:r>
          </w:p>
        </w:tc>
        <w:tc>
          <w:tcPr>
            <w:tcW w:w="990" w:type="dxa"/>
            <w:shd w:val="clear" w:color="auto" w:fill="FFFFFF" w:themeFill="background1"/>
          </w:tcPr>
          <w:p w14:paraId="70F49CC3" w14:textId="3A393A6E" w:rsidR="00A25BFF" w:rsidRPr="00125D65" w:rsidRDefault="00125D65" w:rsidP="00860800">
            <w:pPr>
              <w:spacing w:after="0" w:line="240" w:lineRule="auto"/>
              <w:jc w:val="center"/>
              <w:rPr>
                <w:rFonts w:asciiTheme="majorHAnsi" w:eastAsia="Times New Roman" w:hAnsiTheme="majorHAnsi" w:cstheme="majorHAnsi"/>
                <w:b/>
                <w:bCs/>
                <w:sz w:val="18"/>
                <w:szCs w:val="18"/>
                <w:lang w:val="ru-RU"/>
              </w:rPr>
            </w:pPr>
            <w:r>
              <w:rPr>
                <w:rFonts w:asciiTheme="majorHAnsi" w:eastAsia="Times New Roman" w:hAnsiTheme="majorHAnsi" w:cstheme="majorHAnsi"/>
                <w:b/>
                <w:bCs/>
                <w:sz w:val="18"/>
                <w:szCs w:val="18"/>
                <w:lang w:val="ru-RU"/>
              </w:rPr>
              <w:t>не реализована</w:t>
            </w:r>
          </w:p>
        </w:tc>
      </w:tr>
      <w:tr w:rsidR="00A25BFF" w:rsidRPr="002C203D" w14:paraId="48411263" w14:textId="77777777" w:rsidTr="00B27804">
        <w:trPr>
          <w:trHeight w:val="20"/>
        </w:trPr>
        <w:tc>
          <w:tcPr>
            <w:tcW w:w="14400" w:type="dxa"/>
            <w:gridSpan w:val="6"/>
            <w:shd w:val="clear" w:color="auto" w:fill="FFFFFF" w:themeFill="background1"/>
            <w:noWrap/>
          </w:tcPr>
          <w:p w14:paraId="6686463A" w14:textId="4A184724" w:rsidR="00A25BFF" w:rsidRPr="00736448" w:rsidRDefault="002C203D" w:rsidP="00860800">
            <w:pPr>
              <w:spacing w:after="0" w:line="240" w:lineRule="auto"/>
              <w:jc w:val="center"/>
              <w:rPr>
                <w:rFonts w:asciiTheme="majorHAnsi" w:eastAsia="Times New Roman" w:hAnsiTheme="majorHAnsi" w:cstheme="majorHAnsi"/>
                <w:b/>
                <w:bCs/>
                <w:i/>
                <w:iCs/>
                <w:sz w:val="18"/>
                <w:szCs w:val="18"/>
                <w:lang w:val="ro-MD"/>
              </w:rPr>
            </w:pPr>
            <w:r w:rsidRPr="002C203D">
              <w:rPr>
                <w:rFonts w:asciiTheme="majorHAnsi" w:hAnsiTheme="majorHAnsi" w:cstheme="majorHAnsi"/>
                <w:b/>
                <w:bCs/>
                <w:i/>
                <w:iCs/>
                <w:color w:val="000000" w:themeColor="text1"/>
                <w:sz w:val="18"/>
                <w:szCs w:val="18"/>
                <w:lang w:val="ro-RO"/>
              </w:rPr>
              <w:t>Рекомендации Минист</w:t>
            </w:r>
            <w:r w:rsidRPr="002C203D">
              <w:rPr>
                <w:rFonts w:asciiTheme="majorHAnsi" w:hAnsiTheme="majorHAnsi" w:cstheme="majorHAnsi"/>
                <w:b/>
                <w:bCs/>
                <w:i/>
                <w:iCs/>
                <w:color w:val="000000" w:themeColor="text1"/>
                <w:sz w:val="18"/>
                <w:szCs w:val="18"/>
                <w:lang w:val="ru-RU"/>
              </w:rPr>
              <w:t>ерству</w:t>
            </w:r>
            <w:r w:rsidRPr="002C203D">
              <w:rPr>
                <w:rFonts w:asciiTheme="majorHAnsi" w:hAnsiTheme="majorHAnsi" w:cstheme="majorHAnsi"/>
                <w:b/>
                <w:bCs/>
                <w:i/>
                <w:iCs/>
                <w:color w:val="000000" w:themeColor="text1"/>
                <w:sz w:val="18"/>
                <w:szCs w:val="18"/>
                <w:lang w:val="ro-RO"/>
              </w:rPr>
              <w:t xml:space="preserve"> труда и социальной защиты</w:t>
            </w:r>
          </w:p>
        </w:tc>
      </w:tr>
      <w:tr w:rsidR="00A25BFF" w:rsidRPr="00B7675F" w14:paraId="38AF7336" w14:textId="77777777" w:rsidTr="00B27804">
        <w:trPr>
          <w:trHeight w:val="20"/>
        </w:trPr>
        <w:tc>
          <w:tcPr>
            <w:tcW w:w="604" w:type="dxa"/>
            <w:vMerge w:val="restart"/>
            <w:shd w:val="clear" w:color="auto" w:fill="FFFFFF" w:themeFill="background1"/>
            <w:noWrap/>
            <w:vAlign w:val="center"/>
          </w:tcPr>
          <w:p w14:paraId="036B2859"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w:t>
            </w:r>
          </w:p>
        </w:tc>
        <w:tc>
          <w:tcPr>
            <w:tcW w:w="2906" w:type="dxa"/>
            <w:shd w:val="clear" w:color="auto" w:fill="auto"/>
          </w:tcPr>
          <w:p w14:paraId="40F7A3A4" w14:textId="4FFAD3A3" w:rsidR="00A25BFF" w:rsidRPr="00736448" w:rsidRDefault="002C203D" w:rsidP="00860800">
            <w:pPr>
              <w:pStyle w:val="aa"/>
              <w:numPr>
                <w:ilvl w:val="0"/>
                <w:numId w:val="18"/>
              </w:numPr>
              <w:spacing w:after="0" w:line="240" w:lineRule="auto"/>
              <w:ind w:left="0" w:firstLine="0"/>
              <w:jc w:val="both"/>
              <w:rPr>
                <w:rFonts w:asciiTheme="majorHAnsi" w:eastAsia="Times New Roman" w:hAnsiTheme="majorHAnsi" w:cstheme="majorHAnsi"/>
                <w:sz w:val="18"/>
                <w:szCs w:val="18"/>
                <w:lang w:val="ro-MD"/>
              </w:rPr>
            </w:pPr>
            <w:r w:rsidRPr="002C203D">
              <w:rPr>
                <w:rFonts w:asciiTheme="majorHAnsi" w:hAnsiTheme="majorHAnsi" w:cstheme="majorHAnsi"/>
                <w:i/>
                <w:color w:val="000000" w:themeColor="text1"/>
                <w:sz w:val="18"/>
                <w:szCs w:val="18"/>
                <w:lang w:val="ro-RO"/>
              </w:rPr>
              <w:t xml:space="preserve">Проанализировать проблемы процесса установления, начисления и выплаты социальных пособий и пособий на холодный период года, с принятием конкретных мер по обеспечению взаимодействия вовлеченных сторон, в том числе усилением статуса Государственной социальной </w:t>
            </w:r>
            <w:r w:rsidRPr="002C203D">
              <w:rPr>
                <w:rFonts w:asciiTheme="majorHAnsi" w:hAnsiTheme="majorHAnsi" w:cstheme="majorHAnsi"/>
                <w:i/>
                <w:color w:val="000000" w:themeColor="text1"/>
                <w:sz w:val="18"/>
                <w:szCs w:val="18"/>
                <w:lang w:val="ru-RU"/>
              </w:rPr>
              <w:t>и</w:t>
            </w:r>
            <w:r w:rsidRPr="002C203D">
              <w:rPr>
                <w:rFonts w:asciiTheme="majorHAnsi" w:hAnsiTheme="majorHAnsi" w:cstheme="majorHAnsi"/>
                <w:i/>
                <w:color w:val="000000" w:themeColor="text1"/>
                <w:sz w:val="18"/>
                <w:szCs w:val="18"/>
                <w:lang w:val="ro-RO"/>
              </w:rPr>
              <w:t>нспекци</w:t>
            </w:r>
            <w:r w:rsidRPr="002C203D">
              <w:rPr>
                <w:rFonts w:asciiTheme="majorHAnsi" w:hAnsiTheme="majorHAnsi" w:cstheme="majorHAnsi"/>
                <w:i/>
                <w:color w:val="000000" w:themeColor="text1"/>
                <w:sz w:val="18"/>
                <w:szCs w:val="18"/>
                <w:lang w:val="ru-RU"/>
              </w:rPr>
              <w:t>и</w:t>
            </w:r>
          </w:p>
        </w:tc>
        <w:tc>
          <w:tcPr>
            <w:tcW w:w="8190" w:type="dxa"/>
            <w:shd w:val="clear" w:color="auto" w:fill="auto"/>
          </w:tcPr>
          <w:p w14:paraId="774DA517" w14:textId="72CFD212" w:rsidR="00A25BFF" w:rsidRPr="00736448" w:rsidRDefault="008D4E9B" w:rsidP="008D4E9B">
            <w:pPr>
              <w:spacing w:after="0" w:line="240" w:lineRule="auto"/>
              <w:jc w:val="both"/>
              <w:rPr>
                <w:rFonts w:asciiTheme="majorHAnsi" w:eastAsia="Times New Roman" w:hAnsiTheme="majorHAnsi" w:cstheme="majorHAnsi"/>
                <w:sz w:val="18"/>
                <w:szCs w:val="18"/>
                <w:lang w:val="ro-MD"/>
              </w:rPr>
            </w:pPr>
            <w:r w:rsidRPr="008D4E9B">
              <w:rPr>
                <w:rFonts w:asciiTheme="majorHAnsi" w:hAnsiTheme="majorHAnsi" w:cstheme="majorHAnsi"/>
                <w:color w:val="000000" w:themeColor="text1"/>
                <w:sz w:val="18"/>
                <w:szCs w:val="18"/>
                <w:lang w:val="ro-MD"/>
              </w:rPr>
              <w:t xml:space="preserve">Не </w:t>
            </w:r>
            <w:r>
              <w:rPr>
                <w:rFonts w:asciiTheme="majorHAnsi" w:hAnsiTheme="majorHAnsi" w:cstheme="majorHAnsi"/>
                <w:color w:val="000000" w:themeColor="text1"/>
                <w:sz w:val="18"/>
                <w:szCs w:val="18"/>
                <w:lang w:val="ru-RU"/>
              </w:rPr>
              <w:t xml:space="preserve">были </w:t>
            </w:r>
            <w:r w:rsidRPr="008D4E9B">
              <w:rPr>
                <w:rFonts w:asciiTheme="majorHAnsi" w:hAnsiTheme="majorHAnsi" w:cstheme="majorHAnsi"/>
                <w:color w:val="000000" w:themeColor="text1"/>
                <w:sz w:val="18"/>
                <w:szCs w:val="18"/>
                <w:lang w:val="ro-MD"/>
              </w:rPr>
              <w:t>представ</w:t>
            </w:r>
            <w:r>
              <w:rPr>
                <w:rFonts w:asciiTheme="majorHAnsi" w:hAnsiTheme="majorHAnsi" w:cstheme="majorHAnsi"/>
                <w:color w:val="000000" w:themeColor="text1"/>
                <w:sz w:val="18"/>
                <w:szCs w:val="18"/>
                <w:lang w:val="ru-RU"/>
              </w:rPr>
              <w:t>лены</w:t>
            </w:r>
            <w:r w:rsidRPr="008D4E9B">
              <w:rPr>
                <w:rFonts w:asciiTheme="majorHAnsi" w:hAnsiTheme="majorHAnsi" w:cstheme="majorHAnsi"/>
                <w:color w:val="000000" w:themeColor="text1"/>
                <w:sz w:val="18"/>
                <w:szCs w:val="18"/>
                <w:lang w:val="ro-MD"/>
              </w:rPr>
              <w:t xml:space="preserve"> никаки</w:t>
            </w:r>
            <w:r>
              <w:rPr>
                <w:rFonts w:asciiTheme="majorHAnsi" w:hAnsiTheme="majorHAnsi" w:cstheme="majorHAnsi"/>
                <w:color w:val="000000" w:themeColor="text1"/>
                <w:sz w:val="18"/>
                <w:szCs w:val="18"/>
                <w:lang w:val="ru-RU"/>
              </w:rPr>
              <w:t>е</w:t>
            </w:r>
            <w:r w:rsidRPr="008D4E9B">
              <w:rPr>
                <w:rFonts w:asciiTheme="majorHAnsi" w:hAnsiTheme="majorHAnsi" w:cstheme="majorHAnsi"/>
                <w:color w:val="000000" w:themeColor="text1"/>
                <w:sz w:val="18"/>
                <w:szCs w:val="18"/>
                <w:lang w:val="ro-MD"/>
              </w:rPr>
              <w:t xml:space="preserve"> документ</w:t>
            </w:r>
            <w:r>
              <w:rPr>
                <w:rFonts w:asciiTheme="majorHAnsi" w:hAnsiTheme="majorHAnsi" w:cstheme="majorHAnsi"/>
                <w:color w:val="000000" w:themeColor="text1"/>
                <w:sz w:val="18"/>
                <w:szCs w:val="18"/>
                <w:lang w:val="ru-RU"/>
              </w:rPr>
              <w:t>ы</w:t>
            </w:r>
            <w:r w:rsidRPr="008D4E9B">
              <w:rPr>
                <w:rFonts w:asciiTheme="majorHAnsi" w:hAnsiTheme="majorHAnsi" w:cstheme="majorHAnsi"/>
                <w:color w:val="000000" w:themeColor="text1"/>
                <w:sz w:val="18"/>
                <w:szCs w:val="18"/>
                <w:lang w:val="ro-MD"/>
              </w:rPr>
              <w:t xml:space="preserve"> о реализации рекомендаций</w:t>
            </w:r>
          </w:p>
        </w:tc>
        <w:tc>
          <w:tcPr>
            <w:tcW w:w="810" w:type="dxa"/>
            <w:shd w:val="clear" w:color="auto" w:fill="auto"/>
          </w:tcPr>
          <w:p w14:paraId="78C34D60"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900" w:type="dxa"/>
            <w:shd w:val="clear" w:color="auto" w:fill="auto"/>
          </w:tcPr>
          <w:p w14:paraId="777C5CF9" w14:textId="77777777" w:rsidR="00A25BFF" w:rsidRPr="00736448" w:rsidRDefault="00A25BFF" w:rsidP="00860800">
            <w:pPr>
              <w:spacing w:after="0" w:line="240" w:lineRule="auto"/>
              <w:rPr>
                <w:rFonts w:asciiTheme="majorHAnsi" w:eastAsia="Times New Roman" w:hAnsiTheme="majorHAnsi" w:cstheme="majorHAnsi"/>
                <w:bCs/>
                <w:iCs/>
                <w:sz w:val="18"/>
                <w:szCs w:val="18"/>
                <w:lang w:val="ro-MD"/>
              </w:rPr>
            </w:pPr>
          </w:p>
        </w:tc>
        <w:tc>
          <w:tcPr>
            <w:tcW w:w="990" w:type="dxa"/>
          </w:tcPr>
          <w:p w14:paraId="7907BB75" w14:textId="77777777" w:rsidR="00A25BFF" w:rsidRPr="00736448" w:rsidRDefault="00A25BFF" w:rsidP="00860800">
            <w:pPr>
              <w:spacing w:after="0" w:line="240" w:lineRule="auto"/>
              <w:jc w:val="center"/>
              <w:rPr>
                <w:rFonts w:asciiTheme="majorHAnsi" w:eastAsia="Times New Roman" w:hAnsiTheme="majorHAnsi" w:cstheme="majorHAnsi"/>
                <w:b/>
                <w:bCs/>
                <w:iCs/>
                <w:sz w:val="18"/>
                <w:szCs w:val="18"/>
                <w:lang w:val="ro-MD"/>
              </w:rPr>
            </w:pPr>
            <w:r w:rsidRPr="00736448">
              <w:rPr>
                <w:rFonts w:asciiTheme="majorHAnsi" w:eastAsia="Times New Roman" w:hAnsiTheme="majorHAnsi" w:cstheme="majorHAnsi"/>
                <w:b/>
                <w:bCs/>
                <w:sz w:val="18"/>
                <w:szCs w:val="18"/>
                <w:lang w:val="ro-MD"/>
              </w:rPr>
              <w:t>V</w:t>
            </w:r>
          </w:p>
        </w:tc>
      </w:tr>
      <w:tr w:rsidR="00A25BFF" w:rsidRPr="00B7675F" w14:paraId="612E1305" w14:textId="77777777" w:rsidTr="00B27804">
        <w:trPr>
          <w:trHeight w:val="20"/>
        </w:trPr>
        <w:tc>
          <w:tcPr>
            <w:tcW w:w="604" w:type="dxa"/>
            <w:vMerge/>
            <w:shd w:val="clear" w:color="auto" w:fill="FFFFFF" w:themeFill="background1"/>
            <w:noWrap/>
            <w:vAlign w:val="center"/>
          </w:tcPr>
          <w:p w14:paraId="3DE3B443"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2906" w:type="dxa"/>
            <w:shd w:val="clear" w:color="auto" w:fill="auto"/>
          </w:tcPr>
          <w:p w14:paraId="6387396B" w14:textId="16201603" w:rsidR="00A25BFF" w:rsidRPr="00736448" w:rsidRDefault="002C203D" w:rsidP="00860800">
            <w:pPr>
              <w:pStyle w:val="aa"/>
              <w:numPr>
                <w:ilvl w:val="0"/>
                <w:numId w:val="18"/>
              </w:numPr>
              <w:spacing w:after="0" w:line="240" w:lineRule="auto"/>
              <w:ind w:left="0" w:firstLine="0"/>
              <w:jc w:val="both"/>
              <w:rPr>
                <w:rFonts w:asciiTheme="majorHAnsi" w:hAnsiTheme="majorHAnsi" w:cstheme="majorHAnsi"/>
                <w:i/>
                <w:color w:val="000000" w:themeColor="text1"/>
                <w:sz w:val="18"/>
                <w:szCs w:val="18"/>
                <w:lang w:val="ro-MD"/>
              </w:rPr>
            </w:pPr>
            <w:r w:rsidRPr="002C203D">
              <w:rPr>
                <w:rFonts w:asciiTheme="majorHAnsi" w:hAnsiTheme="majorHAnsi" w:cstheme="majorHAnsi"/>
                <w:i/>
                <w:color w:val="000000" w:themeColor="text1"/>
                <w:sz w:val="18"/>
                <w:szCs w:val="18"/>
                <w:lang w:val="ro-RO"/>
              </w:rPr>
              <w:t xml:space="preserve">Разработать и внести предложения по корректировке нормативной базы </w:t>
            </w:r>
            <w:r w:rsidRPr="002C203D">
              <w:rPr>
                <w:rFonts w:asciiTheme="majorHAnsi" w:hAnsiTheme="majorHAnsi" w:cstheme="majorHAnsi"/>
                <w:i/>
                <w:color w:val="000000" w:themeColor="text1"/>
                <w:sz w:val="18"/>
                <w:szCs w:val="18"/>
                <w:lang w:val="ru-RU"/>
              </w:rPr>
              <w:t>для</w:t>
            </w:r>
            <w:r w:rsidRPr="002C203D">
              <w:rPr>
                <w:rFonts w:asciiTheme="majorHAnsi" w:hAnsiTheme="majorHAnsi" w:cstheme="majorHAnsi"/>
                <w:i/>
                <w:color w:val="000000" w:themeColor="text1"/>
                <w:sz w:val="18"/>
                <w:szCs w:val="18"/>
                <w:lang w:val="ro-RO"/>
              </w:rPr>
              <w:t xml:space="preserve"> </w:t>
            </w:r>
            <w:r w:rsidRPr="002C203D">
              <w:rPr>
                <w:rFonts w:asciiTheme="majorHAnsi" w:hAnsiTheme="majorHAnsi" w:cstheme="majorHAnsi"/>
                <w:i/>
                <w:color w:val="000000" w:themeColor="text1"/>
                <w:sz w:val="18"/>
                <w:szCs w:val="18"/>
                <w:lang w:val="ru-RU"/>
              </w:rPr>
              <w:t>исчерпывающего</w:t>
            </w:r>
            <w:r w:rsidRPr="002C203D">
              <w:rPr>
                <w:rFonts w:asciiTheme="majorHAnsi" w:hAnsiTheme="majorHAnsi" w:cstheme="majorHAnsi"/>
                <w:i/>
                <w:color w:val="000000" w:themeColor="text1"/>
                <w:sz w:val="18"/>
                <w:szCs w:val="18"/>
                <w:lang w:val="ro-RO"/>
              </w:rPr>
              <w:t xml:space="preserve"> определени</w:t>
            </w:r>
            <w:r w:rsidRPr="002C203D">
              <w:rPr>
                <w:rFonts w:asciiTheme="majorHAnsi" w:hAnsiTheme="majorHAnsi" w:cstheme="majorHAnsi"/>
                <w:i/>
                <w:color w:val="000000" w:themeColor="text1"/>
                <w:sz w:val="18"/>
                <w:szCs w:val="18"/>
                <w:lang w:val="ru-RU"/>
              </w:rPr>
              <w:t>я</w:t>
            </w:r>
            <w:r w:rsidRPr="002C203D">
              <w:rPr>
                <w:rFonts w:asciiTheme="majorHAnsi" w:hAnsiTheme="majorHAnsi" w:cstheme="majorHAnsi"/>
                <w:i/>
                <w:color w:val="000000" w:themeColor="text1"/>
                <w:sz w:val="18"/>
                <w:szCs w:val="18"/>
                <w:lang w:val="ro-RO"/>
              </w:rPr>
              <w:t xml:space="preserve"> категорий </w:t>
            </w:r>
            <w:r w:rsidRPr="002C203D">
              <w:rPr>
                <w:rFonts w:asciiTheme="majorHAnsi" w:hAnsiTheme="majorHAnsi" w:cstheme="majorHAnsi"/>
                <w:i/>
                <w:color w:val="000000" w:themeColor="text1"/>
                <w:sz w:val="18"/>
                <w:szCs w:val="18"/>
                <w:lang w:val="ru-RU"/>
              </w:rPr>
              <w:t>сотруд</w:t>
            </w:r>
            <w:r w:rsidRPr="002C203D">
              <w:rPr>
                <w:rFonts w:asciiTheme="majorHAnsi" w:hAnsiTheme="majorHAnsi" w:cstheme="majorHAnsi"/>
                <w:i/>
                <w:color w:val="000000" w:themeColor="text1"/>
                <w:sz w:val="18"/>
                <w:szCs w:val="18"/>
                <w:lang w:val="ro-RO"/>
              </w:rPr>
              <w:t>ников гражданской авиации, имеющих право на специальную пенсию</w:t>
            </w:r>
          </w:p>
        </w:tc>
        <w:tc>
          <w:tcPr>
            <w:tcW w:w="8190" w:type="dxa"/>
            <w:shd w:val="clear" w:color="auto" w:fill="auto"/>
          </w:tcPr>
          <w:p w14:paraId="42AC7868" w14:textId="2F169282" w:rsidR="00DD5678" w:rsidRPr="00DD5678" w:rsidRDefault="00F9753E" w:rsidP="00DD5678">
            <w:pPr>
              <w:spacing w:after="0" w:line="240" w:lineRule="auto"/>
              <w:jc w:val="both"/>
              <w:rPr>
                <w:rFonts w:asciiTheme="majorHAnsi" w:hAnsiTheme="majorHAnsi" w:cstheme="majorHAnsi"/>
                <w:color w:val="000000" w:themeColor="text1"/>
                <w:sz w:val="18"/>
                <w:szCs w:val="18"/>
                <w:lang w:val="ro-MD"/>
              </w:rPr>
            </w:pPr>
            <w:r>
              <w:rPr>
                <w:rFonts w:asciiTheme="majorHAnsi" w:hAnsiTheme="majorHAnsi" w:cstheme="majorHAnsi"/>
                <w:b/>
                <w:i/>
                <w:color w:val="000000" w:themeColor="text1"/>
                <w:sz w:val="18"/>
                <w:szCs w:val="18"/>
                <w:lang w:val="ro-MD"/>
              </w:rPr>
              <w:t>Письмо МТСЗ №</w:t>
            </w:r>
            <w:r w:rsidR="00A25BFF" w:rsidRPr="00736448">
              <w:rPr>
                <w:rFonts w:asciiTheme="majorHAnsi" w:hAnsiTheme="majorHAnsi" w:cstheme="majorHAnsi"/>
                <w:b/>
                <w:i/>
                <w:color w:val="000000" w:themeColor="text1"/>
                <w:sz w:val="18"/>
                <w:szCs w:val="18"/>
                <w:lang w:val="ro-MD"/>
              </w:rPr>
              <w:t xml:space="preserve">12/4329 </w:t>
            </w:r>
            <w:r w:rsidR="006916C3">
              <w:rPr>
                <w:rFonts w:asciiTheme="majorHAnsi" w:hAnsiTheme="majorHAnsi" w:cstheme="majorHAnsi"/>
                <w:b/>
                <w:i/>
                <w:color w:val="000000" w:themeColor="text1"/>
                <w:sz w:val="18"/>
                <w:szCs w:val="18"/>
                <w:lang w:val="ro-MD"/>
              </w:rPr>
              <w:t>от</w:t>
            </w:r>
            <w:r w:rsidR="00A25BFF" w:rsidRPr="00736448">
              <w:rPr>
                <w:rFonts w:asciiTheme="majorHAnsi" w:hAnsiTheme="majorHAnsi" w:cstheme="majorHAnsi"/>
                <w:b/>
                <w:i/>
                <w:color w:val="000000" w:themeColor="text1"/>
                <w:sz w:val="18"/>
                <w:szCs w:val="18"/>
                <w:lang w:val="ro-MD"/>
              </w:rPr>
              <w:t xml:space="preserve"> 29.12.2022</w:t>
            </w:r>
            <w:r w:rsidR="004F15E4">
              <w:rPr>
                <w:rFonts w:asciiTheme="majorHAnsi" w:hAnsiTheme="majorHAnsi" w:cstheme="majorHAnsi"/>
                <w:b/>
                <w:i/>
                <w:color w:val="000000" w:themeColor="text1"/>
                <w:sz w:val="18"/>
                <w:szCs w:val="18"/>
                <w:lang w:val="ru-RU"/>
              </w:rPr>
              <w:t xml:space="preserve">: </w:t>
            </w:r>
            <w:r w:rsidR="00DD5678" w:rsidRPr="00DD5678">
              <w:rPr>
                <w:rFonts w:asciiTheme="majorHAnsi" w:hAnsiTheme="majorHAnsi" w:cstheme="majorHAnsi"/>
                <w:color w:val="000000" w:themeColor="text1"/>
                <w:sz w:val="18"/>
                <w:szCs w:val="18"/>
                <w:lang w:val="ro-MD"/>
              </w:rPr>
              <w:t>В соответствии с действующими нормативными актами, отмечается, что положения, которые могут исчерпывающе определять категории работников гражданской авиации, имеющих право на установление пенсии на особых условиях, должны быть скорректированы в соответствии с последними изменениями в данной области. По мнению МТСЗ, данный процесс является сложным и включает действия со стороны нескольких органов.</w:t>
            </w:r>
          </w:p>
          <w:p w14:paraId="55B297DC" w14:textId="6D941268" w:rsidR="00A25BFF" w:rsidRPr="00736448" w:rsidRDefault="00DD5678" w:rsidP="00DD5678">
            <w:pPr>
              <w:spacing w:after="0" w:line="240" w:lineRule="auto"/>
              <w:jc w:val="both"/>
              <w:rPr>
                <w:rFonts w:asciiTheme="majorHAnsi" w:hAnsiTheme="majorHAnsi" w:cstheme="majorHAnsi"/>
                <w:color w:val="000000" w:themeColor="text1"/>
                <w:sz w:val="18"/>
                <w:szCs w:val="18"/>
                <w:lang w:val="ro-MD"/>
              </w:rPr>
            </w:pPr>
            <w:r w:rsidRPr="00DD5678">
              <w:rPr>
                <w:rFonts w:asciiTheme="majorHAnsi" w:hAnsiTheme="majorHAnsi" w:cstheme="majorHAnsi"/>
                <w:color w:val="000000" w:themeColor="text1"/>
                <w:sz w:val="18"/>
                <w:szCs w:val="18"/>
                <w:lang w:val="ro-MD"/>
              </w:rPr>
              <w:t>В настоящее время МТСЗ инициировало процедуру рассмотрения и консультирования по рассматриваемому субъекту, путем организации созданных рабочих встреч. В этом контексте,  сообщаем, что предпринимаются меры по изучению возможности внесения соответствующих изменений в соответствующую нормативную базу, которые обеспечат изменение и принятие новой нормативной базы по реализации рекомендации Счетной палаты</w:t>
            </w:r>
            <w:r w:rsidR="00A25BFF" w:rsidRPr="00736448">
              <w:rPr>
                <w:rFonts w:asciiTheme="majorHAnsi" w:hAnsiTheme="majorHAnsi" w:cstheme="majorHAnsi"/>
                <w:color w:val="000000" w:themeColor="text1"/>
                <w:sz w:val="18"/>
                <w:szCs w:val="18"/>
                <w:lang w:val="ro-MD"/>
              </w:rPr>
              <w:t>.</w:t>
            </w:r>
          </w:p>
        </w:tc>
        <w:tc>
          <w:tcPr>
            <w:tcW w:w="810" w:type="dxa"/>
            <w:shd w:val="clear" w:color="auto" w:fill="auto"/>
          </w:tcPr>
          <w:p w14:paraId="3F78B288"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900" w:type="dxa"/>
            <w:shd w:val="clear" w:color="auto" w:fill="auto"/>
          </w:tcPr>
          <w:p w14:paraId="1465DC8E" w14:textId="77777777" w:rsidR="00A25BFF" w:rsidRPr="00736448" w:rsidRDefault="00A25BFF" w:rsidP="00860800">
            <w:pPr>
              <w:spacing w:after="0" w:line="240" w:lineRule="auto"/>
              <w:rPr>
                <w:rFonts w:asciiTheme="majorHAnsi" w:eastAsia="Times New Roman" w:hAnsiTheme="majorHAnsi" w:cstheme="majorHAnsi"/>
                <w:bCs/>
                <w:iCs/>
                <w:sz w:val="18"/>
                <w:szCs w:val="18"/>
                <w:lang w:val="ro-MD"/>
              </w:rPr>
            </w:pPr>
          </w:p>
        </w:tc>
        <w:tc>
          <w:tcPr>
            <w:tcW w:w="990" w:type="dxa"/>
          </w:tcPr>
          <w:p w14:paraId="22CB0290"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V</w:t>
            </w:r>
          </w:p>
        </w:tc>
      </w:tr>
      <w:tr w:rsidR="00A25BFF" w:rsidRPr="00B7675F" w14:paraId="3AF76570" w14:textId="77777777" w:rsidTr="00B27804">
        <w:trPr>
          <w:trHeight w:val="20"/>
        </w:trPr>
        <w:tc>
          <w:tcPr>
            <w:tcW w:w="604" w:type="dxa"/>
            <w:vMerge/>
            <w:shd w:val="clear" w:color="auto" w:fill="FFFFFF" w:themeFill="background1"/>
            <w:noWrap/>
            <w:vAlign w:val="center"/>
          </w:tcPr>
          <w:p w14:paraId="3F9C964F"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2906" w:type="dxa"/>
            <w:shd w:val="clear" w:color="auto" w:fill="auto"/>
          </w:tcPr>
          <w:p w14:paraId="753F3953" w14:textId="7DE718BA" w:rsidR="00A25BFF" w:rsidRPr="00736448" w:rsidRDefault="002C203D" w:rsidP="00860800">
            <w:pPr>
              <w:pStyle w:val="aa"/>
              <w:numPr>
                <w:ilvl w:val="0"/>
                <w:numId w:val="18"/>
              </w:numPr>
              <w:spacing w:after="0" w:line="240" w:lineRule="auto"/>
              <w:ind w:left="0" w:firstLine="0"/>
              <w:jc w:val="both"/>
              <w:rPr>
                <w:rFonts w:asciiTheme="majorHAnsi" w:hAnsiTheme="majorHAnsi" w:cstheme="majorHAnsi"/>
                <w:i/>
                <w:color w:val="000000" w:themeColor="text1"/>
                <w:sz w:val="18"/>
                <w:szCs w:val="18"/>
                <w:lang w:val="ro-MD"/>
              </w:rPr>
            </w:pPr>
            <w:r w:rsidRPr="002C203D">
              <w:rPr>
                <w:rFonts w:asciiTheme="majorHAnsi" w:hAnsiTheme="majorHAnsi" w:cstheme="majorHAnsi"/>
                <w:i/>
                <w:color w:val="000000" w:themeColor="text1"/>
                <w:sz w:val="18"/>
                <w:szCs w:val="18"/>
                <w:lang w:val="ro-RO"/>
              </w:rPr>
              <w:t xml:space="preserve">Разработать исчерпывающие положения о прекращении/приостановлении выплаты пенсии работникам гражданской авиации в случае их повторного трудоустройства на должности, условия </w:t>
            </w:r>
            <w:r w:rsidRPr="002C203D">
              <w:rPr>
                <w:rFonts w:asciiTheme="majorHAnsi" w:hAnsiTheme="majorHAnsi" w:cstheme="majorHAnsi"/>
                <w:i/>
                <w:color w:val="000000" w:themeColor="text1"/>
                <w:sz w:val="18"/>
                <w:szCs w:val="18"/>
                <w:lang w:val="ru-RU"/>
              </w:rPr>
              <w:t>труда</w:t>
            </w:r>
            <w:r w:rsidRPr="002C203D">
              <w:rPr>
                <w:rFonts w:asciiTheme="majorHAnsi" w:hAnsiTheme="majorHAnsi" w:cstheme="majorHAnsi"/>
                <w:i/>
                <w:color w:val="000000" w:themeColor="text1"/>
                <w:sz w:val="18"/>
                <w:szCs w:val="18"/>
                <w:lang w:val="ro-RO"/>
              </w:rPr>
              <w:t xml:space="preserve"> которых относятся к категории специальных условий</w:t>
            </w:r>
          </w:p>
        </w:tc>
        <w:tc>
          <w:tcPr>
            <w:tcW w:w="8190" w:type="dxa"/>
            <w:shd w:val="clear" w:color="auto" w:fill="auto"/>
          </w:tcPr>
          <w:p w14:paraId="1587232F" w14:textId="7E704F02" w:rsidR="00A25BFF" w:rsidRPr="00736448" w:rsidRDefault="00F9753E" w:rsidP="00860800">
            <w:pPr>
              <w:spacing w:after="0" w:line="240" w:lineRule="auto"/>
              <w:jc w:val="both"/>
              <w:rPr>
                <w:rFonts w:asciiTheme="majorHAnsi" w:hAnsiTheme="majorHAnsi" w:cstheme="majorHAnsi"/>
                <w:b/>
                <w:color w:val="000000" w:themeColor="text1"/>
                <w:sz w:val="18"/>
                <w:szCs w:val="18"/>
                <w:lang w:val="ro-MD"/>
              </w:rPr>
            </w:pPr>
            <w:r>
              <w:rPr>
                <w:rFonts w:asciiTheme="majorHAnsi" w:hAnsiTheme="majorHAnsi" w:cstheme="majorHAnsi"/>
                <w:b/>
                <w:i/>
                <w:color w:val="000000" w:themeColor="text1"/>
                <w:sz w:val="18"/>
                <w:szCs w:val="18"/>
                <w:lang w:val="ro-MD"/>
              </w:rPr>
              <w:t>Письмо МТСЗ №</w:t>
            </w:r>
            <w:r w:rsidR="00A25BFF" w:rsidRPr="00736448">
              <w:rPr>
                <w:rFonts w:asciiTheme="majorHAnsi" w:hAnsiTheme="majorHAnsi" w:cstheme="majorHAnsi"/>
                <w:b/>
                <w:i/>
                <w:color w:val="000000" w:themeColor="text1"/>
                <w:sz w:val="18"/>
                <w:szCs w:val="18"/>
                <w:lang w:val="ro-MD"/>
              </w:rPr>
              <w:t xml:space="preserve">12/4329 </w:t>
            </w:r>
            <w:r w:rsidR="006916C3">
              <w:rPr>
                <w:rFonts w:asciiTheme="majorHAnsi" w:hAnsiTheme="majorHAnsi" w:cstheme="majorHAnsi"/>
                <w:b/>
                <w:i/>
                <w:color w:val="000000" w:themeColor="text1"/>
                <w:sz w:val="18"/>
                <w:szCs w:val="18"/>
                <w:lang w:val="ro-MD"/>
              </w:rPr>
              <w:t>от</w:t>
            </w:r>
            <w:r w:rsidR="00A25BFF" w:rsidRPr="00736448">
              <w:rPr>
                <w:rFonts w:asciiTheme="majorHAnsi" w:hAnsiTheme="majorHAnsi" w:cstheme="majorHAnsi"/>
                <w:b/>
                <w:i/>
                <w:color w:val="000000" w:themeColor="text1"/>
                <w:sz w:val="18"/>
                <w:szCs w:val="18"/>
                <w:lang w:val="ro-MD"/>
              </w:rPr>
              <w:t xml:space="preserve"> 29.12.2022</w:t>
            </w:r>
            <w:r w:rsidR="00A25BFF" w:rsidRPr="00736448">
              <w:rPr>
                <w:rFonts w:asciiTheme="majorHAnsi" w:hAnsiTheme="majorHAnsi" w:cstheme="majorHAnsi"/>
                <w:color w:val="000000" w:themeColor="text1"/>
                <w:sz w:val="18"/>
                <w:szCs w:val="18"/>
                <w:lang w:val="ro-MD"/>
              </w:rPr>
              <w:t xml:space="preserve">: </w:t>
            </w:r>
            <w:r w:rsidR="00237794" w:rsidRPr="00237794">
              <w:rPr>
                <w:rFonts w:asciiTheme="majorHAnsi" w:hAnsiTheme="majorHAnsi" w:cstheme="majorHAnsi"/>
                <w:color w:val="000000" w:themeColor="text1"/>
                <w:sz w:val="18"/>
                <w:szCs w:val="18"/>
                <w:lang w:val="ro-MD"/>
              </w:rPr>
              <w:t>В целях внесения изменений/дополнений в нормативно-законодательную базу, касающуюся разработки и исчерпывающего регулирования прекращения/приостановления выплаты пенсии некоторым работникам гражданской авиации, в случае их повторного трудоустройства на должности, условия труда которых подпадают под специальные условия, МТСЗ организовало рабочие заседания по этому вопросу, после чего будет изучена возможность внесения соответствующих изменений в применяемой нормативной базе</w:t>
            </w:r>
            <w:r w:rsidR="00A25BFF" w:rsidRPr="00736448">
              <w:rPr>
                <w:rFonts w:asciiTheme="majorHAnsi" w:hAnsiTheme="majorHAnsi" w:cstheme="majorHAnsi"/>
                <w:color w:val="000000" w:themeColor="text1"/>
                <w:sz w:val="18"/>
                <w:szCs w:val="18"/>
                <w:lang w:val="ro-MD"/>
              </w:rPr>
              <w:t>.</w:t>
            </w:r>
          </w:p>
        </w:tc>
        <w:tc>
          <w:tcPr>
            <w:tcW w:w="810" w:type="dxa"/>
            <w:shd w:val="clear" w:color="auto" w:fill="auto"/>
          </w:tcPr>
          <w:p w14:paraId="7C5D89A1"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900" w:type="dxa"/>
            <w:shd w:val="clear" w:color="auto" w:fill="auto"/>
          </w:tcPr>
          <w:p w14:paraId="2B75D13D" w14:textId="77777777" w:rsidR="00A25BFF" w:rsidRPr="00736448" w:rsidRDefault="00A25BFF" w:rsidP="00860800">
            <w:pPr>
              <w:spacing w:after="0" w:line="240" w:lineRule="auto"/>
              <w:rPr>
                <w:rFonts w:asciiTheme="majorHAnsi" w:eastAsia="Times New Roman" w:hAnsiTheme="majorHAnsi" w:cstheme="majorHAnsi"/>
                <w:bCs/>
                <w:iCs/>
                <w:sz w:val="18"/>
                <w:szCs w:val="18"/>
                <w:lang w:val="ro-MD"/>
              </w:rPr>
            </w:pPr>
          </w:p>
        </w:tc>
        <w:tc>
          <w:tcPr>
            <w:tcW w:w="990" w:type="dxa"/>
          </w:tcPr>
          <w:p w14:paraId="61E8CC6D"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V</w:t>
            </w:r>
          </w:p>
        </w:tc>
      </w:tr>
      <w:tr w:rsidR="00A25BFF" w:rsidRPr="00B7675F" w14:paraId="66C051E8" w14:textId="77777777" w:rsidTr="00B27804">
        <w:trPr>
          <w:trHeight w:val="20"/>
        </w:trPr>
        <w:tc>
          <w:tcPr>
            <w:tcW w:w="604" w:type="dxa"/>
            <w:vMerge/>
            <w:shd w:val="clear" w:color="auto" w:fill="FFFFFF" w:themeFill="background1"/>
            <w:noWrap/>
            <w:vAlign w:val="center"/>
          </w:tcPr>
          <w:p w14:paraId="3FFB4C7C"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2906" w:type="dxa"/>
            <w:shd w:val="clear" w:color="auto" w:fill="auto"/>
          </w:tcPr>
          <w:p w14:paraId="26B1FFE0" w14:textId="24CB556E" w:rsidR="00A25BFF" w:rsidRPr="00736448" w:rsidRDefault="002C203D" w:rsidP="00860800">
            <w:pPr>
              <w:pStyle w:val="aa"/>
              <w:numPr>
                <w:ilvl w:val="0"/>
                <w:numId w:val="18"/>
              </w:numPr>
              <w:spacing w:after="0" w:line="240" w:lineRule="auto"/>
              <w:ind w:left="0" w:firstLine="0"/>
              <w:jc w:val="both"/>
              <w:rPr>
                <w:rStyle w:val="list0020paragraphchar"/>
                <w:rFonts w:asciiTheme="majorHAnsi" w:hAnsiTheme="majorHAnsi" w:cstheme="majorHAnsi"/>
                <w:i/>
                <w:color w:val="000000" w:themeColor="text1"/>
                <w:sz w:val="18"/>
                <w:szCs w:val="18"/>
                <w:lang w:val="ro-MD"/>
              </w:rPr>
            </w:pPr>
            <w:r w:rsidRPr="002C203D">
              <w:rPr>
                <w:rFonts w:asciiTheme="majorHAnsi" w:hAnsiTheme="majorHAnsi" w:cstheme="majorHAnsi"/>
                <w:i/>
                <w:color w:val="000000" w:themeColor="text1"/>
                <w:sz w:val="18"/>
                <w:szCs w:val="18"/>
                <w:lang w:val="ro-RO"/>
              </w:rPr>
              <w:t>Проанализировать способ продления срока рассмотрения заявок на установление отцовских пособий, с целью обеспечения справедливого пособия, которое положено бенефициару, в увязке с удержанными/уплаченными взносами</w:t>
            </w:r>
          </w:p>
        </w:tc>
        <w:tc>
          <w:tcPr>
            <w:tcW w:w="8190" w:type="dxa"/>
            <w:shd w:val="clear" w:color="auto" w:fill="auto"/>
          </w:tcPr>
          <w:p w14:paraId="15B1EB27" w14:textId="51302048" w:rsidR="00A25BFF" w:rsidRPr="00736448" w:rsidRDefault="00F9753E" w:rsidP="00860800">
            <w:pPr>
              <w:spacing w:after="0" w:line="240" w:lineRule="auto"/>
              <w:jc w:val="both"/>
              <w:rPr>
                <w:rFonts w:asciiTheme="majorHAnsi" w:hAnsiTheme="majorHAnsi" w:cstheme="majorHAnsi"/>
                <w:b/>
                <w:color w:val="000000" w:themeColor="text1"/>
                <w:sz w:val="18"/>
                <w:szCs w:val="18"/>
                <w:lang w:val="ro-MD"/>
              </w:rPr>
            </w:pPr>
            <w:r>
              <w:rPr>
                <w:rFonts w:asciiTheme="majorHAnsi" w:hAnsiTheme="majorHAnsi" w:cstheme="majorHAnsi"/>
                <w:b/>
                <w:i/>
                <w:color w:val="000000" w:themeColor="text1"/>
                <w:sz w:val="18"/>
                <w:szCs w:val="18"/>
                <w:lang w:val="ro-MD"/>
              </w:rPr>
              <w:t>Письмо МТСЗ №</w:t>
            </w:r>
            <w:r w:rsidR="00A25BFF" w:rsidRPr="00736448">
              <w:rPr>
                <w:rFonts w:asciiTheme="majorHAnsi" w:hAnsiTheme="majorHAnsi" w:cstheme="majorHAnsi"/>
                <w:b/>
                <w:i/>
                <w:color w:val="000000" w:themeColor="text1"/>
                <w:sz w:val="18"/>
                <w:szCs w:val="18"/>
                <w:lang w:val="ro-MD"/>
              </w:rPr>
              <w:t xml:space="preserve">12/4329 </w:t>
            </w:r>
            <w:r w:rsidR="006916C3">
              <w:rPr>
                <w:rFonts w:asciiTheme="majorHAnsi" w:hAnsiTheme="majorHAnsi" w:cstheme="majorHAnsi"/>
                <w:b/>
                <w:i/>
                <w:color w:val="000000" w:themeColor="text1"/>
                <w:sz w:val="18"/>
                <w:szCs w:val="18"/>
                <w:lang w:val="ro-MD"/>
              </w:rPr>
              <w:t>от</w:t>
            </w:r>
            <w:r w:rsidR="00A25BFF" w:rsidRPr="00736448">
              <w:rPr>
                <w:rFonts w:asciiTheme="majorHAnsi" w:hAnsiTheme="majorHAnsi" w:cstheme="majorHAnsi"/>
                <w:b/>
                <w:i/>
                <w:color w:val="000000" w:themeColor="text1"/>
                <w:sz w:val="18"/>
                <w:szCs w:val="18"/>
                <w:lang w:val="ro-MD"/>
              </w:rPr>
              <w:t xml:space="preserve"> 29.12.2022</w:t>
            </w:r>
            <w:r w:rsidR="00A25BFF" w:rsidRPr="00736448">
              <w:rPr>
                <w:rFonts w:asciiTheme="majorHAnsi" w:hAnsiTheme="majorHAnsi" w:cstheme="majorHAnsi"/>
                <w:color w:val="000000" w:themeColor="text1"/>
                <w:sz w:val="18"/>
                <w:szCs w:val="18"/>
                <w:lang w:val="ro-MD"/>
              </w:rPr>
              <w:t xml:space="preserve">: </w:t>
            </w:r>
            <w:r w:rsidR="00DD5678" w:rsidRPr="00DD5678">
              <w:rPr>
                <w:rFonts w:asciiTheme="majorHAnsi" w:hAnsiTheme="majorHAnsi" w:cstheme="majorHAnsi"/>
                <w:color w:val="000000" w:themeColor="text1"/>
                <w:sz w:val="18"/>
                <w:szCs w:val="18"/>
                <w:lang w:val="ro-MD"/>
              </w:rPr>
              <w:t>Законом №195/2022 о внесении изменений в некоторые нормативные акты. В то же время, отмечаем, что Постановлением Правительства №766/2022 о внесении изменений в некоторые Постановления Правительства( поддержка семей с детьми), нормативные акты были приведены в соответствие с Законом №195/2022</w:t>
            </w:r>
            <w:r w:rsidR="00A25BFF" w:rsidRPr="00736448">
              <w:rPr>
                <w:rFonts w:asciiTheme="majorHAnsi" w:hAnsiTheme="majorHAnsi" w:cstheme="majorHAnsi"/>
                <w:color w:val="000000" w:themeColor="text1"/>
                <w:sz w:val="18"/>
                <w:szCs w:val="18"/>
                <w:lang w:val="ro-MD"/>
              </w:rPr>
              <w:t>.</w:t>
            </w:r>
          </w:p>
        </w:tc>
        <w:tc>
          <w:tcPr>
            <w:tcW w:w="810" w:type="dxa"/>
            <w:shd w:val="clear" w:color="auto" w:fill="auto"/>
          </w:tcPr>
          <w:p w14:paraId="6596E22D"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V</w:t>
            </w:r>
          </w:p>
        </w:tc>
        <w:tc>
          <w:tcPr>
            <w:tcW w:w="900" w:type="dxa"/>
            <w:shd w:val="clear" w:color="auto" w:fill="auto"/>
          </w:tcPr>
          <w:p w14:paraId="686FBC3A" w14:textId="77777777" w:rsidR="00A25BFF" w:rsidRPr="00736448" w:rsidRDefault="00A25BFF" w:rsidP="00860800">
            <w:pPr>
              <w:spacing w:after="0" w:line="240" w:lineRule="auto"/>
              <w:rPr>
                <w:rFonts w:asciiTheme="majorHAnsi" w:eastAsia="Times New Roman" w:hAnsiTheme="majorHAnsi" w:cstheme="majorHAnsi"/>
                <w:bCs/>
                <w:iCs/>
                <w:sz w:val="18"/>
                <w:szCs w:val="18"/>
                <w:lang w:val="ro-MD"/>
              </w:rPr>
            </w:pPr>
          </w:p>
        </w:tc>
        <w:tc>
          <w:tcPr>
            <w:tcW w:w="990" w:type="dxa"/>
          </w:tcPr>
          <w:p w14:paraId="2194DBC8"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r>
      <w:tr w:rsidR="00A25BFF" w:rsidRPr="002C203D" w14:paraId="2A66D355" w14:textId="77777777" w:rsidTr="00B27804">
        <w:trPr>
          <w:trHeight w:val="20"/>
        </w:trPr>
        <w:tc>
          <w:tcPr>
            <w:tcW w:w="14400" w:type="dxa"/>
            <w:gridSpan w:val="6"/>
            <w:shd w:val="clear" w:color="auto" w:fill="FFFFFF" w:themeFill="background1"/>
            <w:noWrap/>
            <w:vAlign w:val="center"/>
          </w:tcPr>
          <w:p w14:paraId="7B1331B4" w14:textId="73207D0E" w:rsidR="00A25BFF" w:rsidRPr="00736448" w:rsidRDefault="002C203D" w:rsidP="002C203D">
            <w:pPr>
              <w:spacing w:after="0" w:line="240" w:lineRule="auto"/>
              <w:jc w:val="center"/>
              <w:rPr>
                <w:rFonts w:asciiTheme="majorHAnsi" w:eastAsia="Times New Roman" w:hAnsiTheme="majorHAnsi" w:cstheme="majorHAnsi"/>
                <w:b/>
                <w:bCs/>
                <w:sz w:val="18"/>
                <w:szCs w:val="18"/>
                <w:lang w:val="ro-MD"/>
              </w:rPr>
            </w:pPr>
            <w:r w:rsidRPr="002C203D">
              <w:rPr>
                <w:rFonts w:asciiTheme="majorHAnsi" w:hAnsiTheme="majorHAnsi" w:cstheme="majorHAnsi"/>
                <w:b/>
                <w:bCs/>
                <w:i/>
                <w:iCs/>
                <w:sz w:val="18"/>
                <w:szCs w:val="18"/>
                <w:lang w:val="ro-RO"/>
              </w:rPr>
              <w:t>Рекомендации Минист</w:t>
            </w:r>
            <w:r>
              <w:rPr>
                <w:rFonts w:asciiTheme="majorHAnsi" w:hAnsiTheme="majorHAnsi" w:cstheme="majorHAnsi"/>
                <w:b/>
                <w:bCs/>
                <w:i/>
                <w:iCs/>
                <w:sz w:val="18"/>
                <w:szCs w:val="18"/>
                <w:lang w:val="ru-RU"/>
              </w:rPr>
              <w:t>ру</w:t>
            </w:r>
            <w:r w:rsidRPr="002C203D">
              <w:rPr>
                <w:rFonts w:asciiTheme="majorHAnsi" w:hAnsiTheme="majorHAnsi" w:cstheme="majorHAnsi"/>
                <w:b/>
                <w:bCs/>
                <w:i/>
                <w:iCs/>
                <w:sz w:val="18"/>
                <w:szCs w:val="18"/>
                <w:lang w:val="ro-RO"/>
              </w:rPr>
              <w:t xml:space="preserve"> труда и социальной защиты совместно с М</w:t>
            </w:r>
            <w:r w:rsidRPr="002C203D">
              <w:rPr>
                <w:rFonts w:asciiTheme="majorHAnsi" w:hAnsiTheme="majorHAnsi" w:cstheme="majorHAnsi"/>
                <w:b/>
                <w:bCs/>
                <w:i/>
                <w:iCs/>
                <w:sz w:val="18"/>
                <w:szCs w:val="18"/>
                <w:lang w:val="ru-RU"/>
              </w:rPr>
              <w:t>инист</w:t>
            </w:r>
            <w:r>
              <w:rPr>
                <w:rFonts w:asciiTheme="majorHAnsi" w:hAnsiTheme="majorHAnsi" w:cstheme="majorHAnsi"/>
                <w:b/>
                <w:bCs/>
                <w:i/>
                <w:iCs/>
                <w:sz w:val="18"/>
                <w:szCs w:val="18"/>
                <w:lang w:val="ru-RU"/>
              </w:rPr>
              <w:t>ром</w:t>
            </w:r>
            <w:r w:rsidRPr="002C203D">
              <w:rPr>
                <w:rFonts w:asciiTheme="majorHAnsi" w:hAnsiTheme="majorHAnsi" w:cstheme="majorHAnsi"/>
                <w:b/>
                <w:bCs/>
                <w:i/>
                <w:iCs/>
                <w:sz w:val="18"/>
                <w:szCs w:val="18"/>
              </w:rPr>
              <w:t xml:space="preserve"> </w:t>
            </w:r>
            <w:r w:rsidRPr="002C203D">
              <w:rPr>
                <w:rFonts w:asciiTheme="majorHAnsi" w:hAnsiTheme="majorHAnsi" w:cstheme="majorHAnsi"/>
                <w:b/>
                <w:bCs/>
                <w:i/>
                <w:iCs/>
                <w:sz w:val="18"/>
                <w:szCs w:val="18"/>
                <w:lang w:val="ru-RU"/>
              </w:rPr>
              <w:t>финансов</w:t>
            </w:r>
            <w:r w:rsidRPr="002C203D">
              <w:rPr>
                <w:rFonts w:asciiTheme="majorHAnsi" w:hAnsiTheme="majorHAnsi" w:cstheme="majorHAnsi"/>
                <w:b/>
                <w:bCs/>
                <w:i/>
                <w:iCs/>
                <w:sz w:val="18"/>
                <w:szCs w:val="18"/>
                <w:lang w:val="ro-MD"/>
              </w:rPr>
              <w:t xml:space="preserve"> </w:t>
            </w:r>
          </w:p>
        </w:tc>
      </w:tr>
      <w:tr w:rsidR="00A25BFF" w:rsidRPr="00B7675F" w14:paraId="0324F4F6" w14:textId="77777777" w:rsidTr="00B27804">
        <w:trPr>
          <w:trHeight w:val="20"/>
        </w:trPr>
        <w:tc>
          <w:tcPr>
            <w:tcW w:w="604" w:type="dxa"/>
            <w:shd w:val="clear" w:color="auto" w:fill="FFFFFF" w:themeFill="background1"/>
            <w:noWrap/>
            <w:vAlign w:val="center"/>
          </w:tcPr>
          <w:p w14:paraId="45C630FB"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2</w:t>
            </w:r>
          </w:p>
        </w:tc>
        <w:tc>
          <w:tcPr>
            <w:tcW w:w="2906" w:type="dxa"/>
            <w:shd w:val="clear" w:color="auto" w:fill="auto"/>
          </w:tcPr>
          <w:p w14:paraId="5F51E380" w14:textId="081B8BC4" w:rsidR="00A25BFF" w:rsidRPr="00736448" w:rsidRDefault="002C203D" w:rsidP="00860800">
            <w:pPr>
              <w:pStyle w:val="aa"/>
              <w:numPr>
                <w:ilvl w:val="0"/>
                <w:numId w:val="18"/>
              </w:numPr>
              <w:spacing w:after="0" w:line="240" w:lineRule="auto"/>
              <w:ind w:left="-78" w:firstLine="12"/>
              <w:jc w:val="both"/>
              <w:rPr>
                <w:rFonts w:asciiTheme="majorHAnsi" w:eastAsia="Times New Roman" w:hAnsiTheme="majorHAnsi" w:cstheme="majorHAnsi"/>
                <w:sz w:val="18"/>
                <w:szCs w:val="18"/>
                <w:lang w:val="ro-MD"/>
              </w:rPr>
            </w:pPr>
            <w:r w:rsidRPr="002C203D">
              <w:rPr>
                <w:rFonts w:asciiTheme="majorHAnsi" w:hAnsiTheme="majorHAnsi" w:cstheme="majorHAnsi"/>
                <w:i/>
                <w:sz w:val="18"/>
                <w:szCs w:val="18"/>
                <w:lang w:val="ro-RO"/>
              </w:rPr>
              <w:t xml:space="preserve">Изучить причины возникновения проблем с </w:t>
            </w:r>
            <w:r w:rsidRPr="002C203D">
              <w:rPr>
                <w:rFonts w:asciiTheme="majorHAnsi" w:hAnsiTheme="majorHAnsi" w:cstheme="majorHAnsi"/>
                <w:i/>
                <w:sz w:val="18"/>
                <w:szCs w:val="18"/>
                <w:lang w:val="ru-RU"/>
              </w:rPr>
              <w:t xml:space="preserve">сохранением большого числа вакантных единиц, высокого уровня текучести кадров, а также сложностей в </w:t>
            </w:r>
            <w:r w:rsidRPr="002C203D">
              <w:rPr>
                <w:rFonts w:asciiTheme="majorHAnsi" w:hAnsiTheme="majorHAnsi" w:cstheme="majorHAnsi"/>
                <w:i/>
                <w:sz w:val="18"/>
                <w:szCs w:val="18"/>
                <w:lang w:val="ro-RO"/>
              </w:rPr>
              <w:t>подбор</w:t>
            </w:r>
            <w:r w:rsidRPr="002C203D">
              <w:rPr>
                <w:rFonts w:asciiTheme="majorHAnsi" w:hAnsiTheme="majorHAnsi" w:cstheme="majorHAnsi"/>
                <w:i/>
                <w:sz w:val="18"/>
                <w:szCs w:val="18"/>
                <w:lang w:val="ru-RU"/>
              </w:rPr>
              <w:t>е</w:t>
            </w:r>
            <w:r w:rsidRPr="002C203D">
              <w:rPr>
                <w:rFonts w:asciiTheme="majorHAnsi" w:hAnsiTheme="majorHAnsi" w:cstheme="majorHAnsi"/>
                <w:i/>
                <w:sz w:val="18"/>
                <w:szCs w:val="18"/>
                <w:lang w:val="ro-RO"/>
              </w:rPr>
              <w:t xml:space="preserve"> персонала в рамках НКСС и ее территориальных структурах, с определением решений в этом отношении</w:t>
            </w:r>
          </w:p>
        </w:tc>
        <w:tc>
          <w:tcPr>
            <w:tcW w:w="8190" w:type="dxa"/>
            <w:shd w:val="clear" w:color="auto" w:fill="auto"/>
          </w:tcPr>
          <w:p w14:paraId="2FDDBB2A" w14:textId="77777777" w:rsidR="001939EF" w:rsidRPr="001939EF" w:rsidRDefault="00556456" w:rsidP="001939EF">
            <w:pPr>
              <w:autoSpaceDE w:val="0"/>
              <w:autoSpaceDN w:val="0"/>
              <w:adjustRightInd w:val="0"/>
              <w:spacing w:after="0" w:line="240" w:lineRule="auto"/>
              <w:jc w:val="both"/>
              <w:rPr>
                <w:rFonts w:asciiTheme="majorHAnsi" w:hAnsiTheme="majorHAnsi" w:cstheme="majorHAnsi"/>
                <w:color w:val="000000"/>
                <w:sz w:val="18"/>
                <w:szCs w:val="18"/>
                <w:lang w:val="ro-MD"/>
              </w:rPr>
            </w:pPr>
            <w:r w:rsidRPr="00556456">
              <w:rPr>
                <w:rFonts w:asciiTheme="majorHAnsi" w:hAnsiTheme="majorHAnsi" w:cstheme="majorHAnsi"/>
                <w:b/>
                <w:i/>
                <w:color w:val="000000"/>
                <w:sz w:val="18"/>
                <w:szCs w:val="18"/>
                <w:lang w:val="ro-MD"/>
              </w:rPr>
              <w:t>Письмо Министерства финансов №</w:t>
            </w:r>
            <w:r w:rsidR="00A25BFF" w:rsidRPr="00736448">
              <w:rPr>
                <w:rFonts w:asciiTheme="majorHAnsi" w:hAnsiTheme="majorHAnsi" w:cstheme="majorHAnsi"/>
                <w:b/>
                <w:i/>
                <w:color w:val="000000"/>
                <w:sz w:val="18"/>
                <w:szCs w:val="18"/>
                <w:lang w:val="ro-MD"/>
              </w:rPr>
              <w:t xml:space="preserve">05-10/104/1730 </w:t>
            </w:r>
            <w:r w:rsidR="006916C3">
              <w:rPr>
                <w:rFonts w:asciiTheme="majorHAnsi" w:hAnsiTheme="majorHAnsi" w:cstheme="majorHAnsi"/>
                <w:b/>
                <w:i/>
                <w:color w:val="000000"/>
                <w:sz w:val="18"/>
                <w:szCs w:val="18"/>
                <w:lang w:val="ro-MD"/>
              </w:rPr>
              <w:t>от</w:t>
            </w:r>
            <w:r w:rsidR="00A25BFF" w:rsidRPr="00736448">
              <w:rPr>
                <w:rFonts w:asciiTheme="majorHAnsi" w:hAnsiTheme="majorHAnsi" w:cstheme="majorHAnsi"/>
                <w:b/>
                <w:i/>
                <w:color w:val="000000"/>
                <w:sz w:val="18"/>
                <w:szCs w:val="18"/>
                <w:lang w:val="ro-MD"/>
              </w:rPr>
              <w:t xml:space="preserve"> 19.12.2022</w:t>
            </w:r>
            <w:r w:rsidR="00A25BFF" w:rsidRPr="00736448">
              <w:rPr>
                <w:rFonts w:asciiTheme="majorHAnsi" w:hAnsiTheme="majorHAnsi" w:cstheme="majorHAnsi"/>
                <w:color w:val="000000"/>
                <w:sz w:val="18"/>
                <w:szCs w:val="18"/>
                <w:lang w:val="ro-MD"/>
              </w:rPr>
              <w:t xml:space="preserve">: </w:t>
            </w:r>
            <w:r w:rsidR="001939EF" w:rsidRPr="001939EF">
              <w:rPr>
                <w:rFonts w:asciiTheme="majorHAnsi" w:hAnsiTheme="majorHAnsi" w:cstheme="majorHAnsi"/>
                <w:color w:val="000000"/>
                <w:sz w:val="18"/>
                <w:szCs w:val="18"/>
                <w:lang w:val="ro-MD"/>
              </w:rPr>
              <w:t>в качестве центрального публичного органа, отвечающего за разработку и продвижение политики в области заработной платы в бюджетном секторе, постоянно находится в поиске новых решений по повышению заработной платы для повышения привлекательности занятости в бюджетном секторе.</w:t>
            </w:r>
          </w:p>
          <w:p w14:paraId="4C5AEC5F" w14:textId="77777777" w:rsidR="001939EF" w:rsidRDefault="001939EF" w:rsidP="001939EF">
            <w:pPr>
              <w:autoSpaceDE w:val="0"/>
              <w:autoSpaceDN w:val="0"/>
              <w:adjustRightInd w:val="0"/>
              <w:spacing w:after="0" w:line="240" w:lineRule="auto"/>
              <w:jc w:val="both"/>
              <w:rPr>
                <w:rFonts w:asciiTheme="majorHAnsi" w:hAnsiTheme="majorHAnsi" w:cstheme="majorHAnsi"/>
                <w:color w:val="000000"/>
                <w:sz w:val="18"/>
                <w:szCs w:val="18"/>
                <w:lang w:val="ru-RU"/>
              </w:rPr>
            </w:pPr>
            <w:r w:rsidRPr="001939EF">
              <w:rPr>
                <w:rFonts w:asciiTheme="majorHAnsi" w:hAnsiTheme="majorHAnsi" w:cstheme="majorHAnsi"/>
                <w:color w:val="000000"/>
                <w:sz w:val="18"/>
                <w:szCs w:val="18"/>
                <w:lang w:val="ro-MD"/>
              </w:rPr>
              <w:t>Соблюдение одной из гарантий Закона №270/2018, о единой системе оплаты труда в бюджетном секторе является ежегодная индексация исходной величины, используемой для расчета заработной платы, как минимум на прогнозный уровень инфляции.</w:t>
            </w:r>
            <w:r>
              <w:rPr>
                <w:rFonts w:asciiTheme="majorHAnsi" w:hAnsiTheme="majorHAnsi" w:cstheme="majorHAnsi"/>
                <w:color w:val="000000"/>
                <w:sz w:val="18"/>
                <w:szCs w:val="18"/>
                <w:lang w:val="ru-RU"/>
              </w:rPr>
              <w:t xml:space="preserve"> </w:t>
            </w:r>
          </w:p>
          <w:p w14:paraId="639188EE" w14:textId="0E833CDD" w:rsidR="00A25BFF" w:rsidRPr="00736448" w:rsidRDefault="00A744F8" w:rsidP="00A744F8">
            <w:pPr>
              <w:autoSpaceDE w:val="0"/>
              <w:autoSpaceDN w:val="0"/>
              <w:adjustRightInd w:val="0"/>
              <w:spacing w:after="0" w:line="240" w:lineRule="auto"/>
              <w:jc w:val="both"/>
              <w:rPr>
                <w:rFonts w:asciiTheme="majorHAnsi" w:eastAsia="Times New Roman" w:hAnsiTheme="majorHAnsi" w:cstheme="majorHAnsi"/>
                <w:sz w:val="18"/>
                <w:szCs w:val="18"/>
                <w:lang w:val="ro-MD"/>
              </w:rPr>
            </w:pPr>
            <w:r w:rsidRPr="00A744F8">
              <w:rPr>
                <w:rFonts w:asciiTheme="majorHAnsi" w:hAnsiTheme="majorHAnsi" w:cstheme="majorHAnsi"/>
                <w:color w:val="000000"/>
                <w:sz w:val="18"/>
                <w:szCs w:val="18"/>
                <w:lang w:val="ro-MD"/>
              </w:rPr>
              <w:t>Отмечается, что согласно Закону о государственном бюджете на 2021 г. №258/2020, для расчета, начиная с 1 января 2021 года, заработной платы работник</w:t>
            </w:r>
            <w:r>
              <w:rPr>
                <w:rFonts w:asciiTheme="majorHAnsi" w:hAnsiTheme="majorHAnsi" w:cstheme="majorHAnsi"/>
                <w:color w:val="000000"/>
                <w:sz w:val="18"/>
                <w:szCs w:val="18"/>
                <w:lang w:val="ru-RU"/>
              </w:rPr>
              <w:t>ам</w:t>
            </w:r>
            <w:r w:rsidRPr="00A744F8">
              <w:rPr>
                <w:rFonts w:asciiTheme="majorHAnsi" w:hAnsiTheme="majorHAnsi" w:cstheme="majorHAnsi"/>
                <w:color w:val="000000"/>
                <w:sz w:val="18"/>
                <w:szCs w:val="18"/>
                <w:lang w:val="ro-MD"/>
              </w:rPr>
              <w:t xml:space="preserve"> бюджетного сектора (в том числе сотрудник</w:t>
            </w:r>
            <w:r>
              <w:rPr>
                <w:rFonts w:asciiTheme="majorHAnsi" w:hAnsiTheme="majorHAnsi" w:cstheme="majorHAnsi"/>
                <w:color w:val="000000"/>
                <w:sz w:val="18"/>
                <w:szCs w:val="18"/>
                <w:lang w:val="ru-RU"/>
              </w:rPr>
              <w:t>ам</w:t>
            </w:r>
            <w:r w:rsidRPr="00A744F8">
              <w:rPr>
                <w:rFonts w:asciiTheme="majorHAnsi" w:hAnsiTheme="majorHAnsi" w:cstheme="majorHAnsi"/>
                <w:color w:val="000000"/>
                <w:sz w:val="18"/>
                <w:szCs w:val="18"/>
                <w:lang w:val="ro-MD"/>
              </w:rPr>
              <w:t xml:space="preserve"> </w:t>
            </w:r>
            <w:r>
              <w:rPr>
                <w:rFonts w:asciiTheme="majorHAnsi" w:hAnsiTheme="majorHAnsi" w:cstheme="majorHAnsi"/>
                <w:color w:val="000000"/>
                <w:sz w:val="18"/>
                <w:szCs w:val="18"/>
                <w:lang w:val="ru-RU"/>
              </w:rPr>
              <w:t>НКСС</w:t>
            </w:r>
            <w:r w:rsidRPr="00A744F8">
              <w:rPr>
                <w:rFonts w:asciiTheme="majorHAnsi" w:hAnsiTheme="majorHAnsi" w:cstheme="majorHAnsi"/>
                <w:color w:val="000000"/>
                <w:sz w:val="18"/>
                <w:szCs w:val="18"/>
                <w:lang w:val="ro-MD"/>
              </w:rPr>
              <w:t>)</w:t>
            </w:r>
            <w:r>
              <w:rPr>
                <w:rFonts w:asciiTheme="majorHAnsi" w:hAnsiTheme="majorHAnsi" w:cstheme="majorHAnsi"/>
                <w:color w:val="000000"/>
                <w:sz w:val="18"/>
                <w:szCs w:val="18"/>
                <w:lang w:val="ru-RU"/>
              </w:rPr>
              <w:t>,</w:t>
            </w:r>
            <w:r w:rsidRPr="00A744F8">
              <w:rPr>
                <w:rFonts w:asciiTheme="majorHAnsi" w:hAnsiTheme="majorHAnsi" w:cstheme="majorHAnsi"/>
                <w:color w:val="000000"/>
                <w:sz w:val="18"/>
                <w:szCs w:val="18"/>
                <w:lang w:val="ro-MD"/>
              </w:rPr>
              <w:t xml:space="preserve"> в соотв</w:t>
            </w:r>
            <w:r>
              <w:rPr>
                <w:rFonts w:asciiTheme="majorHAnsi" w:hAnsiTheme="majorHAnsi" w:cstheme="majorHAnsi"/>
                <w:color w:val="000000"/>
                <w:sz w:val="18"/>
                <w:szCs w:val="18"/>
                <w:lang w:val="ro-MD"/>
              </w:rPr>
              <w:t>етствии с положениями Закона №</w:t>
            </w:r>
            <w:r w:rsidRPr="00A744F8">
              <w:rPr>
                <w:rFonts w:asciiTheme="majorHAnsi" w:hAnsiTheme="majorHAnsi" w:cstheme="majorHAnsi"/>
                <w:color w:val="000000"/>
                <w:sz w:val="18"/>
                <w:szCs w:val="18"/>
                <w:lang w:val="ro-MD"/>
              </w:rPr>
              <w:t>270/2018</w:t>
            </w:r>
            <w:r>
              <w:rPr>
                <w:rFonts w:asciiTheme="majorHAnsi" w:hAnsiTheme="majorHAnsi" w:cstheme="majorHAnsi"/>
                <w:color w:val="000000"/>
                <w:sz w:val="18"/>
                <w:szCs w:val="18"/>
                <w:lang w:val="ru-RU"/>
              </w:rPr>
              <w:t>,</w:t>
            </w:r>
            <w:r w:rsidRPr="00A744F8">
              <w:rPr>
                <w:rFonts w:asciiTheme="majorHAnsi" w:hAnsiTheme="majorHAnsi" w:cstheme="majorHAnsi"/>
                <w:color w:val="000000"/>
                <w:sz w:val="18"/>
                <w:szCs w:val="18"/>
                <w:lang w:val="ro-MD"/>
              </w:rPr>
              <w:t xml:space="preserve"> предусматривается увеличение базового значения примерно на 3%. Вместе с тем, с 1 января 2021 года предусмотрено изменение условий уплаты соответствующих взносов работником и работодателем. Таким образом, в результате внесения </w:t>
            </w:r>
            <w:r>
              <w:rPr>
                <w:rFonts w:asciiTheme="majorHAnsi" w:hAnsiTheme="majorHAnsi" w:cstheme="majorHAnsi"/>
                <w:color w:val="000000"/>
                <w:sz w:val="18"/>
                <w:szCs w:val="18"/>
                <w:lang w:val="ru-RU"/>
              </w:rPr>
              <w:t xml:space="preserve">указанных </w:t>
            </w:r>
            <w:r w:rsidRPr="00A744F8">
              <w:rPr>
                <w:rFonts w:asciiTheme="majorHAnsi" w:hAnsiTheme="majorHAnsi" w:cstheme="majorHAnsi"/>
                <w:color w:val="000000"/>
                <w:sz w:val="18"/>
                <w:szCs w:val="18"/>
                <w:lang w:val="ro-MD"/>
              </w:rPr>
              <w:t>изменений</w:t>
            </w:r>
            <w:r>
              <w:rPr>
                <w:rFonts w:asciiTheme="majorHAnsi" w:hAnsiTheme="majorHAnsi" w:cstheme="majorHAnsi"/>
                <w:color w:val="000000"/>
                <w:sz w:val="18"/>
                <w:szCs w:val="18"/>
                <w:lang w:val="ru-RU"/>
              </w:rPr>
              <w:t>,</w:t>
            </w:r>
            <w:r w:rsidRPr="00A744F8">
              <w:rPr>
                <w:rFonts w:asciiTheme="majorHAnsi" w:hAnsiTheme="majorHAnsi" w:cstheme="majorHAnsi"/>
                <w:color w:val="000000"/>
                <w:sz w:val="18"/>
                <w:szCs w:val="18"/>
                <w:lang w:val="ro-MD"/>
              </w:rPr>
              <w:t xml:space="preserve"> чистая заработная плата работников бюджетной сферы в 2021 году увеличилась примерно на 4,5%. Кроме того, отмечается, что, исходя из возможностей национального публичного бюджета, Законом о государственном бюджете на 2022 г. №205/2021, с 1 января 2022 г. обеспечено повышение </w:t>
            </w:r>
            <w:r>
              <w:rPr>
                <w:rFonts w:asciiTheme="majorHAnsi" w:hAnsiTheme="majorHAnsi" w:cstheme="majorHAnsi"/>
                <w:color w:val="000000"/>
                <w:sz w:val="18"/>
                <w:szCs w:val="18"/>
                <w:lang w:val="ru-RU"/>
              </w:rPr>
              <w:t>базов</w:t>
            </w:r>
            <w:r w:rsidRPr="00A744F8">
              <w:rPr>
                <w:rFonts w:asciiTheme="majorHAnsi" w:hAnsiTheme="majorHAnsi" w:cstheme="majorHAnsi"/>
                <w:color w:val="000000"/>
                <w:sz w:val="18"/>
                <w:szCs w:val="18"/>
                <w:lang w:val="ro-MD"/>
              </w:rPr>
              <w:t>ых значений для расчета заработной платы работник</w:t>
            </w:r>
            <w:r>
              <w:rPr>
                <w:rFonts w:asciiTheme="majorHAnsi" w:hAnsiTheme="majorHAnsi" w:cstheme="majorHAnsi"/>
                <w:color w:val="000000"/>
                <w:sz w:val="18"/>
                <w:szCs w:val="18"/>
                <w:lang w:val="ru-RU"/>
              </w:rPr>
              <w:t>ам</w:t>
            </w:r>
            <w:r w:rsidRPr="00A744F8">
              <w:rPr>
                <w:rFonts w:asciiTheme="majorHAnsi" w:hAnsiTheme="majorHAnsi" w:cstheme="majorHAnsi"/>
                <w:color w:val="000000"/>
                <w:sz w:val="18"/>
                <w:szCs w:val="18"/>
                <w:lang w:val="ro-MD"/>
              </w:rPr>
              <w:t xml:space="preserve"> бюджетной сферы в среднем около 6%, (в том числе для сотрудников </w:t>
            </w:r>
            <w:r>
              <w:rPr>
                <w:rFonts w:asciiTheme="majorHAnsi" w:hAnsiTheme="majorHAnsi" w:cstheme="majorHAnsi"/>
                <w:color w:val="000000"/>
                <w:sz w:val="18"/>
                <w:szCs w:val="18"/>
                <w:lang w:val="ru-RU"/>
              </w:rPr>
              <w:t>НКСС</w:t>
            </w:r>
            <w:r w:rsidRPr="00A744F8">
              <w:rPr>
                <w:rFonts w:asciiTheme="majorHAnsi" w:hAnsiTheme="majorHAnsi" w:cstheme="majorHAnsi"/>
                <w:color w:val="000000"/>
                <w:sz w:val="18"/>
                <w:szCs w:val="18"/>
                <w:lang w:val="ro-MD"/>
              </w:rPr>
              <w:t>).</w:t>
            </w:r>
            <w:r>
              <w:rPr>
                <w:rFonts w:asciiTheme="majorHAnsi" w:hAnsiTheme="majorHAnsi" w:cstheme="majorHAnsi"/>
                <w:color w:val="000000"/>
                <w:sz w:val="18"/>
                <w:szCs w:val="18"/>
                <w:lang w:val="ru-RU"/>
              </w:rPr>
              <w:t xml:space="preserve"> </w:t>
            </w:r>
            <w:r w:rsidRPr="00A744F8">
              <w:rPr>
                <w:rFonts w:asciiTheme="majorHAnsi" w:hAnsiTheme="majorHAnsi" w:cstheme="majorHAnsi"/>
                <w:color w:val="000000"/>
                <w:sz w:val="18"/>
                <w:szCs w:val="18"/>
                <w:lang w:val="ro-MD"/>
              </w:rPr>
              <w:t>Позже, начиная с 1 сентября 2022 года, законом № 260/2022 о внесении поправок в Закон о государственном бюджете на 2022 год, было установлено базовое значение в размере 1900 леев (что на 100 леев больше размера, установленного с 1 января 2022 года), что обеспечит повышение заработной платы работников бюджетного сектора (в том числе и для персонала НКСС) примерно на 5,5 процента. В то же время, Законом №272/2022 о внесении изменений в Закон №270/2018 о единой системе оплаты труда в бюджетном секторе, классы заработной платы для государственных должностей в НКСС увеличиваются по сравнению с теми, которые установлены в таблице, для руководящих государственных  должностей на 3 последовательные классы оплаты труда, а для исполнительных государственных должностей - на 8 последовательных классов заработной платы. Дополнение от 04.01.2023 к Письму МТСЗ №112/4329 от 29.12.2022: Постановлением Правительства №726/2022 об изменении ПП №230/2020 ”Об организации и эфункционировании Национальной кассы социального страхования " была изменена структура Национальной кассы социального страхования. Таким образом, были устранены причины проблем, связанных с количеством вакантных единиц.</w:t>
            </w:r>
          </w:p>
        </w:tc>
        <w:tc>
          <w:tcPr>
            <w:tcW w:w="810" w:type="dxa"/>
            <w:shd w:val="clear" w:color="auto" w:fill="auto"/>
          </w:tcPr>
          <w:p w14:paraId="613EEDB9" w14:textId="77777777" w:rsidR="00A25BFF" w:rsidRPr="00736448" w:rsidRDefault="00A25BFF" w:rsidP="00860800">
            <w:pPr>
              <w:spacing w:after="0" w:line="240" w:lineRule="auto"/>
              <w:jc w:val="center"/>
              <w:rPr>
                <w:rFonts w:asciiTheme="majorHAnsi" w:eastAsia="Times New Roman" w:hAnsiTheme="majorHAnsi" w:cstheme="majorHAnsi"/>
                <w:b/>
                <w:color w:val="FF0000"/>
                <w:sz w:val="18"/>
                <w:szCs w:val="18"/>
                <w:lang w:val="ro-MD"/>
              </w:rPr>
            </w:pPr>
          </w:p>
        </w:tc>
        <w:tc>
          <w:tcPr>
            <w:tcW w:w="900" w:type="dxa"/>
            <w:shd w:val="clear" w:color="auto" w:fill="auto"/>
          </w:tcPr>
          <w:p w14:paraId="4632B530" w14:textId="77777777" w:rsidR="00A25BFF" w:rsidRPr="00736448" w:rsidRDefault="00A25BFF" w:rsidP="00860800">
            <w:pPr>
              <w:spacing w:after="0" w:line="240" w:lineRule="auto"/>
              <w:jc w:val="center"/>
              <w:rPr>
                <w:rFonts w:asciiTheme="majorHAnsi" w:eastAsia="Times New Roman" w:hAnsiTheme="majorHAnsi" w:cstheme="majorHAnsi"/>
                <w:b/>
                <w:color w:val="FF0000"/>
                <w:sz w:val="18"/>
                <w:szCs w:val="18"/>
                <w:lang w:val="ro-MD"/>
              </w:rPr>
            </w:pPr>
            <w:r w:rsidRPr="00736448">
              <w:rPr>
                <w:rFonts w:asciiTheme="majorHAnsi" w:eastAsia="Times New Roman" w:hAnsiTheme="majorHAnsi" w:cstheme="majorHAnsi"/>
                <w:b/>
                <w:color w:val="000000" w:themeColor="text1"/>
                <w:sz w:val="18"/>
                <w:szCs w:val="18"/>
                <w:lang w:val="ro-MD"/>
              </w:rPr>
              <w:t>V</w:t>
            </w:r>
          </w:p>
        </w:tc>
        <w:tc>
          <w:tcPr>
            <w:tcW w:w="990" w:type="dxa"/>
          </w:tcPr>
          <w:p w14:paraId="225DCA41" w14:textId="77777777" w:rsidR="00A25BFF" w:rsidRPr="00736448" w:rsidRDefault="00A25BFF" w:rsidP="00860800">
            <w:pPr>
              <w:spacing w:after="0" w:line="240" w:lineRule="auto"/>
              <w:rPr>
                <w:rFonts w:asciiTheme="majorHAnsi" w:eastAsia="Times New Roman" w:hAnsiTheme="majorHAnsi" w:cstheme="majorHAnsi"/>
                <w:b/>
                <w:bCs/>
                <w:i/>
                <w:sz w:val="18"/>
                <w:szCs w:val="18"/>
                <w:lang w:val="ro-MD"/>
              </w:rPr>
            </w:pPr>
          </w:p>
        </w:tc>
      </w:tr>
      <w:tr w:rsidR="00A25BFF" w:rsidRPr="002C203D" w14:paraId="23123B84" w14:textId="77777777" w:rsidTr="00B27804">
        <w:trPr>
          <w:trHeight w:val="20"/>
        </w:trPr>
        <w:tc>
          <w:tcPr>
            <w:tcW w:w="14400" w:type="dxa"/>
            <w:gridSpan w:val="6"/>
            <w:shd w:val="clear" w:color="auto" w:fill="FFFFFF" w:themeFill="background1"/>
            <w:noWrap/>
            <w:vAlign w:val="center"/>
          </w:tcPr>
          <w:p w14:paraId="3BD63093" w14:textId="3EE59383" w:rsidR="00A25BFF" w:rsidRPr="00736448" w:rsidRDefault="002C203D" w:rsidP="002C203D">
            <w:pPr>
              <w:spacing w:after="0" w:line="240" w:lineRule="auto"/>
              <w:jc w:val="center"/>
              <w:rPr>
                <w:rFonts w:asciiTheme="majorHAnsi" w:eastAsia="Times New Roman" w:hAnsiTheme="majorHAnsi" w:cstheme="majorHAnsi"/>
                <w:b/>
                <w:bCs/>
                <w:i/>
                <w:sz w:val="18"/>
                <w:szCs w:val="18"/>
                <w:lang w:val="ro-MD"/>
              </w:rPr>
            </w:pPr>
            <w:r w:rsidRPr="002C203D">
              <w:rPr>
                <w:rFonts w:asciiTheme="majorHAnsi" w:hAnsiTheme="majorHAnsi" w:cstheme="majorHAnsi"/>
                <w:b/>
                <w:bCs/>
                <w:i/>
                <w:iCs/>
                <w:sz w:val="18"/>
                <w:szCs w:val="18"/>
                <w:lang w:val="ro-RO"/>
              </w:rPr>
              <w:t>Рекомендации М</w:t>
            </w:r>
            <w:r w:rsidRPr="002C203D">
              <w:rPr>
                <w:rFonts w:asciiTheme="majorHAnsi" w:hAnsiTheme="majorHAnsi" w:cstheme="majorHAnsi"/>
                <w:b/>
                <w:bCs/>
                <w:i/>
                <w:iCs/>
                <w:sz w:val="18"/>
                <w:szCs w:val="18"/>
                <w:lang w:val="ru-RU"/>
              </w:rPr>
              <w:t>инистерству финансов</w:t>
            </w:r>
            <w:r w:rsidRPr="002C203D">
              <w:rPr>
                <w:rFonts w:asciiTheme="majorHAnsi" w:hAnsiTheme="majorHAnsi" w:cstheme="majorHAnsi"/>
                <w:b/>
                <w:bCs/>
                <w:i/>
                <w:iCs/>
                <w:sz w:val="18"/>
                <w:szCs w:val="18"/>
                <w:lang w:val="ro-MD"/>
              </w:rPr>
              <w:t xml:space="preserve"> </w:t>
            </w:r>
          </w:p>
        </w:tc>
      </w:tr>
      <w:tr w:rsidR="00A25BFF" w:rsidRPr="00B7675F" w14:paraId="1C3A3A84" w14:textId="77777777" w:rsidTr="00B27804">
        <w:trPr>
          <w:trHeight w:val="20"/>
        </w:trPr>
        <w:tc>
          <w:tcPr>
            <w:tcW w:w="604" w:type="dxa"/>
            <w:vMerge w:val="restart"/>
            <w:shd w:val="clear" w:color="auto" w:fill="FFFFFF" w:themeFill="background1"/>
            <w:noWrap/>
            <w:vAlign w:val="center"/>
          </w:tcPr>
          <w:p w14:paraId="0D8205B5"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3</w:t>
            </w:r>
          </w:p>
        </w:tc>
        <w:tc>
          <w:tcPr>
            <w:tcW w:w="2906" w:type="dxa"/>
            <w:shd w:val="clear" w:color="auto" w:fill="auto"/>
          </w:tcPr>
          <w:p w14:paraId="5021A08F" w14:textId="1AFFA688" w:rsidR="00A25BFF" w:rsidRPr="00736448" w:rsidRDefault="00A25BFF" w:rsidP="00860800">
            <w:pPr>
              <w:pStyle w:val="aa"/>
              <w:spacing w:after="0" w:line="240" w:lineRule="auto"/>
              <w:ind w:left="-66"/>
              <w:jc w:val="both"/>
              <w:rPr>
                <w:rFonts w:asciiTheme="majorHAnsi" w:eastAsia="Times New Roman" w:hAnsiTheme="majorHAnsi" w:cstheme="majorHAnsi"/>
                <w:sz w:val="18"/>
                <w:szCs w:val="18"/>
                <w:lang w:val="ro-MD"/>
              </w:rPr>
            </w:pPr>
            <w:r w:rsidRPr="00736448">
              <w:rPr>
                <w:rFonts w:asciiTheme="majorHAnsi" w:hAnsiTheme="majorHAnsi" w:cstheme="majorHAnsi"/>
                <w:i/>
                <w:sz w:val="18"/>
                <w:szCs w:val="18"/>
                <w:lang w:val="ro-MD"/>
              </w:rPr>
              <w:t xml:space="preserve">6. </w:t>
            </w:r>
            <w:r w:rsidR="002C203D" w:rsidRPr="002C203D">
              <w:rPr>
                <w:rFonts w:asciiTheme="majorHAnsi" w:hAnsiTheme="majorHAnsi" w:cstheme="majorHAnsi"/>
                <w:i/>
                <w:sz w:val="18"/>
                <w:szCs w:val="18"/>
                <w:lang w:val="ro-RO"/>
              </w:rPr>
              <w:t>Обеспечить дополнение Методологических норм, связанных с подготовкой Отчетов об исполнении бюджета государственного социального страхования, для выявления, оценки и включения в отдельный учет и отчетности сумм, связанных с пособиями на воспитание детей в возрасте до 3 лет и пособиями по уходу за ребенком в возрасте до 2 лет и 2 месяцев, с их отдельным отражением в отчетах</w:t>
            </w:r>
          </w:p>
        </w:tc>
        <w:tc>
          <w:tcPr>
            <w:tcW w:w="8190" w:type="dxa"/>
            <w:shd w:val="clear" w:color="auto" w:fill="auto"/>
          </w:tcPr>
          <w:p w14:paraId="35196372" w14:textId="416E01C5" w:rsidR="00A25BFF" w:rsidRPr="00736448" w:rsidRDefault="00F9753E" w:rsidP="00860800">
            <w:pPr>
              <w:spacing w:line="240" w:lineRule="auto"/>
              <w:jc w:val="both"/>
              <w:rPr>
                <w:rFonts w:asciiTheme="majorHAnsi" w:hAnsiTheme="majorHAnsi" w:cstheme="majorHAnsi"/>
                <w:color w:val="000000"/>
                <w:sz w:val="18"/>
                <w:szCs w:val="18"/>
                <w:lang w:val="ro-MD"/>
              </w:rPr>
            </w:pPr>
            <w:r>
              <w:rPr>
                <w:rFonts w:asciiTheme="majorHAnsi" w:hAnsiTheme="majorHAnsi" w:cstheme="majorHAnsi"/>
                <w:b/>
                <w:i/>
                <w:color w:val="000000"/>
                <w:sz w:val="18"/>
                <w:szCs w:val="18"/>
                <w:lang w:val="ro-MD"/>
              </w:rPr>
              <w:t>Письмо Министерства финансов №</w:t>
            </w:r>
            <w:r w:rsidR="00A25BFF" w:rsidRPr="00736448">
              <w:rPr>
                <w:rFonts w:asciiTheme="majorHAnsi" w:hAnsiTheme="majorHAnsi" w:cstheme="majorHAnsi"/>
                <w:b/>
                <w:i/>
                <w:color w:val="000000"/>
                <w:sz w:val="18"/>
                <w:szCs w:val="18"/>
                <w:lang w:val="ro-MD"/>
              </w:rPr>
              <w:t xml:space="preserve">05-10/104/1730 </w:t>
            </w:r>
            <w:r w:rsidR="006916C3">
              <w:rPr>
                <w:rFonts w:asciiTheme="majorHAnsi" w:hAnsiTheme="majorHAnsi" w:cstheme="majorHAnsi"/>
                <w:b/>
                <w:i/>
                <w:color w:val="000000"/>
                <w:sz w:val="18"/>
                <w:szCs w:val="18"/>
                <w:lang w:val="ro-MD"/>
              </w:rPr>
              <w:t>от</w:t>
            </w:r>
            <w:r w:rsidR="00A25BFF" w:rsidRPr="00736448">
              <w:rPr>
                <w:rFonts w:asciiTheme="majorHAnsi" w:hAnsiTheme="majorHAnsi" w:cstheme="majorHAnsi"/>
                <w:b/>
                <w:i/>
                <w:color w:val="000000"/>
                <w:sz w:val="18"/>
                <w:szCs w:val="18"/>
                <w:lang w:val="ro-MD"/>
              </w:rPr>
              <w:t xml:space="preserve"> 19.12.2022</w:t>
            </w:r>
            <w:r w:rsidR="00A25BFF" w:rsidRPr="00736448">
              <w:rPr>
                <w:rFonts w:asciiTheme="majorHAnsi" w:hAnsiTheme="majorHAnsi" w:cstheme="majorHAnsi"/>
                <w:color w:val="000000"/>
                <w:sz w:val="18"/>
                <w:szCs w:val="18"/>
                <w:lang w:val="ro-MD"/>
              </w:rPr>
              <w:t xml:space="preserve">: </w:t>
            </w:r>
            <w:r w:rsidR="00556456" w:rsidRPr="00556456">
              <w:rPr>
                <w:rFonts w:asciiTheme="majorHAnsi" w:hAnsiTheme="majorHAnsi" w:cstheme="majorHAnsi"/>
                <w:color w:val="000000"/>
                <w:sz w:val="18"/>
                <w:szCs w:val="18"/>
                <w:lang w:val="ro-MD"/>
              </w:rPr>
              <w:t>Был подписан Приказ МФ №121/2022 о внесении изменений в Приказ МФ №38/2017 об утверждении структуры, состава, формата форм Отчетов об исполнении бюджета государственного социального страхования и Методологических норм о порядке их составления (прилагается 1 лист), касающихся изменения и дополнения  Приложение № 2 „Структура и формат отчетов об исполнении бюджета государственного социального страхования”</w:t>
            </w:r>
            <w:r w:rsidR="00A25BFF" w:rsidRPr="00736448">
              <w:rPr>
                <w:rFonts w:asciiTheme="majorHAnsi" w:hAnsiTheme="majorHAnsi" w:cstheme="majorHAnsi"/>
                <w:color w:val="000000"/>
                <w:sz w:val="18"/>
                <w:szCs w:val="18"/>
                <w:lang w:val="ro-MD"/>
              </w:rPr>
              <w:t xml:space="preserve">. </w:t>
            </w:r>
          </w:p>
          <w:p w14:paraId="2A08C98F" w14:textId="77777777" w:rsidR="00A25BFF" w:rsidRPr="00736448" w:rsidRDefault="00A25BFF" w:rsidP="00860800">
            <w:pPr>
              <w:spacing w:line="240" w:lineRule="auto"/>
              <w:jc w:val="both"/>
              <w:rPr>
                <w:rFonts w:asciiTheme="majorHAnsi" w:eastAsia="Times New Roman" w:hAnsiTheme="majorHAnsi" w:cstheme="majorHAnsi"/>
                <w:bCs/>
                <w:iCs/>
                <w:color w:val="000000" w:themeColor="text1"/>
                <w:sz w:val="18"/>
                <w:szCs w:val="18"/>
                <w:lang w:val="ro-MD"/>
              </w:rPr>
            </w:pPr>
          </w:p>
        </w:tc>
        <w:tc>
          <w:tcPr>
            <w:tcW w:w="810" w:type="dxa"/>
            <w:shd w:val="clear" w:color="auto" w:fill="auto"/>
          </w:tcPr>
          <w:p w14:paraId="2E292ED1" w14:textId="77777777" w:rsidR="00A25BFF" w:rsidRPr="00736448" w:rsidRDefault="00A25BFF" w:rsidP="00860800">
            <w:pPr>
              <w:spacing w:after="0" w:line="240" w:lineRule="auto"/>
              <w:jc w:val="center"/>
              <w:rPr>
                <w:rFonts w:asciiTheme="majorHAnsi" w:eastAsia="Times New Roman" w:hAnsiTheme="majorHAnsi" w:cstheme="majorHAnsi"/>
                <w:b/>
                <w:color w:val="FF0000"/>
                <w:sz w:val="18"/>
                <w:szCs w:val="18"/>
                <w:lang w:val="ro-MD"/>
              </w:rPr>
            </w:pPr>
            <w:r w:rsidRPr="00736448">
              <w:rPr>
                <w:rFonts w:asciiTheme="majorHAnsi" w:eastAsia="Times New Roman" w:hAnsiTheme="majorHAnsi" w:cstheme="majorHAnsi"/>
                <w:b/>
                <w:color w:val="000000" w:themeColor="text1"/>
                <w:sz w:val="18"/>
                <w:szCs w:val="18"/>
                <w:lang w:val="ro-MD"/>
              </w:rPr>
              <w:t>V</w:t>
            </w:r>
          </w:p>
        </w:tc>
        <w:tc>
          <w:tcPr>
            <w:tcW w:w="900" w:type="dxa"/>
            <w:shd w:val="clear" w:color="auto" w:fill="auto"/>
          </w:tcPr>
          <w:p w14:paraId="7CF5E6C8" w14:textId="77777777" w:rsidR="00A25BFF" w:rsidRPr="00736448" w:rsidRDefault="00A25BFF" w:rsidP="00860800">
            <w:pPr>
              <w:spacing w:after="0" w:line="240" w:lineRule="auto"/>
              <w:jc w:val="center"/>
              <w:rPr>
                <w:rFonts w:asciiTheme="majorHAnsi" w:eastAsia="Times New Roman" w:hAnsiTheme="majorHAnsi" w:cstheme="majorHAnsi"/>
                <w:b/>
                <w:color w:val="000000" w:themeColor="text1"/>
                <w:sz w:val="18"/>
                <w:szCs w:val="18"/>
                <w:lang w:val="ro-MD"/>
              </w:rPr>
            </w:pPr>
          </w:p>
        </w:tc>
        <w:tc>
          <w:tcPr>
            <w:tcW w:w="990" w:type="dxa"/>
          </w:tcPr>
          <w:p w14:paraId="00A38537" w14:textId="77777777" w:rsidR="00A25BFF" w:rsidRPr="00736448" w:rsidRDefault="00A25BFF" w:rsidP="00860800">
            <w:pPr>
              <w:spacing w:after="0" w:line="240" w:lineRule="auto"/>
              <w:rPr>
                <w:rFonts w:asciiTheme="majorHAnsi" w:eastAsia="Times New Roman" w:hAnsiTheme="majorHAnsi" w:cstheme="majorHAnsi"/>
                <w:b/>
                <w:bCs/>
                <w:i/>
                <w:sz w:val="18"/>
                <w:szCs w:val="18"/>
                <w:lang w:val="ro-MD"/>
              </w:rPr>
            </w:pPr>
          </w:p>
        </w:tc>
      </w:tr>
      <w:tr w:rsidR="00A25BFF" w:rsidRPr="00B7675F" w14:paraId="3A9FE62E" w14:textId="77777777" w:rsidTr="00B27804">
        <w:trPr>
          <w:trHeight w:val="20"/>
        </w:trPr>
        <w:tc>
          <w:tcPr>
            <w:tcW w:w="604" w:type="dxa"/>
            <w:vMerge/>
            <w:shd w:val="clear" w:color="auto" w:fill="FFFFFF" w:themeFill="background1"/>
            <w:noWrap/>
            <w:vAlign w:val="center"/>
          </w:tcPr>
          <w:p w14:paraId="00E3A1E4"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2906" w:type="dxa"/>
            <w:shd w:val="clear" w:color="auto" w:fill="auto"/>
          </w:tcPr>
          <w:p w14:paraId="37C64ED4" w14:textId="5B2D8AE8" w:rsidR="00A25BFF" w:rsidRPr="00736448" w:rsidRDefault="00A25BFF" w:rsidP="00860800">
            <w:pPr>
              <w:spacing w:line="240" w:lineRule="auto"/>
              <w:jc w:val="both"/>
              <w:rPr>
                <w:rFonts w:asciiTheme="majorHAnsi" w:hAnsiTheme="majorHAnsi" w:cstheme="majorHAnsi"/>
                <w:i/>
                <w:sz w:val="18"/>
                <w:szCs w:val="18"/>
                <w:lang w:val="ro-MD"/>
              </w:rPr>
            </w:pPr>
            <w:r w:rsidRPr="00736448">
              <w:rPr>
                <w:rFonts w:asciiTheme="majorHAnsi" w:hAnsiTheme="majorHAnsi" w:cstheme="majorHAnsi"/>
                <w:i/>
                <w:sz w:val="18"/>
                <w:szCs w:val="18"/>
                <w:lang w:val="ro-MD"/>
              </w:rPr>
              <w:t xml:space="preserve">7. </w:t>
            </w:r>
            <w:r w:rsidR="002C203D" w:rsidRPr="002C203D">
              <w:rPr>
                <w:rFonts w:asciiTheme="majorHAnsi" w:hAnsiTheme="majorHAnsi" w:cstheme="majorHAnsi"/>
                <w:i/>
                <w:sz w:val="18"/>
                <w:szCs w:val="18"/>
                <w:lang w:val="ro-RO"/>
              </w:rPr>
              <w:t>Привести наименования показателей из отчетов об исполнении БГСС и Плана счетов бухгалтерского учета, в соответствие с понятиями, предусмотренными в законодательной базе</w:t>
            </w:r>
          </w:p>
        </w:tc>
        <w:tc>
          <w:tcPr>
            <w:tcW w:w="8190" w:type="dxa"/>
            <w:shd w:val="clear" w:color="auto" w:fill="auto"/>
          </w:tcPr>
          <w:p w14:paraId="4DCAF68B" w14:textId="2D7CDCE9" w:rsidR="00A25BFF" w:rsidRPr="00736448" w:rsidRDefault="00F9753E" w:rsidP="00860800">
            <w:pPr>
              <w:spacing w:line="240" w:lineRule="auto"/>
              <w:jc w:val="both"/>
              <w:rPr>
                <w:rFonts w:asciiTheme="majorHAnsi" w:hAnsiTheme="majorHAnsi" w:cstheme="majorHAnsi"/>
                <w:color w:val="000000"/>
                <w:sz w:val="18"/>
                <w:szCs w:val="18"/>
                <w:lang w:val="ro-MD"/>
              </w:rPr>
            </w:pPr>
            <w:r>
              <w:rPr>
                <w:rFonts w:asciiTheme="majorHAnsi" w:hAnsiTheme="majorHAnsi" w:cstheme="majorHAnsi"/>
                <w:b/>
                <w:i/>
                <w:color w:val="000000"/>
                <w:sz w:val="18"/>
                <w:szCs w:val="18"/>
                <w:lang w:val="ro-MD"/>
              </w:rPr>
              <w:t>Письмо Министерства финансов №</w:t>
            </w:r>
            <w:r w:rsidR="00A25BFF" w:rsidRPr="00736448">
              <w:rPr>
                <w:rFonts w:asciiTheme="majorHAnsi" w:hAnsiTheme="majorHAnsi" w:cstheme="majorHAnsi"/>
                <w:b/>
                <w:i/>
                <w:color w:val="000000"/>
                <w:sz w:val="18"/>
                <w:szCs w:val="18"/>
                <w:lang w:val="ro-MD"/>
              </w:rPr>
              <w:t xml:space="preserve">05-10/104/1730 </w:t>
            </w:r>
            <w:r w:rsidR="006916C3">
              <w:rPr>
                <w:rFonts w:asciiTheme="majorHAnsi" w:hAnsiTheme="majorHAnsi" w:cstheme="majorHAnsi"/>
                <w:b/>
                <w:i/>
                <w:color w:val="000000"/>
                <w:sz w:val="18"/>
                <w:szCs w:val="18"/>
                <w:lang w:val="ro-MD"/>
              </w:rPr>
              <w:t>от</w:t>
            </w:r>
            <w:r w:rsidR="00A25BFF" w:rsidRPr="00736448">
              <w:rPr>
                <w:rFonts w:asciiTheme="majorHAnsi" w:hAnsiTheme="majorHAnsi" w:cstheme="majorHAnsi"/>
                <w:b/>
                <w:i/>
                <w:color w:val="000000"/>
                <w:sz w:val="18"/>
                <w:szCs w:val="18"/>
                <w:lang w:val="ro-MD"/>
              </w:rPr>
              <w:t xml:space="preserve"> 19.12.2022</w:t>
            </w:r>
            <w:r w:rsidR="00A25BFF" w:rsidRPr="00736448">
              <w:rPr>
                <w:rFonts w:asciiTheme="majorHAnsi" w:hAnsiTheme="majorHAnsi" w:cstheme="majorHAnsi"/>
                <w:color w:val="000000"/>
                <w:sz w:val="18"/>
                <w:szCs w:val="18"/>
                <w:lang w:val="ro-MD"/>
              </w:rPr>
              <w:t xml:space="preserve">: </w:t>
            </w:r>
            <w:r w:rsidR="00556456" w:rsidRPr="00556456">
              <w:rPr>
                <w:rFonts w:asciiTheme="majorHAnsi" w:hAnsiTheme="majorHAnsi" w:cstheme="majorHAnsi"/>
                <w:color w:val="000000"/>
                <w:sz w:val="18"/>
                <w:szCs w:val="18"/>
                <w:lang w:val="ro-MD"/>
              </w:rPr>
              <w:t>см. ответ на рекомендацию №6</w:t>
            </w:r>
            <w:r w:rsidR="00A25BFF" w:rsidRPr="00736448">
              <w:rPr>
                <w:rFonts w:asciiTheme="majorHAnsi" w:hAnsiTheme="majorHAnsi" w:cstheme="majorHAnsi"/>
                <w:color w:val="000000"/>
                <w:sz w:val="18"/>
                <w:szCs w:val="18"/>
                <w:lang w:val="ro-MD"/>
              </w:rPr>
              <w:t xml:space="preserve">. </w:t>
            </w:r>
          </w:p>
          <w:p w14:paraId="7E60FFD2" w14:textId="77777777" w:rsidR="00A25BFF" w:rsidRPr="00736448" w:rsidRDefault="00A25BFF" w:rsidP="00860800">
            <w:pPr>
              <w:spacing w:line="240" w:lineRule="auto"/>
              <w:jc w:val="both"/>
              <w:rPr>
                <w:rFonts w:asciiTheme="majorHAnsi" w:hAnsiTheme="majorHAnsi" w:cstheme="majorHAnsi"/>
                <w:color w:val="000000"/>
                <w:sz w:val="18"/>
                <w:szCs w:val="18"/>
                <w:lang w:val="ro-MD"/>
              </w:rPr>
            </w:pPr>
          </w:p>
        </w:tc>
        <w:tc>
          <w:tcPr>
            <w:tcW w:w="810" w:type="dxa"/>
            <w:shd w:val="clear" w:color="auto" w:fill="auto"/>
          </w:tcPr>
          <w:p w14:paraId="6A430682"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V</w:t>
            </w:r>
          </w:p>
        </w:tc>
        <w:tc>
          <w:tcPr>
            <w:tcW w:w="900" w:type="dxa"/>
            <w:shd w:val="clear" w:color="auto" w:fill="auto"/>
          </w:tcPr>
          <w:p w14:paraId="285DA6BC"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990" w:type="dxa"/>
          </w:tcPr>
          <w:p w14:paraId="2BD2374A" w14:textId="77777777" w:rsidR="00A25BFF" w:rsidRPr="00736448" w:rsidRDefault="00A25BFF" w:rsidP="00860800">
            <w:pPr>
              <w:spacing w:after="0" w:line="240" w:lineRule="auto"/>
              <w:jc w:val="center"/>
              <w:rPr>
                <w:rFonts w:asciiTheme="majorHAnsi" w:eastAsia="Times New Roman" w:hAnsiTheme="majorHAnsi" w:cstheme="majorHAnsi"/>
                <w:b/>
                <w:bCs/>
                <w:iCs/>
                <w:sz w:val="18"/>
                <w:szCs w:val="18"/>
                <w:lang w:val="ro-MD"/>
              </w:rPr>
            </w:pPr>
          </w:p>
        </w:tc>
      </w:tr>
      <w:tr w:rsidR="00A25BFF" w:rsidRPr="00B7675F" w14:paraId="0A189A39" w14:textId="77777777" w:rsidTr="00B27804">
        <w:trPr>
          <w:trHeight w:val="20"/>
        </w:trPr>
        <w:tc>
          <w:tcPr>
            <w:tcW w:w="14400" w:type="dxa"/>
            <w:gridSpan w:val="6"/>
            <w:shd w:val="clear" w:color="auto" w:fill="FFFFFF" w:themeFill="background1"/>
            <w:noWrap/>
            <w:vAlign w:val="center"/>
          </w:tcPr>
          <w:p w14:paraId="234E3373" w14:textId="03574D72" w:rsidR="00A25BFF" w:rsidRPr="00736448" w:rsidRDefault="000648BE" w:rsidP="00860800">
            <w:pPr>
              <w:spacing w:after="0" w:line="240" w:lineRule="auto"/>
              <w:jc w:val="center"/>
              <w:rPr>
                <w:rFonts w:asciiTheme="majorHAnsi" w:eastAsia="Times New Roman" w:hAnsiTheme="majorHAnsi" w:cstheme="majorHAnsi"/>
                <w:b/>
                <w:bCs/>
                <w:iCs/>
                <w:sz w:val="18"/>
                <w:szCs w:val="18"/>
                <w:lang w:val="ro-MD"/>
              </w:rPr>
            </w:pPr>
            <w:r w:rsidRPr="000648BE">
              <w:rPr>
                <w:rFonts w:asciiTheme="majorHAnsi" w:hAnsiTheme="majorHAnsi" w:cstheme="majorHAnsi"/>
                <w:b/>
                <w:bCs/>
                <w:i/>
                <w:iCs/>
                <w:sz w:val="18"/>
                <w:szCs w:val="18"/>
                <w:lang w:val="ru-RU"/>
              </w:rPr>
              <w:t>Рекомендации Министру здравоохранения</w:t>
            </w:r>
          </w:p>
        </w:tc>
      </w:tr>
      <w:tr w:rsidR="00A25BFF" w:rsidRPr="00B7675F" w14:paraId="07F50233" w14:textId="77777777" w:rsidTr="00B27804">
        <w:trPr>
          <w:trHeight w:val="20"/>
        </w:trPr>
        <w:tc>
          <w:tcPr>
            <w:tcW w:w="604" w:type="dxa"/>
            <w:shd w:val="clear" w:color="auto" w:fill="FFFFFF" w:themeFill="background1"/>
            <w:noWrap/>
            <w:vAlign w:val="center"/>
          </w:tcPr>
          <w:p w14:paraId="6CE12F35"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4</w:t>
            </w:r>
          </w:p>
        </w:tc>
        <w:tc>
          <w:tcPr>
            <w:tcW w:w="2906" w:type="dxa"/>
            <w:shd w:val="clear" w:color="auto" w:fill="auto"/>
          </w:tcPr>
          <w:p w14:paraId="15DCEE6E" w14:textId="26D9ED6C" w:rsidR="00A25BFF" w:rsidRPr="00736448" w:rsidRDefault="00A25BFF" w:rsidP="00860800">
            <w:pPr>
              <w:spacing w:after="0" w:line="240" w:lineRule="auto"/>
              <w:jc w:val="both"/>
              <w:rPr>
                <w:rFonts w:asciiTheme="majorHAnsi" w:hAnsiTheme="majorHAnsi" w:cstheme="majorHAnsi"/>
                <w:color w:val="000000" w:themeColor="text1"/>
                <w:sz w:val="18"/>
                <w:szCs w:val="18"/>
                <w:lang w:val="ro-MD"/>
              </w:rPr>
            </w:pPr>
            <w:r w:rsidRPr="00736448">
              <w:rPr>
                <w:rFonts w:asciiTheme="majorHAnsi" w:hAnsiTheme="majorHAnsi" w:cstheme="majorHAnsi"/>
                <w:i/>
                <w:sz w:val="18"/>
                <w:szCs w:val="18"/>
                <w:lang w:val="ro-MD"/>
              </w:rPr>
              <w:t xml:space="preserve">8. </w:t>
            </w:r>
            <w:r w:rsidR="000648BE" w:rsidRPr="000648BE">
              <w:rPr>
                <w:rFonts w:asciiTheme="majorHAnsi" w:hAnsiTheme="majorHAnsi" w:cstheme="majorHAnsi"/>
                <w:i/>
                <w:sz w:val="18"/>
                <w:szCs w:val="18"/>
                <w:lang w:val="ro-RO"/>
              </w:rPr>
              <w:t>Обеспечить действия по привлечению к ответственности руководителей медицинских учреждений, с целью повышения эффективности постоянного контроля за правильностью и полнотой данных, введенных на Портале Больничных листов, с соблюдением установленных сроков</w:t>
            </w:r>
          </w:p>
        </w:tc>
        <w:tc>
          <w:tcPr>
            <w:tcW w:w="8190" w:type="dxa"/>
            <w:shd w:val="clear" w:color="auto" w:fill="auto"/>
          </w:tcPr>
          <w:p w14:paraId="57B3B445" w14:textId="6A9C3F8A" w:rsidR="00A25BFF" w:rsidRPr="00736448" w:rsidRDefault="006916C3" w:rsidP="00556456">
            <w:pPr>
              <w:spacing w:line="240" w:lineRule="auto"/>
              <w:jc w:val="both"/>
              <w:rPr>
                <w:rFonts w:asciiTheme="majorHAnsi" w:hAnsiTheme="majorHAnsi" w:cstheme="majorHAnsi"/>
                <w:color w:val="000000"/>
                <w:sz w:val="18"/>
                <w:szCs w:val="18"/>
                <w:lang w:val="ro-MD"/>
              </w:rPr>
            </w:pPr>
            <w:r>
              <w:rPr>
                <w:rFonts w:asciiTheme="majorHAnsi" w:hAnsiTheme="majorHAnsi" w:cstheme="majorHAnsi"/>
                <w:b/>
                <w:i/>
                <w:color w:val="000000"/>
                <w:sz w:val="18"/>
                <w:szCs w:val="18"/>
                <w:lang w:val="ro-MD"/>
              </w:rPr>
              <w:t>Письмо МЗ №</w:t>
            </w:r>
            <w:r w:rsidR="00A25BFF" w:rsidRPr="00736448">
              <w:rPr>
                <w:rFonts w:asciiTheme="majorHAnsi" w:hAnsiTheme="majorHAnsi" w:cstheme="majorHAnsi"/>
                <w:b/>
                <w:i/>
                <w:color w:val="000000"/>
                <w:sz w:val="18"/>
                <w:szCs w:val="18"/>
                <w:lang w:val="ro-MD"/>
              </w:rPr>
              <w:t xml:space="preserve">08/7 </w:t>
            </w:r>
            <w:r>
              <w:rPr>
                <w:rFonts w:asciiTheme="majorHAnsi" w:hAnsiTheme="majorHAnsi" w:cstheme="majorHAnsi"/>
                <w:b/>
                <w:i/>
                <w:color w:val="000000"/>
                <w:sz w:val="18"/>
                <w:szCs w:val="18"/>
                <w:lang w:val="ro-MD"/>
              </w:rPr>
              <w:t>от</w:t>
            </w:r>
            <w:r w:rsidR="00A25BFF" w:rsidRPr="00736448">
              <w:rPr>
                <w:rFonts w:asciiTheme="majorHAnsi" w:hAnsiTheme="majorHAnsi" w:cstheme="majorHAnsi"/>
                <w:b/>
                <w:i/>
                <w:color w:val="000000"/>
                <w:sz w:val="18"/>
                <w:szCs w:val="18"/>
                <w:lang w:val="ro-MD"/>
              </w:rPr>
              <w:t xml:space="preserve"> 04.01.2023</w:t>
            </w:r>
            <w:r w:rsidR="00A25BFF" w:rsidRPr="00736448">
              <w:rPr>
                <w:rFonts w:asciiTheme="majorHAnsi" w:hAnsiTheme="majorHAnsi" w:cstheme="majorHAnsi"/>
                <w:color w:val="000000"/>
                <w:sz w:val="18"/>
                <w:szCs w:val="18"/>
                <w:lang w:val="ro-MD"/>
              </w:rPr>
              <w:t xml:space="preserve">: </w:t>
            </w:r>
            <w:r w:rsidR="00556456" w:rsidRPr="00556456">
              <w:rPr>
                <w:rFonts w:asciiTheme="majorHAnsi" w:hAnsiTheme="majorHAnsi" w:cstheme="majorHAnsi"/>
                <w:color w:val="000000"/>
                <w:sz w:val="18"/>
                <w:szCs w:val="18"/>
                <w:lang w:val="ro-MD"/>
              </w:rPr>
              <w:t xml:space="preserve">Министерство здравоохранения обеспечило выполнение действий по привлечению к ответственности руководителей медицинских учреждений, в целях повышения эффективности постоянного контроля над правильностью и полнотой данных, представленных на </w:t>
            </w:r>
            <w:r w:rsidR="00556456" w:rsidRPr="00556456">
              <w:rPr>
                <w:rFonts w:asciiTheme="majorHAnsi" w:hAnsiTheme="majorHAnsi" w:cstheme="majorHAnsi"/>
                <w:color w:val="000000"/>
                <w:sz w:val="18"/>
                <w:szCs w:val="18"/>
                <w:lang w:val="ro-RO"/>
              </w:rPr>
              <w:t>Портале Больничных листов, с соблюдением установленных сроков</w:t>
            </w:r>
            <w:r w:rsidR="00A25BFF" w:rsidRPr="00736448">
              <w:rPr>
                <w:rFonts w:asciiTheme="majorHAnsi" w:hAnsiTheme="majorHAnsi" w:cstheme="majorHAnsi"/>
                <w:color w:val="000000"/>
                <w:sz w:val="18"/>
                <w:szCs w:val="18"/>
                <w:lang w:val="ro-MD"/>
              </w:rPr>
              <w:t xml:space="preserve">.  </w:t>
            </w:r>
          </w:p>
        </w:tc>
        <w:tc>
          <w:tcPr>
            <w:tcW w:w="810" w:type="dxa"/>
            <w:shd w:val="clear" w:color="auto" w:fill="auto"/>
          </w:tcPr>
          <w:p w14:paraId="2417B1C1" w14:textId="77777777" w:rsidR="00A25BFF" w:rsidRPr="00736448" w:rsidRDefault="00A25BFF" w:rsidP="00860800">
            <w:pPr>
              <w:spacing w:after="0" w:line="240" w:lineRule="auto"/>
              <w:jc w:val="center"/>
              <w:rPr>
                <w:rFonts w:asciiTheme="majorHAnsi" w:eastAsia="Times New Roman" w:hAnsiTheme="majorHAnsi" w:cstheme="majorHAnsi"/>
                <w:sz w:val="18"/>
                <w:szCs w:val="18"/>
                <w:lang w:val="ro-MD"/>
              </w:rPr>
            </w:pPr>
          </w:p>
        </w:tc>
        <w:tc>
          <w:tcPr>
            <w:tcW w:w="900" w:type="dxa"/>
            <w:shd w:val="clear" w:color="auto" w:fill="auto"/>
          </w:tcPr>
          <w:p w14:paraId="3C0B082A"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V</w:t>
            </w:r>
          </w:p>
        </w:tc>
        <w:tc>
          <w:tcPr>
            <w:tcW w:w="990" w:type="dxa"/>
          </w:tcPr>
          <w:p w14:paraId="0E44FEF0" w14:textId="77777777" w:rsidR="00A25BFF" w:rsidRPr="00736448" w:rsidRDefault="00A25BFF" w:rsidP="00860800">
            <w:pPr>
              <w:spacing w:after="0" w:line="240" w:lineRule="auto"/>
              <w:jc w:val="center"/>
              <w:rPr>
                <w:rFonts w:asciiTheme="majorHAnsi" w:eastAsia="Times New Roman" w:hAnsiTheme="majorHAnsi" w:cstheme="majorHAnsi"/>
                <w:b/>
                <w:bCs/>
                <w:iCs/>
                <w:sz w:val="18"/>
                <w:szCs w:val="18"/>
                <w:lang w:val="ro-MD"/>
              </w:rPr>
            </w:pPr>
          </w:p>
        </w:tc>
      </w:tr>
      <w:tr w:rsidR="00A25BFF" w:rsidRPr="000648BE" w14:paraId="1805CEC5" w14:textId="77777777" w:rsidTr="00B27804">
        <w:trPr>
          <w:trHeight w:val="20"/>
        </w:trPr>
        <w:tc>
          <w:tcPr>
            <w:tcW w:w="14400" w:type="dxa"/>
            <w:gridSpan w:val="6"/>
            <w:shd w:val="clear" w:color="auto" w:fill="FFFFFF" w:themeFill="background1"/>
            <w:noWrap/>
            <w:vAlign w:val="center"/>
          </w:tcPr>
          <w:p w14:paraId="5D621D2A" w14:textId="70BE1BEF" w:rsidR="00A25BFF" w:rsidRPr="00736448" w:rsidRDefault="000648BE" w:rsidP="00860800">
            <w:pPr>
              <w:spacing w:after="0" w:line="240" w:lineRule="auto"/>
              <w:jc w:val="center"/>
              <w:rPr>
                <w:rFonts w:asciiTheme="majorHAnsi" w:eastAsia="Times New Roman" w:hAnsiTheme="majorHAnsi" w:cstheme="majorHAnsi"/>
                <w:b/>
                <w:bCs/>
                <w:iCs/>
                <w:sz w:val="18"/>
                <w:szCs w:val="18"/>
                <w:lang w:val="ro-MD"/>
              </w:rPr>
            </w:pPr>
            <w:r w:rsidRPr="000648BE">
              <w:rPr>
                <w:rFonts w:asciiTheme="majorHAnsi" w:hAnsiTheme="majorHAnsi" w:cstheme="majorHAnsi"/>
                <w:b/>
                <w:bCs/>
                <w:i/>
                <w:iCs/>
                <w:color w:val="000000"/>
                <w:sz w:val="18"/>
                <w:szCs w:val="18"/>
                <w:lang w:val="ru-RU"/>
              </w:rPr>
              <w:t>Рекомендации Директору Агентства публичных услуг</w:t>
            </w:r>
          </w:p>
        </w:tc>
      </w:tr>
      <w:tr w:rsidR="00A25BFF" w:rsidRPr="00B7675F" w14:paraId="77596EAB" w14:textId="77777777" w:rsidTr="00B27804">
        <w:trPr>
          <w:trHeight w:val="20"/>
        </w:trPr>
        <w:tc>
          <w:tcPr>
            <w:tcW w:w="604" w:type="dxa"/>
            <w:vMerge w:val="restart"/>
            <w:shd w:val="clear" w:color="auto" w:fill="FFFFFF" w:themeFill="background1"/>
            <w:noWrap/>
            <w:vAlign w:val="center"/>
          </w:tcPr>
          <w:p w14:paraId="31DA0E5E"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5</w:t>
            </w:r>
          </w:p>
        </w:tc>
        <w:tc>
          <w:tcPr>
            <w:tcW w:w="2906" w:type="dxa"/>
            <w:shd w:val="clear" w:color="auto" w:fill="auto"/>
          </w:tcPr>
          <w:p w14:paraId="15660BD6" w14:textId="125E0CB3" w:rsidR="00A25BFF" w:rsidRPr="00736448" w:rsidRDefault="00A25BFF" w:rsidP="00860800">
            <w:pPr>
              <w:spacing w:line="240" w:lineRule="auto"/>
              <w:jc w:val="both"/>
              <w:rPr>
                <w:rFonts w:asciiTheme="majorHAnsi" w:hAnsiTheme="majorHAnsi" w:cstheme="majorHAnsi"/>
                <w:color w:val="000000" w:themeColor="text1"/>
                <w:sz w:val="18"/>
                <w:szCs w:val="18"/>
                <w:lang w:val="ro-MD"/>
              </w:rPr>
            </w:pPr>
            <w:r w:rsidRPr="00736448">
              <w:rPr>
                <w:rFonts w:asciiTheme="majorHAnsi" w:hAnsiTheme="majorHAnsi" w:cstheme="majorHAnsi"/>
                <w:i/>
                <w:iCs/>
                <w:color w:val="000000"/>
                <w:sz w:val="18"/>
                <w:szCs w:val="18"/>
                <w:lang w:val="ro-MD"/>
              </w:rPr>
              <w:t xml:space="preserve">9. </w:t>
            </w:r>
            <w:r w:rsidR="000648BE" w:rsidRPr="000648BE">
              <w:rPr>
                <w:rFonts w:asciiTheme="majorHAnsi" w:hAnsiTheme="majorHAnsi" w:cstheme="majorHAnsi"/>
                <w:i/>
                <w:iCs/>
                <w:color w:val="000000"/>
                <w:sz w:val="18"/>
                <w:szCs w:val="18"/>
                <w:lang w:val="ro-RO"/>
              </w:rPr>
              <w:t>Оценить и оптимизировать, совместно с вовлеченными сторонами, процессы, связанные с формированием и обменом данными о смерти бенефициаров социальных пособий, с целью исключения нео</w:t>
            </w:r>
            <w:r w:rsidR="000648BE" w:rsidRPr="000648BE">
              <w:rPr>
                <w:rFonts w:asciiTheme="majorHAnsi" w:hAnsiTheme="majorHAnsi" w:cstheme="majorHAnsi"/>
                <w:i/>
                <w:iCs/>
                <w:color w:val="000000"/>
                <w:sz w:val="18"/>
                <w:szCs w:val="18"/>
                <w:lang w:val="ru-RU"/>
              </w:rPr>
              <w:t>боснов</w:t>
            </w:r>
            <w:r w:rsidR="000648BE" w:rsidRPr="000648BE">
              <w:rPr>
                <w:rFonts w:asciiTheme="majorHAnsi" w:hAnsiTheme="majorHAnsi" w:cstheme="majorHAnsi"/>
                <w:i/>
                <w:iCs/>
                <w:color w:val="000000"/>
                <w:sz w:val="18"/>
                <w:szCs w:val="18"/>
                <w:lang w:val="ro-RO"/>
              </w:rPr>
              <w:t>анных расходов, понесенных</w:t>
            </w:r>
            <w:r w:rsidR="000648BE" w:rsidRPr="000648BE">
              <w:rPr>
                <w:rFonts w:asciiTheme="majorHAnsi" w:hAnsiTheme="majorHAnsi" w:cstheme="majorHAnsi"/>
                <w:i/>
                <w:iCs/>
                <w:color w:val="000000"/>
                <w:sz w:val="18"/>
                <w:szCs w:val="18"/>
                <w:lang w:val="ru-RU"/>
              </w:rPr>
              <w:t xml:space="preserve"> из БГСС</w:t>
            </w:r>
          </w:p>
        </w:tc>
        <w:tc>
          <w:tcPr>
            <w:tcW w:w="8190" w:type="dxa"/>
            <w:shd w:val="clear" w:color="auto" w:fill="auto"/>
          </w:tcPr>
          <w:p w14:paraId="06E0C280" w14:textId="355E919B" w:rsidR="00A25BFF" w:rsidRPr="00736448" w:rsidRDefault="006916C3" w:rsidP="00D81A80">
            <w:pPr>
              <w:spacing w:line="240" w:lineRule="auto"/>
              <w:jc w:val="both"/>
              <w:rPr>
                <w:rFonts w:asciiTheme="majorHAnsi" w:hAnsiTheme="majorHAnsi" w:cstheme="majorHAnsi"/>
                <w:color w:val="000000"/>
                <w:sz w:val="18"/>
                <w:szCs w:val="18"/>
                <w:lang w:val="ro-MD"/>
              </w:rPr>
            </w:pPr>
            <w:r>
              <w:rPr>
                <w:rFonts w:asciiTheme="majorHAnsi" w:hAnsiTheme="majorHAnsi" w:cstheme="majorHAnsi"/>
                <w:b/>
                <w:i/>
                <w:color w:val="000000"/>
                <w:sz w:val="18"/>
                <w:szCs w:val="18"/>
                <w:lang w:val="ro-MD"/>
              </w:rPr>
              <w:t>Письмо АПУ №</w:t>
            </w:r>
            <w:r w:rsidR="00A25BFF" w:rsidRPr="00736448">
              <w:rPr>
                <w:rFonts w:asciiTheme="majorHAnsi" w:hAnsiTheme="majorHAnsi" w:cstheme="majorHAnsi"/>
                <w:b/>
                <w:i/>
                <w:color w:val="000000"/>
                <w:sz w:val="18"/>
                <w:szCs w:val="18"/>
                <w:lang w:val="ro-MD"/>
              </w:rPr>
              <w:t xml:space="preserve">01/9321 </w:t>
            </w:r>
            <w:r>
              <w:rPr>
                <w:rFonts w:asciiTheme="majorHAnsi" w:hAnsiTheme="majorHAnsi" w:cstheme="majorHAnsi"/>
                <w:b/>
                <w:i/>
                <w:color w:val="000000"/>
                <w:sz w:val="18"/>
                <w:szCs w:val="18"/>
                <w:lang w:val="ro-MD"/>
              </w:rPr>
              <w:t>от</w:t>
            </w:r>
            <w:r w:rsidR="00A25BFF" w:rsidRPr="00736448">
              <w:rPr>
                <w:rFonts w:asciiTheme="majorHAnsi" w:hAnsiTheme="majorHAnsi" w:cstheme="majorHAnsi"/>
                <w:b/>
                <w:i/>
                <w:color w:val="000000"/>
                <w:sz w:val="18"/>
                <w:szCs w:val="18"/>
                <w:lang w:val="ro-MD"/>
              </w:rPr>
              <w:t xml:space="preserve"> 15.12.2022</w:t>
            </w:r>
            <w:r w:rsidR="00A25BFF" w:rsidRPr="00736448">
              <w:rPr>
                <w:rFonts w:asciiTheme="majorHAnsi" w:hAnsiTheme="majorHAnsi" w:cstheme="majorHAnsi"/>
                <w:color w:val="000000"/>
                <w:sz w:val="18"/>
                <w:szCs w:val="18"/>
                <w:lang w:val="ro-MD"/>
              </w:rPr>
              <w:t xml:space="preserve">: </w:t>
            </w:r>
            <w:r w:rsidR="008B31AB" w:rsidRPr="008B31AB">
              <w:rPr>
                <w:rFonts w:asciiTheme="majorHAnsi" w:hAnsiTheme="majorHAnsi" w:cstheme="majorHAnsi"/>
                <w:color w:val="000000"/>
                <w:sz w:val="18"/>
                <w:szCs w:val="18"/>
                <w:lang w:val="ro-MD"/>
              </w:rPr>
              <w:t>В соответствии с положениями Закона об обмене данными и интероперабельности №42/2018 и Постановления Правительства №211/2019 о платформе интероперабельности (MConnect), а также в соответствии с Техническим приложением №26 (в редакциях от 17.01.2019, 25.09.2020, 16.02.2022 и 10.03.2022), после подтверждения Национальной кассой социального страхования (НКСС) доступности информационных систем, был запущен в производственной среде с 26.04.2022, веб-сервис, обеспечивающий предоставление через платформу MConnect для НКСС данных из ГРН - [список физических лиц, данные которых были изменены в ГРН, по IDNO юридического лица, запрашивающего информацию] - который  содержит в том числе информацию о зарегистрированных смертях.</w:t>
            </w:r>
            <w:r w:rsidR="008B31AB">
              <w:rPr>
                <w:rFonts w:asciiTheme="majorHAnsi" w:hAnsiTheme="majorHAnsi" w:cstheme="majorHAnsi"/>
                <w:color w:val="000000"/>
                <w:sz w:val="18"/>
                <w:szCs w:val="18"/>
                <w:lang w:val="ru-RU"/>
              </w:rPr>
              <w:t xml:space="preserve"> </w:t>
            </w:r>
            <w:r w:rsidR="008B31AB" w:rsidRPr="008B31AB">
              <w:rPr>
                <w:rFonts w:asciiTheme="majorHAnsi" w:hAnsiTheme="majorHAnsi" w:cstheme="majorHAnsi"/>
                <w:color w:val="000000"/>
                <w:sz w:val="18"/>
                <w:szCs w:val="18"/>
                <w:lang w:val="ro-MD"/>
              </w:rPr>
              <w:t>Ранее предоставление этой информации обеспечивалось в соответствии с двусторонним Договором о предоставлении информационных услуг, заключенным с Национальной кассой социального страхования.</w:t>
            </w:r>
            <w:r w:rsidR="00D81A80">
              <w:rPr>
                <w:rFonts w:asciiTheme="majorHAnsi" w:hAnsiTheme="majorHAnsi" w:cstheme="majorHAnsi"/>
                <w:color w:val="000000"/>
                <w:sz w:val="18"/>
                <w:szCs w:val="18"/>
                <w:lang w:val="ru-RU"/>
              </w:rPr>
              <w:t xml:space="preserve"> </w:t>
            </w:r>
            <w:r w:rsidR="008B31AB" w:rsidRPr="008B31AB">
              <w:rPr>
                <w:rFonts w:asciiTheme="majorHAnsi" w:hAnsiTheme="majorHAnsi" w:cstheme="majorHAnsi"/>
                <w:color w:val="000000"/>
                <w:sz w:val="18"/>
                <w:szCs w:val="18"/>
                <w:lang w:val="ro-MD"/>
              </w:rPr>
              <w:t>Обновление информации о смерти человека не может быть предоставлено заинтересованным органам медицинскими учреждениями с полномочиями констатировать факт смерти, в условиях отсутствия автоматизированной медицинской информационной системы</w:t>
            </w:r>
            <w:r w:rsidR="00A25BFF" w:rsidRPr="00736448">
              <w:rPr>
                <w:rFonts w:asciiTheme="majorHAnsi" w:hAnsiTheme="majorHAnsi" w:cstheme="majorHAnsi"/>
                <w:color w:val="000000"/>
                <w:sz w:val="18"/>
                <w:szCs w:val="18"/>
                <w:lang w:val="ro-MD"/>
              </w:rPr>
              <w:t xml:space="preserve">. </w:t>
            </w:r>
          </w:p>
        </w:tc>
        <w:tc>
          <w:tcPr>
            <w:tcW w:w="810" w:type="dxa"/>
            <w:shd w:val="clear" w:color="auto" w:fill="auto"/>
          </w:tcPr>
          <w:p w14:paraId="77924CFD" w14:textId="77777777" w:rsidR="00A25BFF" w:rsidRPr="00736448" w:rsidRDefault="00A25BFF" w:rsidP="00860800">
            <w:pPr>
              <w:spacing w:after="0" w:line="240" w:lineRule="auto"/>
              <w:jc w:val="center"/>
              <w:rPr>
                <w:rFonts w:asciiTheme="majorHAnsi" w:eastAsia="Times New Roman" w:hAnsiTheme="majorHAnsi" w:cstheme="majorHAnsi"/>
                <w:b/>
                <w:sz w:val="18"/>
                <w:szCs w:val="18"/>
                <w:lang w:val="ro-MD"/>
              </w:rPr>
            </w:pPr>
          </w:p>
        </w:tc>
        <w:tc>
          <w:tcPr>
            <w:tcW w:w="900" w:type="dxa"/>
            <w:shd w:val="clear" w:color="auto" w:fill="auto"/>
          </w:tcPr>
          <w:p w14:paraId="42A0715C" w14:textId="77777777" w:rsidR="00A25BFF" w:rsidRPr="00736448" w:rsidRDefault="00A25BFF" w:rsidP="00860800">
            <w:pPr>
              <w:spacing w:after="0" w:line="240" w:lineRule="auto"/>
              <w:rPr>
                <w:rFonts w:asciiTheme="majorHAnsi" w:eastAsia="Times New Roman" w:hAnsiTheme="majorHAnsi" w:cstheme="majorHAnsi"/>
                <w:sz w:val="18"/>
                <w:szCs w:val="18"/>
                <w:lang w:val="ro-MD"/>
              </w:rPr>
            </w:pPr>
          </w:p>
        </w:tc>
        <w:tc>
          <w:tcPr>
            <w:tcW w:w="990" w:type="dxa"/>
          </w:tcPr>
          <w:p w14:paraId="20299C2F" w14:textId="77777777" w:rsidR="00A25BFF" w:rsidRPr="00736448" w:rsidRDefault="00A25BFF" w:rsidP="00860800">
            <w:pPr>
              <w:spacing w:after="0" w:line="240" w:lineRule="auto"/>
              <w:jc w:val="center"/>
              <w:rPr>
                <w:rFonts w:asciiTheme="majorHAnsi" w:eastAsia="Times New Roman" w:hAnsiTheme="majorHAnsi" w:cstheme="majorHAnsi"/>
                <w:b/>
                <w:iCs/>
                <w:sz w:val="18"/>
                <w:szCs w:val="18"/>
                <w:lang w:val="ro-MD"/>
              </w:rPr>
            </w:pPr>
            <w:r w:rsidRPr="00736448">
              <w:rPr>
                <w:rFonts w:asciiTheme="majorHAnsi" w:eastAsia="Times New Roman" w:hAnsiTheme="majorHAnsi" w:cstheme="majorHAnsi"/>
                <w:b/>
                <w:iCs/>
                <w:sz w:val="18"/>
                <w:szCs w:val="18"/>
                <w:lang w:val="ro-MD"/>
              </w:rPr>
              <w:t>V</w:t>
            </w:r>
          </w:p>
        </w:tc>
      </w:tr>
      <w:tr w:rsidR="00A25BFF" w:rsidRPr="00B7675F" w14:paraId="667B1FBF" w14:textId="77777777" w:rsidTr="00B27804">
        <w:trPr>
          <w:trHeight w:val="20"/>
        </w:trPr>
        <w:tc>
          <w:tcPr>
            <w:tcW w:w="604" w:type="dxa"/>
            <w:vMerge/>
            <w:shd w:val="clear" w:color="auto" w:fill="FFFFFF" w:themeFill="background1"/>
            <w:noWrap/>
            <w:vAlign w:val="center"/>
          </w:tcPr>
          <w:p w14:paraId="3CF78DC8"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2906" w:type="dxa"/>
            <w:shd w:val="clear" w:color="auto" w:fill="auto"/>
          </w:tcPr>
          <w:p w14:paraId="00070EA6" w14:textId="20675EBB" w:rsidR="00A25BFF" w:rsidRPr="00736448" w:rsidRDefault="00A25BFF" w:rsidP="00860800">
            <w:pPr>
              <w:spacing w:line="240" w:lineRule="auto"/>
              <w:jc w:val="both"/>
              <w:rPr>
                <w:rFonts w:asciiTheme="majorHAnsi" w:hAnsiTheme="majorHAnsi" w:cstheme="majorHAnsi"/>
                <w:i/>
                <w:iCs/>
                <w:color w:val="000000"/>
                <w:sz w:val="18"/>
                <w:szCs w:val="18"/>
                <w:lang w:val="ro-MD"/>
              </w:rPr>
            </w:pPr>
            <w:r w:rsidRPr="00736448">
              <w:rPr>
                <w:rFonts w:asciiTheme="majorHAnsi" w:hAnsiTheme="majorHAnsi" w:cstheme="majorHAnsi"/>
                <w:i/>
                <w:iCs/>
                <w:color w:val="000000"/>
                <w:sz w:val="18"/>
                <w:szCs w:val="18"/>
                <w:lang w:val="ro-MD"/>
              </w:rPr>
              <w:t xml:space="preserve">10. </w:t>
            </w:r>
            <w:r w:rsidR="000648BE" w:rsidRPr="000648BE">
              <w:rPr>
                <w:rFonts w:asciiTheme="majorHAnsi" w:hAnsiTheme="majorHAnsi" w:cstheme="majorHAnsi"/>
                <w:i/>
                <w:iCs/>
                <w:color w:val="000000"/>
                <w:sz w:val="18"/>
                <w:szCs w:val="18"/>
                <w:lang w:val="ro-RO"/>
              </w:rPr>
              <w:t>Предпринимать действия по оперативной регистрации смерти лиц в Государственном регистре населения</w:t>
            </w:r>
          </w:p>
        </w:tc>
        <w:tc>
          <w:tcPr>
            <w:tcW w:w="8190" w:type="dxa"/>
            <w:shd w:val="clear" w:color="auto" w:fill="auto"/>
          </w:tcPr>
          <w:p w14:paraId="29C99361" w14:textId="01833EF3" w:rsidR="00A25BFF" w:rsidRPr="00736448" w:rsidRDefault="006916C3" w:rsidP="00860800">
            <w:pPr>
              <w:spacing w:line="240" w:lineRule="auto"/>
              <w:jc w:val="both"/>
              <w:rPr>
                <w:rFonts w:asciiTheme="majorHAnsi" w:hAnsiTheme="majorHAnsi" w:cstheme="majorHAnsi"/>
                <w:color w:val="000000"/>
                <w:sz w:val="18"/>
                <w:szCs w:val="18"/>
                <w:lang w:val="ro-MD"/>
              </w:rPr>
            </w:pPr>
            <w:r>
              <w:rPr>
                <w:rFonts w:asciiTheme="majorHAnsi" w:hAnsiTheme="majorHAnsi" w:cstheme="majorHAnsi"/>
                <w:b/>
                <w:i/>
                <w:color w:val="000000"/>
                <w:sz w:val="18"/>
                <w:szCs w:val="18"/>
                <w:lang w:val="ro-MD"/>
              </w:rPr>
              <w:t>Письмо АПУ №</w:t>
            </w:r>
            <w:r w:rsidR="00A25BFF" w:rsidRPr="00736448">
              <w:rPr>
                <w:rFonts w:asciiTheme="majorHAnsi" w:hAnsiTheme="majorHAnsi" w:cstheme="majorHAnsi"/>
                <w:b/>
                <w:i/>
                <w:color w:val="000000"/>
                <w:sz w:val="18"/>
                <w:szCs w:val="18"/>
                <w:lang w:val="ro-MD"/>
              </w:rPr>
              <w:t xml:space="preserve">01/9321 </w:t>
            </w:r>
            <w:r>
              <w:rPr>
                <w:rFonts w:asciiTheme="majorHAnsi" w:hAnsiTheme="majorHAnsi" w:cstheme="majorHAnsi"/>
                <w:b/>
                <w:i/>
                <w:color w:val="000000"/>
                <w:sz w:val="18"/>
                <w:szCs w:val="18"/>
                <w:lang w:val="ro-MD"/>
              </w:rPr>
              <w:t>от</w:t>
            </w:r>
            <w:r w:rsidR="00A25BFF" w:rsidRPr="00736448">
              <w:rPr>
                <w:rFonts w:asciiTheme="majorHAnsi" w:hAnsiTheme="majorHAnsi" w:cstheme="majorHAnsi"/>
                <w:b/>
                <w:i/>
                <w:color w:val="000000"/>
                <w:sz w:val="18"/>
                <w:szCs w:val="18"/>
                <w:lang w:val="ro-MD"/>
              </w:rPr>
              <w:t xml:space="preserve"> 15.12.2022</w:t>
            </w:r>
            <w:r w:rsidR="00A25BFF" w:rsidRPr="00736448">
              <w:rPr>
                <w:rFonts w:asciiTheme="majorHAnsi" w:hAnsiTheme="majorHAnsi" w:cstheme="majorHAnsi"/>
                <w:i/>
                <w:color w:val="000000"/>
                <w:sz w:val="18"/>
                <w:szCs w:val="18"/>
                <w:lang w:val="ro-MD"/>
              </w:rPr>
              <w:t>:</w:t>
            </w:r>
            <w:r w:rsidR="00A25BFF" w:rsidRPr="00736448">
              <w:rPr>
                <w:rFonts w:asciiTheme="majorHAnsi" w:hAnsiTheme="majorHAnsi" w:cstheme="majorHAnsi"/>
                <w:color w:val="000000"/>
                <w:sz w:val="18"/>
                <w:szCs w:val="18"/>
                <w:lang w:val="ro-MD"/>
              </w:rPr>
              <w:t xml:space="preserve"> </w:t>
            </w:r>
            <w:r w:rsidR="00883F48" w:rsidRPr="00883F48">
              <w:rPr>
                <w:rFonts w:asciiTheme="majorHAnsi" w:hAnsiTheme="majorHAnsi" w:cstheme="majorHAnsi"/>
                <w:color w:val="000000"/>
                <w:sz w:val="18"/>
                <w:szCs w:val="18"/>
                <w:lang w:val="ro-MD"/>
              </w:rPr>
              <w:t>В соответствии с Технологической инструкцией „Обновление контура актов гражданского состояния" „Государственного регистра населения " (ГРН), утвержденной Приказом АПУ №874/2018, обработка и хранение информации в ГРН осуществляется отраслевым подразделением АПУ сразу после получения информации. В то же время, на июль 2023 года планируется завершить внедрение новой автоматизированной информационной системы АИС „Акты гражданского состояния”, осуществляемое в рамках проекта „Модернизация правительственных публичных услуг”, управляемого Агентством электронного управления. Таким образом, внедрение системы позволит осуществлять в режиме реального времени регистрацию событий гражданского состояния (включая смерть лица).</w:t>
            </w:r>
            <w:r w:rsidR="004D31AF">
              <w:rPr>
                <w:rFonts w:asciiTheme="majorHAnsi" w:hAnsiTheme="majorHAnsi" w:cstheme="majorHAnsi"/>
                <w:color w:val="000000"/>
                <w:sz w:val="18"/>
                <w:szCs w:val="18"/>
                <w:lang w:val="ru-RU"/>
              </w:rPr>
              <w:t xml:space="preserve"> </w:t>
            </w:r>
            <w:r w:rsidR="004D31AF" w:rsidRPr="004D31AF">
              <w:rPr>
                <w:rFonts w:asciiTheme="majorHAnsi" w:hAnsiTheme="majorHAnsi" w:cstheme="majorHAnsi"/>
                <w:color w:val="000000"/>
                <w:sz w:val="18"/>
                <w:szCs w:val="18"/>
                <w:lang w:val="ro-MD"/>
              </w:rPr>
              <w:t>В качестве краткосрочного решения (до внедрения медицинскими учреждениями новой автоматизированной медицинской информационной системы, позволяющей обновлять статус "умершего лица" в Государственном регистре населения в режиме реального времени), в целях обеспечения оперативного обновления Государственного регистра населения, был выпущен Циркуляр №02-18303/1 от 23.12.2021, в контексте которого была установлена передача документов о смерти, составленных примарами на бумажной основе, и автоматизация их содержания территориальными службами гражданского состояния АПУ, с еженедельной периодичностью, хотя Закон №100/2001 предусматривает их передачу до 10 числа каждого месяца, следующего за месяцем регистрации соответствующих актов</w:t>
            </w:r>
            <w:r w:rsidR="00A25BFF" w:rsidRPr="00736448">
              <w:rPr>
                <w:rFonts w:asciiTheme="majorHAnsi" w:hAnsiTheme="majorHAnsi" w:cstheme="majorHAnsi"/>
                <w:color w:val="000000"/>
                <w:sz w:val="18"/>
                <w:szCs w:val="18"/>
                <w:lang w:val="ro-MD"/>
              </w:rPr>
              <w:t xml:space="preserve">. </w:t>
            </w:r>
          </w:p>
        </w:tc>
        <w:tc>
          <w:tcPr>
            <w:tcW w:w="810" w:type="dxa"/>
            <w:shd w:val="clear" w:color="auto" w:fill="auto"/>
          </w:tcPr>
          <w:p w14:paraId="3527B600" w14:textId="77777777" w:rsidR="00A25BFF" w:rsidRPr="00736448" w:rsidRDefault="00A25BFF" w:rsidP="00860800">
            <w:pPr>
              <w:spacing w:after="0" w:line="240" w:lineRule="auto"/>
              <w:jc w:val="center"/>
              <w:rPr>
                <w:rFonts w:asciiTheme="majorHAnsi" w:eastAsia="Times New Roman" w:hAnsiTheme="majorHAnsi" w:cstheme="majorHAnsi"/>
                <w:b/>
                <w:sz w:val="18"/>
                <w:szCs w:val="18"/>
                <w:lang w:val="ro-MD"/>
              </w:rPr>
            </w:pPr>
          </w:p>
        </w:tc>
        <w:tc>
          <w:tcPr>
            <w:tcW w:w="900" w:type="dxa"/>
            <w:shd w:val="clear" w:color="auto" w:fill="auto"/>
          </w:tcPr>
          <w:p w14:paraId="4F7DE33C" w14:textId="77777777" w:rsidR="00A25BFF" w:rsidRPr="00736448" w:rsidRDefault="00A25BFF" w:rsidP="00860800">
            <w:pPr>
              <w:spacing w:after="0" w:line="240" w:lineRule="auto"/>
              <w:rPr>
                <w:rFonts w:asciiTheme="majorHAnsi" w:hAnsiTheme="majorHAnsi" w:cstheme="majorHAnsi"/>
                <w:sz w:val="18"/>
                <w:szCs w:val="18"/>
                <w:lang w:val="ro-MD"/>
              </w:rPr>
            </w:pPr>
          </w:p>
        </w:tc>
        <w:tc>
          <w:tcPr>
            <w:tcW w:w="990" w:type="dxa"/>
          </w:tcPr>
          <w:p w14:paraId="2B834858" w14:textId="77777777" w:rsidR="00A25BFF" w:rsidRPr="00736448" w:rsidRDefault="00A25BFF" w:rsidP="00860800">
            <w:pPr>
              <w:spacing w:after="0" w:line="240" w:lineRule="auto"/>
              <w:jc w:val="center"/>
              <w:rPr>
                <w:rFonts w:asciiTheme="majorHAnsi" w:eastAsia="Times New Roman" w:hAnsiTheme="majorHAnsi" w:cstheme="majorHAnsi"/>
                <w:b/>
                <w:iCs/>
                <w:sz w:val="18"/>
                <w:szCs w:val="18"/>
                <w:lang w:val="ro-MD"/>
              </w:rPr>
            </w:pPr>
            <w:r w:rsidRPr="00736448">
              <w:rPr>
                <w:rFonts w:asciiTheme="majorHAnsi" w:eastAsia="Times New Roman" w:hAnsiTheme="majorHAnsi" w:cstheme="majorHAnsi"/>
                <w:b/>
                <w:iCs/>
                <w:sz w:val="18"/>
                <w:szCs w:val="18"/>
                <w:lang w:val="ro-MD"/>
              </w:rPr>
              <w:t>V</w:t>
            </w:r>
          </w:p>
        </w:tc>
      </w:tr>
      <w:tr w:rsidR="00A25BFF" w:rsidRPr="000648BE" w14:paraId="247BCBC1" w14:textId="77777777" w:rsidTr="00B27804">
        <w:trPr>
          <w:trHeight w:val="20"/>
        </w:trPr>
        <w:tc>
          <w:tcPr>
            <w:tcW w:w="14400" w:type="dxa"/>
            <w:gridSpan w:val="6"/>
            <w:shd w:val="clear" w:color="auto" w:fill="FFFFFF" w:themeFill="background1"/>
            <w:noWrap/>
          </w:tcPr>
          <w:p w14:paraId="1C7DE30B" w14:textId="1AB40765" w:rsidR="00A25BFF" w:rsidRPr="00736448" w:rsidRDefault="000648BE" w:rsidP="00860800">
            <w:pPr>
              <w:spacing w:after="0" w:line="240" w:lineRule="auto"/>
              <w:jc w:val="center"/>
              <w:rPr>
                <w:rFonts w:asciiTheme="majorHAnsi" w:hAnsiTheme="majorHAnsi" w:cstheme="majorHAnsi"/>
                <w:b/>
                <w:i/>
                <w:color w:val="000000" w:themeColor="text1"/>
                <w:sz w:val="18"/>
                <w:szCs w:val="18"/>
                <w:lang w:val="ro-MD"/>
              </w:rPr>
            </w:pPr>
            <w:r w:rsidRPr="000648BE">
              <w:rPr>
                <w:rFonts w:asciiTheme="majorHAnsi" w:hAnsiTheme="majorHAnsi" w:cstheme="majorHAnsi"/>
                <w:b/>
                <w:bCs/>
                <w:i/>
                <w:iCs/>
                <w:sz w:val="18"/>
                <w:szCs w:val="18"/>
                <w:lang w:val="ro-RO"/>
              </w:rPr>
              <w:t>Рекомендации Генеральному Директору Н</w:t>
            </w:r>
            <w:r w:rsidRPr="000648BE">
              <w:rPr>
                <w:rFonts w:asciiTheme="majorHAnsi" w:hAnsiTheme="majorHAnsi" w:cstheme="majorHAnsi"/>
                <w:b/>
                <w:bCs/>
                <w:i/>
                <w:iCs/>
                <w:sz w:val="18"/>
                <w:szCs w:val="18"/>
                <w:lang w:val="ru-RU"/>
              </w:rPr>
              <w:t>ациональной кассы социального страхования</w:t>
            </w:r>
          </w:p>
        </w:tc>
      </w:tr>
      <w:tr w:rsidR="00A25BFF" w:rsidRPr="00B7675F" w14:paraId="3212102D" w14:textId="77777777" w:rsidTr="00B27804">
        <w:trPr>
          <w:trHeight w:val="20"/>
        </w:trPr>
        <w:tc>
          <w:tcPr>
            <w:tcW w:w="604" w:type="dxa"/>
            <w:vMerge w:val="restart"/>
            <w:shd w:val="clear" w:color="auto" w:fill="FFFFFF" w:themeFill="background1"/>
            <w:noWrap/>
            <w:vAlign w:val="center"/>
          </w:tcPr>
          <w:p w14:paraId="3C446BC7"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6</w:t>
            </w:r>
          </w:p>
        </w:tc>
        <w:tc>
          <w:tcPr>
            <w:tcW w:w="2906" w:type="dxa"/>
            <w:shd w:val="clear" w:color="auto" w:fill="auto"/>
          </w:tcPr>
          <w:p w14:paraId="27E781C5" w14:textId="223CA044" w:rsidR="00A25BFF" w:rsidRPr="00736448" w:rsidRDefault="00A25BFF" w:rsidP="00860800">
            <w:pPr>
              <w:spacing w:line="240" w:lineRule="auto"/>
              <w:jc w:val="both"/>
              <w:rPr>
                <w:rFonts w:asciiTheme="majorHAnsi" w:hAnsiTheme="majorHAnsi" w:cstheme="majorHAnsi"/>
                <w:color w:val="000000" w:themeColor="text1"/>
                <w:sz w:val="18"/>
                <w:szCs w:val="18"/>
                <w:lang w:val="ro-MD"/>
              </w:rPr>
            </w:pPr>
            <w:r w:rsidRPr="00736448">
              <w:rPr>
                <w:rFonts w:asciiTheme="majorHAnsi" w:hAnsiTheme="majorHAnsi" w:cstheme="majorHAnsi"/>
                <w:i/>
                <w:sz w:val="18"/>
                <w:szCs w:val="18"/>
                <w:lang w:val="ro-MD"/>
              </w:rPr>
              <w:t xml:space="preserve">11. </w:t>
            </w:r>
            <w:r w:rsidR="000648BE" w:rsidRPr="000648BE">
              <w:rPr>
                <w:rFonts w:asciiTheme="majorHAnsi" w:hAnsiTheme="majorHAnsi" w:cstheme="majorHAnsi"/>
                <w:i/>
                <w:sz w:val="18"/>
                <w:szCs w:val="18"/>
                <w:lang w:val="ro-RO"/>
              </w:rPr>
              <w:t>Скорректировать и исправить отражение задолженности по пособиям</w:t>
            </w:r>
            <w:r w:rsidR="000648BE" w:rsidRPr="000648BE">
              <w:rPr>
                <w:rFonts w:asciiTheme="majorHAnsi" w:hAnsiTheme="majorHAnsi" w:cstheme="majorHAnsi"/>
                <w:i/>
                <w:sz w:val="18"/>
                <w:szCs w:val="18"/>
                <w:lang w:val="ru-RU"/>
              </w:rPr>
              <w:t xml:space="preserve"> </w:t>
            </w:r>
            <w:r w:rsidR="000648BE" w:rsidRPr="000648BE">
              <w:rPr>
                <w:rFonts w:asciiTheme="majorHAnsi" w:hAnsiTheme="majorHAnsi" w:cstheme="majorHAnsi"/>
                <w:i/>
                <w:sz w:val="18"/>
                <w:szCs w:val="18"/>
                <w:lang w:val="ro-RO"/>
              </w:rPr>
              <w:t>по материнству, с учетом имеющихся подтверждающих документов</w:t>
            </w:r>
          </w:p>
        </w:tc>
        <w:tc>
          <w:tcPr>
            <w:tcW w:w="8190" w:type="dxa"/>
            <w:shd w:val="clear" w:color="auto" w:fill="auto"/>
          </w:tcPr>
          <w:p w14:paraId="776A1930" w14:textId="3D94466D" w:rsidR="00A25BFF" w:rsidRPr="00736448" w:rsidRDefault="006916C3" w:rsidP="00860800">
            <w:pPr>
              <w:spacing w:line="240" w:lineRule="auto"/>
              <w:jc w:val="both"/>
              <w:rPr>
                <w:rFonts w:asciiTheme="majorHAnsi" w:hAnsiTheme="majorHAnsi" w:cstheme="majorHAnsi"/>
                <w:color w:val="000000"/>
                <w:sz w:val="18"/>
                <w:szCs w:val="18"/>
                <w:lang w:val="ro-MD"/>
              </w:rPr>
            </w:pPr>
            <w:r>
              <w:rPr>
                <w:rFonts w:asciiTheme="majorHAnsi" w:hAnsiTheme="majorHAnsi" w:cstheme="majorHAnsi"/>
                <w:b/>
                <w:i/>
                <w:color w:val="000000"/>
                <w:sz w:val="18"/>
                <w:szCs w:val="18"/>
                <w:lang w:val="ro-MD"/>
              </w:rPr>
              <w:t>Письмо НКСС №</w:t>
            </w:r>
            <w:r w:rsidR="00A25BFF" w:rsidRPr="00736448">
              <w:rPr>
                <w:rFonts w:asciiTheme="majorHAnsi" w:hAnsiTheme="majorHAnsi" w:cstheme="majorHAnsi"/>
                <w:b/>
                <w:i/>
                <w:color w:val="000000"/>
                <w:sz w:val="18"/>
                <w:szCs w:val="18"/>
                <w:lang w:val="ro-MD"/>
              </w:rPr>
              <w:t xml:space="preserve">11373 </w:t>
            </w:r>
            <w:r>
              <w:rPr>
                <w:rFonts w:asciiTheme="majorHAnsi" w:hAnsiTheme="majorHAnsi" w:cstheme="majorHAnsi"/>
                <w:b/>
                <w:i/>
                <w:color w:val="000000"/>
                <w:sz w:val="18"/>
                <w:szCs w:val="18"/>
                <w:lang w:val="ro-MD"/>
              </w:rPr>
              <w:t>от</w:t>
            </w:r>
            <w:r w:rsidR="00A25BFF" w:rsidRPr="00736448">
              <w:rPr>
                <w:rFonts w:asciiTheme="majorHAnsi" w:hAnsiTheme="majorHAnsi" w:cstheme="majorHAnsi"/>
                <w:b/>
                <w:i/>
                <w:color w:val="000000"/>
                <w:sz w:val="18"/>
                <w:szCs w:val="18"/>
                <w:lang w:val="ro-MD"/>
              </w:rPr>
              <w:t xml:space="preserve"> 16.12.2022</w:t>
            </w:r>
            <w:r w:rsidR="00A25BFF" w:rsidRPr="00736448">
              <w:rPr>
                <w:rFonts w:asciiTheme="majorHAnsi" w:hAnsiTheme="majorHAnsi" w:cstheme="majorHAnsi"/>
                <w:color w:val="000000"/>
                <w:sz w:val="18"/>
                <w:szCs w:val="18"/>
                <w:lang w:val="ro-MD"/>
              </w:rPr>
              <w:t xml:space="preserve">: </w:t>
            </w:r>
            <w:r w:rsidR="00883F48" w:rsidRPr="00883F48">
              <w:rPr>
                <w:rFonts w:asciiTheme="majorHAnsi" w:hAnsiTheme="majorHAnsi" w:cstheme="majorHAnsi"/>
                <w:color w:val="000000"/>
                <w:sz w:val="18"/>
                <w:szCs w:val="18"/>
                <w:lang w:val="ro-MD"/>
              </w:rPr>
              <w:t>в апреле 2022 года было обеспечено сокращение расчета пособий по материнству в бухгалтерском учете, на сумму 2,9 млн. леев</w:t>
            </w:r>
            <w:r w:rsidR="00A25BFF" w:rsidRPr="00736448">
              <w:rPr>
                <w:rFonts w:asciiTheme="majorHAnsi" w:hAnsiTheme="majorHAnsi" w:cstheme="majorHAnsi"/>
                <w:color w:val="000000"/>
                <w:sz w:val="18"/>
                <w:szCs w:val="18"/>
                <w:lang w:val="ro-MD"/>
              </w:rPr>
              <w:t>.</w:t>
            </w:r>
          </w:p>
        </w:tc>
        <w:tc>
          <w:tcPr>
            <w:tcW w:w="810" w:type="dxa"/>
            <w:shd w:val="clear" w:color="auto" w:fill="auto"/>
          </w:tcPr>
          <w:p w14:paraId="3C55303D" w14:textId="77777777" w:rsidR="00A25BFF" w:rsidRPr="00736448" w:rsidRDefault="00A25BFF" w:rsidP="00860800">
            <w:pPr>
              <w:spacing w:after="0" w:line="240" w:lineRule="auto"/>
              <w:jc w:val="center"/>
              <w:rPr>
                <w:rFonts w:asciiTheme="majorHAnsi" w:eastAsia="Times New Roman" w:hAnsiTheme="majorHAnsi" w:cstheme="majorHAnsi"/>
                <w:sz w:val="18"/>
                <w:szCs w:val="18"/>
                <w:lang w:val="ro-MD"/>
              </w:rPr>
            </w:pPr>
            <w:r w:rsidRPr="00736448">
              <w:rPr>
                <w:rFonts w:asciiTheme="majorHAnsi" w:eastAsia="Times New Roman" w:hAnsiTheme="majorHAnsi" w:cstheme="majorHAnsi"/>
                <w:b/>
                <w:bCs/>
                <w:iCs/>
                <w:sz w:val="18"/>
                <w:szCs w:val="18"/>
                <w:lang w:val="ro-MD"/>
              </w:rPr>
              <w:t>V</w:t>
            </w:r>
          </w:p>
        </w:tc>
        <w:tc>
          <w:tcPr>
            <w:tcW w:w="900" w:type="dxa"/>
            <w:shd w:val="clear" w:color="auto" w:fill="auto"/>
          </w:tcPr>
          <w:p w14:paraId="2B2859EC"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990" w:type="dxa"/>
          </w:tcPr>
          <w:p w14:paraId="460E6A55" w14:textId="77777777" w:rsidR="00A25BFF" w:rsidRPr="00736448" w:rsidRDefault="00A25BFF" w:rsidP="00860800">
            <w:pPr>
              <w:spacing w:after="0" w:line="240" w:lineRule="auto"/>
              <w:jc w:val="center"/>
              <w:rPr>
                <w:rFonts w:asciiTheme="majorHAnsi" w:eastAsia="Times New Roman" w:hAnsiTheme="majorHAnsi" w:cstheme="majorHAnsi"/>
                <w:b/>
                <w:bCs/>
                <w:iCs/>
                <w:sz w:val="18"/>
                <w:szCs w:val="18"/>
                <w:lang w:val="ro-MD"/>
              </w:rPr>
            </w:pPr>
          </w:p>
        </w:tc>
      </w:tr>
      <w:tr w:rsidR="00A25BFF" w:rsidRPr="00B7675F" w14:paraId="6A458CBA" w14:textId="77777777" w:rsidTr="00B27804">
        <w:trPr>
          <w:trHeight w:val="20"/>
        </w:trPr>
        <w:tc>
          <w:tcPr>
            <w:tcW w:w="604" w:type="dxa"/>
            <w:vMerge/>
            <w:shd w:val="clear" w:color="auto" w:fill="FFFFFF" w:themeFill="background1"/>
            <w:noWrap/>
            <w:vAlign w:val="center"/>
          </w:tcPr>
          <w:p w14:paraId="7A036B41"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2906" w:type="dxa"/>
            <w:shd w:val="clear" w:color="auto" w:fill="auto"/>
          </w:tcPr>
          <w:p w14:paraId="7036A5CE" w14:textId="6FAFEFA4" w:rsidR="00A25BFF" w:rsidRPr="000648BE" w:rsidRDefault="00A25BFF" w:rsidP="00860800">
            <w:pPr>
              <w:spacing w:line="240" w:lineRule="auto"/>
              <w:jc w:val="both"/>
              <w:rPr>
                <w:rFonts w:asciiTheme="majorHAnsi" w:hAnsiTheme="majorHAnsi" w:cstheme="majorHAnsi"/>
                <w:i/>
                <w:sz w:val="18"/>
                <w:szCs w:val="18"/>
                <w:lang w:val="ro-MD"/>
              </w:rPr>
            </w:pPr>
            <w:r w:rsidRPr="000648BE">
              <w:rPr>
                <w:rFonts w:asciiTheme="majorHAnsi" w:hAnsiTheme="majorHAnsi" w:cstheme="majorHAnsi"/>
                <w:i/>
                <w:sz w:val="18"/>
                <w:szCs w:val="18"/>
                <w:lang w:val="ro-MD"/>
              </w:rPr>
              <w:t xml:space="preserve">12. </w:t>
            </w:r>
            <w:r w:rsidR="000648BE" w:rsidRPr="000648BE">
              <w:rPr>
                <w:rFonts w:asciiTheme="majorHAnsi" w:hAnsiTheme="majorHAnsi" w:cstheme="majorHAnsi"/>
                <w:i/>
                <w:sz w:val="18"/>
                <w:szCs w:val="18"/>
                <w:lang w:val="ro-RO"/>
              </w:rPr>
              <w:t>Активизировать дополнительные/функциональные мероприятия внутреннего контроля в процессе установления и расчета пособий по временной нетрудоспособности и пособий по отцовству, для обеспечения соблюдения установленных законом сроковАктивизировать дополнительные/функциональные мероприятия внутреннего контроля в процессе установления и расчета пособий по временной нетрудоспособности и пособий по отцовству, для обеспечения соблюдения установленных законом сроков</w:t>
            </w:r>
          </w:p>
        </w:tc>
        <w:tc>
          <w:tcPr>
            <w:tcW w:w="8190" w:type="dxa"/>
            <w:shd w:val="clear" w:color="auto" w:fill="auto"/>
          </w:tcPr>
          <w:p w14:paraId="7B83C026" w14:textId="0E3E56D1" w:rsidR="00A25BFF" w:rsidRPr="00736448" w:rsidRDefault="006916C3" w:rsidP="00883F48">
            <w:pPr>
              <w:spacing w:line="240" w:lineRule="auto"/>
              <w:jc w:val="both"/>
              <w:rPr>
                <w:rFonts w:asciiTheme="majorHAnsi" w:hAnsiTheme="majorHAnsi" w:cstheme="majorHAnsi"/>
                <w:color w:val="000000"/>
                <w:sz w:val="18"/>
                <w:szCs w:val="18"/>
                <w:lang w:val="ro-MD"/>
              </w:rPr>
            </w:pPr>
            <w:r>
              <w:rPr>
                <w:rFonts w:asciiTheme="majorHAnsi" w:hAnsiTheme="majorHAnsi" w:cstheme="majorHAnsi"/>
                <w:b/>
                <w:i/>
                <w:color w:val="000000"/>
                <w:sz w:val="18"/>
                <w:szCs w:val="18"/>
                <w:lang w:val="ro-MD"/>
              </w:rPr>
              <w:t>Письмо НКСС №</w:t>
            </w:r>
            <w:r w:rsidR="00A25BFF" w:rsidRPr="00736448">
              <w:rPr>
                <w:rFonts w:asciiTheme="majorHAnsi" w:hAnsiTheme="majorHAnsi" w:cstheme="majorHAnsi"/>
                <w:b/>
                <w:i/>
                <w:color w:val="000000"/>
                <w:sz w:val="18"/>
                <w:szCs w:val="18"/>
                <w:lang w:val="ro-MD"/>
              </w:rPr>
              <w:t xml:space="preserve">11373 </w:t>
            </w:r>
            <w:r>
              <w:rPr>
                <w:rFonts w:asciiTheme="majorHAnsi" w:hAnsiTheme="majorHAnsi" w:cstheme="majorHAnsi"/>
                <w:b/>
                <w:i/>
                <w:color w:val="000000"/>
                <w:sz w:val="18"/>
                <w:szCs w:val="18"/>
                <w:lang w:val="ro-MD"/>
              </w:rPr>
              <w:t>от</w:t>
            </w:r>
            <w:r w:rsidR="00A25BFF" w:rsidRPr="00736448">
              <w:rPr>
                <w:rFonts w:asciiTheme="majorHAnsi" w:hAnsiTheme="majorHAnsi" w:cstheme="majorHAnsi"/>
                <w:b/>
                <w:i/>
                <w:color w:val="000000"/>
                <w:sz w:val="18"/>
                <w:szCs w:val="18"/>
                <w:lang w:val="ro-MD"/>
              </w:rPr>
              <w:t xml:space="preserve"> 16.12.2022</w:t>
            </w:r>
            <w:r w:rsidR="00A25BFF" w:rsidRPr="00736448">
              <w:rPr>
                <w:rFonts w:asciiTheme="majorHAnsi" w:hAnsiTheme="majorHAnsi" w:cstheme="majorHAnsi"/>
                <w:color w:val="000000"/>
                <w:sz w:val="18"/>
                <w:szCs w:val="18"/>
                <w:lang w:val="ro-MD"/>
              </w:rPr>
              <w:t xml:space="preserve">: </w:t>
            </w:r>
            <w:r w:rsidR="00883F48" w:rsidRPr="00883F48">
              <w:rPr>
                <w:rFonts w:asciiTheme="majorHAnsi" w:hAnsiTheme="majorHAnsi" w:cstheme="majorHAnsi"/>
                <w:color w:val="000000"/>
                <w:sz w:val="18"/>
                <w:szCs w:val="18"/>
                <w:lang w:val="ro-MD"/>
              </w:rPr>
              <w:t>Еженедельно проводился мониторинг соблюдения законных сроков установления пособий по временной нетрудоспособности и пособий по отцовству путем еженедельной передачи по электронной почте</w:t>
            </w:r>
            <w:r w:rsidR="00883F48">
              <w:rPr>
                <w:rFonts w:asciiTheme="majorHAnsi" w:hAnsiTheme="majorHAnsi" w:cstheme="majorHAnsi"/>
                <w:color w:val="000000"/>
                <w:sz w:val="18"/>
                <w:szCs w:val="18"/>
                <w:lang w:val="ru-RU"/>
              </w:rPr>
              <w:t xml:space="preserve"> </w:t>
            </w:r>
            <w:r w:rsidR="00883F48" w:rsidRPr="00883F48">
              <w:rPr>
                <w:rFonts w:asciiTheme="majorHAnsi" w:hAnsiTheme="majorHAnsi" w:cstheme="majorHAnsi"/>
                <w:color w:val="000000"/>
                <w:sz w:val="18"/>
                <w:szCs w:val="18"/>
                <w:lang w:val="ro-MD"/>
              </w:rPr>
              <w:t>в адрес Территориальных касс социального страхования перечня лиц, срок установления пособий которых приближается к предельному сроку, предусмотренному законодательством, для их рассмотрения и утверждения</w:t>
            </w:r>
            <w:r w:rsidR="00A25BFF" w:rsidRPr="00736448">
              <w:rPr>
                <w:rFonts w:asciiTheme="majorHAnsi" w:hAnsiTheme="majorHAnsi" w:cstheme="majorHAnsi"/>
                <w:color w:val="000000"/>
                <w:sz w:val="18"/>
                <w:szCs w:val="18"/>
                <w:lang w:val="ro-MD"/>
              </w:rPr>
              <w:t xml:space="preserve">. </w:t>
            </w:r>
          </w:p>
        </w:tc>
        <w:tc>
          <w:tcPr>
            <w:tcW w:w="810" w:type="dxa"/>
            <w:shd w:val="clear" w:color="auto" w:fill="auto"/>
          </w:tcPr>
          <w:p w14:paraId="086F7CCD" w14:textId="77777777" w:rsidR="00A25BFF" w:rsidRPr="00736448" w:rsidRDefault="00A25BFF" w:rsidP="00860800">
            <w:pPr>
              <w:spacing w:after="0" w:line="240" w:lineRule="auto"/>
              <w:jc w:val="center"/>
              <w:rPr>
                <w:rFonts w:asciiTheme="majorHAnsi" w:eastAsia="Times New Roman" w:hAnsiTheme="majorHAnsi" w:cstheme="majorHAnsi"/>
                <w:b/>
                <w:bCs/>
                <w:iCs/>
                <w:sz w:val="18"/>
                <w:szCs w:val="18"/>
                <w:lang w:val="ro-MD"/>
              </w:rPr>
            </w:pPr>
            <w:r w:rsidRPr="00736448">
              <w:rPr>
                <w:rFonts w:asciiTheme="majorHAnsi" w:eastAsia="Times New Roman" w:hAnsiTheme="majorHAnsi" w:cstheme="majorHAnsi"/>
                <w:b/>
                <w:bCs/>
                <w:iCs/>
                <w:sz w:val="18"/>
                <w:szCs w:val="18"/>
                <w:lang w:val="ro-MD"/>
              </w:rPr>
              <w:t>V</w:t>
            </w:r>
          </w:p>
        </w:tc>
        <w:tc>
          <w:tcPr>
            <w:tcW w:w="900" w:type="dxa"/>
            <w:shd w:val="clear" w:color="auto" w:fill="auto"/>
          </w:tcPr>
          <w:p w14:paraId="381375DA"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990" w:type="dxa"/>
          </w:tcPr>
          <w:p w14:paraId="5D9CFA92" w14:textId="77777777" w:rsidR="00A25BFF" w:rsidRPr="00736448" w:rsidRDefault="00A25BFF" w:rsidP="00860800">
            <w:pPr>
              <w:spacing w:after="0" w:line="240" w:lineRule="auto"/>
              <w:jc w:val="center"/>
              <w:rPr>
                <w:rFonts w:asciiTheme="majorHAnsi" w:eastAsia="Times New Roman" w:hAnsiTheme="majorHAnsi" w:cstheme="majorHAnsi"/>
                <w:b/>
                <w:bCs/>
                <w:iCs/>
                <w:sz w:val="18"/>
                <w:szCs w:val="18"/>
                <w:lang w:val="ro-MD"/>
              </w:rPr>
            </w:pPr>
          </w:p>
        </w:tc>
      </w:tr>
      <w:tr w:rsidR="00A25BFF" w:rsidRPr="00B7675F" w14:paraId="6B7ED104" w14:textId="77777777" w:rsidTr="00B27804">
        <w:trPr>
          <w:trHeight w:val="20"/>
        </w:trPr>
        <w:tc>
          <w:tcPr>
            <w:tcW w:w="604" w:type="dxa"/>
            <w:vMerge/>
            <w:shd w:val="clear" w:color="auto" w:fill="FFFFFF" w:themeFill="background1"/>
            <w:noWrap/>
            <w:vAlign w:val="center"/>
          </w:tcPr>
          <w:p w14:paraId="0934A5AC"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2906" w:type="dxa"/>
            <w:shd w:val="clear" w:color="auto" w:fill="auto"/>
          </w:tcPr>
          <w:p w14:paraId="43C472C1" w14:textId="7578242C" w:rsidR="00A25BFF" w:rsidRPr="00736448" w:rsidRDefault="00A25BFF" w:rsidP="00860800">
            <w:pPr>
              <w:spacing w:line="240" w:lineRule="auto"/>
              <w:jc w:val="both"/>
              <w:rPr>
                <w:rFonts w:asciiTheme="majorHAnsi" w:hAnsiTheme="majorHAnsi" w:cstheme="majorHAnsi"/>
                <w:i/>
                <w:sz w:val="18"/>
                <w:szCs w:val="18"/>
                <w:lang w:val="ro-MD"/>
              </w:rPr>
            </w:pPr>
            <w:r w:rsidRPr="00736448">
              <w:rPr>
                <w:rFonts w:asciiTheme="majorHAnsi" w:hAnsiTheme="majorHAnsi" w:cstheme="majorHAnsi"/>
                <w:i/>
                <w:sz w:val="18"/>
                <w:szCs w:val="18"/>
                <w:lang w:val="ro-MD"/>
              </w:rPr>
              <w:t xml:space="preserve">13. </w:t>
            </w:r>
            <w:r w:rsidR="000648BE" w:rsidRPr="000648BE">
              <w:rPr>
                <w:rFonts w:asciiTheme="majorHAnsi" w:hAnsiTheme="majorHAnsi" w:cstheme="majorHAnsi"/>
                <w:i/>
                <w:sz w:val="18"/>
                <w:szCs w:val="18"/>
                <w:lang w:val="ro-RO"/>
              </w:rPr>
              <w:t>Обеспечить усиление деятельности внутреннего контроля при установлении пенсий за выслугу лет военнослужащим и лицам командного и рядового состава органов внутренних дел, на территориальном и центральном уровнях</w:t>
            </w:r>
          </w:p>
        </w:tc>
        <w:tc>
          <w:tcPr>
            <w:tcW w:w="8190" w:type="dxa"/>
            <w:shd w:val="clear" w:color="auto" w:fill="auto"/>
          </w:tcPr>
          <w:p w14:paraId="62732396" w14:textId="47EC0AFA" w:rsidR="00A25BFF" w:rsidRPr="00736448" w:rsidRDefault="006916C3" w:rsidP="00860800">
            <w:pPr>
              <w:spacing w:line="240" w:lineRule="auto"/>
              <w:jc w:val="both"/>
              <w:rPr>
                <w:rFonts w:asciiTheme="majorHAnsi" w:hAnsiTheme="majorHAnsi" w:cstheme="majorHAnsi"/>
                <w:color w:val="000000"/>
                <w:sz w:val="18"/>
                <w:szCs w:val="18"/>
                <w:lang w:val="ro-MD"/>
              </w:rPr>
            </w:pPr>
            <w:r>
              <w:rPr>
                <w:rFonts w:asciiTheme="majorHAnsi" w:hAnsiTheme="majorHAnsi" w:cstheme="majorHAnsi"/>
                <w:b/>
                <w:i/>
                <w:color w:val="000000"/>
                <w:sz w:val="18"/>
                <w:szCs w:val="18"/>
                <w:lang w:val="ro-MD"/>
              </w:rPr>
              <w:t>Письмо НКСС №</w:t>
            </w:r>
            <w:r w:rsidR="00A25BFF" w:rsidRPr="00736448">
              <w:rPr>
                <w:rFonts w:asciiTheme="majorHAnsi" w:hAnsiTheme="majorHAnsi" w:cstheme="majorHAnsi"/>
                <w:b/>
                <w:i/>
                <w:color w:val="000000"/>
                <w:sz w:val="18"/>
                <w:szCs w:val="18"/>
                <w:lang w:val="ro-MD"/>
              </w:rPr>
              <w:t xml:space="preserve">11373 </w:t>
            </w:r>
            <w:r>
              <w:rPr>
                <w:rFonts w:asciiTheme="majorHAnsi" w:hAnsiTheme="majorHAnsi" w:cstheme="majorHAnsi"/>
                <w:b/>
                <w:i/>
                <w:color w:val="000000"/>
                <w:sz w:val="18"/>
                <w:szCs w:val="18"/>
                <w:lang w:val="ro-MD"/>
              </w:rPr>
              <w:t>от</w:t>
            </w:r>
            <w:r w:rsidR="00A25BFF" w:rsidRPr="00736448">
              <w:rPr>
                <w:rFonts w:asciiTheme="majorHAnsi" w:hAnsiTheme="majorHAnsi" w:cstheme="majorHAnsi"/>
                <w:b/>
                <w:i/>
                <w:color w:val="000000"/>
                <w:sz w:val="18"/>
                <w:szCs w:val="18"/>
                <w:lang w:val="ro-MD"/>
              </w:rPr>
              <w:t xml:space="preserve"> 16.12.2022</w:t>
            </w:r>
            <w:r w:rsidR="00A25BFF" w:rsidRPr="00736448">
              <w:rPr>
                <w:rFonts w:asciiTheme="majorHAnsi" w:hAnsiTheme="majorHAnsi" w:cstheme="majorHAnsi"/>
                <w:color w:val="000000"/>
                <w:sz w:val="18"/>
                <w:szCs w:val="18"/>
                <w:lang w:val="ro-MD"/>
              </w:rPr>
              <w:t xml:space="preserve">: </w:t>
            </w:r>
            <w:r w:rsidRPr="006916C3">
              <w:rPr>
                <w:rFonts w:asciiTheme="majorHAnsi" w:hAnsiTheme="majorHAnsi" w:cstheme="majorHAnsi"/>
                <w:color w:val="000000"/>
                <w:sz w:val="18"/>
                <w:szCs w:val="18"/>
                <w:lang w:val="ro-MD"/>
              </w:rPr>
              <w:t>в период с июня по октябрь 2022 года была обеспечена проверка на территориальном и центральном уровнях 466 дел в аспекте правильности установления пенсии за выслугу лет военнослужащим и лицам командного и рядового состава органов внутренних дел</w:t>
            </w:r>
            <w:r w:rsidR="00A25BFF" w:rsidRPr="00736448">
              <w:rPr>
                <w:rFonts w:asciiTheme="majorHAnsi" w:hAnsiTheme="majorHAnsi" w:cstheme="majorHAnsi"/>
                <w:color w:val="000000"/>
                <w:sz w:val="18"/>
                <w:szCs w:val="18"/>
                <w:lang w:val="ro-MD"/>
              </w:rPr>
              <w:t xml:space="preserve">. </w:t>
            </w:r>
          </w:p>
        </w:tc>
        <w:tc>
          <w:tcPr>
            <w:tcW w:w="810" w:type="dxa"/>
            <w:shd w:val="clear" w:color="auto" w:fill="auto"/>
          </w:tcPr>
          <w:p w14:paraId="76292AA6" w14:textId="77777777" w:rsidR="00A25BFF" w:rsidRPr="00736448" w:rsidRDefault="00A25BFF" w:rsidP="00860800">
            <w:pPr>
              <w:spacing w:after="0" w:line="240" w:lineRule="auto"/>
              <w:jc w:val="center"/>
              <w:rPr>
                <w:rFonts w:asciiTheme="majorHAnsi" w:eastAsia="Times New Roman" w:hAnsiTheme="majorHAnsi" w:cstheme="majorHAnsi"/>
                <w:b/>
                <w:bCs/>
                <w:iCs/>
                <w:sz w:val="18"/>
                <w:szCs w:val="18"/>
                <w:lang w:val="ro-MD"/>
              </w:rPr>
            </w:pPr>
            <w:r w:rsidRPr="00736448">
              <w:rPr>
                <w:rFonts w:asciiTheme="majorHAnsi" w:eastAsia="Times New Roman" w:hAnsiTheme="majorHAnsi" w:cstheme="majorHAnsi"/>
                <w:b/>
                <w:bCs/>
                <w:iCs/>
                <w:sz w:val="18"/>
                <w:szCs w:val="18"/>
                <w:lang w:val="ro-MD"/>
              </w:rPr>
              <w:t>V</w:t>
            </w:r>
          </w:p>
        </w:tc>
        <w:tc>
          <w:tcPr>
            <w:tcW w:w="900" w:type="dxa"/>
            <w:shd w:val="clear" w:color="auto" w:fill="auto"/>
          </w:tcPr>
          <w:p w14:paraId="2456177F"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990" w:type="dxa"/>
          </w:tcPr>
          <w:p w14:paraId="15D019EA" w14:textId="77777777" w:rsidR="00A25BFF" w:rsidRPr="00736448" w:rsidRDefault="00A25BFF" w:rsidP="00860800">
            <w:pPr>
              <w:spacing w:after="0" w:line="240" w:lineRule="auto"/>
              <w:jc w:val="center"/>
              <w:rPr>
                <w:rFonts w:asciiTheme="majorHAnsi" w:eastAsia="Times New Roman" w:hAnsiTheme="majorHAnsi" w:cstheme="majorHAnsi"/>
                <w:b/>
                <w:bCs/>
                <w:iCs/>
                <w:sz w:val="18"/>
                <w:szCs w:val="18"/>
                <w:lang w:val="ro-MD"/>
              </w:rPr>
            </w:pPr>
          </w:p>
        </w:tc>
      </w:tr>
      <w:tr w:rsidR="00A25BFF" w:rsidRPr="00B7675F" w14:paraId="1793EE6A" w14:textId="77777777" w:rsidTr="00B27804">
        <w:trPr>
          <w:trHeight w:val="20"/>
        </w:trPr>
        <w:tc>
          <w:tcPr>
            <w:tcW w:w="604" w:type="dxa"/>
            <w:vMerge/>
            <w:shd w:val="clear" w:color="auto" w:fill="FFFFFF" w:themeFill="background1"/>
            <w:noWrap/>
            <w:vAlign w:val="center"/>
          </w:tcPr>
          <w:p w14:paraId="7B256A54"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2906" w:type="dxa"/>
            <w:shd w:val="clear" w:color="auto" w:fill="auto"/>
          </w:tcPr>
          <w:p w14:paraId="656D1DA9" w14:textId="20CA247F" w:rsidR="00A25BFF" w:rsidRPr="00736448" w:rsidRDefault="00A25BFF" w:rsidP="00860800">
            <w:pPr>
              <w:spacing w:line="240" w:lineRule="auto"/>
              <w:jc w:val="both"/>
              <w:rPr>
                <w:rFonts w:asciiTheme="majorHAnsi" w:hAnsiTheme="majorHAnsi" w:cstheme="majorHAnsi"/>
                <w:i/>
                <w:sz w:val="18"/>
                <w:szCs w:val="18"/>
                <w:lang w:val="ro-MD"/>
              </w:rPr>
            </w:pPr>
            <w:r w:rsidRPr="00736448">
              <w:rPr>
                <w:rFonts w:asciiTheme="majorHAnsi" w:hAnsiTheme="majorHAnsi" w:cstheme="majorHAnsi"/>
                <w:i/>
                <w:sz w:val="18"/>
                <w:szCs w:val="18"/>
                <w:lang w:val="ro-MD"/>
              </w:rPr>
              <w:t xml:space="preserve">14. </w:t>
            </w:r>
            <w:r w:rsidR="000648BE" w:rsidRPr="000648BE">
              <w:rPr>
                <w:rFonts w:asciiTheme="majorHAnsi" w:hAnsiTheme="majorHAnsi" w:cstheme="majorHAnsi"/>
                <w:i/>
                <w:sz w:val="18"/>
                <w:szCs w:val="18"/>
                <w:lang w:val="ro-RO"/>
              </w:rPr>
              <w:t>Повысить эффективность мероприятий внутреннего контроля за полнотой дел в отношении санаторных путевок</w:t>
            </w:r>
          </w:p>
        </w:tc>
        <w:tc>
          <w:tcPr>
            <w:tcW w:w="8190" w:type="dxa"/>
            <w:shd w:val="clear" w:color="auto" w:fill="auto"/>
          </w:tcPr>
          <w:p w14:paraId="2617D40F" w14:textId="2C44961F" w:rsidR="00A25BFF" w:rsidRPr="00736448" w:rsidRDefault="006916C3" w:rsidP="00860800">
            <w:pPr>
              <w:spacing w:line="240" w:lineRule="auto"/>
              <w:jc w:val="both"/>
              <w:rPr>
                <w:rFonts w:asciiTheme="majorHAnsi" w:hAnsiTheme="majorHAnsi" w:cstheme="majorHAnsi"/>
                <w:color w:val="000000"/>
                <w:sz w:val="18"/>
                <w:szCs w:val="18"/>
                <w:lang w:val="ro-MD"/>
              </w:rPr>
            </w:pPr>
            <w:r>
              <w:rPr>
                <w:rFonts w:asciiTheme="majorHAnsi" w:hAnsiTheme="majorHAnsi" w:cstheme="majorHAnsi"/>
                <w:b/>
                <w:i/>
                <w:color w:val="000000"/>
                <w:sz w:val="18"/>
                <w:szCs w:val="18"/>
                <w:lang w:val="ro-MD"/>
              </w:rPr>
              <w:t>Письмо НКСС №</w:t>
            </w:r>
            <w:r w:rsidR="00A25BFF" w:rsidRPr="00736448">
              <w:rPr>
                <w:rFonts w:asciiTheme="majorHAnsi" w:hAnsiTheme="majorHAnsi" w:cstheme="majorHAnsi"/>
                <w:b/>
                <w:i/>
                <w:color w:val="000000"/>
                <w:sz w:val="18"/>
                <w:szCs w:val="18"/>
                <w:lang w:val="ro-MD"/>
              </w:rPr>
              <w:t xml:space="preserve">11373 </w:t>
            </w:r>
            <w:r>
              <w:rPr>
                <w:rFonts w:asciiTheme="majorHAnsi" w:hAnsiTheme="majorHAnsi" w:cstheme="majorHAnsi"/>
                <w:b/>
                <w:i/>
                <w:color w:val="000000"/>
                <w:sz w:val="18"/>
                <w:szCs w:val="18"/>
                <w:lang w:val="ro-MD"/>
              </w:rPr>
              <w:t>от</w:t>
            </w:r>
            <w:r w:rsidR="00A25BFF" w:rsidRPr="00736448">
              <w:rPr>
                <w:rFonts w:asciiTheme="majorHAnsi" w:hAnsiTheme="majorHAnsi" w:cstheme="majorHAnsi"/>
                <w:b/>
                <w:i/>
                <w:color w:val="000000"/>
                <w:sz w:val="18"/>
                <w:szCs w:val="18"/>
                <w:lang w:val="ro-MD"/>
              </w:rPr>
              <w:t xml:space="preserve"> 16.12.2022</w:t>
            </w:r>
            <w:r w:rsidR="00A25BFF" w:rsidRPr="00736448">
              <w:rPr>
                <w:rFonts w:asciiTheme="majorHAnsi" w:hAnsiTheme="majorHAnsi" w:cstheme="majorHAnsi"/>
                <w:color w:val="000000"/>
                <w:sz w:val="18"/>
                <w:szCs w:val="18"/>
                <w:lang w:val="ro-MD"/>
              </w:rPr>
              <w:t xml:space="preserve">: </w:t>
            </w:r>
            <w:r w:rsidRPr="006916C3">
              <w:rPr>
                <w:rFonts w:asciiTheme="majorHAnsi" w:hAnsiTheme="majorHAnsi" w:cstheme="majorHAnsi"/>
                <w:color w:val="000000"/>
                <w:sz w:val="18"/>
                <w:szCs w:val="18"/>
                <w:lang w:val="ro-MD"/>
              </w:rPr>
              <w:t>Внутренним приказом №90 от 17.06.2022 были внесены изменения в Положение о порядке регистрации заявителей путевок и путевок на лечение ветеранов, утвержденное Приказом № 124-А от 14.09.2018. В то же время, 14.12.2022 был проведен семинар по внутреннему обучению государственных служащих территориальных касс социального страхования на тему „Как распределять и использовать путевки на санаторно - курортное лечение" с целью повышения эффективности деятельности по внутреннему контролю за целостностью дел по путевкам на санаторно-курортное лечение</w:t>
            </w:r>
            <w:r w:rsidR="00A25BFF" w:rsidRPr="00736448">
              <w:rPr>
                <w:rFonts w:asciiTheme="majorHAnsi" w:hAnsiTheme="majorHAnsi" w:cstheme="majorHAnsi"/>
                <w:color w:val="000000"/>
                <w:sz w:val="18"/>
                <w:szCs w:val="18"/>
                <w:lang w:val="ro-MD"/>
              </w:rPr>
              <w:t xml:space="preserve">. </w:t>
            </w:r>
          </w:p>
        </w:tc>
        <w:tc>
          <w:tcPr>
            <w:tcW w:w="810" w:type="dxa"/>
            <w:shd w:val="clear" w:color="auto" w:fill="auto"/>
          </w:tcPr>
          <w:p w14:paraId="7B2EF9FE" w14:textId="77777777" w:rsidR="00A25BFF" w:rsidRPr="00736448" w:rsidRDefault="00A25BFF" w:rsidP="00860800">
            <w:pPr>
              <w:spacing w:after="0" w:line="240" w:lineRule="auto"/>
              <w:jc w:val="center"/>
              <w:rPr>
                <w:rFonts w:asciiTheme="majorHAnsi" w:eastAsia="Times New Roman" w:hAnsiTheme="majorHAnsi" w:cstheme="majorHAnsi"/>
                <w:b/>
                <w:bCs/>
                <w:iCs/>
                <w:sz w:val="18"/>
                <w:szCs w:val="18"/>
                <w:lang w:val="ro-MD"/>
              </w:rPr>
            </w:pPr>
            <w:r w:rsidRPr="00736448">
              <w:rPr>
                <w:rFonts w:asciiTheme="majorHAnsi" w:eastAsia="Times New Roman" w:hAnsiTheme="majorHAnsi" w:cstheme="majorHAnsi"/>
                <w:b/>
                <w:bCs/>
                <w:iCs/>
                <w:sz w:val="18"/>
                <w:szCs w:val="18"/>
                <w:lang w:val="ro-MD"/>
              </w:rPr>
              <w:t>V</w:t>
            </w:r>
          </w:p>
        </w:tc>
        <w:tc>
          <w:tcPr>
            <w:tcW w:w="900" w:type="dxa"/>
            <w:shd w:val="clear" w:color="auto" w:fill="auto"/>
          </w:tcPr>
          <w:p w14:paraId="54398E77"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990" w:type="dxa"/>
          </w:tcPr>
          <w:p w14:paraId="3F1B5B8C" w14:textId="77777777" w:rsidR="00A25BFF" w:rsidRPr="00736448" w:rsidRDefault="00A25BFF" w:rsidP="00860800">
            <w:pPr>
              <w:spacing w:after="0" w:line="240" w:lineRule="auto"/>
              <w:jc w:val="center"/>
              <w:rPr>
                <w:rFonts w:asciiTheme="majorHAnsi" w:eastAsia="Times New Roman" w:hAnsiTheme="majorHAnsi" w:cstheme="majorHAnsi"/>
                <w:b/>
                <w:bCs/>
                <w:iCs/>
                <w:sz w:val="18"/>
                <w:szCs w:val="18"/>
                <w:lang w:val="ro-MD"/>
              </w:rPr>
            </w:pPr>
          </w:p>
        </w:tc>
      </w:tr>
    </w:tbl>
    <w:p w14:paraId="30CCA80D" w14:textId="68E724DD" w:rsidR="00D874AE" w:rsidRPr="00736448" w:rsidRDefault="00D874AE" w:rsidP="00D874AE">
      <w:pPr>
        <w:rPr>
          <w:rFonts w:cstheme="majorHAnsi"/>
          <w:b/>
          <w:color w:val="000000" w:themeColor="text1"/>
          <w:sz w:val="24"/>
          <w:szCs w:val="24"/>
          <w:lang w:val="ro-MD"/>
        </w:rPr>
      </w:pPr>
      <w:r w:rsidRPr="00736448">
        <w:rPr>
          <w:rFonts w:cstheme="majorHAnsi"/>
          <w:b/>
          <w:color w:val="000000" w:themeColor="text1"/>
          <w:sz w:val="24"/>
          <w:szCs w:val="24"/>
          <w:lang w:val="ro-MD"/>
        </w:rPr>
        <w:br w:type="page"/>
      </w:r>
    </w:p>
    <w:p w14:paraId="79BA167C" w14:textId="77777777" w:rsidR="0032004C" w:rsidRPr="00736448" w:rsidRDefault="0032004C" w:rsidP="0032004C">
      <w:pPr>
        <w:jc w:val="right"/>
        <w:rPr>
          <w:rFonts w:asciiTheme="majorHAnsi" w:hAnsiTheme="majorHAnsi" w:cstheme="majorHAnsi"/>
          <w:color w:val="000000" w:themeColor="text1"/>
          <w:sz w:val="24"/>
          <w:szCs w:val="24"/>
          <w:lang w:val="ro-MD"/>
        </w:rPr>
        <w:sectPr w:rsidR="0032004C" w:rsidRPr="00736448" w:rsidSect="00860800">
          <w:type w:val="continuous"/>
          <w:pgSz w:w="15840" w:h="12240" w:orient="landscape"/>
          <w:pgMar w:top="993" w:right="1140" w:bottom="851" w:left="1140" w:header="720" w:footer="720" w:gutter="0"/>
          <w:cols w:space="720"/>
          <w:titlePg/>
          <w:docGrid w:linePitch="360"/>
        </w:sectPr>
      </w:pPr>
    </w:p>
    <w:p w14:paraId="067E1CC3" w14:textId="090BE1B7" w:rsidR="0032004C" w:rsidRPr="00736448" w:rsidRDefault="00FC62B3" w:rsidP="0032004C">
      <w:pPr>
        <w:pStyle w:val="2"/>
        <w:jc w:val="right"/>
        <w:rPr>
          <w:rFonts w:cstheme="majorHAnsi"/>
          <w:b/>
          <w:color w:val="000000" w:themeColor="text1"/>
          <w:sz w:val="24"/>
          <w:szCs w:val="24"/>
          <w:lang w:val="ro-MD"/>
        </w:rPr>
      </w:pPr>
      <w:r>
        <w:rPr>
          <w:rFonts w:cstheme="majorHAnsi"/>
          <w:b/>
          <w:color w:val="000000" w:themeColor="text1"/>
          <w:sz w:val="24"/>
          <w:szCs w:val="24"/>
          <w:lang w:val="ro-MD"/>
        </w:rPr>
        <w:t>Приложение №</w:t>
      </w:r>
      <w:r w:rsidR="0032004C" w:rsidRPr="00736448">
        <w:rPr>
          <w:rFonts w:cstheme="majorHAnsi"/>
          <w:b/>
          <w:color w:val="000000" w:themeColor="text1"/>
          <w:sz w:val="24"/>
          <w:szCs w:val="24"/>
          <w:lang w:val="ro-MD"/>
        </w:rPr>
        <w:t xml:space="preserve"> 23</w:t>
      </w:r>
    </w:p>
    <w:p w14:paraId="7A79F91E" w14:textId="2CFFDE7B" w:rsidR="0032004C" w:rsidRPr="00736448" w:rsidRDefault="00301FE5" w:rsidP="0032004C">
      <w:pPr>
        <w:jc w:val="center"/>
        <w:rPr>
          <w:rFonts w:asciiTheme="majorHAnsi" w:hAnsiTheme="majorHAnsi" w:cstheme="majorHAnsi"/>
          <w:b/>
          <w:color w:val="000000" w:themeColor="text1"/>
          <w:sz w:val="24"/>
          <w:szCs w:val="24"/>
          <w:lang w:val="ro-MD"/>
        </w:rPr>
      </w:pPr>
      <w:r>
        <w:rPr>
          <w:rFonts w:asciiTheme="majorHAnsi" w:hAnsiTheme="majorHAnsi" w:cstheme="majorHAnsi"/>
          <w:b/>
          <w:color w:val="000000" w:themeColor="text1"/>
          <w:sz w:val="24"/>
          <w:szCs w:val="24"/>
          <w:lang w:val="ru-RU"/>
        </w:rPr>
        <w:t>Бухгалтерский баланс НКСС</w:t>
      </w:r>
      <w:r w:rsidR="0032004C" w:rsidRPr="00736448">
        <w:rPr>
          <w:rFonts w:asciiTheme="majorHAnsi" w:hAnsiTheme="majorHAnsi" w:cstheme="majorHAnsi"/>
          <w:b/>
          <w:color w:val="000000" w:themeColor="text1"/>
          <w:sz w:val="24"/>
          <w:szCs w:val="24"/>
          <w:lang w:val="ro-MD"/>
        </w:rPr>
        <w:t xml:space="preserve"> </w:t>
      </w:r>
      <w:r w:rsidR="00C0319C">
        <w:rPr>
          <w:rFonts w:asciiTheme="majorHAnsi" w:hAnsiTheme="majorHAnsi" w:cstheme="majorHAnsi"/>
          <w:b/>
          <w:color w:val="000000" w:themeColor="text1"/>
          <w:sz w:val="24"/>
          <w:szCs w:val="24"/>
          <w:lang w:val="ro-MD"/>
        </w:rPr>
        <w:t>по состоянию на</w:t>
      </w:r>
      <w:r>
        <w:rPr>
          <w:rFonts w:asciiTheme="majorHAnsi" w:hAnsiTheme="majorHAnsi" w:cstheme="majorHAnsi"/>
          <w:b/>
          <w:color w:val="000000" w:themeColor="text1"/>
          <w:sz w:val="24"/>
          <w:szCs w:val="24"/>
          <w:lang w:val="ru-RU"/>
        </w:rPr>
        <w:t xml:space="preserve"> </w:t>
      </w:r>
      <w:r w:rsidR="0032004C" w:rsidRPr="00736448">
        <w:rPr>
          <w:rFonts w:asciiTheme="majorHAnsi" w:hAnsiTheme="majorHAnsi" w:cstheme="majorHAnsi"/>
          <w:b/>
          <w:color w:val="000000" w:themeColor="text1"/>
          <w:sz w:val="24"/>
          <w:szCs w:val="24"/>
          <w:lang w:val="ro-MD"/>
        </w:rPr>
        <w:t>31.12.2022</w:t>
      </w:r>
    </w:p>
    <w:tbl>
      <w:tblPr>
        <w:tblW w:w="9679" w:type="dxa"/>
        <w:jc w:val="center"/>
        <w:tblLayout w:type="fixed"/>
        <w:tblLook w:val="04A0" w:firstRow="1" w:lastRow="0" w:firstColumn="1" w:lastColumn="0" w:noHBand="0" w:noVBand="1"/>
      </w:tblPr>
      <w:tblGrid>
        <w:gridCol w:w="600"/>
        <w:gridCol w:w="4924"/>
        <w:gridCol w:w="993"/>
        <w:gridCol w:w="1559"/>
        <w:gridCol w:w="1603"/>
      </w:tblGrid>
      <w:tr w:rsidR="0032004C" w:rsidRPr="00301FE5" w14:paraId="7E56C140" w14:textId="77777777" w:rsidTr="00860800">
        <w:trPr>
          <w:trHeight w:val="244"/>
          <w:jc w:val="center"/>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90E8AC0" w14:textId="658B778A" w:rsidR="0032004C" w:rsidRPr="00736448" w:rsidRDefault="00C0319C" w:rsidP="00B372C7">
            <w:pPr>
              <w:spacing w:after="0" w:line="240" w:lineRule="auto"/>
              <w:jc w:val="center"/>
              <w:rPr>
                <w:rFonts w:asciiTheme="majorHAnsi" w:eastAsia="Times New Roman" w:hAnsiTheme="majorHAnsi" w:cs="Times New Roman"/>
                <w:sz w:val="18"/>
                <w:szCs w:val="18"/>
                <w:lang w:val="ro-MD"/>
              </w:rPr>
            </w:pPr>
            <w:r>
              <w:rPr>
                <w:rFonts w:asciiTheme="majorHAnsi" w:eastAsia="Times New Roman" w:hAnsiTheme="majorHAnsi" w:cs="Times New Roman"/>
                <w:sz w:val="18"/>
                <w:szCs w:val="18"/>
                <w:lang w:val="ro-MD"/>
              </w:rPr>
              <w:t>№ п/п</w:t>
            </w:r>
          </w:p>
        </w:tc>
        <w:tc>
          <w:tcPr>
            <w:tcW w:w="492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DEDA843" w14:textId="688C6AA0" w:rsidR="0032004C" w:rsidRPr="00736448" w:rsidRDefault="00FC62B3" w:rsidP="00301FE5">
            <w:pPr>
              <w:spacing w:after="0" w:line="240" w:lineRule="auto"/>
              <w:jc w:val="center"/>
              <w:rPr>
                <w:rFonts w:asciiTheme="majorHAnsi" w:eastAsia="Times New Roman" w:hAnsiTheme="majorHAnsi" w:cs="Times New Roman"/>
                <w:sz w:val="18"/>
                <w:szCs w:val="18"/>
                <w:lang w:val="ro-MD"/>
              </w:rPr>
            </w:pPr>
            <w:r>
              <w:rPr>
                <w:rFonts w:asciiTheme="majorHAnsi" w:eastAsia="Times New Roman" w:hAnsiTheme="majorHAnsi" w:cs="Times New Roman"/>
                <w:sz w:val="18"/>
                <w:szCs w:val="18"/>
                <w:lang w:val="ro-MD"/>
              </w:rPr>
              <w:t>Показатели</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15CFB3E" w14:textId="1848485B" w:rsidR="0032004C" w:rsidRPr="00301FE5" w:rsidRDefault="00301FE5" w:rsidP="00B372C7">
            <w:pPr>
              <w:spacing w:after="0" w:line="240" w:lineRule="auto"/>
              <w:jc w:val="center"/>
              <w:rPr>
                <w:rFonts w:asciiTheme="majorHAnsi" w:eastAsia="Times New Roman" w:hAnsiTheme="majorHAnsi" w:cs="Times New Roman"/>
                <w:sz w:val="18"/>
                <w:szCs w:val="18"/>
                <w:lang w:val="ru-RU"/>
              </w:rPr>
            </w:pPr>
            <w:r>
              <w:rPr>
                <w:rFonts w:asciiTheme="majorHAnsi" w:eastAsia="Times New Roman" w:hAnsiTheme="majorHAnsi" w:cs="Times New Roman"/>
                <w:sz w:val="18"/>
                <w:szCs w:val="18"/>
                <w:lang w:val="ru-RU"/>
              </w:rPr>
              <w:t>Код строки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1F3864" w14:textId="58FA3741" w:rsidR="0032004C" w:rsidRPr="00736448" w:rsidRDefault="00301FE5" w:rsidP="00B372C7">
            <w:pPr>
              <w:spacing w:after="0" w:line="240" w:lineRule="auto"/>
              <w:jc w:val="center"/>
              <w:rPr>
                <w:rFonts w:asciiTheme="majorHAnsi" w:eastAsia="Times New Roman" w:hAnsiTheme="majorHAnsi" w:cs="Times New Roman"/>
                <w:sz w:val="18"/>
                <w:szCs w:val="18"/>
                <w:lang w:val="ro-MD"/>
              </w:rPr>
            </w:pPr>
            <w:r w:rsidRPr="00301FE5">
              <w:rPr>
                <w:rFonts w:asciiTheme="majorHAnsi" w:eastAsia="Times New Roman" w:hAnsiTheme="majorHAnsi" w:cs="Times New Roman"/>
                <w:sz w:val="18"/>
                <w:szCs w:val="18"/>
                <w:lang w:val="ro-MD"/>
              </w:rPr>
              <w:t>На конец текущего отчетного периода</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C31703" w14:textId="768D58FB" w:rsidR="0032004C" w:rsidRPr="00736448" w:rsidRDefault="00301FE5" w:rsidP="00301FE5">
            <w:pPr>
              <w:spacing w:after="0" w:line="240" w:lineRule="auto"/>
              <w:jc w:val="center"/>
              <w:rPr>
                <w:rFonts w:asciiTheme="majorHAnsi" w:eastAsia="Times New Roman" w:hAnsiTheme="majorHAnsi" w:cs="Times New Roman"/>
                <w:sz w:val="18"/>
                <w:szCs w:val="18"/>
                <w:lang w:val="ro-MD"/>
              </w:rPr>
            </w:pPr>
            <w:r w:rsidRPr="00301FE5">
              <w:rPr>
                <w:rFonts w:asciiTheme="majorHAnsi" w:eastAsia="Times New Roman" w:hAnsiTheme="majorHAnsi" w:cs="Times New Roman"/>
                <w:sz w:val="18"/>
                <w:szCs w:val="18"/>
                <w:lang w:val="ro-MD"/>
              </w:rPr>
              <w:t xml:space="preserve">На конец </w:t>
            </w:r>
            <w:r>
              <w:rPr>
                <w:rFonts w:asciiTheme="majorHAnsi" w:eastAsia="Times New Roman" w:hAnsiTheme="majorHAnsi" w:cs="Times New Roman"/>
                <w:sz w:val="18"/>
                <w:szCs w:val="18"/>
                <w:lang w:val="ru-RU"/>
              </w:rPr>
              <w:t>предыду</w:t>
            </w:r>
            <w:r w:rsidRPr="00301FE5">
              <w:rPr>
                <w:rFonts w:asciiTheme="majorHAnsi" w:eastAsia="Times New Roman" w:hAnsiTheme="majorHAnsi" w:cs="Times New Roman"/>
                <w:sz w:val="18"/>
                <w:szCs w:val="18"/>
                <w:lang w:val="ro-MD"/>
              </w:rPr>
              <w:t>щего отчетного периода</w:t>
            </w:r>
          </w:p>
        </w:tc>
      </w:tr>
      <w:tr w:rsidR="0032004C" w:rsidRPr="00301FE5" w14:paraId="52C96290" w14:textId="77777777" w:rsidTr="00860800">
        <w:trPr>
          <w:trHeight w:val="450"/>
          <w:jc w:val="center"/>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6140BB6B"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p>
        </w:tc>
        <w:tc>
          <w:tcPr>
            <w:tcW w:w="4924" w:type="dxa"/>
            <w:vMerge/>
            <w:tcBorders>
              <w:top w:val="single" w:sz="4" w:space="0" w:color="auto"/>
              <w:left w:val="single" w:sz="4" w:space="0" w:color="auto"/>
              <w:bottom w:val="single" w:sz="4" w:space="0" w:color="000000"/>
              <w:right w:val="single" w:sz="4" w:space="0" w:color="auto"/>
            </w:tcBorders>
            <w:vAlign w:val="center"/>
            <w:hideMark/>
          </w:tcPr>
          <w:p w14:paraId="0B62EBCA"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6CFC57C8"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7C084BA"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14:paraId="1FB08ACB"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p>
        </w:tc>
      </w:tr>
      <w:tr w:rsidR="0032004C" w:rsidRPr="00B7675F" w14:paraId="0827BB8D"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12D71FD5"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w:t>
            </w:r>
          </w:p>
        </w:tc>
        <w:tc>
          <w:tcPr>
            <w:tcW w:w="4924" w:type="dxa"/>
            <w:tcBorders>
              <w:top w:val="nil"/>
              <w:left w:val="nil"/>
              <w:bottom w:val="single" w:sz="4" w:space="0" w:color="auto"/>
              <w:right w:val="single" w:sz="4" w:space="0" w:color="auto"/>
            </w:tcBorders>
            <w:shd w:val="clear" w:color="auto" w:fill="auto"/>
            <w:hideMark/>
          </w:tcPr>
          <w:p w14:paraId="61ECE8F9"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w:t>
            </w:r>
          </w:p>
        </w:tc>
        <w:tc>
          <w:tcPr>
            <w:tcW w:w="993" w:type="dxa"/>
            <w:tcBorders>
              <w:top w:val="nil"/>
              <w:left w:val="nil"/>
              <w:bottom w:val="single" w:sz="4" w:space="0" w:color="auto"/>
              <w:right w:val="single" w:sz="4" w:space="0" w:color="auto"/>
            </w:tcBorders>
            <w:shd w:val="clear" w:color="auto" w:fill="auto"/>
            <w:hideMark/>
          </w:tcPr>
          <w:p w14:paraId="58B273F1"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w:t>
            </w:r>
          </w:p>
        </w:tc>
        <w:tc>
          <w:tcPr>
            <w:tcW w:w="1559" w:type="dxa"/>
            <w:tcBorders>
              <w:top w:val="nil"/>
              <w:left w:val="nil"/>
              <w:bottom w:val="single" w:sz="4" w:space="0" w:color="auto"/>
              <w:right w:val="single" w:sz="4" w:space="0" w:color="auto"/>
            </w:tcBorders>
            <w:shd w:val="clear" w:color="auto" w:fill="auto"/>
            <w:hideMark/>
          </w:tcPr>
          <w:p w14:paraId="5116DC6F"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4</w:t>
            </w:r>
          </w:p>
        </w:tc>
        <w:tc>
          <w:tcPr>
            <w:tcW w:w="1603" w:type="dxa"/>
            <w:tcBorders>
              <w:top w:val="nil"/>
              <w:left w:val="nil"/>
              <w:bottom w:val="single" w:sz="4" w:space="0" w:color="auto"/>
              <w:right w:val="single" w:sz="4" w:space="0" w:color="auto"/>
            </w:tcBorders>
            <w:shd w:val="clear" w:color="auto" w:fill="auto"/>
            <w:hideMark/>
          </w:tcPr>
          <w:p w14:paraId="75138023"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5</w:t>
            </w:r>
          </w:p>
        </w:tc>
      </w:tr>
      <w:tr w:rsidR="0032004C" w:rsidRPr="00B7675F" w14:paraId="2BA9FC8A"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7752B502"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c>
          <w:tcPr>
            <w:tcW w:w="4924" w:type="dxa"/>
            <w:tcBorders>
              <w:top w:val="nil"/>
              <w:left w:val="nil"/>
              <w:bottom w:val="single" w:sz="4" w:space="0" w:color="auto"/>
              <w:right w:val="single" w:sz="4" w:space="0" w:color="auto"/>
            </w:tcBorders>
            <w:shd w:val="clear" w:color="auto" w:fill="auto"/>
            <w:noWrap/>
            <w:vAlign w:val="bottom"/>
            <w:hideMark/>
          </w:tcPr>
          <w:p w14:paraId="3AF7150C" w14:textId="1906DEFC" w:rsidR="0032004C" w:rsidRPr="00736448" w:rsidRDefault="00E10A94" w:rsidP="00E10A94">
            <w:pPr>
              <w:spacing w:after="0" w:line="240" w:lineRule="auto"/>
              <w:rPr>
                <w:rFonts w:asciiTheme="majorHAnsi" w:eastAsia="Times New Roman" w:hAnsiTheme="majorHAnsi" w:cs="Times New Roman"/>
                <w:b/>
                <w:bCs/>
                <w:sz w:val="18"/>
                <w:szCs w:val="18"/>
                <w:lang w:val="ro-MD"/>
              </w:rPr>
            </w:pPr>
            <w:r>
              <w:rPr>
                <w:rFonts w:asciiTheme="majorHAnsi" w:eastAsia="Times New Roman" w:hAnsiTheme="majorHAnsi" w:cs="Times New Roman"/>
                <w:b/>
                <w:bCs/>
                <w:sz w:val="18"/>
                <w:szCs w:val="18"/>
                <w:lang w:val="ru-RU"/>
              </w:rPr>
              <w:t>АКТИВЫ</w:t>
            </w:r>
          </w:p>
        </w:tc>
        <w:tc>
          <w:tcPr>
            <w:tcW w:w="993" w:type="dxa"/>
            <w:tcBorders>
              <w:top w:val="nil"/>
              <w:left w:val="nil"/>
              <w:bottom w:val="single" w:sz="4" w:space="0" w:color="auto"/>
              <w:right w:val="single" w:sz="4" w:space="0" w:color="auto"/>
            </w:tcBorders>
            <w:shd w:val="clear" w:color="auto" w:fill="auto"/>
            <w:hideMark/>
          </w:tcPr>
          <w:p w14:paraId="33EF48FF"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nil"/>
              <w:bottom w:val="nil"/>
              <w:right w:val="single" w:sz="4" w:space="0" w:color="auto"/>
            </w:tcBorders>
            <w:shd w:val="clear" w:color="auto" w:fill="auto"/>
            <w:hideMark/>
          </w:tcPr>
          <w:p w14:paraId="7DD03E18"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nil"/>
              <w:right w:val="single" w:sz="4" w:space="0" w:color="auto"/>
            </w:tcBorders>
            <w:shd w:val="clear" w:color="auto" w:fill="auto"/>
            <w:hideMark/>
          </w:tcPr>
          <w:p w14:paraId="38EB084B"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445B4C24"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334A0510"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w:t>
            </w:r>
          </w:p>
        </w:tc>
        <w:tc>
          <w:tcPr>
            <w:tcW w:w="4924" w:type="dxa"/>
            <w:tcBorders>
              <w:top w:val="nil"/>
              <w:left w:val="nil"/>
              <w:bottom w:val="single" w:sz="4" w:space="0" w:color="auto"/>
              <w:right w:val="single" w:sz="4" w:space="0" w:color="auto"/>
            </w:tcBorders>
            <w:shd w:val="clear" w:color="auto" w:fill="auto"/>
            <w:hideMark/>
          </w:tcPr>
          <w:p w14:paraId="39B102DE" w14:textId="6F96F413" w:rsidR="0032004C" w:rsidRPr="00736448" w:rsidRDefault="00E10A94" w:rsidP="00E10A94">
            <w:pPr>
              <w:spacing w:after="0" w:line="240" w:lineRule="auto"/>
              <w:rPr>
                <w:rFonts w:asciiTheme="majorHAnsi" w:eastAsia="Times New Roman" w:hAnsiTheme="majorHAnsi" w:cs="Times New Roman"/>
                <w:b/>
                <w:bCs/>
                <w:sz w:val="18"/>
                <w:szCs w:val="18"/>
                <w:lang w:val="ro-MD"/>
              </w:rPr>
            </w:pPr>
            <w:r>
              <w:rPr>
                <w:rFonts w:asciiTheme="majorHAnsi" w:eastAsia="Times New Roman" w:hAnsiTheme="majorHAnsi" w:cs="Times New Roman"/>
                <w:b/>
                <w:bCs/>
                <w:sz w:val="18"/>
                <w:szCs w:val="18"/>
                <w:lang w:val="ru-RU"/>
              </w:rPr>
              <w:t>ТЕКУЩИЕ АКТИВЫ</w:t>
            </w:r>
          </w:p>
        </w:tc>
        <w:tc>
          <w:tcPr>
            <w:tcW w:w="993" w:type="dxa"/>
            <w:tcBorders>
              <w:top w:val="nil"/>
              <w:left w:val="nil"/>
              <w:bottom w:val="single" w:sz="4" w:space="0" w:color="auto"/>
              <w:right w:val="nil"/>
            </w:tcBorders>
            <w:shd w:val="clear" w:color="auto" w:fill="auto"/>
            <w:hideMark/>
          </w:tcPr>
          <w:p w14:paraId="56C7C022"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822CF1D"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c>
          <w:tcPr>
            <w:tcW w:w="1603" w:type="dxa"/>
            <w:tcBorders>
              <w:top w:val="single" w:sz="4" w:space="0" w:color="auto"/>
              <w:left w:val="nil"/>
              <w:bottom w:val="single" w:sz="4" w:space="0" w:color="auto"/>
              <w:right w:val="single" w:sz="4" w:space="0" w:color="auto"/>
            </w:tcBorders>
            <w:shd w:val="clear" w:color="auto" w:fill="auto"/>
            <w:hideMark/>
          </w:tcPr>
          <w:p w14:paraId="7A70618D"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r>
      <w:tr w:rsidR="0032004C" w:rsidRPr="00B7675F" w14:paraId="6D96F867"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7D84ECE6"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1.1</w:t>
            </w:r>
          </w:p>
        </w:tc>
        <w:tc>
          <w:tcPr>
            <w:tcW w:w="4924" w:type="dxa"/>
            <w:tcBorders>
              <w:top w:val="nil"/>
              <w:left w:val="nil"/>
              <w:bottom w:val="single" w:sz="4" w:space="0" w:color="auto"/>
              <w:right w:val="single" w:sz="4" w:space="0" w:color="auto"/>
            </w:tcBorders>
            <w:shd w:val="clear" w:color="auto" w:fill="auto"/>
            <w:hideMark/>
          </w:tcPr>
          <w:p w14:paraId="6F811C01" w14:textId="706B99EF" w:rsidR="0032004C" w:rsidRPr="00736448" w:rsidRDefault="00E10A94" w:rsidP="00E10A94">
            <w:pPr>
              <w:spacing w:after="0" w:line="240" w:lineRule="auto"/>
              <w:rPr>
                <w:rFonts w:asciiTheme="majorHAnsi" w:eastAsia="Times New Roman" w:hAnsiTheme="majorHAnsi" w:cs="Times New Roman"/>
                <w:b/>
                <w:bCs/>
                <w:sz w:val="18"/>
                <w:szCs w:val="18"/>
                <w:lang w:val="ro-MD"/>
              </w:rPr>
            </w:pPr>
            <w:r>
              <w:rPr>
                <w:rFonts w:asciiTheme="majorHAnsi" w:eastAsia="Times New Roman" w:hAnsiTheme="majorHAnsi" w:cs="Times New Roman"/>
                <w:b/>
                <w:bCs/>
                <w:sz w:val="18"/>
                <w:szCs w:val="18"/>
                <w:lang w:val="ru-RU"/>
              </w:rPr>
              <w:t>Денежные средства</w:t>
            </w:r>
          </w:p>
        </w:tc>
        <w:tc>
          <w:tcPr>
            <w:tcW w:w="993" w:type="dxa"/>
            <w:tcBorders>
              <w:top w:val="nil"/>
              <w:left w:val="nil"/>
              <w:bottom w:val="single" w:sz="4" w:space="0" w:color="auto"/>
              <w:right w:val="nil"/>
            </w:tcBorders>
            <w:shd w:val="clear" w:color="auto" w:fill="auto"/>
            <w:hideMark/>
          </w:tcPr>
          <w:p w14:paraId="471C344B"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200F0AAC"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7C1931C3"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r>
      <w:tr w:rsidR="0032004C" w:rsidRPr="00B7675F" w14:paraId="4A790D7C"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3C47D47"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3407025B" w14:textId="6B503F77" w:rsidR="0032004C" w:rsidRPr="00736448" w:rsidRDefault="00E10A94" w:rsidP="00E10A94">
            <w:pPr>
              <w:spacing w:after="0" w:line="240" w:lineRule="auto"/>
              <w:rPr>
                <w:rFonts w:asciiTheme="majorHAnsi" w:eastAsia="Times New Roman" w:hAnsiTheme="majorHAnsi" w:cs="Times New Roman"/>
                <w:sz w:val="18"/>
                <w:szCs w:val="18"/>
                <w:lang w:val="ro-MD"/>
              </w:rPr>
            </w:pPr>
            <w:r>
              <w:rPr>
                <w:rFonts w:asciiTheme="majorHAnsi" w:eastAsia="Times New Roman" w:hAnsiTheme="majorHAnsi" w:cs="Times New Roman"/>
                <w:sz w:val="18"/>
                <w:szCs w:val="18"/>
                <w:lang w:val="ru-RU"/>
              </w:rPr>
              <w:t>Касса</w:t>
            </w:r>
            <w:r w:rsidR="0032004C" w:rsidRPr="00736448">
              <w:rPr>
                <w:rFonts w:asciiTheme="majorHAnsi" w:eastAsia="Times New Roman" w:hAnsiTheme="majorHAnsi" w:cs="Times New Roman"/>
                <w:sz w:val="18"/>
                <w:szCs w:val="18"/>
                <w:lang w:val="ro-MD"/>
              </w:rPr>
              <w:t xml:space="preserve"> (101)</w:t>
            </w:r>
          </w:p>
        </w:tc>
        <w:tc>
          <w:tcPr>
            <w:tcW w:w="993" w:type="dxa"/>
            <w:tcBorders>
              <w:top w:val="nil"/>
              <w:left w:val="nil"/>
              <w:bottom w:val="single" w:sz="4" w:space="0" w:color="auto"/>
              <w:right w:val="nil"/>
            </w:tcBorders>
            <w:shd w:val="clear" w:color="auto" w:fill="auto"/>
            <w:hideMark/>
          </w:tcPr>
          <w:p w14:paraId="0BF236AD"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w:t>
            </w:r>
          </w:p>
        </w:tc>
        <w:tc>
          <w:tcPr>
            <w:tcW w:w="1559" w:type="dxa"/>
            <w:tcBorders>
              <w:top w:val="nil"/>
              <w:left w:val="single" w:sz="4" w:space="0" w:color="auto"/>
              <w:bottom w:val="single" w:sz="4" w:space="0" w:color="auto"/>
              <w:right w:val="single" w:sz="4" w:space="0" w:color="auto"/>
            </w:tcBorders>
            <w:shd w:val="clear" w:color="auto" w:fill="auto"/>
            <w:hideMark/>
          </w:tcPr>
          <w:p w14:paraId="6628479D"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21911</w:t>
            </w:r>
          </w:p>
        </w:tc>
        <w:tc>
          <w:tcPr>
            <w:tcW w:w="1603" w:type="dxa"/>
            <w:tcBorders>
              <w:top w:val="nil"/>
              <w:left w:val="nil"/>
              <w:bottom w:val="single" w:sz="4" w:space="0" w:color="auto"/>
              <w:right w:val="single" w:sz="4" w:space="0" w:color="auto"/>
            </w:tcBorders>
            <w:shd w:val="clear" w:color="auto" w:fill="auto"/>
            <w:hideMark/>
          </w:tcPr>
          <w:p w14:paraId="325037CA"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3928</w:t>
            </w:r>
          </w:p>
        </w:tc>
      </w:tr>
      <w:tr w:rsidR="0032004C" w:rsidRPr="00B7675F" w14:paraId="26CD2D80"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2107245E"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2A0AE737" w14:textId="6324537E" w:rsidR="0032004C" w:rsidRPr="00736448" w:rsidRDefault="00E10A94" w:rsidP="00B372C7">
            <w:pPr>
              <w:spacing w:after="0" w:line="240" w:lineRule="auto"/>
              <w:rPr>
                <w:rFonts w:asciiTheme="majorHAnsi" w:eastAsia="Times New Roman" w:hAnsiTheme="majorHAnsi" w:cs="Times New Roman"/>
                <w:sz w:val="18"/>
                <w:szCs w:val="18"/>
                <w:lang w:val="ro-MD"/>
              </w:rPr>
            </w:pPr>
            <w:r w:rsidRPr="00E10A94">
              <w:rPr>
                <w:rFonts w:asciiTheme="majorHAnsi" w:eastAsia="Times New Roman" w:hAnsiTheme="majorHAnsi" w:cs="Times New Roman"/>
                <w:sz w:val="18"/>
                <w:szCs w:val="18"/>
                <w:lang w:val="ro-MD"/>
              </w:rPr>
              <w:t xml:space="preserve">Текущие счета в национальной валюте </w:t>
            </w:r>
            <w:r w:rsidR="0032004C" w:rsidRPr="00736448">
              <w:rPr>
                <w:rFonts w:asciiTheme="majorHAnsi" w:eastAsia="Times New Roman" w:hAnsiTheme="majorHAnsi" w:cs="Times New Roman"/>
                <w:sz w:val="18"/>
                <w:szCs w:val="18"/>
                <w:lang w:val="ro-MD"/>
              </w:rPr>
              <w:t>(102)</w:t>
            </w:r>
          </w:p>
        </w:tc>
        <w:tc>
          <w:tcPr>
            <w:tcW w:w="993" w:type="dxa"/>
            <w:tcBorders>
              <w:top w:val="nil"/>
              <w:left w:val="nil"/>
              <w:bottom w:val="single" w:sz="4" w:space="0" w:color="auto"/>
              <w:right w:val="nil"/>
            </w:tcBorders>
            <w:shd w:val="clear" w:color="auto" w:fill="auto"/>
            <w:hideMark/>
          </w:tcPr>
          <w:p w14:paraId="7F55043D"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w:t>
            </w:r>
          </w:p>
        </w:tc>
        <w:tc>
          <w:tcPr>
            <w:tcW w:w="1559" w:type="dxa"/>
            <w:tcBorders>
              <w:top w:val="nil"/>
              <w:left w:val="single" w:sz="4" w:space="0" w:color="auto"/>
              <w:bottom w:val="single" w:sz="4" w:space="0" w:color="auto"/>
              <w:right w:val="single" w:sz="4" w:space="0" w:color="auto"/>
            </w:tcBorders>
            <w:shd w:val="clear" w:color="auto" w:fill="auto"/>
            <w:hideMark/>
          </w:tcPr>
          <w:p w14:paraId="7B90A18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50807197</w:t>
            </w:r>
          </w:p>
        </w:tc>
        <w:tc>
          <w:tcPr>
            <w:tcW w:w="1603" w:type="dxa"/>
            <w:tcBorders>
              <w:top w:val="nil"/>
              <w:left w:val="nil"/>
              <w:bottom w:val="single" w:sz="4" w:space="0" w:color="auto"/>
              <w:right w:val="single" w:sz="4" w:space="0" w:color="auto"/>
            </w:tcBorders>
            <w:shd w:val="clear" w:color="auto" w:fill="auto"/>
            <w:hideMark/>
          </w:tcPr>
          <w:p w14:paraId="7690A9C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59924685</w:t>
            </w:r>
          </w:p>
        </w:tc>
      </w:tr>
      <w:tr w:rsidR="0032004C" w:rsidRPr="00B7675F" w14:paraId="0AAE424F"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28575FFE"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3B0A5A9B" w14:textId="09EA2BD9" w:rsidR="0032004C" w:rsidRPr="00736448" w:rsidRDefault="00E10A94" w:rsidP="00E10A94">
            <w:pPr>
              <w:spacing w:after="0" w:line="240" w:lineRule="auto"/>
              <w:rPr>
                <w:rFonts w:asciiTheme="majorHAnsi" w:eastAsia="Times New Roman" w:hAnsiTheme="majorHAnsi" w:cs="Times New Roman"/>
                <w:sz w:val="18"/>
                <w:szCs w:val="18"/>
                <w:lang w:val="ro-MD"/>
              </w:rPr>
            </w:pPr>
            <w:r w:rsidRPr="00E10A94">
              <w:rPr>
                <w:rFonts w:asciiTheme="majorHAnsi" w:eastAsia="Times New Roman" w:hAnsiTheme="majorHAnsi" w:cs="Times New Roman"/>
                <w:sz w:val="18"/>
                <w:szCs w:val="18"/>
                <w:lang w:val="ro-MD"/>
              </w:rPr>
              <w:t xml:space="preserve">Текущие счета в </w:t>
            </w:r>
            <w:r>
              <w:rPr>
                <w:rFonts w:asciiTheme="majorHAnsi" w:eastAsia="Times New Roman" w:hAnsiTheme="majorHAnsi" w:cs="Times New Roman"/>
                <w:sz w:val="18"/>
                <w:szCs w:val="18"/>
                <w:lang w:val="ru-RU"/>
              </w:rPr>
              <w:t>иностран</w:t>
            </w:r>
            <w:r w:rsidRPr="00E10A94">
              <w:rPr>
                <w:rFonts w:asciiTheme="majorHAnsi" w:eastAsia="Times New Roman" w:hAnsiTheme="majorHAnsi" w:cs="Times New Roman"/>
                <w:sz w:val="18"/>
                <w:szCs w:val="18"/>
                <w:lang w:val="ro-MD"/>
              </w:rPr>
              <w:t xml:space="preserve">ной валюте </w:t>
            </w:r>
            <w:r w:rsidR="0032004C" w:rsidRPr="00736448">
              <w:rPr>
                <w:rFonts w:asciiTheme="majorHAnsi" w:eastAsia="Times New Roman" w:hAnsiTheme="majorHAnsi" w:cs="Times New Roman"/>
                <w:sz w:val="18"/>
                <w:szCs w:val="18"/>
                <w:lang w:val="ro-MD"/>
              </w:rPr>
              <w:t>(103)</w:t>
            </w:r>
          </w:p>
        </w:tc>
        <w:tc>
          <w:tcPr>
            <w:tcW w:w="993" w:type="dxa"/>
            <w:tcBorders>
              <w:top w:val="nil"/>
              <w:left w:val="nil"/>
              <w:bottom w:val="single" w:sz="4" w:space="0" w:color="auto"/>
              <w:right w:val="nil"/>
            </w:tcBorders>
            <w:shd w:val="clear" w:color="auto" w:fill="auto"/>
            <w:hideMark/>
          </w:tcPr>
          <w:p w14:paraId="1742C327"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w:t>
            </w:r>
          </w:p>
        </w:tc>
        <w:tc>
          <w:tcPr>
            <w:tcW w:w="1559" w:type="dxa"/>
            <w:tcBorders>
              <w:top w:val="nil"/>
              <w:left w:val="single" w:sz="4" w:space="0" w:color="auto"/>
              <w:bottom w:val="single" w:sz="4" w:space="0" w:color="auto"/>
              <w:right w:val="single" w:sz="4" w:space="0" w:color="auto"/>
            </w:tcBorders>
            <w:shd w:val="clear" w:color="auto" w:fill="auto"/>
            <w:hideMark/>
          </w:tcPr>
          <w:p w14:paraId="774576A6"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376680</w:t>
            </w:r>
          </w:p>
        </w:tc>
        <w:tc>
          <w:tcPr>
            <w:tcW w:w="1603" w:type="dxa"/>
            <w:tcBorders>
              <w:top w:val="nil"/>
              <w:left w:val="nil"/>
              <w:bottom w:val="single" w:sz="4" w:space="0" w:color="auto"/>
              <w:right w:val="single" w:sz="4" w:space="0" w:color="auto"/>
            </w:tcBorders>
            <w:shd w:val="clear" w:color="auto" w:fill="auto"/>
            <w:hideMark/>
          </w:tcPr>
          <w:p w14:paraId="3EE5A315"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296389</w:t>
            </w:r>
          </w:p>
        </w:tc>
      </w:tr>
      <w:tr w:rsidR="0032004C" w:rsidRPr="00B7675F" w14:paraId="263E725F"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A3296D5"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61D143D1" w14:textId="31136F32" w:rsidR="0032004C" w:rsidRPr="00736448" w:rsidRDefault="00E10A94" w:rsidP="00B372C7">
            <w:pPr>
              <w:spacing w:after="0" w:line="240" w:lineRule="auto"/>
              <w:rPr>
                <w:rFonts w:asciiTheme="majorHAnsi" w:eastAsia="Times New Roman" w:hAnsiTheme="majorHAnsi" w:cs="Times New Roman"/>
                <w:sz w:val="18"/>
                <w:szCs w:val="18"/>
                <w:lang w:val="ro-MD"/>
              </w:rPr>
            </w:pPr>
            <w:r>
              <w:rPr>
                <w:rFonts w:asciiTheme="majorHAnsi" w:eastAsia="Times New Roman" w:hAnsiTheme="majorHAnsi" w:cs="Times New Roman"/>
                <w:sz w:val="18"/>
                <w:szCs w:val="18"/>
                <w:lang w:val="ru-RU"/>
              </w:rPr>
              <w:t>Другие денежные средства</w:t>
            </w:r>
            <w:r w:rsidR="0032004C" w:rsidRPr="00736448">
              <w:rPr>
                <w:rFonts w:asciiTheme="majorHAnsi" w:eastAsia="Times New Roman" w:hAnsiTheme="majorHAnsi" w:cs="Times New Roman"/>
                <w:sz w:val="18"/>
                <w:szCs w:val="18"/>
                <w:lang w:val="ro-MD"/>
              </w:rPr>
              <w:t xml:space="preserve"> (104+105+106)</w:t>
            </w:r>
          </w:p>
        </w:tc>
        <w:tc>
          <w:tcPr>
            <w:tcW w:w="993" w:type="dxa"/>
            <w:tcBorders>
              <w:top w:val="nil"/>
              <w:left w:val="nil"/>
              <w:bottom w:val="single" w:sz="4" w:space="0" w:color="auto"/>
              <w:right w:val="nil"/>
            </w:tcBorders>
            <w:shd w:val="clear" w:color="auto" w:fill="auto"/>
            <w:hideMark/>
          </w:tcPr>
          <w:p w14:paraId="34238BFB"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4</w:t>
            </w:r>
          </w:p>
        </w:tc>
        <w:tc>
          <w:tcPr>
            <w:tcW w:w="1559" w:type="dxa"/>
            <w:tcBorders>
              <w:top w:val="nil"/>
              <w:left w:val="single" w:sz="4" w:space="0" w:color="auto"/>
              <w:bottom w:val="single" w:sz="4" w:space="0" w:color="auto"/>
              <w:right w:val="single" w:sz="4" w:space="0" w:color="auto"/>
            </w:tcBorders>
            <w:shd w:val="clear" w:color="auto" w:fill="auto"/>
            <w:hideMark/>
          </w:tcPr>
          <w:p w14:paraId="52BDFAF8"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260381</w:t>
            </w:r>
          </w:p>
        </w:tc>
        <w:tc>
          <w:tcPr>
            <w:tcW w:w="1603" w:type="dxa"/>
            <w:tcBorders>
              <w:top w:val="nil"/>
              <w:left w:val="nil"/>
              <w:bottom w:val="single" w:sz="4" w:space="0" w:color="auto"/>
              <w:right w:val="single" w:sz="4" w:space="0" w:color="auto"/>
            </w:tcBorders>
            <w:shd w:val="clear" w:color="auto" w:fill="auto"/>
            <w:hideMark/>
          </w:tcPr>
          <w:p w14:paraId="5D51CD51"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12381</w:t>
            </w:r>
          </w:p>
        </w:tc>
      </w:tr>
      <w:tr w:rsidR="0032004C" w:rsidRPr="00B7675F" w14:paraId="4920CD01"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44B6671A"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249E19F4" w14:textId="43F0FB55" w:rsidR="0032004C" w:rsidRPr="00736448" w:rsidRDefault="00E10A94" w:rsidP="00B372C7">
            <w:pPr>
              <w:spacing w:after="0" w:line="240" w:lineRule="auto"/>
              <w:rPr>
                <w:rFonts w:asciiTheme="majorHAnsi" w:eastAsia="Times New Roman" w:hAnsiTheme="majorHAnsi" w:cs="Times New Roman"/>
                <w:b/>
                <w:bCs/>
                <w:sz w:val="18"/>
                <w:szCs w:val="18"/>
                <w:lang w:val="ro-MD"/>
              </w:rPr>
            </w:pPr>
            <w:r w:rsidRPr="00E10A94">
              <w:rPr>
                <w:rFonts w:asciiTheme="majorHAnsi" w:eastAsia="Times New Roman" w:hAnsiTheme="majorHAnsi" w:cs="Times New Roman"/>
                <w:b/>
                <w:bCs/>
                <w:sz w:val="18"/>
                <w:szCs w:val="18"/>
                <w:lang w:val="ro-MD"/>
              </w:rPr>
              <w:t>Всего</w:t>
            </w:r>
            <w:r w:rsidR="0032004C" w:rsidRPr="00736448">
              <w:rPr>
                <w:rFonts w:asciiTheme="majorHAnsi" w:eastAsia="Times New Roman" w:hAnsiTheme="majorHAnsi" w:cs="Times New Roman"/>
                <w:b/>
                <w:bCs/>
                <w:sz w:val="18"/>
                <w:szCs w:val="18"/>
                <w:lang w:val="ro-MD"/>
              </w:rPr>
              <w:t xml:space="preserve"> s.1.1  (rd.01+rd.02+rd.03+rd.04)</w:t>
            </w:r>
          </w:p>
        </w:tc>
        <w:tc>
          <w:tcPr>
            <w:tcW w:w="993" w:type="dxa"/>
            <w:tcBorders>
              <w:top w:val="nil"/>
              <w:left w:val="nil"/>
              <w:bottom w:val="single" w:sz="4" w:space="0" w:color="auto"/>
              <w:right w:val="nil"/>
            </w:tcBorders>
            <w:shd w:val="clear" w:color="auto" w:fill="auto"/>
            <w:hideMark/>
          </w:tcPr>
          <w:p w14:paraId="60566062"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5</w:t>
            </w:r>
          </w:p>
        </w:tc>
        <w:tc>
          <w:tcPr>
            <w:tcW w:w="1559" w:type="dxa"/>
            <w:tcBorders>
              <w:top w:val="nil"/>
              <w:left w:val="single" w:sz="4" w:space="0" w:color="auto"/>
              <w:bottom w:val="single" w:sz="4" w:space="0" w:color="auto"/>
              <w:right w:val="single" w:sz="4" w:space="0" w:color="auto"/>
            </w:tcBorders>
            <w:shd w:val="clear" w:color="auto" w:fill="auto"/>
            <w:hideMark/>
          </w:tcPr>
          <w:p w14:paraId="6CBC7906"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51466169</w:t>
            </w:r>
          </w:p>
        </w:tc>
        <w:tc>
          <w:tcPr>
            <w:tcW w:w="1603" w:type="dxa"/>
            <w:tcBorders>
              <w:top w:val="nil"/>
              <w:left w:val="nil"/>
              <w:bottom w:val="single" w:sz="4" w:space="0" w:color="auto"/>
              <w:right w:val="single" w:sz="4" w:space="0" w:color="auto"/>
            </w:tcBorders>
            <w:shd w:val="clear" w:color="auto" w:fill="auto"/>
            <w:hideMark/>
          </w:tcPr>
          <w:p w14:paraId="157BCAD3"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60237383</w:t>
            </w:r>
          </w:p>
        </w:tc>
      </w:tr>
      <w:tr w:rsidR="0032004C" w:rsidRPr="00B7675F" w14:paraId="626DA2BF"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0A657CBA"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1.2</w:t>
            </w:r>
          </w:p>
        </w:tc>
        <w:tc>
          <w:tcPr>
            <w:tcW w:w="4924" w:type="dxa"/>
            <w:tcBorders>
              <w:top w:val="nil"/>
              <w:left w:val="nil"/>
              <w:bottom w:val="single" w:sz="4" w:space="0" w:color="auto"/>
              <w:right w:val="single" w:sz="4" w:space="0" w:color="auto"/>
            </w:tcBorders>
            <w:shd w:val="clear" w:color="auto" w:fill="auto"/>
            <w:hideMark/>
          </w:tcPr>
          <w:p w14:paraId="726EAB7B" w14:textId="76659392" w:rsidR="0032004C" w:rsidRPr="00736448" w:rsidRDefault="00E10A94" w:rsidP="00B372C7">
            <w:pPr>
              <w:spacing w:after="0" w:line="240" w:lineRule="auto"/>
              <w:rPr>
                <w:rFonts w:asciiTheme="majorHAnsi" w:eastAsia="Times New Roman" w:hAnsiTheme="majorHAnsi" w:cs="Times New Roman"/>
                <w:b/>
                <w:bCs/>
                <w:sz w:val="18"/>
                <w:szCs w:val="18"/>
                <w:lang w:val="ro-MD"/>
              </w:rPr>
            </w:pPr>
            <w:r w:rsidRPr="00E10A94">
              <w:rPr>
                <w:rFonts w:asciiTheme="majorHAnsi" w:eastAsia="Times New Roman" w:hAnsiTheme="majorHAnsi" w:cs="Times New Roman"/>
                <w:b/>
                <w:bCs/>
                <w:sz w:val="18"/>
                <w:szCs w:val="18"/>
                <w:lang w:val="ro-MD"/>
              </w:rPr>
              <w:t>Краткосрочные обязательства</w:t>
            </w:r>
          </w:p>
        </w:tc>
        <w:tc>
          <w:tcPr>
            <w:tcW w:w="993" w:type="dxa"/>
            <w:tcBorders>
              <w:top w:val="nil"/>
              <w:left w:val="nil"/>
              <w:bottom w:val="single" w:sz="4" w:space="0" w:color="auto"/>
              <w:right w:val="nil"/>
            </w:tcBorders>
            <w:shd w:val="clear" w:color="auto" w:fill="auto"/>
            <w:hideMark/>
          </w:tcPr>
          <w:p w14:paraId="1AB58B91"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41B7F325"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48F7B87E"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3B6981A6"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23096596"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3A8AEA0F" w14:textId="10C1BD82" w:rsidR="0032004C" w:rsidRPr="00736448" w:rsidRDefault="00E10A94" w:rsidP="00B372C7">
            <w:pPr>
              <w:spacing w:after="0" w:line="240" w:lineRule="auto"/>
              <w:rPr>
                <w:rFonts w:asciiTheme="majorHAnsi" w:eastAsia="Times New Roman" w:hAnsiTheme="majorHAnsi" w:cs="Times New Roman"/>
                <w:sz w:val="18"/>
                <w:szCs w:val="18"/>
                <w:lang w:val="ro-MD"/>
              </w:rPr>
            </w:pPr>
            <w:r w:rsidRPr="00E10A94">
              <w:rPr>
                <w:rFonts w:asciiTheme="majorHAnsi" w:eastAsia="Times New Roman" w:hAnsiTheme="majorHAnsi" w:cs="Times New Roman"/>
                <w:sz w:val="18"/>
                <w:szCs w:val="18"/>
                <w:lang w:val="ro-MD"/>
              </w:rPr>
              <w:t xml:space="preserve">Краткосрочные обязательства по обязательным взносам государственного социального страхования </w:t>
            </w:r>
            <w:r w:rsidR="0032004C" w:rsidRPr="00736448">
              <w:rPr>
                <w:rFonts w:asciiTheme="majorHAnsi" w:eastAsia="Times New Roman" w:hAnsiTheme="majorHAnsi" w:cs="Times New Roman"/>
                <w:sz w:val="18"/>
                <w:szCs w:val="18"/>
                <w:lang w:val="ro-MD"/>
              </w:rPr>
              <w:t>(111)</w:t>
            </w:r>
          </w:p>
        </w:tc>
        <w:tc>
          <w:tcPr>
            <w:tcW w:w="993" w:type="dxa"/>
            <w:tcBorders>
              <w:top w:val="nil"/>
              <w:left w:val="nil"/>
              <w:bottom w:val="single" w:sz="4" w:space="0" w:color="auto"/>
              <w:right w:val="nil"/>
            </w:tcBorders>
            <w:shd w:val="clear" w:color="auto" w:fill="auto"/>
            <w:hideMark/>
          </w:tcPr>
          <w:p w14:paraId="7E420E9F"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w:t>
            </w:r>
          </w:p>
        </w:tc>
        <w:tc>
          <w:tcPr>
            <w:tcW w:w="1559" w:type="dxa"/>
            <w:tcBorders>
              <w:top w:val="nil"/>
              <w:left w:val="single" w:sz="4" w:space="0" w:color="auto"/>
              <w:bottom w:val="single" w:sz="4" w:space="0" w:color="auto"/>
              <w:right w:val="single" w:sz="4" w:space="0" w:color="auto"/>
            </w:tcBorders>
            <w:shd w:val="clear" w:color="auto" w:fill="auto"/>
            <w:hideMark/>
          </w:tcPr>
          <w:p w14:paraId="4737ED69"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1801201526</w:t>
            </w:r>
          </w:p>
        </w:tc>
        <w:tc>
          <w:tcPr>
            <w:tcW w:w="1603" w:type="dxa"/>
            <w:tcBorders>
              <w:top w:val="nil"/>
              <w:left w:val="nil"/>
              <w:bottom w:val="single" w:sz="4" w:space="0" w:color="auto"/>
              <w:right w:val="single" w:sz="4" w:space="0" w:color="auto"/>
            </w:tcBorders>
            <w:shd w:val="clear" w:color="auto" w:fill="auto"/>
            <w:hideMark/>
          </w:tcPr>
          <w:p w14:paraId="479BB487"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1580486673</w:t>
            </w:r>
          </w:p>
        </w:tc>
      </w:tr>
      <w:tr w:rsidR="0032004C" w:rsidRPr="00B7675F" w14:paraId="513D4863"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99F98A4"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5AAFB587" w14:textId="78BDC8F6" w:rsidR="0032004C" w:rsidRPr="00736448" w:rsidRDefault="00E10A94" w:rsidP="00E10A94">
            <w:pPr>
              <w:spacing w:after="0" w:line="240" w:lineRule="auto"/>
              <w:rPr>
                <w:rFonts w:asciiTheme="majorHAnsi" w:eastAsia="Times New Roman" w:hAnsiTheme="majorHAnsi" w:cs="Times New Roman"/>
                <w:sz w:val="18"/>
                <w:szCs w:val="18"/>
                <w:lang w:val="ro-MD"/>
              </w:rPr>
            </w:pPr>
            <w:r>
              <w:rPr>
                <w:rFonts w:asciiTheme="majorHAnsi" w:eastAsia="Times New Roman" w:hAnsiTheme="majorHAnsi" w:cs="Times New Roman"/>
                <w:sz w:val="18"/>
                <w:szCs w:val="18"/>
                <w:lang w:val="ro-MD"/>
              </w:rPr>
              <w:t>Краткосрочные обязательства по</w:t>
            </w:r>
            <w:r>
              <w:rPr>
                <w:rFonts w:asciiTheme="majorHAnsi" w:eastAsia="Times New Roman" w:hAnsiTheme="majorHAnsi" w:cs="Times New Roman"/>
                <w:sz w:val="18"/>
                <w:szCs w:val="18"/>
                <w:lang w:val="ru-RU"/>
              </w:rPr>
              <w:t xml:space="preserve"> штрафам и санкциям</w:t>
            </w:r>
            <w:r w:rsidR="0032004C" w:rsidRPr="00736448">
              <w:rPr>
                <w:rFonts w:asciiTheme="majorHAnsi" w:eastAsia="Times New Roman" w:hAnsiTheme="majorHAnsi" w:cs="Times New Roman"/>
                <w:sz w:val="18"/>
                <w:szCs w:val="18"/>
                <w:lang w:val="ro-MD"/>
              </w:rPr>
              <w:t xml:space="preserve"> (112)</w:t>
            </w:r>
          </w:p>
        </w:tc>
        <w:tc>
          <w:tcPr>
            <w:tcW w:w="993" w:type="dxa"/>
            <w:tcBorders>
              <w:top w:val="nil"/>
              <w:left w:val="nil"/>
              <w:bottom w:val="single" w:sz="4" w:space="0" w:color="auto"/>
              <w:right w:val="nil"/>
            </w:tcBorders>
            <w:shd w:val="clear" w:color="auto" w:fill="auto"/>
            <w:hideMark/>
          </w:tcPr>
          <w:p w14:paraId="21D3CFBD"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7</w:t>
            </w:r>
          </w:p>
        </w:tc>
        <w:tc>
          <w:tcPr>
            <w:tcW w:w="1559" w:type="dxa"/>
            <w:tcBorders>
              <w:top w:val="nil"/>
              <w:left w:val="single" w:sz="4" w:space="0" w:color="auto"/>
              <w:bottom w:val="single" w:sz="4" w:space="0" w:color="auto"/>
              <w:right w:val="single" w:sz="4" w:space="0" w:color="auto"/>
            </w:tcBorders>
            <w:shd w:val="clear" w:color="auto" w:fill="auto"/>
            <w:hideMark/>
          </w:tcPr>
          <w:p w14:paraId="55D55B61"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370534704</w:t>
            </w:r>
          </w:p>
        </w:tc>
        <w:tc>
          <w:tcPr>
            <w:tcW w:w="1603" w:type="dxa"/>
            <w:tcBorders>
              <w:top w:val="nil"/>
              <w:left w:val="nil"/>
              <w:bottom w:val="single" w:sz="4" w:space="0" w:color="auto"/>
              <w:right w:val="single" w:sz="4" w:space="0" w:color="auto"/>
            </w:tcBorders>
            <w:shd w:val="clear" w:color="auto" w:fill="auto"/>
            <w:hideMark/>
          </w:tcPr>
          <w:p w14:paraId="751F6A48"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362899405</w:t>
            </w:r>
          </w:p>
        </w:tc>
      </w:tr>
      <w:tr w:rsidR="0032004C" w:rsidRPr="00B7675F" w14:paraId="7A26FADA"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370EDE19"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506B40A5" w14:textId="11C08FBD" w:rsidR="0032004C" w:rsidRPr="00736448" w:rsidRDefault="00E10A94" w:rsidP="00E10A94">
            <w:pPr>
              <w:spacing w:after="0" w:line="240" w:lineRule="auto"/>
              <w:rPr>
                <w:rFonts w:asciiTheme="majorHAnsi" w:eastAsia="Times New Roman" w:hAnsiTheme="majorHAnsi" w:cs="Times New Roman"/>
                <w:sz w:val="18"/>
                <w:szCs w:val="18"/>
                <w:lang w:val="ro-MD"/>
              </w:rPr>
            </w:pPr>
            <w:r>
              <w:rPr>
                <w:rFonts w:asciiTheme="majorHAnsi" w:eastAsia="Times New Roman" w:hAnsiTheme="majorHAnsi" w:cs="Times New Roman"/>
                <w:sz w:val="18"/>
                <w:szCs w:val="18"/>
                <w:lang w:val="ro-MD"/>
              </w:rPr>
              <w:t xml:space="preserve">Краткосрочные обязательства </w:t>
            </w:r>
            <w:r>
              <w:rPr>
                <w:rFonts w:asciiTheme="majorHAnsi" w:eastAsia="Times New Roman" w:hAnsiTheme="majorHAnsi" w:cs="Times New Roman"/>
                <w:sz w:val="18"/>
                <w:szCs w:val="18"/>
                <w:lang w:val="ru-RU"/>
              </w:rPr>
              <w:t>государственного бюджета</w:t>
            </w:r>
            <w:r w:rsidR="0032004C" w:rsidRPr="00736448">
              <w:rPr>
                <w:rFonts w:asciiTheme="majorHAnsi" w:eastAsia="Times New Roman" w:hAnsiTheme="majorHAnsi" w:cs="Times New Roman"/>
                <w:sz w:val="18"/>
                <w:szCs w:val="18"/>
                <w:lang w:val="ro-MD"/>
              </w:rPr>
              <w:t xml:space="preserve"> (114)</w:t>
            </w:r>
          </w:p>
        </w:tc>
        <w:tc>
          <w:tcPr>
            <w:tcW w:w="993" w:type="dxa"/>
            <w:tcBorders>
              <w:top w:val="nil"/>
              <w:left w:val="nil"/>
              <w:bottom w:val="single" w:sz="4" w:space="0" w:color="auto"/>
              <w:right w:val="nil"/>
            </w:tcBorders>
            <w:shd w:val="clear" w:color="auto" w:fill="auto"/>
            <w:hideMark/>
          </w:tcPr>
          <w:p w14:paraId="3D9BD26F"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9</w:t>
            </w:r>
          </w:p>
        </w:tc>
        <w:tc>
          <w:tcPr>
            <w:tcW w:w="1559" w:type="dxa"/>
            <w:tcBorders>
              <w:top w:val="nil"/>
              <w:left w:val="single" w:sz="4" w:space="0" w:color="auto"/>
              <w:bottom w:val="single" w:sz="4" w:space="0" w:color="auto"/>
              <w:right w:val="single" w:sz="4" w:space="0" w:color="auto"/>
            </w:tcBorders>
            <w:shd w:val="clear" w:color="auto" w:fill="auto"/>
            <w:hideMark/>
          </w:tcPr>
          <w:p w14:paraId="1DE4B3A9"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18532193</w:t>
            </w:r>
          </w:p>
        </w:tc>
        <w:tc>
          <w:tcPr>
            <w:tcW w:w="1603" w:type="dxa"/>
            <w:tcBorders>
              <w:top w:val="nil"/>
              <w:left w:val="nil"/>
              <w:bottom w:val="single" w:sz="4" w:space="0" w:color="auto"/>
              <w:right w:val="single" w:sz="4" w:space="0" w:color="auto"/>
            </w:tcBorders>
            <w:shd w:val="clear" w:color="auto" w:fill="auto"/>
            <w:hideMark/>
          </w:tcPr>
          <w:p w14:paraId="69CD0ADF"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26289584</w:t>
            </w:r>
          </w:p>
        </w:tc>
      </w:tr>
      <w:tr w:rsidR="0032004C" w:rsidRPr="00B7675F" w14:paraId="41B7F425"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44728856"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78E530EB" w14:textId="57780984" w:rsidR="0032004C" w:rsidRPr="00736448" w:rsidRDefault="00E10A94" w:rsidP="00E10A94">
            <w:pPr>
              <w:spacing w:after="0" w:line="240" w:lineRule="auto"/>
              <w:rPr>
                <w:rFonts w:asciiTheme="majorHAnsi" w:eastAsia="Times New Roman" w:hAnsiTheme="majorHAnsi" w:cs="Times New Roman"/>
                <w:sz w:val="18"/>
                <w:szCs w:val="18"/>
                <w:lang w:val="ro-MD"/>
              </w:rPr>
            </w:pPr>
            <w:r>
              <w:rPr>
                <w:rFonts w:asciiTheme="majorHAnsi" w:eastAsia="Times New Roman" w:hAnsiTheme="majorHAnsi" w:cs="Times New Roman"/>
                <w:sz w:val="18"/>
                <w:szCs w:val="18"/>
                <w:lang w:val="ro-MD"/>
              </w:rPr>
              <w:t xml:space="preserve">Краткосрочные обязательства </w:t>
            </w:r>
            <w:r>
              <w:rPr>
                <w:rFonts w:asciiTheme="majorHAnsi" w:eastAsia="Times New Roman" w:hAnsiTheme="majorHAnsi" w:cs="Times New Roman"/>
                <w:sz w:val="18"/>
                <w:szCs w:val="18"/>
                <w:lang w:val="ru-RU"/>
              </w:rPr>
              <w:t>распределителей пособий</w:t>
            </w:r>
            <w:r w:rsidR="0032004C" w:rsidRPr="00736448">
              <w:rPr>
                <w:rFonts w:asciiTheme="majorHAnsi" w:eastAsia="Times New Roman" w:hAnsiTheme="majorHAnsi" w:cs="Times New Roman"/>
                <w:sz w:val="18"/>
                <w:szCs w:val="18"/>
                <w:lang w:val="ro-MD"/>
              </w:rPr>
              <w:t xml:space="preserve"> (115)</w:t>
            </w:r>
          </w:p>
        </w:tc>
        <w:tc>
          <w:tcPr>
            <w:tcW w:w="993" w:type="dxa"/>
            <w:tcBorders>
              <w:top w:val="nil"/>
              <w:left w:val="nil"/>
              <w:bottom w:val="single" w:sz="4" w:space="0" w:color="auto"/>
              <w:right w:val="nil"/>
            </w:tcBorders>
            <w:shd w:val="clear" w:color="auto" w:fill="auto"/>
            <w:hideMark/>
          </w:tcPr>
          <w:p w14:paraId="0B9293DF"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10</w:t>
            </w:r>
          </w:p>
        </w:tc>
        <w:tc>
          <w:tcPr>
            <w:tcW w:w="1559" w:type="dxa"/>
            <w:tcBorders>
              <w:top w:val="nil"/>
              <w:left w:val="single" w:sz="4" w:space="0" w:color="auto"/>
              <w:bottom w:val="single" w:sz="4" w:space="0" w:color="auto"/>
              <w:right w:val="single" w:sz="4" w:space="0" w:color="auto"/>
            </w:tcBorders>
            <w:shd w:val="clear" w:color="auto" w:fill="auto"/>
            <w:hideMark/>
          </w:tcPr>
          <w:p w14:paraId="113F8617"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72993226</w:t>
            </w:r>
          </w:p>
        </w:tc>
        <w:tc>
          <w:tcPr>
            <w:tcW w:w="1603" w:type="dxa"/>
            <w:tcBorders>
              <w:top w:val="nil"/>
              <w:left w:val="nil"/>
              <w:bottom w:val="single" w:sz="4" w:space="0" w:color="auto"/>
              <w:right w:val="single" w:sz="4" w:space="0" w:color="auto"/>
            </w:tcBorders>
            <w:shd w:val="clear" w:color="auto" w:fill="auto"/>
            <w:hideMark/>
          </w:tcPr>
          <w:p w14:paraId="4D07DD0C"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73002359</w:t>
            </w:r>
          </w:p>
        </w:tc>
      </w:tr>
      <w:tr w:rsidR="0032004C" w:rsidRPr="00B7675F" w14:paraId="2DFB5E6C"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491E00AA"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1F0C4FB4" w14:textId="5B91CB9C" w:rsidR="0032004C" w:rsidRPr="00736448" w:rsidRDefault="00E10A94" w:rsidP="00E10A94">
            <w:pPr>
              <w:spacing w:after="0" w:line="240" w:lineRule="auto"/>
              <w:rPr>
                <w:rFonts w:asciiTheme="majorHAnsi" w:eastAsia="Times New Roman" w:hAnsiTheme="majorHAnsi" w:cs="Times New Roman"/>
                <w:sz w:val="18"/>
                <w:szCs w:val="18"/>
                <w:lang w:val="ro-MD"/>
              </w:rPr>
            </w:pPr>
            <w:r>
              <w:rPr>
                <w:rFonts w:asciiTheme="majorHAnsi" w:eastAsia="Times New Roman" w:hAnsiTheme="majorHAnsi" w:cs="Times New Roman"/>
                <w:sz w:val="18"/>
                <w:szCs w:val="18"/>
                <w:lang w:val="ro-MD"/>
              </w:rPr>
              <w:t>Краткосрочные обязательства по</w:t>
            </w:r>
            <w:r>
              <w:rPr>
                <w:rFonts w:asciiTheme="majorHAnsi" w:eastAsia="Times New Roman" w:hAnsiTheme="majorHAnsi" w:cs="Times New Roman"/>
                <w:sz w:val="18"/>
                <w:szCs w:val="18"/>
                <w:lang w:val="ru-RU"/>
              </w:rPr>
              <w:t xml:space="preserve"> начисленным доходам</w:t>
            </w:r>
            <w:r w:rsidR="0032004C" w:rsidRPr="00736448">
              <w:rPr>
                <w:rFonts w:asciiTheme="majorHAnsi" w:eastAsia="Times New Roman" w:hAnsiTheme="majorHAnsi" w:cs="Times New Roman"/>
                <w:sz w:val="18"/>
                <w:szCs w:val="18"/>
                <w:lang w:val="ro-MD"/>
              </w:rPr>
              <w:t>(116)</w:t>
            </w:r>
          </w:p>
        </w:tc>
        <w:tc>
          <w:tcPr>
            <w:tcW w:w="993" w:type="dxa"/>
            <w:tcBorders>
              <w:top w:val="nil"/>
              <w:left w:val="nil"/>
              <w:bottom w:val="single" w:sz="4" w:space="0" w:color="auto"/>
              <w:right w:val="nil"/>
            </w:tcBorders>
            <w:shd w:val="clear" w:color="auto" w:fill="auto"/>
            <w:hideMark/>
          </w:tcPr>
          <w:p w14:paraId="365A6CFB"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11</w:t>
            </w:r>
          </w:p>
        </w:tc>
        <w:tc>
          <w:tcPr>
            <w:tcW w:w="1559" w:type="dxa"/>
            <w:tcBorders>
              <w:top w:val="nil"/>
              <w:left w:val="single" w:sz="4" w:space="0" w:color="auto"/>
              <w:bottom w:val="single" w:sz="4" w:space="0" w:color="auto"/>
              <w:right w:val="single" w:sz="4" w:space="0" w:color="auto"/>
            </w:tcBorders>
            <w:shd w:val="clear" w:color="auto" w:fill="auto"/>
            <w:hideMark/>
          </w:tcPr>
          <w:p w14:paraId="4613A2B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-2648709</w:t>
            </w:r>
          </w:p>
        </w:tc>
        <w:tc>
          <w:tcPr>
            <w:tcW w:w="1603" w:type="dxa"/>
            <w:tcBorders>
              <w:top w:val="nil"/>
              <w:left w:val="nil"/>
              <w:bottom w:val="single" w:sz="4" w:space="0" w:color="auto"/>
              <w:right w:val="single" w:sz="4" w:space="0" w:color="auto"/>
            </w:tcBorders>
            <w:shd w:val="clear" w:color="auto" w:fill="auto"/>
            <w:hideMark/>
          </w:tcPr>
          <w:p w14:paraId="7A551B0B"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-1989205</w:t>
            </w:r>
          </w:p>
        </w:tc>
      </w:tr>
      <w:tr w:rsidR="0032004C" w:rsidRPr="00B7675F" w14:paraId="1FDBFE2F"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1F621E97"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123C5A07" w14:textId="543DB1C8" w:rsidR="0032004C" w:rsidRPr="00736448" w:rsidRDefault="00E10A94" w:rsidP="00E10A94">
            <w:pPr>
              <w:spacing w:after="0" w:line="240" w:lineRule="auto"/>
              <w:rPr>
                <w:rFonts w:asciiTheme="majorHAnsi" w:eastAsia="Times New Roman" w:hAnsiTheme="majorHAnsi" w:cs="Times New Roman"/>
                <w:sz w:val="18"/>
                <w:szCs w:val="18"/>
                <w:lang w:val="ro-MD"/>
              </w:rPr>
            </w:pPr>
            <w:r>
              <w:rPr>
                <w:rFonts w:asciiTheme="majorHAnsi" w:eastAsia="Times New Roman" w:hAnsiTheme="majorHAnsi" w:cs="Times New Roman"/>
                <w:sz w:val="18"/>
                <w:szCs w:val="18"/>
                <w:lang w:val="ru-RU"/>
              </w:rPr>
              <w:t>Прочие к</w:t>
            </w:r>
            <w:r>
              <w:rPr>
                <w:rFonts w:asciiTheme="majorHAnsi" w:eastAsia="Times New Roman" w:hAnsiTheme="majorHAnsi" w:cs="Times New Roman"/>
                <w:sz w:val="18"/>
                <w:szCs w:val="18"/>
                <w:lang w:val="ro-MD"/>
              </w:rPr>
              <w:t xml:space="preserve">раткосрочные обязательства </w:t>
            </w:r>
            <w:r w:rsidR="0032004C" w:rsidRPr="00736448">
              <w:rPr>
                <w:rFonts w:asciiTheme="majorHAnsi" w:eastAsia="Times New Roman" w:hAnsiTheme="majorHAnsi" w:cs="Times New Roman"/>
                <w:sz w:val="18"/>
                <w:szCs w:val="18"/>
                <w:lang w:val="ro-MD"/>
              </w:rPr>
              <w:t>(117)</w:t>
            </w:r>
          </w:p>
        </w:tc>
        <w:tc>
          <w:tcPr>
            <w:tcW w:w="993" w:type="dxa"/>
            <w:tcBorders>
              <w:top w:val="nil"/>
              <w:left w:val="nil"/>
              <w:bottom w:val="single" w:sz="4" w:space="0" w:color="auto"/>
              <w:right w:val="nil"/>
            </w:tcBorders>
            <w:shd w:val="clear" w:color="auto" w:fill="auto"/>
            <w:hideMark/>
          </w:tcPr>
          <w:p w14:paraId="305689D9"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12</w:t>
            </w:r>
          </w:p>
        </w:tc>
        <w:tc>
          <w:tcPr>
            <w:tcW w:w="1559" w:type="dxa"/>
            <w:tcBorders>
              <w:top w:val="nil"/>
              <w:left w:val="single" w:sz="4" w:space="0" w:color="auto"/>
              <w:bottom w:val="single" w:sz="4" w:space="0" w:color="auto"/>
              <w:right w:val="single" w:sz="4" w:space="0" w:color="auto"/>
            </w:tcBorders>
            <w:shd w:val="clear" w:color="auto" w:fill="auto"/>
            <w:hideMark/>
          </w:tcPr>
          <w:p w14:paraId="02F3125E"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63711140</w:t>
            </w:r>
          </w:p>
        </w:tc>
        <w:tc>
          <w:tcPr>
            <w:tcW w:w="1603" w:type="dxa"/>
            <w:tcBorders>
              <w:top w:val="nil"/>
              <w:left w:val="nil"/>
              <w:bottom w:val="single" w:sz="4" w:space="0" w:color="auto"/>
              <w:right w:val="single" w:sz="4" w:space="0" w:color="auto"/>
            </w:tcBorders>
            <w:shd w:val="clear" w:color="auto" w:fill="auto"/>
            <w:hideMark/>
          </w:tcPr>
          <w:p w14:paraId="42144D08"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68624719</w:t>
            </w:r>
          </w:p>
        </w:tc>
      </w:tr>
      <w:tr w:rsidR="0032004C" w:rsidRPr="00B7675F" w14:paraId="00AB1486"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5B3061F"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4FFEC42E" w14:textId="50213BBA" w:rsidR="0032004C" w:rsidRPr="00736448" w:rsidRDefault="00E10A94" w:rsidP="00B372C7">
            <w:pPr>
              <w:spacing w:after="0" w:line="240" w:lineRule="auto"/>
              <w:rPr>
                <w:rFonts w:asciiTheme="majorHAnsi" w:eastAsia="Times New Roman" w:hAnsiTheme="majorHAnsi" w:cs="Times New Roman"/>
                <w:sz w:val="18"/>
                <w:szCs w:val="18"/>
                <w:lang w:val="ro-MD"/>
              </w:rPr>
            </w:pPr>
            <w:r w:rsidRPr="00E10A94">
              <w:rPr>
                <w:rFonts w:asciiTheme="majorHAnsi" w:eastAsia="Times New Roman" w:hAnsiTheme="majorHAnsi" w:cs="Times New Roman"/>
                <w:sz w:val="18"/>
                <w:szCs w:val="18"/>
                <w:lang w:val="ro-MD"/>
              </w:rPr>
              <w:t>Исправления сомнительных долгов</w:t>
            </w:r>
            <w:r w:rsidR="0032004C" w:rsidRPr="00736448">
              <w:rPr>
                <w:rFonts w:asciiTheme="majorHAnsi" w:eastAsia="Times New Roman" w:hAnsiTheme="majorHAnsi" w:cs="Times New Roman"/>
                <w:sz w:val="18"/>
                <w:szCs w:val="18"/>
                <w:lang w:val="ro-MD"/>
              </w:rPr>
              <w:t xml:space="preserve"> (-) (118)</w:t>
            </w:r>
          </w:p>
        </w:tc>
        <w:tc>
          <w:tcPr>
            <w:tcW w:w="993" w:type="dxa"/>
            <w:tcBorders>
              <w:top w:val="nil"/>
              <w:left w:val="nil"/>
              <w:bottom w:val="single" w:sz="4" w:space="0" w:color="auto"/>
              <w:right w:val="nil"/>
            </w:tcBorders>
            <w:shd w:val="clear" w:color="auto" w:fill="auto"/>
            <w:hideMark/>
          </w:tcPr>
          <w:p w14:paraId="7BB8E848"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13</w:t>
            </w:r>
          </w:p>
        </w:tc>
        <w:tc>
          <w:tcPr>
            <w:tcW w:w="1559" w:type="dxa"/>
            <w:tcBorders>
              <w:top w:val="nil"/>
              <w:left w:val="single" w:sz="4" w:space="0" w:color="auto"/>
              <w:bottom w:val="single" w:sz="4" w:space="0" w:color="auto"/>
              <w:right w:val="single" w:sz="4" w:space="0" w:color="auto"/>
            </w:tcBorders>
            <w:shd w:val="clear" w:color="auto" w:fill="auto"/>
            <w:hideMark/>
          </w:tcPr>
          <w:p w14:paraId="7FB40E9C"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39A16BA3"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305F6A7F"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3E3F1705"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1562F974" w14:textId="0F16594A" w:rsidR="0032004C" w:rsidRPr="00736448" w:rsidRDefault="00E10A94" w:rsidP="00B372C7">
            <w:pPr>
              <w:spacing w:after="0" w:line="240" w:lineRule="auto"/>
              <w:rPr>
                <w:rFonts w:asciiTheme="majorHAnsi" w:eastAsia="Times New Roman" w:hAnsiTheme="majorHAnsi" w:cs="Times New Roman"/>
                <w:b/>
                <w:bCs/>
                <w:sz w:val="18"/>
                <w:szCs w:val="18"/>
                <w:lang w:val="ro-MD"/>
              </w:rPr>
            </w:pPr>
            <w:r w:rsidRPr="00E10A94">
              <w:rPr>
                <w:rFonts w:asciiTheme="majorHAnsi" w:eastAsia="Times New Roman" w:hAnsiTheme="majorHAnsi" w:cs="Times New Roman"/>
                <w:b/>
                <w:bCs/>
                <w:sz w:val="18"/>
                <w:szCs w:val="18"/>
                <w:lang w:val="ro-MD"/>
              </w:rPr>
              <w:t>Всего</w:t>
            </w:r>
            <w:r w:rsidR="0032004C" w:rsidRPr="00736448">
              <w:rPr>
                <w:rFonts w:asciiTheme="majorHAnsi" w:eastAsia="Times New Roman" w:hAnsiTheme="majorHAnsi" w:cs="Times New Roman"/>
                <w:b/>
                <w:bCs/>
                <w:sz w:val="18"/>
                <w:szCs w:val="18"/>
                <w:lang w:val="ro-MD"/>
              </w:rPr>
              <w:t>s.1.2  (rd.06+rd.07+rd.08+rd.09+rd.10+rd.11+rd.12-rd.13)</w:t>
            </w:r>
          </w:p>
        </w:tc>
        <w:tc>
          <w:tcPr>
            <w:tcW w:w="993" w:type="dxa"/>
            <w:tcBorders>
              <w:top w:val="nil"/>
              <w:left w:val="nil"/>
              <w:bottom w:val="single" w:sz="4" w:space="0" w:color="auto"/>
              <w:right w:val="nil"/>
            </w:tcBorders>
            <w:shd w:val="clear" w:color="auto" w:fill="auto"/>
            <w:hideMark/>
          </w:tcPr>
          <w:p w14:paraId="1108A5E5"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14</w:t>
            </w:r>
          </w:p>
        </w:tc>
        <w:tc>
          <w:tcPr>
            <w:tcW w:w="1559" w:type="dxa"/>
            <w:tcBorders>
              <w:top w:val="nil"/>
              <w:left w:val="single" w:sz="4" w:space="0" w:color="auto"/>
              <w:bottom w:val="single" w:sz="4" w:space="0" w:color="auto"/>
              <w:right w:val="single" w:sz="4" w:space="0" w:color="auto"/>
            </w:tcBorders>
            <w:shd w:val="clear" w:color="auto" w:fill="auto"/>
            <w:hideMark/>
          </w:tcPr>
          <w:p w14:paraId="13D0F200"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2324324080</w:t>
            </w:r>
          </w:p>
        </w:tc>
        <w:tc>
          <w:tcPr>
            <w:tcW w:w="1603" w:type="dxa"/>
            <w:tcBorders>
              <w:top w:val="nil"/>
              <w:left w:val="nil"/>
              <w:bottom w:val="single" w:sz="4" w:space="0" w:color="auto"/>
              <w:right w:val="single" w:sz="4" w:space="0" w:color="auto"/>
            </w:tcBorders>
            <w:shd w:val="clear" w:color="auto" w:fill="auto"/>
            <w:hideMark/>
          </w:tcPr>
          <w:p w14:paraId="51E09921"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2109313535</w:t>
            </w:r>
          </w:p>
        </w:tc>
      </w:tr>
      <w:tr w:rsidR="0032004C" w:rsidRPr="002C203D" w14:paraId="276890E0"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7854601"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1.3</w:t>
            </w:r>
          </w:p>
        </w:tc>
        <w:tc>
          <w:tcPr>
            <w:tcW w:w="4924" w:type="dxa"/>
            <w:tcBorders>
              <w:top w:val="nil"/>
              <w:left w:val="nil"/>
              <w:bottom w:val="single" w:sz="4" w:space="0" w:color="auto"/>
              <w:right w:val="single" w:sz="4" w:space="0" w:color="auto"/>
            </w:tcBorders>
            <w:shd w:val="clear" w:color="auto" w:fill="auto"/>
            <w:hideMark/>
          </w:tcPr>
          <w:p w14:paraId="2EDB7339" w14:textId="492F62D0" w:rsidR="0032004C" w:rsidRPr="00736448" w:rsidRDefault="00E10A94" w:rsidP="00B372C7">
            <w:pPr>
              <w:spacing w:after="0" w:line="240" w:lineRule="auto"/>
              <w:rPr>
                <w:rFonts w:asciiTheme="majorHAnsi" w:eastAsia="Times New Roman" w:hAnsiTheme="majorHAnsi" w:cs="Times New Roman"/>
                <w:b/>
                <w:bCs/>
                <w:sz w:val="18"/>
                <w:szCs w:val="18"/>
                <w:lang w:val="ro-MD"/>
              </w:rPr>
            </w:pPr>
            <w:r w:rsidRPr="00E10A94">
              <w:rPr>
                <w:rFonts w:asciiTheme="majorHAnsi" w:eastAsia="Times New Roman" w:hAnsiTheme="majorHAnsi" w:cs="Times New Roman"/>
                <w:b/>
                <w:bCs/>
                <w:sz w:val="18"/>
                <w:szCs w:val="18"/>
                <w:lang w:val="ro-MD"/>
              </w:rPr>
              <w:t>Товарные и материальные запасы</w:t>
            </w:r>
          </w:p>
        </w:tc>
        <w:tc>
          <w:tcPr>
            <w:tcW w:w="993" w:type="dxa"/>
            <w:tcBorders>
              <w:top w:val="nil"/>
              <w:left w:val="nil"/>
              <w:bottom w:val="single" w:sz="4" w:space="0" w:color="auto"/>
              <w:right w:val="nil"/>
            </w:tcBorders>
            <w:shd w:val="clear" w:color="auto" w:fill="auto"/>
            <w:hideMark/>
          </w:tcPr>
          <w:p w14:paraId="33E029E6"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39B42E61"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50640033"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29D86F57"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718AADE0"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703D55AB" w14:textId="3DD419DC" w:rsidR="0032004C" w:rsidRPr="00736448" w:rsidRDefault="00E10A94" w:rsidP="00B372C7">
            <w:pPr>
              <w:spacing w:after="0" w:line="240" w:lineRule="auto"/>
              <w:rPr>
                <w:rFonts w:asciiTheme="majorHAnsi" w:eastAsia="Times New Roman" w:hAnsiTheme="majorHAnsi" w:cs="Times New Roman"/>
                <w:sz w:val="18"/>
                <w:szCs w:val="18"/>
                <w:lang w:val="ro-MD"/>
              </w:rPr>
            </w:pPr>
            <w:r>
              <w:rPr>
                <w:rFonts w:asciiTheme="majorHAnsi" w:eastAsia="Times New Roman" w:hAnsiTheme="majorHAnsi" w:cs="Times New Roman"/>
                <w:sz w:val="18"/>
                <w:szCs w:val="18"/>
                <w:lang w:val="ru-RU"/>
              </w:rPr>
              <w:t>Материалы</w:t>
            </w:r>
            <w:r w:rsidR="0032004C" w:rsidRPr="00736448">
              <w:rPr>
                <w:rFonts w:asciiTheme="majorHAnsi" w:eastAsia="Times New Roman" w:hAnsiTheme="majorHAnsi" w:cs="Times New Roman"/>
                <w:sz w:val="18"/>
                <w:szCs w:val="18"/>
                <w:lang w:val="ro-MD"/>
              </w:rPr>
              <w:t xml:space="preserve"> (131)</w:t>
            </w:r>
          </w:p>
        </w:tc>
        <w:tc>
          <w:tcPr>
            <w:tcW w:w="993" w:type="dxa"/>
            <w:tcBorders>
              <w:top w:val="nil"/>
              <w:left w:val="nil"/>
              <w:bottom w:val="single" w:sz="4" w:space="0" w:color="auto"/>
              <w:right w:val="nil"/>
            </w:tcBorders>
            <w:shd w:val="clear" w:color="auto" w:fill="auto"/>
            <w:hideMark/>
          </w:tcPr>
          <w:p w14:paraId="7C0C8584"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15</w:t>
            </w:r>
          </w:p>
        </w:tc>
        <w:tc>
          <w:tcPr>
            <w:tcW w:w="1559" w:type="dxa"/>
            <w:tcBorders>
              <w:top w:val="nil"/>
              <w:left w:val="single" w:sz="4" w:space="0" w:color="auto"/>
              <w:bottom w:val="single" w:sz="4" w:space="0" w:color="auto"/>
              <w:right w:val="single" w:sz="4" w:space="0" w:color="auto"/>
            </w:tcBorders>
            <w:shd w:val="clear" w:color="auto" w:fill="auto"/>
            <w:hideMark/>
          </w:tcPr>
          <w:p w14:paraId="076B17A9"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5615390</w:t>
            </w:r>
          </w:p>
        </w:tc>
        <w:tc>
          <w:tcPr>
            <w:tcW w:w="1603" w:type="dxa"/>
            <w:tcBorders>
              <w:top w:val="nil"/>
              <w:left w:val="nil"/>
              <w:bottom w:val="single" w:sz="4" w:space="0" w:color="auto"/>
              <w:right w:val="single" w:sz="4" w:space="0" w:color="auto"/>
            </w:tcBorders>
            <w:shd w:val="clear" w:color="auto" w:fill="auto"/>
            <w:hideMark/>
          </w:tcPr>
          <w:p w14:paraId="327767DE"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4617135</w:t>
            </w:r>
          </w:p>
        </w:tc>
      </w:tr>
      <w:tr w:rsidR="0032004C" w:rsidRPr="00B7675F" w14:paraId="7055268A"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6F341F37"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3D9E6D2D" w14:textId="7F00802E" w:rsidR="0032004C" w:rsidRPr="00736448" w:rsidRDefault="00E10A94" w:rsidP="00B372C7">
            <w:pPr>
              <w:spacing w:after="0" w:line="240" w:lineRule="auto"/>
              <w:rPr>
                <w:rFonts w:asciiTheme="majorHAnsi" w:eastAsia="Times New Roman" w:hAnsiTheme="majorHAnsi" w:cs="Times New Roman"/>
                <w:sz w:val="18"/>
                <w:szCs w:val="18"/>
                <w:lang w:val="ro-MD"/>
              </w:rPr>
            </w:pPr>
            <w:r>
              <w:rPr>
                <w:rFonts w:asciiTheme="majorHAnsi" w:eastAsia="Times New Roman" w:hAnsiTheme="majorHAnsi" w:cs="Times New Roman"/>
                <w:bCs/>
                <w:sz w:val="18"/>
                <w:szCs w:val="18"/>
                <w:lang w:val="ru-RU"/>
              </w:rPr>
              <w:t>М</w:t>
            </w:r>
            <w:r w:rsidRPr="00E10A94">
              <w:rPr>
                <w:rFonts w:asciiTheme="majorHAnsi" w:eastAsia="Times New Roman" w:hAnsiTheme="majorHAnsi" w:cs="Times New Roman"/>
                <w:bCs/>
                <w:sz w:val="18"/>
                <w:szCs w:val="18"/>
              </w:rPr>
              <w:t>алоценные</w:t>
            </w:r>
            <w:r w:rsidRPr="00E10A94">
              <w:rPr>
                <w:rFonts w:asciiTheme="majorHAnsi" w:eastAsia="Times New Roman" w:hAnsiTheme="majorHAnsi" w:cs="Times New Roman"/>
                <w:sz w:val="18"/>
                <w:szCs w:val="18"/>
              </w:rPr>
              <w:t> </w:t>
            </w:r>
            <w:r>
              <w:rPr>
                <w:rFonts w:asciiTheme="majorHAnsi" w:eastAsia="Times New Roman" w:hAnsiTheme="majorHAnsi" w:cs="Times New Roman"/>
                <w:sz w:val="18"/>
                <w:szCs w:val="18"/>
                <w:lang w:val="ru-RU"/>
              </w:rPr>
              <w:t xml:space="preserve">и </w:t>
            </w:r>
            <w:r w:rsidRPr="00E10A94">
              <w:rPr>
                <w:rFonts w:asciiTheme="majorHAnsi" w:eastAsia="Times New Roman" w:hAnsiTheme="majorHAnsi" w:cs="Times New Roman"/>
                <w:sz w:val="18"/>
                <w:szCs w:val="18"/>
              </w:rPr>
              <w:t>быстроизнашивающиеся предметы</w:t>
            </w:r>
            <w:r w:rsidR="0032004C" w:rsidRPr="00736448">
              <w:rPr>
                <w:rFonts w:asciiTheme="majorHAnsi" w:eastAsia="Times New Roman" w:hAnsiTheme="majorHAnsi" w:cs="Times New Roman"/>
                <w:sz w:val="18"/>
                <w:szCs w:val="18"/>
                <w:lang w:val="ro-MD"/>
              </w:rPr>
              <w:t xml:space="preserve"> (132)</w:t>
            </w:r>
          </w:p>
        </w:tc>
        <w:tc>
          <w:tcPr>
            <w:tcW w:w="993" w:type="dxa"/>
            <w:tcBorders>
              <w:top w:val="nil"/>
              <w:left w:val="nil"/>
              <w:bottom w:val="single" w:sz="4" w:space="0" w:color="auto"/>
              <w:right w:val="nil"/>
            </w:tcBorders>
            <w:shd w:val="clear" w:color="auto" w:fill="auto"/>
            <w:hideMark/>
          </w:tcPr>
          <w:p w14:paraId="01CF3C48"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16</w:t>
            </w:r>
          </w:p>
        </w:tc>
        <w:tc>
          <w:tcPr>
            <w:tcW w:w="1559" w:type="dxa"/>
            <w:tcBorders>
              <w:top w:val="nil"/>
              <w:left w:val="single" w:sz="4" w:space="0" w:color="auto"/>
              <w:bottom w:val="single" w:sz="4" w:space="0" w:color="auto"/>
              <w:right w:val="single" w:sz="4" w:space="0" w:color="auto"/>
            </w:tcBorders>
            <w:shd w:val="clear" w:color="auto" w:fill="auto"/>
            <w:hideMark/>
          </w:tcPr>
          <w:p w14:paraId="06483CF9"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28115337</w:t>
            </w:r>
          </w:p>
        </w:tc>
        <w:tc>
          <w:tcPr>
            <w:tcW w:w="1603" w:type="dxa"/>
            <w:tcBorders>
              <w:top w:val="nil"/>
              <w:left w:val="nil"/>
              <w:bottom w:val="single" w:sz="4" w:space="0" w:color="auto"/>
              <w:right w:val="single" w:sz="4" w:space="0" w:color="auto"/>
            </w:tcBorders>
            <w:shd w:val="clear" w:color="auto" w:fill="auto"/>
            <w:hideMark/>
          </w:tcPr>
          <w:p w14:paraId="1C57D362"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29099075</w:t>
            </w:r>
          </w:p>
        </w:tc>
      </w:tr>
      <w:tr w:rsidR="0032004C" w:rsidRPr="00B7675F" w14:paraId="7F1DF249"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0DB465D3"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5CB2F7E3" w14:textId="514399DF" w:rsidR="0032004C" w:rsidRPr="00736448" w:rsidRDefault="00E10A94" w:rsidP="00E10A94">
            <w:pPr>
              <w:spacing w:after="0" w:line="240" w:lineRule="auto"/>
              <w:rPr>
                <w:rFonts w:asciiTheme="majorHAnsi" w:eastAsia="Times New Roman" w:hAnsiTheme="majorHAnsi" w:cs="Times New Roman"/>
                <w:sz w:val="18"/>
                <w:szCs w:val="18"/>
                <w:lang w:val="ro-MD"/>
              </w:rPr>
            </w:pPr>
            <w:r w:rsidRPr="00E10A94">
              <w:rPr>
                <w:rFonts w:asciiTheme="majorHAnsi" w:eastAsia="Times New Roman" w:hAnsiTheme="majorHAnsi" w:cs="Times New Roman"/>
                <w:sz w:val="18"/>
                <w:szCs w:val="18"/>
                <w:lang w:val="ro-MD"/>
              </w:rPr>
              <w:t>Износ</w:t>
            </w:r>
            <w:r w:rsidR="0032004C" w:rsidRPr="00736448">
              <w:rPr>
                <w:rFonts w:asciiTheme="majorHAnsi" w:eastAsia="Times New Roman" w:hAnsiTheme="majorHAnsi" w:cs="Times New Roman"/>
                <w:sz w:val="18"/>
                <w:szCs w:val="18"/>
                <w:lang w:val="ro-MD"/>
              </w:rPr>
              <w:t xml:space="preserve"> </w:t>
            </w:r>
            <w:r>
              <w:rPr>
                <w:rFonts w:asciiTheme="majorHAnsi" w:eastAsia="Times New Roman" w:hAnsiTheme="majorHAnsi" w:cs="Times New Roman"/>
                <w:bCs/>
                <w:sz w:val="18"/>
                <w:szCs w:val="18"/>
                <w:lang w:val="ru-RU"/>
              </w:rPr>
              <w:t>м</w:t>
            </w:r>
            <w:r w:rsidRPr="00E10A94">
              <w:rPr>
                <w:rFonts w:asciiTheme="majorHAnsi" w:eastAsia="Times New Roman" w:hAnsiTheme="majorHAnsi" w:cs="Times New Roman"/>
                <w:bCs/>
                <w:sz w:val="18"/>
                <w:szCs w:val="18"/>
                <w:lang w:val="ru-RU"/>
              </w:rPr>
              <w:t>алоценны</w:t>
            </w:r>
            <w:r>
              <w:rPr>
                <w:rFonts w:asciiTheme="majorHAnsi" w:eastAsia="Times New Roman" w:hAnsiTheme="majorHAnsi" w:cs="Times New Roman"/>
                <w:sz w:val="18"/>
                <w:szCs w:val="18"/>
                <w:lang w:val="ru-RU"/>
              </w:rPr>
              <w:t xml:space="preserve">х и </w:t>
            </w:r>
            <w:r w:rsidRPr="00E10A94">
              <w:rPr>
                <w:rFonts w:asciiTheme="majorHAnsi" w:eastAsia="Times New Roman" w:hAnsiTheme="majorHAnsi" w:cs="Times New Roman"/>
                <w:sz w:val="18"/>
                <w:szCs w:val="18"/>
                <w:lang w:val="ru-RU"/>
              </w:rPr>
              <w:t>быстроизнашивающи</w:t>
            </w:r>
            <w:r>
              <w:rPr>
                <w:rFonts w:asciiTheme="majorHAnsi" w:eastAsia="Times New Roman" w:hAnsiTheme="majorHAnsi" w:cs="Times New Roman"/>
                <w:sz w:val="18"/>
                <w:szCs w:val="18"/>
                <w:lang w:val="ru-RU"/>
              </w:rPr>
              <w:t>х</w:t>
            </w:r>
            <w:r w:rsidRPr="00E10A94">
              <w:rPr>
                <w:rFonts w:asciiTheme="majorHAnsi" w:eastAsia="Times New Roman" w:hAnsiTheme="majorHAnsi" w:cs="Times New Roman"/>
                <w:sz w:val="18"/>
                <w:szCs w:val="18"/>
                <w:lang w:val="ru-RU"/>
              </w:rPr>
              <w:t>ся предмет</w:t>
            </w:r>
            <w:r>
              <w:rPr>
                <w:rFonts w:asciiTheme="majorHAnsi" w:eastAsia="Times New Roman" w:hAnsiTheme="majorHAnsi" w:cs="Times New Roman"/>
                <w:sz w:val="18"/>
                <w:szCs w:val="18"/>
                <w:lang w:val="ru-RU"/>
              </w:rPr>
              <w:t>ов</w:t>
            </w:r>
            <w:r w:rsidRPr="00736448">
              <w:rPr>
                <w:rFonts w:asciiTheme="majorHAnsi" w:eastAsia="Times New Roman" w:hAnsiTheme="majorHAnsi" w:cs="Times New Roman"/>
                <w:sz w:val="18"/>
                <w:szCs w:val="18"/>
                <w:lang w:val="ro-MD"/>
              </w:rPr>
              <w:t xml:space="preserve"> </w:t>
            </w:r>
            <w:r w:rsidR="0032004C" w:rsidRPr="00736448">
              <w:rPr>
                <w:rFonts w:asciiTheme="majorHAnsi" w:eastAsia="Times New Roman" w:hAnsiTheme="majorHAnsi" w:cs="Times New Roman"/>
                <w:sz w:val="18"/>
                <w:szCs w:val="18"/>
                <w:lang w:val="ro-MD"/>
              </w:rPr>
              <w:t>(-) (133)</w:t>
            </w:r>
          </w:p>
        </w:tc>
        <w:tc>
          <w:tcPr>
            <w:tcW w:w="993" w:type="dxa"/>
            <w:tcBorders>
              <w:top w:val="nil"/>
              <w:left w:val="nil"/>
              <w:bottom w:val="single" w:sz="4" w:space="0" w:color="auto"/>
              <w:right w:val="nil"/>
            </w:tcBorders>
            <w:shd w:val="clear" w:color="auto" w:fill="auto"/>
            <w:hideMark/>
          </w:tcPr>
          <w:p w14:paraId="58DCAE0F"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17</w:t>
            </w:r>
          </w:p>
        </w:tc>
        <w:tc>
          <w:tcPr>
            <w:tcW w:w="1559" w:type="dxa"/>
            <w:tcBorders>
              <w:top w:val="nil"/>
              <w:left w:val="single" w:sz="4" w:space="0" w:color="auto"/>
              <w:bottom w:val="single" w:sz="4" w:space="0" w:color="auto"/>
              <w:right w:val="single" w:sz="4" w:space="0" w:color="auto"/>
            </w:tcBorders>
            <w:shd w:val="clear" w:color="auto" w:fill="auto"/>
            <w:hideMark/>
          </w:tcPr>
          <w:p w14:paraId="250E533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-27737095</w:t>
            </w:r>
          </w:p>
        </w:tc>
        <w:tc>
          <w:tcPr>
            <w:tcW w:w="1603" w:type="dxa"/>
            <w:tcBorders>
              <w:top w:val="nil"/>
              <w:left w:val="nil"/>
              <w:bottom w:val="single" w:sz="4" w:space="0" w:color="auto"/>
              <w:right w:val="single" w:sz="4" w:space="0" w:color="auto"/>
            </w:tcBorders>
            <w:shd w:val="clear" w:color="auto" w:fill="auto"/>
            <w:hideMark/>
          </w:tcPr>
          <w:p w14:paraId="319A14D5"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-28712009</w:t>
            </w:r>
          </w:p>
        </w:tc>
      </w:tr>
      <w:tr w:rsidR="0032004C" w:rsidRPr="00B7675F" w14:paraId="2516933C"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3AE4E297"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79D58F4C" w14:textId="3DEA3996" w:rsidR="0032004C" w:rsidRPr="00736448" w:rsidRDefault="00E10A94" w:rsidP="00B372C7">
            <w:pPr>
              <w:spacing w:after="0" w:line="240" w:lineRule="auto"/>
              <w:rPr>
                <w:rFonts w:asciiTheme="majorHAnsi" w:eastAsia="Times New Roman" w:hAnsiTheme="majorHAnsi" w:cs="Times New Roman"/>
                <w:b/>
                <w:bCs/>
                <w:sz w:val="18"/>
                <w:szCs w:val="18"/>
                <w:lang w:val="ro-MD"/>
              </w:rPr>
            </w:pPr>
            <w:r w:rsidRPr="00D968E1">
              <w:rPr>
                <w:rFonts w:asciiTheme="majorHAnsi" w:eastAsia="Times New Roman" w:hAnsiTheme="majorHAnsi" w:cs="Times New Roman"/>
                <w:b/>
                <w:bCs/>
                <w:sz w:val="18"/>
                <w:szCs w:val="18"/>
                <w:lang w:val="ro-MD"/>
              </w:rPr>
              <w:t>Всего</w:t>
            </w:r>
            <w:r w:rsidR="0032004C" w:rsidRPr="00736448">
              <w:rPr>
                <w:rFonts w:asciiTheme="majorHAnsi" w:eastAsia="Times New Roman" w:hAnsiTheme="majorHAnsi" w:cs="Times New Roman"/>
                <w:b/>
                <w:bCs/>
                <w:sz w:val="18"/>
                <w:szCs w:val="18"/>
                <w:lang w:val="ro-MD"/>
              </w:rPr>
              <w:t xml:space="preserve"> s.1.3  (rd.15+rd.16-rd.17)</w:t>
            </w:r>
          </w:p>
        </w:tc>
        <w:tc>
          <w:tcPr>
            <w:tcW w:w="993" w:type="dxa"/>
            <w:tcBorders>
              <w:top w:val="nil"/>
              <w:left w:val="nil"/>
              <w:bottom w:val="single" w:sz="4" w:space="0" w:color="auto"/>
              <w:right w:val="nil"/>
            </w:tcBorders>
            <w:shd w:val="clear" w:color="auto" w:fill="auto"/>
            <w:hideMark/>
          </w:tcPr>
          <w:p w14:paraId="10E74BA7"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18</w:t>
            </w:r>
          </w:p>
        </w:tc>
        <w:tc>
          <w:tcPr>
            <w:tcW w:w="1559" w:type="dxa"/>
            <w:tcBorders>
              <w:top w:val="nil"/>
              <w:left w:val="single" w:sz="4" w:space="0" w:color="auto"/>
              <w:bottom w:val="single" w:sz="4" w:space="0" w:color="auto"/>
              <w:right w:val="single" w:sz="4" w:space="0" w:color="auto"/>
            </w:tcBorders>
            <w:shd w:val="clear" w:color="auto" w:fill="auto"/>
            <w:hideMark/>
          </w:tcPr>
          <w:p w14:paraId="144DEEA8"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5993632</w:t>
            </w:r>
          </w:p>
        </w:tc>
        <w:tc>
          <w:tcPr>
            <w:tcW w:w="1603" w:type="dxa"/>
            <w:tcBorders>
              <w:top w:val="nil"/>
              <w:left w:val="nil"/>
              <w:bottom w:val="single" w:sz="4" w:space="0" w:color="auto"/>
              <w:right w:val="single" w:sz="4" w:space="0" w:color="auto"/>
            </w:tcBorders>
            <w:shd w:val="clear" w:color="auto" w:fill="auto"/>
            <w:hideMark/>
          </w:tcPr>
          <w:p w14:paraId="0CC96439"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5004201</w:t>
            </w:r>
          </w:p>
        </w:tc>
      </w:tr>
      <w:tr w:rsidR="0032004C" w:rsidRPr="00B7675F" w14:paraId="46A75133"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6E1B24EF"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1.4</w:t>
            </w:r>
          </w:p>
        </w:tc>
        <w:tc>
          <w:tcPr>
            <w:tcW w:w="4924" w:type="dxa"/>
            <w:tcBorders>
              <w:top w:val="nil"/>
              <w:left w:val="nil"/>
              <w:bottom w:val="single" w:sz="4" w:space="0" w:color="auto"/>
              <w:right w:val="single" w:sz="4" w:space="0" w:color="auto"/>
            </w:tcBorders>
            <w:shd w:val="clear" w:color="auto" w:fill="auto"/>
            <w:hideMark/>
          </w:tcPr>
          <w:p w14:paraId="2264D13F" w14:textId="063B60CB" w:rsidR="0032004C" w:rsidRPr="00736448" w:rsidRDefault="00D968E1" w:rsidP="00B372C7">
            <w:pPr>
              <w:spacing w:after="0" w:line="240" w:lineRule="auto"/>
              <w:rPr>
                <w:rFonts w:asciiTheme="majorHAnsi" w:eastAsia="Times New Roman" w:hAnsiTheme="majorHAnsi" w:cs="Times New Roman"/>
                <w:b/>
                <w:bCs/>
                <w:sz w:val="18"/>
                <w:szCs w:val="18"/>
                <w:lang w:val="ro-MD"/>
              </w:rPr>
            </w:pPr>
            <w:r w:rsidRPr="00D968E1">
              <w:rPr>
                <w:rFonts w:asciiTheme="majorHAnsi" w:eastAsia="Times New Roman" w:hAnsiTheme="majorHAnsi" w:cs="Times New Roman"/>
                <w:b/>
                <w:bCs/>
                <w:sz w:val="18"/>
                <w:szCs w:val="18"/>
                <w:lang w:val="ro-MD"/>
              </w:rPr>
              <w:t>Текущие финансовые активы</w:t>
            </w:r>
          </w:p>
        </w:tc>
        <w:tc>
          <w:tcPr>
            <w:tcW w:w="993" w:type="dxa"/>
            <w:tcBorders>
              <w:top w:val="nil"/>
              <w:left w:val="nil"/>
              <w:bottom w:val="single" w:sz="4" w:space="0" w:color="auto"/>
              <w:right w:val="nil"/>
            </w:tcBorders>
            <w:shd w:val="clear" w:color="auto" w:fill="auto"/>
            <w:hideMark/>
          </w:tcPr>
          <w:p w14:paraId="10BC316F"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1EC1371C"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756BE118"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5FC14C73"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1BE2F88E"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1.5</w:t>
            </w:r>
          </w:p>
        </w:tc>
        <w:tc>
          <w:tcPr>
            <w:tcW w:w="4924" w:type="dxa"/>
            <w:tcBorders>
              <w:top w:val="nil"/>
              <w:left w:val="nil"/>
              <w:bottom w:val="single" w:sz="4" w:space="0" w:color="auto"/>
              <w:right w:val="single" w:sz="4" w:space="0" w:color="auto"/>
            </w:tcBorders>
            <w:shd w:val="clear" w:color="auto" w:fill="auto"/>
            <w:hideMark/>
          </w:tcPr>
          <w:p w14:paraId="6D66300E" w14:textId="446E4E7F" w:rsidR="0032004C" w:rsidRPr="00736448" w:rsidRDefault="00D968E1" w:rsidP="00B372C7">
            <w:pPr>
              <w:spacing w:after="0" w:line="240" w:lineRule="auto"/>
              <w:rPr>
                <w:rFonts w:asciiTheme="majorHAnsi" w:eastAsia="Times New Roman" w:hAnsiTheme="majorHAnsi" w:cs="Times New Roman"/>
                <w:b/>
                <w:bCs/>
                <w:sz w:val="18"/>
                <w:szCs w:val="18"/>
                <w:lang w:val="ro-MD"/>
              </w:rPr>
            </w:pPr>
            <w:r>
              <w:rPr>
                <w:rFonts w:asciiTheme="majorHAnsi" w:eastAsia="Times New Roman" w:hAnsiTheme="majorHAnsi" w:cs="Times New Roman"/>
                <w:b/>
                <w:bCs/>
                <w:sz w:val="18"/>
                <w:szCs w:val="18"/>
                <w:lang w:val="ru-RU"/>
              </w:rPr>
              <w:t>Проч</w:t>
            </w:r>
            <w:r w:rsidRPr="00D968E1">
              <w:rPr>
                <w:rFonts w:asciiTheme="majorHAnsi" w:eastAsia="Times New Roman" w:hAnsiTheme="majorHAnsi" w:cs="Times New Roman"/>
                <w:b/>
                <w:bCs/>
                <w:sz w:val="18"/>
                <w:szCs w:val="18"/>
                <w:lang w:val="ro-MD"/>
              </w:rPr>
              <w:t>ие финансовые активы</w:t>
            </w:r>
          </w:p>
        </w:tc>
        <w:tc>
          <w:tcPr>
            <w:tcW w:w="993" w:type="dxa"/>
            <w:tcBorders>
              <w:top w:val="nil"/>
              <w:left w:val="nil"/>
              <w:bottom w:val="single" w:sz="4" w:space="0" w:color="auto"/>
              <w:right w:val="nil"/>
            </w:tcBorders>
            <w:shd w:val="clear" w:color="auto" w:fill="auto"/>
            <w:hideMark/>
          </w:tcPr>
          <w:p w14:paraId="044E8C70"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546E6832"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2AA03941"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2C203D" w14:paraId="3C15BF93"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159ECFD1"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089737F5" w14:textId="7AD64368" w:rsidR="0032004C" w:rsidRPr="00736448" w:rsidRDefault="00D968E1" w:rsidP="00B372C7">
            <w:pPr>
              <w:spacing w:after="0" w:line="240" w:lineRule="auto"/>
              <w:rPr>
                <w:rFonts w:asciiTheme="majorHAnsi" w:eastAsia="Times New Roman" w:hAnsiTheme="majorHAnsi" w:cs="Times New Roman"/>
                <w:sz w:val="18"/>
                <w:szCs w:val="18"/>
                <w:lang w:val="ro-MD"/>
              </w:rPr>
            </w:pPr>
            <w:r w:rsidRPr="00D968E1">
              <w:rPr>
                <w:rFonts w:asciiTheme="majorHAnsi" w:eastAsia="Times New Roman" w:hAnsiTheme="majorHAnsi" w:cs="Times New Roman"/>
                <w:sz w:val="18"/>
                <w:szCs w:val="18"/>
                <w:lang w:val="ro-MD"/>
              </w:rPr>
              <w:t xml:space="preserve">Краткосрочные авансы, предоставленные </w:t>
            </w:r>
            <w:r w:rsidR="0032004C" w:rsidRPr="00736448">
              <w:rPr>
                <w:rFonts w:asciiTheme="majorHAnsi" w:eastAsia="Times New Roman" w:hAnsiTheme="majorHAnsi" w:cs="Times New Roman"/>
                <w:sz w:val="18"/>
                <w:szCs w:val="18"/>
                <w:lang w:val="ro-MD"/>
              </w:rPr>
              <w:t xml:space="preserve">(151) </w:t>
            </w:r>
          </w:p>
        </w:tc>
        <w:tc>
          <w:tcPr>
            <w:tcW w:w="993" w:type="dxa"/>
            <w:tcBorders>
              <w:top w:val="nil"/>
              <w:left w:val="nil"/>
              <w:bottom w:val="single" w:sz="4" w:space="0" w:color="auto"/>
              <w:right w:val="nil"/>
            </w:tcBorders>
            <w:shd w:val="clear" w:color="auto" w:fill="auto"/>
            <w:hideMark/>
          </w:tcPr>
          <w:p w14:paraId="2C4A59DE"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3B666567"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624CEC65"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20271C0C"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29633EEC"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xml:space="preserve"> </w:t>
            </w:r>
          </w:p>
        </w:tc>
        <w:tc>
          <w:tcPr>
            <w:tcW w:w="4924" w:type="dxa"/>
            <w:tcBorders>
              <w:top w:val="nil"/>
              <w:left w:val="nil"/>
              <w:bottom w:val="single" w:sz="4" w:space="0" w:color="auto"/>
              <w:right w:val="single" w:sz="4" w:space="0" w:color="auto"/>
            </w:tcBorders>
            <w:shd w:val="clear" w:color="auto" w:fill="auto"/>
            <w:hideMark/>
          </w:tcPr>
          <w:p w14:paraId="5F71B960" w14:textId="46448817" w:rsidR="0032004C" w:rsidRPr="00736448" w:rsidRDefault="00D968E1" w:rsidP="00B372C7">
            <w:pPr>
              <w:spacing w:after="0" w:line="240" w:lineRule="auto"/>
              <w:rPr>
                <w:rFonts w:asciiTheme="majorHAnsi" w:eastAsia="Times New Roman" w:hAnsiTheme="majorHAnsi" w:cs="Times New Roman"/>
                <w:sz w:val="18"/>
                <w:szCs w:val="18"/>
                <w:lang w:val="ro-MD"/>
              </w:rPr>
            </w:pPr>
            <w:r w:rsidRPr="00D968E1">
              <w:rPr>
                <w:rFonts w:asciiTheme="majorHAnsi" w:eastAsia="Times New Roman" w:hAnsiTheme="majorHAnsi" w:cs="Times New Roman"/>
                <w:sz w:val="18"/>
                <w:szCs w:val="18"/>
                <w:lang w:val="ro-MD"/>
              </w:rPr>
              <w:t xml:space="preserve">Текущие авансовые расходы </w:t>
            </w:r>
            <w:r w:rsidR="0032004C" w:rsidRPr="00736448">
              <w:rPr>
                <w:rFonts w:asciiTheme="majorHAnsi" w:eastAsia="Times New Roman" w:hAnsiTheme="majorHAnsi" w:cs="Times New Roman"/>
                <w:sz w:val="18"/>
                <w:szCs w:val="18"/>
                <w:lang w:val="ro-MD"/>
              </w:rPr>
              <w:t>(152)</w:t>
            </w:r>
          </w:p>
        </w:tc>
        <w:tc>
          <w:tcPr>
            <w:tcW w:w="993" w:type="dxa"/>
            <w:tcBorders>
              <w:top w:val="nil"/>
              <w:left w:val="nil"/>
              <w:bottom w:val="single" w:sz="4" w:space="0" w:color="auto"/>
              <w:right w:val="nil"/>
            </w:tcBorders>
            <w:shd w:val="clear" w:color="auto" w:fill="auto"/>
            <w:hideMark/>
          </w:tcPr>
          <w:p w14:paraId="28E18951"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27</w:t>
            </w:r>
          </w:p>
        </w:tc>
        <w:tc>
          <w:tcPr>
            <w:tcW w:w="1559" w:type="dxa"/>
            <w:tcBorders>
              <w:top w:val="nil"/>
              <w:left w:val="single" w:sz="4" w:space="0" w:color="auto"/>
              <w:bottom w:val="single" w:sz="4" w:space="0" w:color="auto"/>
              <w:right w:val="single" w:sz="4" w:space="0" w:color="auto"/>
            </w:tcBorders>
            <w:shd w:val="clear" w:color="auto" w:fill="auto"/>
            <w:hideMark/>
          </w:tcPr>
          <w:p w14:paraId="6F5DC269"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65477</w:t>
            </w:r>
          </w:p>
        </w:tc>
        <w:tc>
          <w:tcPr>
            <w:tcW w:w="1603" w:type="dxa"/>
            <w:tcBorders>
              <w:top w:val="nil"/>
              <w:left w:val="nil"/>
              <w:bottom w:val="single" w:sz="4" w:space="0" w:color="auto"/>
              <w:right w:val="single" w:sz="4" w:space="0" w:color="auto"/>
            </w:tcBorders>
            <w:shd w:val="clear" w:color="auto" w:fill="auto"/>
            <w:hideMark/>
          </w:tcPr>
          <w:p w14:paraId="7AF83C1D"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64905</w:t>
            </w:r>
          </w:p>
        </w:tc>
      </w:tr>
      <w:tr w:rsidR="0032004C" w:rsidRPr="00B7675F" w14:paraId="52AF5FB1"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176BC769"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1CCDD2D3" w14:textId="7082442E" w:rsidR="0032004C" w:rsidRPr="00736448" w:rsidRDefault="00D968E1" w:rsidP="00D968E1">
            <w:pPr>
              <w:spacing w:after="0" w:line="240" w:lineRule="auto"/>
              <w:rPr>
                <w:rFonts w:asciiTheme="majorHAnsi" w:eastAsia="Times New Roman" w:hAnsiTheme="majorHAnsi" w:cs="Times New Roman"/>
                <w:sz w:val="18"/>
                <w:szCs w:val="18"/>
                <w:lang w:val="ro-MD"/>
              </w:rPr>
            </w:pPr>
            <w:r w:rsidRPr="00D968E1">
              <w:rPr>
                <w:rFonts w:asciiTheme="majorHAnsi" w:eastAsia="Times New Roman" w:hAnsiTheme="majorHAnsi" w:cs="Times New Roman"/>
                <w:sz w:val="18"/>
                <w:szCs w:val="18"/>
                <w:lang w:val="ro-MD"/>
              </w:rPr>
              <w:t xml:space="preserve">Исправления сомнительных долгов, связанных с </w:t>
            </w:r>
            <w:r>
              <w:rPr>
                <w:rFonts w:asciiTheme="majorHAnsi" w:eastAsia="Times New Roman" w:hAnsiTheme="majorHAnsi" w:cs="Times New Roman"/>
                <w:sz w:val="18"/>
                <w:szCs w:val="18"/>
                <w:lang w:val="ru-RU"/>
              </w:rPr>
              <w:t>проч</w:t>
            </w:r>
            <w:r w:rsidRPr="00D968E1">
              <w:rPr>
                <w:rFonts w:asciiTheme="majorHAnsi" w:eastAsia="Times New Roman" w:hAnsiTheme="majorHAnsi" w:cs="Times New Roman"/>
                <w:sz w:val="18"/>
                <w:szCs w:val="18"/>
                <w:lang w:val="ro-MD"/>
              </w:rPr>
              <w:t xml:space="preserve">ими текущими активами </w:t>
            </w:r>
            <w:r w:rsidR="0032004C" w:rsidRPr="00736448">
              <w:rPr>
                <w:rFonts w:asciiTheme="majorHAnsi" w:eastAsia="Times New Roman" w:hAnsiTheme="majorHAnsi" w:cs="Times New Roman"/>
                <w:sz w:val="18"/>
                <w:szCs w:val="18"/>
                <w:lang w:val="ro-MD"/>
              </w:rPr>
              <w:t>(-) (153)</w:t>
            </w:r>
          </w:p>
        </w:tc>
        <w:tc>
          <w:tcPr>
            <w:tcW w:w="993" w:type="dxa"/>
            <w:tcBorders>
              <w:top w:val="nil"/>
              <w:left w:val="nil"/>
              <w:bottom w:val="single" w:sz="4" w:space="0" w:color="auto"/>
              <w:right w:val="nil"/>
            </w:tcBorders>
            <w:shd w:val="clear" w:color="auto" w:fill="auto"/>
            <w:hideMark/>
          </w:tcPr>
          <w:p w14:paraId="1F1DADAA"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28</w:t>
            </w:r>
          </w:p>
        </w:tc>
        <w:tc>
          <w:tcPr>
            <w:tcW w:w="1559" w:type="dxa"/>
            <w:tcBorders>
              <w:top w:val="nil"/>
              <w:left w:val="single" w:sz="4" w:space="0" w:color="auto"/>
              <w:bottom w:val="single" w:sz="4" w:space="0" w:color="auto"/>
              <w:right w:val="single" w:sz="4" w:space="0" w:color="auto"/>
            </w:tcBorders>
            <w:shd w:val="clear" w:color="auto" w:fill="auto"/>
            <w:hideMark/>
          </w:tcPr>
          <w:p w14:paraId="509C1166"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0E544A34"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r>
      <w:tr w:rsidR="0032004C" w:rsidRPr="00B7675F" w14:paraId="625B1009"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2CF6E8FC"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1754E3AA" w14:textId="61406FFA" w:rsidR="0032004C" w:rsidRPr="00736448" w:rsidRDefault="00D968E1" w:rsidP="00B372C7">
            <w:pPr>
              <w:spacing w:after="0" w:line="240" w:lineRule="auto"/>
              <w:rPr>
                <w:rFonts w:asciiTheme="majorHAnsi" w:eastAsia="Times New Roman" w:hAnsiTheme="majorHAnsi" w:cs="Times New Roman"/>
                <w:b/>
                <w:bCs/>
                <w:sz w:val="18"/>
                <w:szCs w:val="18"/>
                <w:lang w:val="ro-MD"/>
              </w:rPr>
            </w:pPr>
            <w:r w:rsidRPr="00D968E1">
              <w:rPr>
                <w:rFonts w:asciiTheme="majorHAnsi" w:eastAsia="Times New Roman" w:hAnsiTheme="majorHAnsi" w:cs="Times New Roman"/>
                <w:b/>
                <w:bCs/>
                <w:sz w:val="18"/>
                <w:szCs w:val="18"/>
                <w:lang w:val="ro-MD"/>
              </w:rPr>
              <w:t>Всего</w:t>
            </w:r>
            <w:r w:rsidR="0032004C" w:rsidRPr="00736448">
              <w:rPr>
                <w:rFonts w:asciiTheme="majorHAnsi" w:eastAsia="Times New Roman" w:hAnsiTheme="majorHAnsi" w:cs="Times New Roman"/>
                <w:b/>
                <w:bCs/>
                <w:sz w:val="18"/>
                <w:szCs w:val="18"/>
                <w:lang w:val="ro-MD"/>
              </w:rPr>
              <w:t xml:space="preserve"> s. 1.5 (rd.26+rd.27-rd.28)</w:t>
            </w:r>
          </w:p>
        </w:tc>
        <w:tc>
          <w:tcPr>
            <w:tcW w:w="993" w:type="dxa"/>
            <w:tcBorders>
              <w:top w:val="nil"/>
              <w:left w:val="nil"/>
              <w:bottom w:val="single" w:sz="4" w:space="0" w:color="auto"/>
              <w:right w:val="nil"/>
            </w:tcBorders>
            <w:shd w:val="clear" w:color="auto" w:fill="auto"/>
            <w:hideMark/>
          </w:tcPr>
          <w:p w14:paraId="2EAEBB9D"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29</w:t>
            </w:r>
          </w:p>
        </w:tc>
        <w:tc>
          <w:tcPr>
            <w:tcW w:w="1559" w:type="dxa"/>
            <w:tcBorders>
              <w:top w:val="nil"/>
              <w:left w:val="single" w:sz="4" w:space="0" w:color="auto"/>
              <w:bottom w:val="single" w:sz="4" w:space="0" w:color="auto"/>
              <w:right w:val="single" w:sz="4" w:space="0" w:color="auto"/>
            </w:tcBorders>
            <w:shd w:val="clear" w:color="auto" w:fill="auto"/>
            <w:hideMark/>
          </w:tcPr>
          <w:p w14:paraId="00603B20"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65477</w:t>
            </w:r>
          </w:p>
        </w:tc>
        <w:tc>
          <w:tcPr>
            <w:tcW w:w="1603" w:type="dxa"/>
            <w:tcBorders>
              <w:top w:val="nil"/>
              <w:left w:val="nil"/>
              <w:bottom w:val="single" w:sz="4" w:space="0" w:color="auto"/>
              <w:right w:val="single" w:sz="4" w:space="0" w:color="auto"/>
            </w:tcBorders>
            <w:shd w:val="clear" w:color="auto" w:fill="auto"/>
            <w:hideMark/>
          </w:tcPr>
          <w:p w14:paraId="06C8D9E0"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64905</w:t>
            </w:r>
          </w:p>
        </w:tc>
      </w:tr>
      <w:tr w:rsidR="0032004C" w:rsidRPr="00B7675F" w14:paraId="65CFB8F8"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A83112F"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71372684" w14:textId="543B5EA8" w:rsidR="0032004C" w:rsidRPr="00736448" w:rsidRDefault="00D968E1" w:rsidP="00B372C7">
            <w:pPr>
              <w:spacing w:after="0" w:line="240" w:lineRule="auto"/>
              <w:rPr>
                <w:rFonts w:asciiTheme="majorHAnsi" w:eastAsia="Times New Roman" w:hAnsiTheme="majorHAnsi" w:cs="Times New Roman"/>
                <w:b/>
                <w:bCs/>
                <w:sz w:val="18"/>
                <w:szCs w:val="18"/>
                <w:lang w:val="ro-MD"/>
              </w:rPr>
            </w:pPr>
            <w:r>
              <w:rPr>
                <w:rFonts w:asciiTheme="majorHAnsi" w:eastAsia="Times New Roman" w:hAnsiTheme="majorHAnsi" w:cs="Times New Roman"/>
                <w:b/>
                <w:bCs/>
                <w:sz w:val="18"/>
                <w:szCs w:val="18"/>
                <w:lang w:val="ru-RU"/>
              </w:rPr>
              <w:t>Всего Раздел</w:t>
            </w:r>
            <w:r w:rsidR="0032004C" w:rsidRPr="00736448">
              <w:rPr>
                <w:rFonts w:asciiTheme="majorHAnsi" w:eastAsia="Times New Roman" w:hAnsiTheme="majorHAnsi" w:cs="Times New Roman"/>
                <w:b/>
                <w:bCs/>
                <w:sz w:val="18"/>
                <w:szCs w:val="18"/>
                <w:lang w:val="ro-MD"/>
              </w:rPr>
              <w:t xml:space="preserve"> 1  (rd.05+rd.14+rd.18+rd.25+rd.29)</w:t>
            </w:r>
          </w:p>
        </w:tc>
        <w:tc>
          <w:tcPr>
            <w:tcW w:w="993" w:type="dxa"/>
            <w:tcBorders>
              <w:top w:val="nil"/>
              <w:left w:val="nil"/>
              <w:bottom w:val="single" w:sz="4" w:space="0" w:color="auto"/>
              <w:right w:val="nil"/>
            </w:tcBorders>
            <w:shd w:val="clear" w:color="auto" w:fill="auto"/>
            <w:hideMark/>
          </w:tcPr>
          <w:p w14:paraId="6BCD8C1D"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30</w:t>
            </w:r>
          </w:p>
        </w:tc>
        <w:tc>
          <w:tcPr>
            <w:tcW w:w="1559" w:type="dxa"/>
            <w:tcBorders>
              <w:top w:val="nil"/>
              <w:left w:val="single" w:sz="4" w:space="0" w:color="auto"/>
              <w:bottom w:val="single" w:sz="4" w:space="0" w:color="auto"/>
              <w:right w:val="single" w:sz="4" w:space="0" w:color="auto"/>
            </w:tcBorders>
            <w:shd w:val="clear" w:color="auto" w:fill="auto"/>
            <w:hideMark/>
          </w:tcPr>
          <w:p w14:paraId="47851F9C"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2381849358</w:t>
            </w:r>
          </w:p>
        </w:tc>
        <w:tc>
          <w:tcPr>
            <w:tcW w:w="1603" w:type="dxa"/>
            <w:tcBorders>
              <w:top w:val="nil"/>
              <w:left w:val="nil"/>
              <w:bottom w:val="single" w:sz="4" w:space="0" w:color="auto"/>
              <w:right w:val="single" w:sz="4" w:space="0" w:color="auto"/>
            </w:tcBorders>
            <w:shd w:val="clear" w:color="auto" w:fill="auto"/>
            <w:hideMark/>
          </w:tcPr>
          <w:p w14:paraId="591A6CE0"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2174620024</w:t>
            </w:r>
          </w:p>
        </w:tc>
      </w:tr>
      <w:tr w:rsidR="0032004C" w:rsidRPr="00B7675F" w14:paraId="0311B6C7"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6CF7FC00"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w:t>
            </w:r>
          </w:p>
        </w:tc>
        <w:tc>
          <w:tcPr>
            <w:tcW w:w="4924" w:type="dxa"/>
            <w:tcBorders>
              <w:top w:val="nil"/>
              <w:left w:val="nil"/>
              <w:bottom w:val="single" w:sz="4" w:space="0" w:color="auto"/>
              <w:right w:val="single" w:sz="4" w:space="0" w:color="auto"/>
            </w:tcBorders>
            <w:shd w:val="clear" w:color="auto" w:fill="auto"/>
            <w:hideMark/>
          </w:tcPr>
          <w:p w14:paraId="008B7A26" w14:textId="5BB290E2" w:rsidR="0032004C" w:rsidRPr="00736448" w:rsidRDefault="00D968E1" w:rsidP="00B372C7">
            <w:pPr>
              <w:spacing w:after="0" w:line="240" w:lineRule="auto"/>
              <w:rPr>
                <w:rFonts w:asciiTheme="majorHAnsi" w:eastAsia="Times New Roman" w:hAnsiTheme="majorHAnsi" w:cs="Times New Roman"/>
                <w:b/>
                <w:bCs/>
                <w:sz w:val="18"/>
                <w:szCs w:val="18"/>
                <w:lang w:val="ro-MD"/>
              </w:rPr>
            </w:pPr>
            <w:r w:rsidRPr="00D968E1">
              <w:rPr>
                <w:rFonts w:asciiTheme="majorHAnsi" w:eastAsia="Times New Roman" w:hAnsiTheme="majorHAnsi" w:cs="Times New Roman"/>
                <w:b/>
                <w:bCs/>
                <w:sz w:val="18"/>
                <w:szCs w:val="18"/>
                <w:lang w:val="ro-MD"/>
              </w:rPr>
              <w:t>ДОЛГОСРОЧНЫЕ АКТИВЫ</w:t>
            </w:r>
          </w:p>
        </w:tc>
        <w:tc>
          <w:tcPr>
            <w:tcW w:w="993" w:type="dxa"/>
            <w:tcBorders>
              <w:top w:val="nil"/>
              <w:left w:val="nil"/>
              <w:bottom w:val="single" w:sz="4" w:space="0" w:color="auto"/>
              <w:right w:val="nil"/>
            </w:tcBorders>
            <w:shd w:val="clear" w:color="auto" w:fill="auto"/>
            <w:hideMark/>
          </w:tcPr>
          <w:p w14:paraId="01D9B7E2"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187015CC"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1F00F708"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r>
      <w:tr w:rsidR="0032004C" w:rsidRPr="00B7675F" w14:paraId="3217BD10"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99DA95A"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2.1</w:t>
            </w:r>
          </w:p>
        </w:tc>
        <w:tc>
          <w:tcPr>
            <w:tcW w:w="4924" w:type="dxa"/>
            <w:tcBorders>
              <w:top w:val="nil"/>
              <w:left w:val="nil"/>
              <w:bottom w:val="single" w:sz="4" w:space="0" w:color="auto"/>
              <w:right w:val="single" w:sz="4" w:space="0" w:color="auto"/>
            </w:tcBorders>
            <w:shd w:val="clear" w:color="auto" w:fill="auto"/>
            <w:hideMark/>
          </w:tcPr>
          <w:p w14:paraId="1076B49C" w14:textId="502855E1" w:rsidR="0032004C" w:rsidRPr="00736448" w:rsidRDefault="00D968E1" w:rsidP="00B372C7">
            <w:pPr>
              <w:spacing w:after="0" w:line="240" w:lineRule="auto"/>
              <w:rPr>
                <w:rFonts w:asciiTheme="majorHAnsi" w:eastAsia="Times New Roman" w:hAnsiTheme="majorHAnsi" w:cs="Times New Roman"/>
                <w:b/>
                <w:bCs/>
                <w:sz w:val="18"/>
                <w:szCs w:val="18"/>
                <w:lang w:val="ro-MD"/>
              </w:rPr>
            </w:pPr>
            <w:r w:rsidRPr="00D968E1">
              <w:rPr>
                <w:rFonts w:asciiTheme="majorHAnsi" w:eastAsia="Times New Roman" w:hAnsiTheme="majorHAnsi" w:cs="Times New Roman"/>
                <w:b/>
                <w:bCs/>
                <w:sz w:val="18"/>
                <w:szCs w:val="18"/>
                <w:lang w:val="ro-MD"/>
              </w:rPr>
              <w:t>Долгосрочные обязательства</w:t>
            </w:r>
          </w:p>
        </w:tc>
        <w:tc>
          <w:tcPr>
            <w:tcW w:w="993" w:type="dxa"/>
            <w:tcBorders>
              <w:top w:val="nil"/>
              <w:left w:val="nil"/>
              <w:bottom w:val="single" w:sz="4" w:space="0" w:color="auto"/>
              <w:right w:val="nil"/>
            </w:tcBorders>
            <w:shd w:val="clear" w:color="auto" w:fill="auto"/>
            <w:hideMark/>
          </w:tcPr>
          <w:p w14:paraId="34FB7B5F"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2EB8B5EB"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7F27BA01"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66B22A94"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3BCDCAA"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2.2</w:t>
            </w:r>
          </w:p>
        </w:tc>
        <w:tc>
          <w:tcPr>
            <w:tcW w:w="4924" w:type="dxa"/>
            <w:tcBorders>
              <w:top w:val="nil"/>
              <w:left w:val="nil"/>
              <w:bottom w:val="single" w:sz="4" w:space="0" w:color="auto"/>
              <w:right w:val="single" w:sz="4" w:space="0" w:color="auto"/>
            </w:tcBorders>
            <w:shd w:val="clear" w:color="auto" w:fill="auto"/>
            <w:hideMark/>
          </w:tcPr>
          <w:p w14:paraId="0F6A3509" w14:textId="48C66B18" w:rsidR="0032004C" w:rsidRPr="00736448" w:rsidRDefault="00D968E1" w:rsidP="00B372C7">
            <w:pPr>
              <w:spacing w:after="0" w:line="240" w:lineRule="auto"/>
              <w:rPr>
                <w:rFonts w:asciiTheme="majorHAnsi" w:eastAsia="Times New Roman" w:hAnsiTheme="majorHAnsi" w:cs="Times New Roman"/>
                <w:b/>
                <w:bCs/>
                <w:sz w:val="18"/>
                <w:szCs w:val="18"/>
                <w:lang w:val="ro-MD"/>
              </w:rPr>
            </w:pPr>
            <w:r w:rsidRPr="00D968E1">
              <w:rPr>
                <w:rFonts w:asciiTheme="majorHAnsi" w:eastAsia="Times New Roman" w:hAnsiTheme="majorHAnsi" w:cs="Times New Roman"/>
                <w:b/>
                <w:bCs/>
                <w:sz w:val="18"/>
                <w:szCs w:val="18"/>
                <w:lang w:val="ro-MD"/>
              </w:rPr>
              <w:t>Долгосрочные финансовые активы</w:t>
            </w:r>
          </w:p>
        </w:tc>
        <w:tc>
          <w:tcPr>
            <w:tcW w:w="993" w:type="dxa"/>
            <w:tcBorders>
              <w:top w:val="nil"/>
              <w:left w:val="nil"/>
              <w:bottom w:val="single" w:sz="4" w:space="0" w:color="auto"/>
              <w:right w:val="nil"/>
            </w:tcBorders>
            <w:shd w:val="clear" w:color="auto" w:fill="auto"/>
            <w:hideMark/>
          </w:tcPr>
          <w:p w14:paraId="7881547C"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14931E6C"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6B02D4FF"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24F21B8A"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C1857FD"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2CF47827" w14:textId="71055850" w:rsidR="0032004C" w:rsidRPr="00736448" w:rsidRDefault="00D968E1" w:rsidP="00B372C7">
            <w:pPr>
              <w:spacing w:after="0" w:line="240" w:lineRule="auto"/>
              <w:rPr>
                <w:rFonts w:asciiTheme="majorHAnsi" w:eastAsia="Times New Roman" w:hAnsiTheme="majorHAnsi" w:cs="Times New Roman"/>
                <w:b/>
                <w:bCs/>
                <w:sz w:val="18"/>
                <w:szCs w:val="18"/>
                <w:lang w:val="ro-MD"/>
              </w:rPr>
            </w:pPr>
            <w:r w:rsidRPr="00D968E1">
              <w:rPr>
                <w:rFonts w:asciiTheme="majorHAnsi" w:eastAsia="Times New Roman" w:hAnsiTheme="majorHAnsi" w:cs="Times New Roman"/>
                <w:b/>
                <w:bCs/>
                <w:sz w:val="18"/>
                <w:szCs w:val="18"/>
                <w:lang w:val="ro-MD"/>
              </w:rPr>
              <w:t>Всего</w:t>
            </w:r>
            <w:r w:rsidR="0032004C" w:rsidRPr="00736448">
              <w:rPr>
                <w:rFonts w:asciiTheme="majorHAnsi" w:eastAsia="Times New Roman" w:hAnsiTheme="majorHAnsi" w:cs="Times New Roman"/>
                <w:b/>
                <w:bCs/>
                <w:sz w:val="18"/>
                <w:szCs w:val="18"/>
                <w:lang w:val="ro-MD"/>
              </w:rPr>
              <w:t xml:space="preserve"> s.2.2 (rd.35+rd.36+rd.37+rd.38-rd.39-rd.40+/-rd.41)</w:t>
            </w:r>
          </w:p>
        </w:tc>
        <w:tc>
          <w:tcPr>
            <w:tcW w:w="993" w:type="dxa"/>
            <w:tcBorders>
              <w:top w:val="nil"/>
              <w:left w:val="nil"/>
              <w:bottom w:val="single" w:sz="4" w:space="0" w:color="auto"/>
              <w:right w:val="nil"/>
            </w:tcBorders>
            <w:shd w:val="clear" w:color="auto" w:fill="auto"/>
            <w:hideMark/>
          </w:tcPr>
          <w:p w14:paraId="39B23195"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42</w:t>
            </w:r>
          </w:p>
        </w:tc>
        <w:tc>
          <w:tcPr>
            <w:tcW w:w="1559" w:type="dxa"/>
            <w:tcBorders>
              <w:top w:val="nil"/>
              <w:left w:val="single" w:sz="4" w:space="0" w:color="auto"/>
              <w:bottom w:val="single" w:sz="4" w:space="0" w:color="auto"/>
              <w:right w:val="single" w:sz="4" w:space="0" w:color="auto"/>
            </w:tcBorders>
            <w:shd w:val="clear" w:color="auto" w:fill="auto"/>
            <w:hideMark/>
          </w:tcPr>
          <w:p w14:paraId="0424EA9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17474A17"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2DD30469"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77174609"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2.3</w:t>
            </w:r>
          </w:p>
        </w:tc>
        <w:tc>
          <w:tcPr>
            <w:tcW w:w="4924" w:type="dxa"/>
            <w:tcBorders>
              <w:top w:val="nil"/>
              <w:left w:val="nil"/>
              <w:bottom w:val="single" w:sz="4" w:space="0" w:color="auto"/>
              <w:right w:val="single" w:sz="4" w:space="0" w:color="auto"/>
            </w:tcBorders>
            <w:shd w:val="clear" w:color="auto" w:fill="auto"/>
            <w:hideMark/>
          </w:tcPr>
          <w:p w14:paraId="52E6BD5B" w14:textId="588D6934" w:rsidR="0032004C" w:rsidRPr="00736448" w:rsidRDefault="00D968E1" w:rsidP="00B372C7">
            <w:pPr>
              <w:spacing w:after="0" w:line="240" w:lineRule="auto"/>
              <w:rPr>
                <w:rFonts w:asciiTheme="majorHAnsi" w:eastAsia="Times New Roman" w:hAnsiTheme="majorHAnsi" w:cs="Times New Roman"/>
                <w:b/>
                <w:bCs/>
                <w:sz w:val="18"/>
                <w:szCs w:val="18"/>
                <w:lang w:val="ro-MD"/>
              </w:rPr>
            </w:pPr>
            <w:r w:rsidRPr="00D968E1">
              <w:rPr>
                <w:rFonts w:asciiTheme="majorHAnsi" w:eastAsia="Times New Roman" w:hAnsiTheme="majorHAnsi" w:cs="Times New Roman"/>
                <w:b/>
                <w:bCs/>
                <w:sz w:val="18"/>
                <w:szCs w:val="18"/>
                <w:lang w:val="ro-MD"/>
              </w:rPr>
              <w:t>Долгосрочные материальные активы</w:t>
            </w:r>
          </w:p>
        </w:tc>
        <w:tc>
          <w:tcPr>
            <w:tcW w:w="993" w:type="dxa"/>
            <w:tcBorders>
              <w:top w:val="nil"/>
              <w:left w:val="nil"/>
              <w:bottom w:val="single" w:sz="4" w:space="0" w:color="auto"/>
              <w:right w:val="nil"/>
            </w:tcBorders>
            <w:shd w:val="clear" w:color="auto" w:fill="auto"/>
            <w:hideMark/>
          </w:tcPr>
          <w:p w14:paraId="78FB3016"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5770A8A3"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18025DBE"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33CFAA3F"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135D0770"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72F31E9D" w14:textId="52B9D5F9" w:rsidR="0032004C" w:rsidRPr="00736448" w:rsidRDefault="00D968E1" w:rsidP="00B372C7">
            <w:pPr>
              <w:spacing w:after="0" w:line="240" w:lineRule="auto"/>
              <w:rPr>
                <w:rFonts w:asciiTheme="majorHAnsi" w:eastAsia="Times New Roman" w:hAnsiTheme="majorHAnsi" w:cs="Times New Roman"/>
                <w:sz w:val="18"/>
                <w:szCs w:val="18"/>
                <w:lang w:val="ro-MD"/>
              </w:rPr>
            </w:pPr>
            <w:r>
              <w:rPr>
                <w:rFonts w:asciiTheme="majorHAnsi" w:eastAsia="Times New Roman" w:hAnsiTheme="majorHAnsi" w:cs="Times New Roman"/>
                <w:sz w:val="18"/>
                <w:szCs w:val="18"/>
                <w:lang w:val="ru-RU"/>
              </w:rPr>
              <w:t>Земельные участки</w:t>
            </w:r>
            <w:r w:rsidR="0032004C" w:rsidRPr="00736448">
              <w:rPr>
                <w:rFonts w:asciiTheme="majorHAnsi" w:eastAsia="Times New Roman" w:hAnsiTheme="majorHAnsi" w:cs="Times New Roman"/>
                <w:sz w:val="18"/>
                <w:szCs w:val="18"/>
                <w:lang w:val="ro-MD"/>
              </w:rPr>
              <w:t xml:space="preserve"> (221)</w:t>
            </w:r>
          </w:p>
        </w:tc>
        <w:tc>
          <w:tcPr>
            <w:tcW w:w="993" w:type="dxa"/>
            <w:tcBorders>
              <w:top w:val="nil"/>
              <w:left w:val="nil"/>
              <w:bottom w:val="single" w:sz="4" w:space="0" w:color="auto"/>
              <w:right w:val="nil"/>
            </w:tcBorders>
            <w:shd w:val="clear" w:color="auto" w:fill="auto"/>
            <w:hideMark/>
          </w:tcPr>
          <w:p w14:paraId="73EA5F73"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43</w:t>
            </w:r>
          </w:p>
        </w:tc>
        <w:tc>
          <w:tcPr>
            <w:tcW w:w="1559" w:type="dxa"/>
            <w:tcBorders>
              <w:top w:val="nil"/>
              <w:left w:val="single" w:sz="4" w:space="0" w:color="auto"/>
              <w:bottom w:val="single" w:sz="4" w:space="0" w:color="auto"/>
              <w:right w:val="single" w:sz="4" w:space="0" w:color="auto"/>
            </w:tcBorders>
            <w:shd w:val="clear" w:color="auto" w:fill="auto"/>
            <w:hideMark/>
          </w:tcPr>
          <w:p w14:paraId="015CA6B5"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12039141</w:t>
            </w:r>
          </w:p>
        </w:tc>
        <w:tc>
          <w:tcPr>
            <w:tcW w:w="1603" w:type="dxa"/>
            <w:tcBorders>
              <w:top w:val="nil"/>
              <w:left w:val="nil"/>
              <w:bottom w:val="single" w:sz="4" w:space="0" w:color="auto"/>
              <w:right w:val="single" w:sz="4" w:space="0" w:color="auto"/>
            </w:tcBorders>
            <w:shd w:val="clear" w:color="auto" w:fill="auto"/>
            <w:hideMark/>
          </w:tcPr>
          <w:p w14:paraId="5A741ED5"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12039141</w:t>
            </w:r>
          </w:p>
        </w:tc>
      </w:tr>
      <w:tr w:rsidR="0032004C" w:rsidRPr="00B7675F" w14:paraId="0F607B65"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40C30229"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1436BF7B" w14:textId="49D5B284" w:rsidR="0032004C" w:rsidRPr="00736448" w:rsidRDefault="00D968E1" w:rsidP="00B372C7">
            <w:pPr>
              <w:spacing w:after="0" w:line="240" w:lineRule="auto"/>
              <w:rPr>
                <w:rFonts w:asciiTheme="majorHAnsi" w:eastAsia="Times New Roman" w:hAnsiTheme="majorHAnsi" w:cs="Times New Roman"/>
                <w:sz w:val="18"/>
                <w:szCs w:val="18"/>
                <w:lang w:val="ro-MD"/>
              </w:rPr>
            </w:pPr>
            <w:r>
              <w:rPr>
                <w:rFonts w:asciiTheme="majorHAnsi" w:eastAsia="Times New Roman" w:hAnsiTheme="majorHAnsi" w:cs="Times New Roman"/>
                <w:sz w:val="18"/>
                <w:szCs w:val="18"/>
                <w:lang w:val="ru-RU"/>
              </w:rPr>
              <w:t>Основные средства</w:t>
            </w:r>
            <w:r w:rsidR="0032004C" w:rsidRPr="00736448">
              <w:rPr>
                <w:rFonts w:asciiTheme="majorHAnsi" w:eastAsia="Times New Roman" w:hAnsiTheme="majorHAnsi" w:cs="Times New Roman"/>
                <w:sz w:val="18"/>
                <w:szCs w:val="18"/>
                <w:lang w:val="ro-MD"/>
              </w:rPr>
              <w:t xml:space="preserve"> (222)</w:t>
            </w:r>
          </w:p>
        </w:tc>
        <w:tc>
          <w:tcPr>
            <w:tcW w:w="993" w:type="dxa"/>
            <w:tcBorders>
              <w:top w:val="nil"/>
              <w:left w:val="nil"/>
              <w:bottom w:val="single" w:sz="4" w:space="0" w:color="auto"/>
              <w:right w:val="nil"/>
            </w:tcBorders>
            <w:shd w:val="clear" w:color="auto" w:fill="auto"/>
            <w:hideMark/>
          </w:tcPr>
          <w:p w14:paraId="135C8A55"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44</w:t>
            </w:r>
          </w:p>
        </w:tc>
        <w:tc>
          <w:tcPr>
            <w:tcW w:w="1559" w:type="dxa"/>
            <w:tcBorders>
              <w:top w:val="nil"/>
              <w:left w:val="single" w:sz="4" w:space="0" w:color="auto"/>
              <w:bottom w:val="single" w:sz="4" w:space="0" w:color="auto"/>
              <w:right w:val="single" w:sz="4" w:space="0" w:color="auto"/>
            </w:tcBorders>
            <w:shd w:val="clear" w:color="auto" w:fill="auto"/>
            <w:hideMark/>
          </w:tcPr>
          <w:p w14:paraId="60339EA4"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221482357</w:t>
            </w:r>
          </w:p>
        </w:tc>
        <w:tc>
          <w:tcPr>
            <w:tcW w:w="1603" w:type="dxa"/>
            <w:tcBorders>
              <w:top w:val="nil"/>
              <w:left w:val="nil"/>
              <w:bottom w:val="single" w:sz="4" w:space="0" w:color="auto"/>
              <w:right w:val="single" w:sz="4" w:space="0" w:color="auto"/>
            </w:tcBorders>
            <w:shd w:val="clear" w:color="auto" w:fill="auto"/>
            <w:hideMark/>
          </w:tcPr>
          <w:p w14:paraId="3759E986"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216283557</w:t>
            </w:r>
          </w:p>
        </w:tc>
      </w:tr>
      <w:tr w:rsidR="0032004C" w:rsidRPr="00B7675F" w14:paraId="741CCE7F"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036A90A3"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2A3B6082" w14:textId="5B5A59CA" w:rsidR="0032004C" w:rsidRPr="00736448" w:rsidRDefault="00D968E1" w:rsidP="00D968E1">
            <w:pPr>
              <w:spacing w:after="0" w:line="240" w:lineRule="auto"/>
              <w:rPr>
                <w:rFonts w:asciiTheme="majorHAnsi" w:eastAsia="Times New Roman" w:hAnsiTheme="majorHAnsi" w:cs="Times New Roman"/>
                <w:sz w:val="18"/>
                <w:szCs w:val="18"/>
                <w:lang w:val="ro-MD"/>
              </w:rPr>
            </w:pPr>
            <w:r>
              <w:rPr>
                <w:rFonts w:asciiTheme="majorHAnsi" w:eastAsia="Times New Roman" w:hAnsiTheme="majorHAnsi" w:cs="Times New Roman"/>
                <w:sz w:val="18"/>
                <w:szCs w:val="18"/>
                <w:lang w:val="ru-RU"/>
              </w:rPr>
              <w:t>Незавершенные материальные активы</w:t>
            </w:r>
            <w:r w:rsidR="0032004C" w:rsidRPr="00736448">
              <w:rPr>
                <w:rFonts w:asciiTheme="majorHAnsi" w:eastAsia="Times New Roman" w:hAnsiTheme="majorHAnsi" w:cs="Times New Roman"/>
                <w:sz w:val="18"/>
                <w:szCs w:val="18"/>
                <w:lang w:val="ro-MD"/>
              </w:rPr>
              <w:t xml:space="preserve"> (223)</w:t>
            </w:r>
          </w:p>
        </w:tc>
        <w:tc>
          <w:tcPr>
            <w:tcW w:w="993" w:type="dxa"/>
            <w:tcBorders>
              <w:top w:val="nil"/>
              <w:left w:val="nil"/>
              <w:bottom w:val="single" w:sz="4" w:space="0" w:color="auto"/>
              <w:right w:val="nil"/>
            </w:tcBorders>
            <w:shd w:val="clear" w:color="auto" w:fill="auto"/>
            <w:hideMark/>
          </w:tcPr>
          <w:p w14:paraId="42F223E8"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45</w:t>
            </w:r>
          </w:p>
        </w:tc>
        <w:tc>
          <w:tcPr>
            <w:tcW w:w="1559" w:type="dxa"/>
            <w:tcBorders>
              <w:top w:val="nil"/>
              <w:left w:val="single" w:sz="4" w:space="0" w:color="auto"/>
              <w:bottom w:val="single" w:sz="4" w:space="0" w:color="auto"/>
              <w:right w:val="single" w:sz="4" w:space="0" w:color="auto"/>
            </w:tcBorders>
            <w:shd w:val="clear" w:color="auto" w:fill="auto"/>
            <w:hideMark/>
          </w:tcPr>
          <w:p w14:paraId="5E585C76"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7EE00B42"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46CB6741"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102AD128"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55A6981D" w14:textId="3CD54C2D" w:rsidR="0032004C" w:rsidRPr="00736448" w:rsidRDefault="00D968E1" w:rsidP="00B372C7">
            <w:pPr>
              <w:spacing w:after="0" w:line="240" w:lineRule="auto"/>
              <w:rPr>
                <w:rFonts w:asciiTheme="majorHAnsi" w:eastAsia="Times New Roman" w:hAnsiTheme="majorHAnsi" w:cs="Times New Roman"/>
                <w:sz w:val="18"/>
                <w:szCs w:val="18"/>
                <w:lang w:val="ro-MD"/>
              </w:rPr>
            </w:pPr>
            <w:r>
              <w:rPr>
                <w:rFonts w:asciiTheme="majorHAnsi" w:eastAsia="Times New Roman" w:hAnsiTheme="majorHAnsi" w:cs="Times New Roman"/>
                <w:sz w:val="18"/>
                <w:szCs w:val="18"/>
                <w:lang w:val="ru-RU"/>
              </w:rPr>
              <w:t>Износ основных средств</w:t>
            </w:r>
            <w:r w:rsidR="0032004C" w:rsidRPr="00736448">
              <w:rPr>
                <w:rFonts w:asciiTheme="majorHAnsi" w:eastAsia="Times New Roman" w:hAnsiTheme="majorHAnsi" w:cs="Times New Roman"/>
                <w:sz w:val="18"/>
                <w:szCs w:val="18"/>
                <w:lang w:val="ro-MD"/>
              </w:rPr>
              <w:t xml:space="preserve"> (-) (224)</w:t>
            </w:r>
          </w:p>
        </w:tc>
        <w:tc>
          <w:tcPr>
            <w:tcW w:w="993" w:type="dxa"/>
            <w:tcBorders>
              <w:top w:val="nil"/>
              <w:left w:val="nil"/>
              <w:bottom w:val="single" w:sz="4" w:space="0" w:color="auto"/>
              <w:right w:val="nil"/>
            </w:tcBorders>
            <w:shd w:val="clear" w:color="auto" w:fill="auto"/>
            <w:hideMark/>
          </w:tcPr>
          <w:p w14:paraId="73266D4B"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46</w:t>
            </w:r>
          </w:p>
        </w:tc>
        <w:tc>
          <w:tcPr>
            <w:tcW w:w="1559" w:type="dxa"/>
            <w:tcBorders>
              <w:top w:val="nil"/>
              <w:left w:val="single" w:sz="4" w:space="0" w:color="auto"/>
              <w:bottom w:val="single" w:sz="4" w:space="0" w:color="auto"/>
              <w:right w:val="single" w:sz="4" w:space="0" w:color="auto"/>
            </w:tcBorders>
            <w:shd w:val="clear" w:color="auto" w:fill="auto"/>
            <w:hideMark/>
          </w:tcPr>
          <w:p w14:paraId="243BD181"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-111998117</w:t>
            </w:r>
          </w:p>
        </w:tc>
        <w:tc>
          <w:tcPr>
            <w:tcW w:w="1603" w:type="dxa"/>
            <w:tcBorders>
              <w:top w:val="nil"/>
              <w:left w:val="nil"/>
              <w:bottom w:val="single" w:sz="4" w:space="0" w:color="auto"/>
              <w:right w:val="single" w:sz="4" w:space="0" w:color="auto"/>
            </w:tcBorders>
            <w:shd w:val="clear" w:color="auto" w:fill="auto"/>
            <w:hideMark/>
          </w:tcPr>
          <w:p w14:paraId="25E1141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-106345472</w:t>
            </w:r>
          </w:p>
        </w:tc>
      </w:tr>
      <w:tr w:rsidR="0032004C" w:rsidRPr="00B7675F" w14:paraId="32B51917"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0445005C"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662B716E" w14:textId="6ABB6B90" w:rsidR="0032004C" w:rsidRPr="00736448" w:rsidRDefault="00D968E1" w:rsidP="00B372C7">
            <w:pPr>
              <w:spacing w:after="0" w:line="240" w:lineRule="auto"/>
              <w:rPr>
                <w:rFonts w:asciiTheme="majorHAnsi" w:eastAsia="Times New Roman" w:hAnsiTheme="majorHAnsi" w:cs="Times New Roman"/>
                <w:b/>
                <w:bCs/>
                <w:sz w:val="18"/>
                <w:szCs w:val="18"/>
                <w:lang w:val="ro-MD"/>
              </w:rPr>
            </w:pPr>
            <w:r w:rsidRPr="00D968E1">
              <w:rPr>
                <w:rFonts w:asciiTheme="majorHAnsi" w:eastAsia="Times New Roman" w:hAnsiTheme="majorHAnsi" w:cs="Times New Roman"/>
                <w:b/>
                <w:bCs/>
                <w:sz w:val="18"/>
                <w:szCs w:val="18"/>
                <w:lang w:val="ro-MD"/>
              </w:rPr>
              <w:t>Всего</w:t>
            </w:r>
            <w:r w:rsidR="0032004C" w:rsidRPr="00736448">
              <w:rPr>
                <w:rFonts w:asciiTheme="majorHAnsi" w:eastAsia="Times New Roman" w:hAnsiTheme="majorHAnsi" w:cs="Times New Roman"/>
                <w:b/>
                <w:bCs/>
                <w:sz w:val="18"/>
                <w:szCs w:val="18"/>
                <w:lang w:val="ro-MD"/>
              </w:rPr>
              <w:t xml:space="preserve"> s.2.3 (rd.43+rd.44+rd.45-rd.46)</w:t>
            </w:r>
          </w:p>
        </w:tc>
        <w:tc>
          <w:tcPr>
            <w:tcW w:w="993" w:type="dxa"/>
            <w:tcBorders>
              <w:top w:val="nil"/>
              <w:left w:val="nil"/>
              <w:bottom w:val="single" w:sz="4" w:space="0" w:color="auto"/>
              <w:right w:val="nil"/>
            </w:tcBorders>
            <w:shd w:val="clear" w:color="auto" w:fill="auto"/>
            <w:hideMark/>
          </w:tcPr>
          <w:p w14:paraId="2BAB8904"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47</w:t>
            </w:r>
          </w:p>
        </w:tc>
        <w:tc>
          <w:tcPr>
            <w:tcW w:w="1559" w:type="dxa"/>
            <w:tcBorders>
              <w:top w:val="nil"/>
              <w:left w:val="single" w:sz="4" w:space="0" w:color="auto"/>
              <w:bottom w:val="single" w:sz="4" w:space="0" w:color="auto"/>
              <w:right w:val="single" w:sz="4" w:space="0" w:color="auto"/>
            </w:tcBorders>
            <w:shd w:val="clear" w:color="auto" w:fill="auto"/>
            <w:hideMark/>
          </w:tcPr>
          <w:p w14:paraId="6EB42230"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121523381</w:t>
            </w:r>
          </w:p>
        </w:tc>
        <w:tc>
          <w:tcPr>
            <w:tcW w:w="1603" w:type="dxa"/>
            <w:tcBorders>
              <w:top w:val="nil"/>
              <w:left w:val="nil"/>
              <w:bottom w:val="single" w:sz="4" w:space="0" w:color="auto"/>
              <w:right w:val="single" w:sz="4" w:space="0" w:color="auto"/>
            </w:tcBorders>
            <w:shd w:val="clear" w:color="auto" w:fill="auto"/>
            <w:hideMark/>
          </w:tcPr>
          <w:p w14:paraId="0F906D13"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121977226</w:t>
            </w:r>
          </w:p>
        </w:tc>
      </w:tr>
      <w:tr w:rsidR="0032004C" w:rsidRPr="00B7675F" w14:paraId="2BFC6564"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6890611E"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2.4</w:t>
            </w:r>
          </w:p>
        </w:tc>
        <w:tc>
          <w:tcPr>
            <w:tcW w:w="4924" w:type="dxa"/>
            <w:tcBorders>
              <w:top w:val="nil"/>
              <w:left w:val="nil"/>
              <w:bottom w:val="single" w:sz="4" w:space="0" w:color="auto"/>
              <w:right w:val="single" w:sz="4" w:space="0" w:color="auto"/>
            </w:tcBorders>
            <w:shd w:val="clear" w:color="auto" w:fill="auto"/>
            <w:hideMark/>
          </w:tcPr>
          <w:p w14:paraId="05EAACF8" w14:textId="4A84138B" w:rsidR="0032004C" w:rsidRPr="00D968E1" w:rsidRDefault="00D968E1" w:rsidP="00B372C7">
            <w:pPr>
              <w:spacing w:after="0" w:line="240" w:lineRule="auto"/>
              <w:rPr>
                <w:rFonts w:asciiTheme="majorHAnsi" w:eastAsia="Times New Roman" w:hAnsiTheme="majorHAnsi" w:cs="Times New Roman"/>
                <w:b/>
                <w:bCs/>
                <w:sz w:val="18"/>
                <w:szCs w:val="18"/>
                <w:lang w:val="ru-RU"/>
              </w:rPr>
            </w:pPr>
            <w:r>
              <w:rPr>
                <w:rFonts w:asciiTheme="majorHAnsi" w:eastAsia="Times New Roman" w:hAnsiTheme="majorHAnsi" w:cs="Times New Roman"/>
                <w:b/>
                <w:bCs/>
                <w:sz w:val="18"/>
                <w:szCs w:val="18"/>
                <w:lang w:val="ru-RU"/>
              </w:rPr>
              <w:t>Нематериальные активы</w:t>
            </w:r>
          </w:p>
        </w:tc>
        <w:tc>
          <w:tcPr>
            <w:tcW w:w="993" w:type="dxa"/>
            <w:tcBorders>
              <w:top w:val="nil"/>
              <w:left w:val="nil"/>
              <w:bottom w:val="single" w:sz="4" w:space="0" w:color="auto"/>
              <w:right w:val="nil"/>
            </w:tcBorders>
            <w:shd w:val="clear" w:color="auto" w:fill="auto"/>
            <w:hideMark/>
          </w:tcPr>
          <w:p w14:paraId="16FA5D3E"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1DD7E16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7DEDEF25"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39C9272B"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0CCA660D"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4BB9C774" w14:textId="51CBD8DA" w:rsidR="0032004C" w:rsidRPr="00736448" w:rsidRDefault="00D968E1" w:rsidP="00B372C7">
            <w:pPr>
              <w:spacing w:after="0" w:line="240" w:lineRule="auto"/>
              <w:rPr>
                <w:rFonts w:asciiTheme="majorHAnsi" w:eastAsia="Times New Roman" w:hAnsiTheme="majorHAnsi" w:cs="Times New Roman"/>
                <w:sz w:val="18"/>
                <w:szCs w:val="18"/>
                <w:lang w:val="ro-MD"/>
              </w:rPr>
            </w:pPr>
            <w:r>
              <w:rPr>
                <w:rFonts w:asciiTheme="majorHAnsi" w:eastAsia="Times New Roman" w:hAnsiTheme="majorHAnsi" w:cs="Times New Roman"/>
                <w:sz w:val="18"/>
                <w:szCs w:val="18"/>
                <w:lang w:val="ru-RU"/>
              </w:rPr>
              <w:t>Нематериальные активы</w:t>
            </w:r>
            <w:r w:rsidR="0032004C" w:rsidRPr="00736448">
              <w:rPr>
                <w:rFonts w:asciiTheme="majorHAnsi" w:eastAsia="Times New Roman" w:hAnsiTheme="majorHAnsi" w:cs="Times New Roman"/>
                <w:sz w:val="18"/>
                <w:szCs w:val="18"/>
                <w:lang w:val="ro-MD"/>
              </w:rPr>
              <w:t xml:space="preserve"> (231)</w:t>
            </w:r>
          </w:p>
        </w:tc>
        <w:tc>
          <w:tcPr>
            <w:tcW w:w="993" w:type="dxa"/>
            <w:tcBorders>
              <w:top w:val="nil"/>
              <w:left w:val="nil"/>
              <w:bottom w:val="single" w:sz="4" w:space="0" w:color="auto"/>
              <w:right w:val="nil"/>
            </w:tcBorders>
            <w:shd w:val="clear" w:color="auto" w:fill="auto"/>
            <w:hideMark/>
          </w:tcPr>
          <w:p w14:paraId="312598F7"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48</w:t>
            </w:r>
          </w:p>
        </w:tc>
        <w:tc>
          <w:tcPr>
            <w:tcW w:w="1559" w:type="dxa"/>
            <w:tcBorders>
              <w:top w:val="nil"/>
              <w:left w:val="single" w:sz="4" w:space="0" w:color="auto"/>
              <w:bottom w:val="single" w:sz="4" w:space="0" w:color="auto"/>
              <w:right w:val="single" w:sz="4" w:space="0" w:color="auto"/>
            </w:tcBorders>
            <w:shd w:val="clear" w:color="auto" w:fill="auto"/>
            <w:hideMark/>
          </w:tcPr>
          <w:p w14:paraId="0A69FDD2"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87714247</w:t>
            </w:r>
          </w:p>
        </w:tc>
        <w:tc>
          <w:tcPr>
            <w:tcW w:w="1603" w:type="dxa"/>
            <w:tcBorders>
              <w:top w:val="nil"/>
              <w:left w:val="nil"/>
              <w:bottom w:val="single" w:sz="4" w:space="0" w:color="auto"/>
              <w:right w:val="single" w:sz="4" w:space="0" w:color="auto"/>
            </w:tcBorders>
            <w:shd w:val="clear" w:color="auto" w:fill="auto"/>
            <w:hideMark/>
          </w:tcPr>
          <w:p w14:paraId="1F3B1CB6"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84558651</w:t>
            </w:r>
          </w:p>
        </w:tc>
      </w:tr>
      <w:tr w:rsidR="0032004C" w:rsidRPr="00B7675F" w14:paraId="064D577C"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74F0672C"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45B2F8EC" w14:textId="37FE9240" w:rsidR="0032004C" w:rsidRPr="00736448" w:rsidRDefault="00D968E1" w:rsidP="00B372C7">
            <w:pPr>
              <w:spacing w:after="0" w:line="240" w:lineRule="auto"/>
              <w:rPr>
                <w:rFonts w:asciiTheme="majorHAnsi" w:eastAsia="Times New Roman" w:hAnsiTheme="majorHAnsi" w:cs="Times New Roman"/>
                <w:sz w:val="18"/>
                <w:szCs w:val="18"/>
                <w:lang w:val="ro-MD"/>
              </w:rPr>
            </w:pPr>
            <w:r>
              <w:rPr>
                <w:rFonts w:asciiTheme="majorHAnsi" w:eastAsia="Times New Roman" w:hAnsiTheme="majorHAnsi" w:cs="Times New Roman"/>
                <w:sz w:val="18"/>
                <w:szCs w:val="18"/>
                <w:lang w:val="ru-RU"/>
              </w:rPr>
              <w:t>Незавершенные нематериальные активы</w:t>
            </w:r>
            <w:r w:rsidRPr="00736448">
              <w:rPr>
                <w:rFonts w:asciiTheme="majorHAnsi" w:eastAsia="Times New Roman" w:hAnsiTheme="majorHAnsi" w:cs="Times New Roman"/>
                <w:sz w:val="18"/>
                <w:szCs w:val="18"/>
                <w:lang w:val="ro-MD"/>
              </w:rPr>
              <w:t xml:space="preserve"> </w:t>
            </w:r>
            <w:r w:rsidR="0032004C" w:rsidRPr="00736448">
              <w:rPr>
                <w:rFonts w:asciiTheme="majorHAnsi" w:eastAsia="Times New Roman" w:hAnsiTheme="majorHAnsi" w:cs="Times New Roman"/>
                <w:sz w:val="18"/>
                <w:szCs w:val="18"/>
                <w:lang w:val="ro-MD"/>
              </w:rPr>
              <w:t>(232)</w:t>
            </w:r>
          </w:p>
        </w:tc>
        <w:tc>
          <w:tcPr>
            <w:tcW w:w="993" w:type="dxa"/>
            <w:tcBorders>
              <w:top w:val="nil"/>
              <w:left w:val="nil"/>
              <w:bottom w:val="single" w:sz="4" w:space="0" w:color="auto"/>
              <w:right w:val="nil"/>
            </w:tcBorders>
            <w:shd w:val="clear" w:color="auto" w:fill="auto"/>
            <w:hideMark/>
          </w:tcPr>
          <w:p w14:paraId="7E044BF9"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49</w:t>
            </w:r>
          </w:p>
        </w:tc>
        <w:tc>
          <w:tcPr>
            <w:tcW w:w="1559" w:type="dxa"/>
            <w:tcBorders>
              <w:top w:val="nil"/>
              <w:left w:val="single" w:sz="4" w:space="0" w:color="auto"/>
              <w:bottom w:val="single" w:sz="4" w:space="0" w:color="auto"/>
              <w:right w:val="single" w:sz="4" w:space="0" w:color="auto"/>
            </w:tcBorders>
            <w:shd w:val="clear" w:color="auto" w:fill="auto"/>
            <w:hideMark/>
          </w:tcPr>
          <w:p w14:paraId="05E39249"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066FB3B2"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76F83A38"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6021DCC7"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0E1FA8FF" w14:textId="0E8A364D" w:rsidR="0032004C" w:rsidRPr="00736448" w:rsidRDefault="00D968E1" w:rsidP="00D968E1">
            <w:pPr>
              <w:spacing w:after="0" w:line="240" w:lineRule="auto"/>
              <w:rPr>
                <w:rFonts w:asciiTheme="majorHAnsi" w:eastAsia="Times New Roman" w:hAnsiTheme="majorHAnsi" w:cs="Times New Roman"/>
                <w:sz w:val="18"/>
                <w:szCs w:val="18"/>
                <w:lang w:val="ro-MD"/>
              </w:rPr>
            </w:pPr>
            <w:r>
              <w:rPr>
                <w:rFonts w:asciiTheme="majorHAnsi" w:eastAsia="Times New Roman" w:hAnsiTheme="majorHAnsi" w:cs="Times New Roman"/>
                <w:sz w:val="18"/>
                <w:szCs w:val="18"/>
                <w:lang w:val="ru-RU"/>
              </w:rPr>
              <w:t xml:space="preserve">Амортизация </w:t>
            </w:r>
            <w:r w:rsidR="0032004C" w:rsidRPr="00736448">
              <w:rPr>
                <w:rFonts w:asciiTheme="majorHAnsi" w:eastAsia="Times New Roman" w:hAnsiTheme="majorHAnsi" w:cs="Times New Roman"/>
                <w:sz w:val="18"/>
                <w:szCs w:val="18"/>
                <w:lang w:val="ro-MD"/>
              </w:rPr>
              <w:t xml:space="preserve"> </w:t>
            </w:r>
            <w:r>
              <w:rPr>
                <w:rFonts w:asciiTheme="majorHAnsi" w:eastAsia="Times New Roman" w:hAnsiTheme="majorHAnsi" w:cs="Times New Roman"/>
                <w:sz w:val="18"/>
                <w:szCs w:val="18"/>
                <w:lang w:val="ru-RU"/>
              </w:rPr>
              <w:t>нематериальных активов</w:t>
            </w:r>
            <w:r w:rsidR="0032004C" w:rsidRPr="00736448">
              <w:rPr>
                <w:rFonts w:asciiTheme="majorHAnsi" w:eastAsia="Times New Roman" w:hAnsiTheme="majorHAnsi" w:cs="Times New Roman"/>
                <w:sz w:val="18"/>
                <w:szCs w:val="18"/>
                <w:lang w:val="ro-MD"/>
              </w:rPr>
              <w:t xml:space="preserve"> (-) (233)</w:t>
            </w:r>
          </w:p>
        </w:tc>
        <w:tc>
          <w:tcPr>
            <w:tcW w:w="993" w:type="dxa"/>
            <w:tcBorders>
              <w:top w:val="nil"/>
              <w:left w:val="nil"/>
              <w:bottom w:val="single" w:sz="4" w:space="0" w:color="auto"/>
              <w:right w:val="nil"/>
            </w:tcBorders>
            <w:shd w:val="clear" w:color="auto" w:fill="auto"/>
            <w:hideMark/>
          </w:tcPr>
          <w:p w14:paraId="6FA2E4EC"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50</w:t>
            </w:r>
          </w:p>
        </w:tc>
        <w:tc>
          <w:tcPr>
            <w:tcW w:w="1559" w:type="dxa"/>
            <w:tcBorders>
              <w:top w:val="nil"/>
              <w:left w:val="single" w:sz="4" w:space="0" w:color="auto"/>
              <w:bottom w:val="single" w:sz="4" w:space="0" w:color="auto"/>
              <w:right w:val="single" w:sz="4" w:space="0" w:color="auto"/>
            </w:tcBorders>
            <w:shd w:val="clear" w:color="auto" w:fill="auto"/>
            <w:hideMark/>
          </w:tcPr>
          <w:p w14:paraId="57352AF8"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-85772651</w:t>
            </w:r>
          </w:p>
        </w:tc>
        <w:tc>
          <w:tcPr>
            <w:tcW w:w="1603" w:type="dxa"/>
            <w:tcBorders>
              <w:top w:val="nil"/>
              <w:left w:val="nil"/>
              <w:bottom w:val="single" w:sz="4" w:space="0" w:color="auto"/>
              <w:right w:val="single" w:sz="4" w:space="0" w:color="auto"/>
            </w:tcBorders>
            <w:shd w:val="clear" w:color="auto" w:fill="auto"/>
            <w:hideMark/>
          </w:tcPr>
          <w:p w14:paraId="2DBE420A"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-82537656</w:t>
            </w:r>
          </w:p>
        </w:tc>
      </w:tr>
      <w:tr w:rsidR="0032004C" w:rsidRPr="00B7675F" w14:paraId="58126261"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2BDE6637"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0E0406CD" w14:textId="04771E06" w:rsidR="0032004C" w:rsidRPr="00736448" w:rsidRDefault="00D968E1" w:rsidP="00B372C7">
            <w:pPr>
              <w:spacing w:after="0" w:line="240" w:lineRule="auto"/>
              <w:rPr>
                <w:rFonts w:asciiTheme="majorHAnsi" w:eastAsia="Times New Roman" w:hAnsiTheme="majorHAnsi" w:cs="Times New Roman"/>
                <w:b/>
                <w:bCs/>
                <w:sz w:val="18"/>
                <w:szCs w:val="18"/>
                <w:lang w:val="ro-MD"/>
              </w:rPr>
            </w:pPr>
            <w:r w:rsidRPr="00D968E1">
              <w:rPr>
                <w:rFonts w:asciiTheme="majorHAnsi" w:eastAsia="Times New Roman" w:hAnsiTheme="majorHAnsi" w:cs="Times New Roman"/>
                <w:b/>
                <w:bCs/>
                <w:sz w:val="18"/>
                <w:szCs w:val="18"/>
                <w:lang w:val="ro-MD"/>
              </w:rPr>
              <w:t>Всего</w:t>
            </w:r>
            <w:r w:rsidR="0032004C" w:rsidRPr="00736448">
              <w:rPr>
                <w:rFonts w:asciiTheme="majorHAnsi" w:eastAsia="Times New Roman" w:hAnsiTheme="majorHAnsi" w:cs="Times New Roman"/>
                <w:b/>
                <w:bCs/>
                <w:sz w:val="18"/>
                <w:szCs w:val="18"/>
                <w:lang w:val="ro-MD"/>
              </w:rPr>
              <w:t xml:space="preserve"> s.2.4 (rd.48+rd.49-rd.50)</w:t>
            </w:r>
          </w:p>
        </w:tc>
        <w:tc>
          <w:tcPr>
            <w:tcW w:w="993" w:type="dxa"/>
            <w:tcBorders>
              <w:top w:val="nil"/>
              <w:left w:val="nil"/>
              <w:bottom w:val="single" w:sz="4" w:space="0" w:color="auto"/>
              <w:right w:val="nil"/>
            </w:tcBorders>
            <w:shd w:val="clear" w:color="auto" w:fill="auto"/>
            <w:hideMark/>
          </w:tcPr>
          <w:p w14:paraId="4B85B080"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51</w:t>
            </w:r>
          </w:p>
        </w:tc>
        <w:tc>
          <w:tcPr>
            <w:tcW w:w="1559" w:type="dxa"/>
            <w:tcBorders>
              <w:top w:val="nil"/>
              <w:left w:val="single" w:sz="4" w:space="0" w:color="auto"/>
              <w:bottom w:val="single" w:sz="4" w:space="0" w:color="auto"/>
              <w:right w:val="single" w:sz="4" w:space="0" w:color="auto"/>
            </w:tcBorders>
            <w:shd w:val="clear" w:color="auto" w:fill="auto"/>
            <w:hideMark/>
          </w:tcPr>
          <w:p w14:paraId="62D10A05"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1941596</w:t>
            </w:r>
          </w:p>
        </w:tc>
        <w:tc>
          <w:tcPr>
            <w:tcW w:w="1603" w:type="dxa"/>
            <w:tcBorders>
              <w:top w:val="nil"/>
              <w:left w:val="nil"/>
              <w:bottom w:val="single" w:sz="4" w:space="0" w:color="auto"/>
              <w:right w:val="single" w:sz="4" w:space="0" w:color="auto"/>
            </w:tcBorders>
            <w:shd w:val="clear" w:color="auto" w:fill="auto"/>
            <w:hideMark/>
          </w:tcPr>
          <w:p w14:paraId="087A54C3"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2020995</w:t>
            </w:r>
          </w:p>
        </w:tc>
      </w:tr>
      <w:tr w:rsidR="0032004C" w:rsidRPr="00B7675F" w14:paraId="39E6135F"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454FD27"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5B8099CF" w14:textId="698FCEC6" w:rsidR="0032004C" w:rsidRPr="00736448" w:rsidRDefault="00D968E1" w:rsidP="00D968E1">
            <w:pPr>
              <w:spacing w:after="0" w:line="240" w:lineRule="auto"/>
              <w:rPr>
                <w:rFonts w:asciiTheme="majorHAnsi" w:eastAsia="Times New Roman" w:hAnsiTheme="majorHAnsi" w:cs="Times New Roman"/>
                <w:b/>
                <w:bCs/>
                <w:sz w:val="18"/>
                <w:szCs w:val="18"/>
                <w:lang w:val="ro-MD"/>
              </w:rPr>
            </w:pPr>
            <w:r>
              <w:rPr>
                <w:rFonts w:asciiTheme="majorHAnsi" w:eastAsia="Times New Roman" w:hAnsiTheme="majorHAnsi" w:cs="Times New Roman"/>
                <w:b/>
                <w:bCs/>
                <w:sz w:val="18"/>
                <w:szCs w:val="18"/>
                <w:lang w:val="ru-RU"/>
              </w:rPr>
              <w:t>ВСЕГО Раздел</w:t>
            </w:r>
            <w:r w:rsidR="0032004C" w:rsidRPr="00736448">
              <w:rPr>
                <w:rFonts w:asciiTheme="majorHAnsi" w:eastAsia="Times New Roman" w:hAnsiTheme="majorHAnsi" w:cs="Times New Roman"/>
                <w:b/>
                <w:bCs/>
                <w:sz w:val="18"/>
                <w:szCs w:val="18"/>
                <w:lang w:val="ro-MD"/>
              </w:rPr>
              <w:t xml:space="preserve"> 2 (rd.34+rd.42+rd.47+rd.51)</w:t>
            </w:r>
          </w:p>
        </w:tc>
        <w:tc>
          <w:tcPr>
            <w:tcW w:w="993" w:type="dxa"/>
            <w:tcBorders>
              <w:top w:val="nil"/>
              <w:left w:val="nil"/>
              <w:bottom w:val="single" w:sz="4" w:space="0" w:color="auto"/>
              <w:right w:val="nil"/>
            </w:tcBorders>
            <w:shd w:val="clear" w:color="auto" w:fill="auto"/>
            <w:hideMark/>
          </w:tcPr>
          <w:p w14:paraId="6F996F77"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52</w:t>
            </w:r>
          </w:p>
        </w:tc>
        <w:tc>
          <w:tcPr>
            <w:tcW w:w="1559" w:type="dxa"/>
            <w:tcBorders>
              <w:top w:val="nil"/>
              <w:left w:val="single" w:sz="4" w:space="0" w:color="auto"/>
              <w:bottom w:val="single" w:sz="4" w:space="0" w:color="auto"/>
              <w:right w:val="single" w:sz="4" w:space="0" w:color="auto"/>
            </w:tcBorders>
            <w:shd w:val="clear" w:color="auto" w:fill="auto"/>
            <w:hideMark/>
          </w:tcPr>
          <w:p w14:paraId="6C561D31"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123464977</w:t>
            </w:r>
          </w:p>
        </w:tc>
        <w:tc>
          <w:tcPr>
            <w:tcW w:w="1603" w:type="dxa"/>
            <w:tcBorders>
              <w:top w:val="nil"/>
              <w:left w:val="nil"/>
              <w:bottom w:val="single" w:sz="4" w:space="0" w:color="auto"/>
              <w:right w:val="single" w:sz="4" w:space="0" w:color="auto"/>
            </w:tcBorders>
            <w:shd w:val="clear" w:color="auto" w:fill="auto"/>
            <w:hideMark/>
          </w:tcPr>
          <w:p w14:paraId="3EAACF78"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123998221</w:t>
            </w:r>
          </w:p>
        </w:tc>
      </w:tr>
      <w:tr w:rsidR="0032004C" w:rsidRPr="00B7675F" w14:paraId="1E31756B"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4A82091D"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79A4830F" w14:textId="0A1186DE" w:rsidR="0032004C" w:rsidRPr="00736448" w:rsidRDefault="00D968E1" w:rsidP="00D968E1">
            <w:pPr>
              <w:spacing w:after="0" w:line="240" w:lineRule="auto"/>
              <w:rPr>
                <w:rFonts w:asciiTheme="majorHAnsi" w:eastAsia="Times New Roman" w:hAnsiTheme="majorHAnsi" w:cs="Times New Roman"/>
                <w:b/>
                <w:bCs/>
                <w:sz w:val="18"/>
                <w:szCs w:val="18"/>
                <w:lang w:val="ro-MD"/>
              </w:rPr>
            </w:pPr>
            <w:r>
              <w:rPr>
                <w:rFonts w:asciiTheme="majorHAnsi" w:eastAsia="Times New Roman" w:hAnsiTheme="majorHAnsi" w:cs="Times New Roman"/>
                <w:b/>
                <w:bCs/>
                <w:sz w:val="18"/>
                <w:szCs w:val="18"/>
                <w:lang w:val="ru-RU"/>
              </w:rPr>
              <w:t>ОБЩИЙ ИТОГ</w:t>
            </w:r>
            <w:r w:rsidR="0032004C" w:rsidRPr="00736448">
              <w:rPr>
                <w:rFonts w:asciiTheme="majorHAnsi" w:eastAsia="Times New Roman" w:hAnsiTheme="majorHAnsi" w:cs="Times New Roman"/>
                <w:b/>
                <w:bCs/>
                <w:sz w:val="18"/>
                <w:szCs w:val="18"/>
                <w:lang w:val="ro-MD"/>
              </w:rPr>
              <w:t>-</w:t>
            </w:r>
            <w:r>
              <w:rPr>
                <w:rFonts w:asciiTheme="majorHAnsi" w:eastAsia="Times New Roman" w:hAnsiTheme="majorHAnsi" w:cs="Times New Roman"/>
                <w:b/>
                <w:bCs/>
                <w:sz w:val="18"/>
                <w:szCs w:val="18"/>
                <w:lang w:val="ru-RU"/>
              </w:rPr>
              <w:t>АКТИВЫ</w:t>
            </w:r>
            <w:r w:rsidR="0032004C" w:rsidRPr="00736448">
              <w:rPr>
                <w:rFonts w:asciiTheme="majorHAnsi" w:eastAsia="Times New Roman" w:hAnsiTheme="majorHAnsi" w:cs="Times New Roman"/>
                <w:b/>
                <w:bCs/>
                <w:sz w:val="18"/>
                <w:szCs w:val="18"/>
                <w:lang w:val="ro-MD"/>
              </w:rPr>
              <w:t xml:space="preserve"> (rd.30+rd.52)</w:t>
            </w:r>
          </w:p>
        </w:tc>
        <w:tc>
          <w:tcPr>
            <w:tcW w:w="993" w:type="dxa"/>
            <w:tcBorders>
              <w:top w:val="nil"/>
              <w:left w:val="nil"/>
              <w:bottom w:val="single" w:sz="4" w:space="0" w:color="auto"/>
              <w:right w:val="nil"/>
            </w:tcBorders>
            <w:shd w:val="clear" w:color="auto" w:fill="auto"/>
            <w:hideMark/>
          </w:tcPr>
          <w:p w14:paraId="3744DB5F"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53</w:t>
            </w:r>
          </w:p>
        </w:tc>
        <w:tc>
          <w:tcPr>
            <w:tcW w:w="1559" w:type="dxa"/>
            <w:tcBorders>
              <w:top w:val="nil"/>
              <w:left w:val="single" w:sz="4" w:space="0" w:color="auto"/>
              <w:bottom w:val="single" w:sz="4" w:space="0" w:color="auto"/>
              <w:right w:val="single" w:sz="4" w:space="0" w:color="auto"/>
            </w:tcBorders>
            <w:shd w:val="clear" w:color="auto" w:fill="auto"/>
            <w:hideMark/>
          </w:tcPr>
          <w:p w14:paraId="67A0AE57"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2505314335</w:t>
            </w:r>
          </w:p>
        </w:tc>
        <w:tc>
          <w:tcPr>
            <w:tcW w:w="1603" w:type="dxa"/>
            <w:tcBorders>
              <w:top w:val="nil"/>
              <w:left w:val="nil"/>
              <w:bottom w:val="single" w:sz="4" w:space="0" w:color="auto"/>
              <w:right w:val="single" w:sz="4" w:space="0" w:color="auto"/>
            </w:tcBorders>
            <w:shd w:val="clear" w:color="auto" w:fill="auto"/>
            <w:hideMark/>
          </w:tcPr>
          <w:p w14:paraId="1A4D2FDA"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2298618245</w:t>
            </w:r>
          </w:p>
        </w:tc>
      </w:tr>
      <w:tr w:rsidR="0032004C" w:rsidRPr="00B7675F" w14:paraId="736F49A2"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6A725EB0"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40A77774" w14:textId="31B0771C" w:rsidR="0032004C" w:rsidRPr="00736448" w:rsidRDefault="008F6B6E" w:rsidP="008F6B6E">
            <w:pPr>
              <w:spacing w:after="0" w:line="240" w:lineRule="auto"/>
              <w:jc w:val="center"/>
              <w:rPr>
                <w:rFonts w:asciiTheme="majorHAnsi" w:eastAsia="Times New Roman" w:hAnsiTheme="majorHAnsi" w:cs="Times New Roman"/>
                <w:b/>
                <w:bCs/>
                <w:sz w:val="18"/>
                <w:szCs w:val="18"/>
                <w:lang w:val="ro-MD"/>
              </w:rPr>
            </w:pPr>
            <w:r>
              <w:rPr>
                <w:rFonts w:asciiTheme="majorHAnsi" w:eastAsia="Times New Roman" w:hAnsiTheme="majorHAnsi" w:cs="Times New Roman"/>
                <w:b/>
                <w:bCs/>
                <w:sz w:val="18"/>
                <w:szCs w:val="18"/>
                <w:lang w:val="ru-RU"/>
              </w:rPr>
              <w:t>ПАССИВ</w:t>
            </w:r>
          </w:p>
        </w:tc>
        <w:tc>
          <w:tcPr>
            <w:tcW w:w="993" w:type="dxa"/>
            <w:tcBorders>
              <w:top w:val="nil"/>
              <w:left w:val="nil"/>
              <w:bottom w:val="single" w:sz="4" w:space="0" w:color="auto"/>
              <w:right w:val="nil"/>
            </w:tcBorders>
            <w:shd w:val="clear" w:color="auto" w:fill="auto"/>
            <w:hideMark/>
          </w:tcPr>
          <w:p w14:paraId="739E7E18"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22586092"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337D92A3"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156DDAB2"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0F68C490"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3</w:t>
            </w:r>
          </w:p>
        </w:tc>
        <w:tc>
          <w:tcPr>
            <w:tcW w:w="4924" w:type="dxa"/>
            <w:tcBorders>
              <w:top w:val="nil"/>
              <w:left w:val="nil"/>
              <w:bottom w:val="single" w:sz="4" w:space="0" w:color="auto"/>
              <w:right w:val="single" w:sz="4" w:space="0" w:color="auto"/>
            </w:tcBorders>
            <w:shd w:val="clear" w:color="auto" w:fill="auto"/>
            <w:hideMark/>
          </w:tcPr>
          <w:p w14:paraId="414993C4" w14:textId="41CBFAE5" w:rsidR="0032004C" w:rsidRPr="00736448" w:rsidRDefault="008F6B6E" w:rsidP="00B372C7">
            <w:pPr>
              <w:spacing w:after="0" w:line="240" w:lineRule="auto"/>
              <w:rPr>
                <w:rFonts w:asciiTheme="majorHAnsi" w:eastAsia="Times New Roman" w:hAnsiTheme="majorHAnsi" w:cs="Times New Roman"/>
                <w:b/>
                <w:bCs/>
                <w:sz w:val="18"/>
                <w:szCs w:val="18"/>
                <w:lang w:val="ro-MD"/>
              </w:rPr>
            </w:pPr>
            <w:r w:rsidRPr="008F6B6E">
              <w:rPr>
                <w:rFonts w:asciiTheme="majorHAnsi" w:eastAsia="Times New Roman" w:hAnsiTheme="majorHAnsi" w:cs="Times New Roman"/>
                <w:b/>
                <w:bCs/>
                <w:sz w:val="18"/>
                <w:szCs w:val="18"/>
                <w:lang w:val="ro-MD"/>
              </w:rPr>
              <w:t>КРАТКОСРОЧНЫЕ ДОЛГИ</w:t>
            </w:r>
          </w:p>
        </w:tc>
        <w:tc>
          <w:tcPr>
            <w:tcW w:w="993" w:type="dxa"/>
            <w:tcBorders>
              <w:top w:val="nil"/>
              <w:left w:val="nil"/>
              <w:bottom w:val="single" w:sz="4" w:space="0" w:color="auto"/>
              <w:right w:val="nil"/>
            </w:tcBorders>
            <w:shd w:val="clear" w:color="auto" w:fill="auto"/>
            <w:hideMark/>
          </w:tcPr>
          <w:p w14:paraId="3EB69CAC"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7EA53D7C"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2434B76F"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4A69F099"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326B8913"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3.1</w:t>
            </w:r>
          </w:p>
        </w:tc>
        <w:tc>
          <w:tcPr>
            <w:tcW w:w="4924" w:type="dxa"/>
            <w:tcBorders>
              <w:top w:val="nil"/>
              <w:left w:val="nil"/>
              <w:bottom w:val="single" w:sz="4" w:space="0" w:color="auto"/>
              <w:right w:val="single" w:sz="4" w:space="0" w:color="auto"/>
            </w:tcBorders>
            <w:shd w:val="clear" w:color="auto" w:fill="auto"/>
            <w:hideMark/>
          </w:tcPr>
          <w:p w14:paraId="62767066" w14:textId="196B5E54" w:rsidR="0032004C" w:rsidRPr="00736448" w:rsidRDefault="008F6B6E" w:rsidP="00B372C7">
            <w:pPr>
              <w:spacing w:after="0" w:line="240" w:lineRule="auto"/>
              <w:rPr>
                <w:rFonts w:asciiTheme="majorHAnsi" w:eastAsia="Times New Roman" w:hAnsiTheme="majorHAnsi" w:cs="Times New Roman"/>
                <w:b/>
                <w:bCs/>
                <w:sz w:val="18"/>
                <w:szCs w:val="18"/>
                <w:lang w:val="ro-MD"/>
              </w:rPr>
            </w:pPr>
            <w:r w:rsidRPr="008F6B6E">
              <w:rPr>
                <w:rFonts w:asciiTheme="majorHAnsi" w:eastAsia="Times New Roman" w:hAnsiTheme="majorHAnsi" w:cs="Times New Roman"/>
                <w:b/>
                <w:bCs/>
                <w:sz w:val="18"/>
                <w:szCs w:val="18"/>
                <w:lang w:val="ro-MD"/>
              </w:rPr>
              <w:t>Краткосрочные долги, рассчитанные</w:t>
            </w:r>
          </w:p>
        </w:tc>
        <w:tc>
          <w:tcPr>
            <w:tcW w:w="993" w:type="dxa"/>
            <w:tcBorders>
              <w:top w:val="nil"/>
              <w:left w:val="nil"/>
              <w:bottom w:val="single" w:sz="4" w:space="0" w:color="auto"/>
              <w:right w:val="nil"/>
            </w:tcBorders>
            <w:shd w:val="clear" w:color="auto" w:fill="auto"/>
            <w:hideMark/>
          </w:tcPr>
          <w:p w14:paraId="74C2D25E"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710D4DC4"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266D4E84"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62301C64"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D4004D5"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7C0644C1" w14:textId="3A8893CE" w:rsidR="0032004C" w:rsidRPr="00736448" w:rsidRDefault="008F6B6E" w:rsidP="00B372C7">
            <w:pPr>
              <w:spacing w:after="0" w:line="240" w:lineRule="auto"/>
              <w:rPr>
                <w:rFonts w:asciiTheme="majorHAnsi" w:eastAsia="Times New Roman" w:hAnsiTheme="majorHAnsi" w:cs="Times New Roman"/>
                <w:sz w:val="18"/>
                <w:szCs w:val="18"/>
                <w:lang w:val="ro-MD"/>
              </w:rPr>
            </w:pPr>
            <w:r w:rsidRPr="008F6B6E">
              <w:rPr>
                <w:rFonts w:asciiTheme="majorHAnsi" w:eastAsia="Times New Roman" w:hAnsiTheme="majorHAnsi" w:cs="Times New Roman"/>
                <w:sz w:val="18"/>
                <w:szCs w:val="18"/>
                <w:lang w:val="ro-MD"/>
              </w:rPr>
              <w:t xml:space="preserve">Краткосрочные долги перед пенсионерами по выплате пенсий и пособий </w:t>
            </w:r>
            <w:r w:rsidR="0032004C" w:rsidRPr="00736448">
              <w:rPr>
                <w:rFonts w:asciiTheme="majorHAnsi" w:eastAsia="Times New Roman" w:hAnsiTheme="majorHAnsi" w:cs="Times New Roman"/>
                <w:sz w:val="18"/>
                <w:szCs w:val="18"/>
                <w:lang w:val="ro-MD"/>
              </w:rPr>
              <w:t>(301)</w:t>
            </w:r>
          </w:p>
        </w:tc>
        <w:tc>
          <w:tcPr>
            <w:tcW w:w="993" w:type="dxa"/>
            <w:tcBorders>
              <w:top w:val="nil"/>
              <w:left w:val="nil"/>
              <w:bottom w:val="single" w:sz="4" w:space="0" w:color="auto"/>
              <w:right w:val="nil"/>
            </w:tcBorders>
            <w:shd w:val="clear" w:color="auto" w:fill="auto"/>
            <w:hideMark/>
          </w:tcPr>
          <w:p w14:paraId="1788971A"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54</w:t>
            </w:r>
          </w:p>
        </w:tc>
        <w:tc>
          <w:tcPr>
            <w:tcW w:w="1559" w:type="dxa"/>
            <w:tcBorders>
              <w:top w:val="nil"/>
              <w:left w:val="single" w:sz="4" w:space="0" w:color="auto"/>
              <w:bottom w:val="single" w:sz="4" w:space="0" w:color="auto"/>
              <w:right w:val="single" w:sz="4" w:space="0" w:color="auto"/>
            </w:tcBorders>
            <w:shd w:val="clear" w:color="auto" w:fill="auto"/>
            <w:hideMark/>
          </w:tcPr>
          <w:p w14:paraId="6E198501"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33780714</w:t>
            </w:r>
          </w:p>
        </w:tc>
        <w:tc>
          <w:tcPr>
            <w:tcW w:w="1603" w:type="dxa"/>
            <w:tcBorders>
              <w:top w:val="nil"/>
              <w:left w:val="nil"/>
              <w:bottom w:val="single" w:sz="4" w:space="0" w:color="auto"/>
              <w:right w:val="single" w:sz="4" w:space="0" w:color="auto"/>
            </w:tcBorders>
            <w:shd w:val="clear" w:color="auto" w:fill="auto"/>
            <w:hideMark/>
          </w:tcPr>
          <w:p w14:paraId="641058EB"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28493774</w:t>
            </w:r>
          </w:p>
        </w:tc>
      </w:tr>
      <w:tr w:rsidR="0032004C" w:rsidRPr="00B7675F" w14:paraId="2FCDF610"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6ABE0D2E"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180C8A49" w14:textId="0A9AC75F" w:rsidR="0032004C" w:rsidRPr="00736448" w:rsidRDefault="008F6B6E" w:rsidP="00B372C7">
            <w:pPr>
              <w:spacing w:after="0" w:line="240" w:lineRule="auto"/>
              <w:rPr>
                <w:rFonts w:asciiTheme="majorHAnsi" w:eastAsia="Times New Roman" w:hAnsiTheme="majorHAnsi" w:cs="Times New Roman"/>
                <w:sz w:val="18"/>
                <w:szCs w:val="18"/>
                <w:lang w:val="ro-MD"/>
              </w:rPr>
            </w:pPr>
            <w:r w:rsidRPr="008F6B6E">
              <w:rPr>
                <w:rFonts w:asciiTheme="majorHAnsi" w:eastAsia="Times New Roman" w:hAnsiTheme="majorHAnsi" w:cs="Times New Roman"/>
                <w:sz w:val="18"/>
                <w:szCs w:val="18"/>
                <w:lang w:val="ro-MD"/>
              </w:rPr>
              <w:t xml:space="preserve">Краткосрочные долги по выплате пособий и компенсаций семьям с детьми </w:t>
            </w:r>
            <w:r w:rsidR="0032004C" w:rsidRPr="00736448">
              <w:rPr>
                <w:rFonts w:asciiTheme="majorHAnsi" w:eastAsia="Times New Roman" w:hAnsiTheme="majorHAnsi" w:cs="Times New Roman"/>
                <w:sz w:val="18"/>
                <w:szCs w:val="18"/>
                <w:lang w:val="ro-MD"/>
              </w:rPr>
              <w:t>(302)</w:t>
            </w:r>
          </w:p>
        </w:tc>
        <w:tc>
          <w:tcPr>
            <w:tcW w:w="993" w:type="dxa"/>
            <w:tcBorders>
              <w:top w:val="nil"/>
              <w:left w:val="nil"/>
              <w:bottom w:val="single" w:sz="4" w:space="0" w:color="auto"/>
              <w:right w:val="nil"/>
            </w:tcBorders>
            <w:shd w:val="clear" w:color="auto" w:fill="auto"/>
            <w:hideMark/>
          </w:tcPr>
          <w:p w14:paraId="3421CD90"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55</w:t>
            </w:r>
          </w:p>
        </w:tc>
        <w:tc>
          <w:tcPr>
            <w:tcW w:w="1559" w:type="dxa"/>
            <w:tcBorders>
              <w:top w:val="nil"/>
              <w:left w:val="single" w:sz="4" w:space="0" w:color="auto"/>
              <w:bottom w:val="single" w:sz="4" w:space="0" w:color="auto"/>
              <w:right w:val="single" w:sz="4" w:space="0" w:color="auto"/>
            </w:tcBorders>
            <w:shd w:val="clear" w:color="auto" w:fill="auto"/>
            <w:hideMark/>
          </w:tcPr>
          <w:p w14:paraId="0FD7EC4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2964060</w:t>
            </w:r>
          </w:p>
        </w:tc>
        <w:tc>
          <w:tcPr>
            <w:tcW w:w="1603" w:type="dxa"/>
            <w:tcBorders>
              <w:top w:val="nil"/>
              <w:left w:val="nil"/>
              <w:bottom w:val="single" w:sz="4" w:space="0" w:color="auto"/>
              <w:right w:val="single" w:sz="4" w:space="0" w:color="auto"/>
            </w:tcBorders>
            <w:shd w:val="clear" w:color="auto" w:fill="auto"/>
            <w:hideMark/>
          </w:tcPr>
          <w:p w14:paraId="698F0C0B"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2698689</w:t>
            </w:r>
          </w:p>
        </w:tc>
      </w:tr>
      <w:tr w:rsidR="0032004C" w:rsidRPr="00B7675F" w14:paraId="1E181635"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0B658527"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50B1EBA1" w14:textId="2BABD5B3" w:rsidR="0032004C" w:rsidRPr="00736448" w:rsidRDefault="00A2242E" w:rsidP="00B372C7">
            <w:pPr>
              <w:spacing w:after="0" w:line="240" w:lineRule="auto"/>
              <w:rPr>
                <w:rFonts w:asciiTheme="majorHAnsi" w:eastAsia="Times New Roman" w:hAnsiTheme="majorHAnsi" w:cs="Times New Roman"/>
                <w:sz w:val="18"/>
                <w:szCs w:val="18"/>
                <w:lang w:val="ro-MD"/>
              </w:rPr>
            </w:pPr>
            <w:r w:rsidRPr="00A2242E">
              <w:rPr>
                <w:rFonts w:asciiTheme="majorHAnsi" w:eastAsia="Times New Roman" w:hAnsiTheme="majorHAnsi" w:cs="Times New Roman"/>
                <w:sz w:val="18"/>
                <w:szCs w:val="18"/>
                <w:lang w:val="ro-MD"/>
              </w:rPr>
              <w:t xml:space="preserve">Краткосрочные долги по выплате пособий социального страхования работникам </w:t>
            </w:r>
            <w:r w:rsidR="0032004C" w:rsidRPr="00736448">
              <w:rPr>
                <w:rFonts w:asciiTheme="majorHAnsi" w:eastAsia="Times New Roman" w:hAnsiTheme="majorHAnsi" w:cs="Times New Roman"/>
                <w:sz w:val="18"/>
                <w:szCs w:val="18"/>
                <w:lang w:val="ro-MD"/>
              </w:rPr>
              <w:t>(303)</w:t>
            </w:r>
          </w:p>
        </w:tc>
        <w:tc>
          <w:tcPr>
            <w:tcW w:w="993" w:type="dxa"/>
            <w:tcBorders>
              <w:top w:val="nil"/>
              <w:left w:val="nil"/>
              <w:bottom w:val="single" w:sz="4" w:space="0" w:color="auto"/>
              <w:right w:val="nil"/>
            </w:tcBorders>
            <w:shd w:val="clear" w:color="auto" w:fill="auto"/>
            <w:hideMark/>
          </w:tcPr>
          <w:p w14:paraId="54A95DBF"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56</w:t>
            </w:r>
          </w:p>
        </w:tc>
        <w:tc>
          <w:tcPr>
            <w:tcW w:w="1559" w:type="dxa"/>
            <w:tcBorders>
              <w:top w:val="nil"/>
              <w:left w:val="single" w:sz="4" w:space="0" w:color="auto"/>
              <w:bottom w:val="single" w:sz="4" w:space="0" w:color="auto"/>
              <w:right w:val="single" w:sz="4" w:space="0" w:color="auto"/>
            </w:tcBorders>
            <w:shd w:val="clear" w:color="auto" w:fill="auto"/>
            <w:hideMark/>
          </w:tcPr>
          <w:p w14:paraId="007E559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35756573</w:t>
            </w:r>
          </w:p>
        </w:tc>
        <w:tc>
          <w:tcPr>
            <w:tcW w:w="1603" w:type="dxa"/>
            <w:tcBorders>
              <w:top w:val="nil"/>
              <w:left w:val="nil"/>
              <w:bottom w:val="single" w:sz="4" w:space="0" w:color="auto"/>
              <w:right w:val="single" w:sz="4" w:space="0" w:color="auto"/>
            </w:tcBorders>
            <w:shd w:val="clear" w:color="auto" w:fill="auto"/>
            <w:hideMark/>
          </w:tcPr>
          <w:p w14:paraId="09A51B61"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53255305</w:t>
            </w:r>
          </w:p>
        </w:tc>
      </w:tr>
      <w:tr w:rsidR="0032004C" w:rsidRPr="00B7675F" w14:paraId="114ADBF0"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1D18B68D"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581FFF66" w14:textId="19F131C2" w:rsidR="0032004C" w:rsidRPr="00736448" w:rsidRDefault="00A2242E" w:rsidP="00B372C7">
            <w:pPr>
              <w:spacing w:after="0" w:line="240" w:lineRule="auto"/>
              <w:rPr>
                <w:rFonts w:asciiTheme="majorHAnsi" w:eastAsia="Times New Roman" w:hAnsiTheme="majorHAnsi" w:cs="Times New Roman"/>
                <w:sz w:val="18"/>
                <w:szCs w:val="18"/>
                <w:lang w:val="ro-MD"/>
              </w:rPr>
            </w:pPr>
            <w:r w:rsidRPr="00A2242E">
              <w:rPr>
                <w:rFonts w:asciiTheme="majorHAnsi" w:eastAsia="Times New Roman" w:hAnsiTheme="majorHAnsi" w:cs="Times New Roman"/>
                <w:sz w:val="18"/>
                <w:szCs w:val="18"/>
                <w:lang w:val="ro-MD"/>
              </w:rPr>
              <w:t xml:space="preserve">Краткосрочные долги по выплате пособий и компенсаций по государственному социальному страхованию в результате несчастных случаев на производстве и профессиональных заболеваний </w:t>
            </w:r>
            <w:r w:rsidR="0032004C" w:rsidRPr="00736448">
              <w:rPr>
                <w:rFonts w:asciiTheme="majorHAnsi" w:eastAsia="Times New Roman" w:hAnsiTheme="majorHAnsi" w:cs="Times New Roman"/>
                <w:sz w:val="18"/>
                <w:szCs w:val="18"/>
                <w:lang w:val="ro-MD"/>
              </w:rPr>
              <w:t>(304)</w:t>
            </w:r>
          </w:p>
        </w:tc>
        <w:tc>
          <w:tcPr>
            <w:tcW w:w="993" w:type="dxa"/>
            <w:tcBorders>
              <w:top w:val="nil"/>
              <w:left w:val="nil"/>
              <w:bottom w:val="single" w:sz="4" w:space="0" w:color="auto"/>
              <w:right w:val="nil"/>
            </w:tcBorders>
            <w:shd w:val="clear" w:color="auto" w:fill="auto"/>
            <w:hideMark/>
          </w:tcPr>
          <w:p w14:paraId="5E95C8C7"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57</w:t>
            </w:r>
          </w:p>
        </w:tc>
        <w:tc>
          <w:tcPr>
            <w:tcW w:w="1559" w:type="dxa"/>
            <w:tcBorders>
              <w:top w:val="nil"/>
              <w:left w:val="single" w:sz="4" w:space="0" w:color="auto"/>
              <w:bottom w:val="single" w:sz="4" w:space="0" w:color="auto"/>
              <w:right w:val="single" w:sz="4" w:space="0" w:color="auto"/>
            </w:tcBorders>
            <w:shd w:val="clear" w:color="auto" w:fill="auto"/>
            <w:hideMark/>
          </w:tcPr>
          <w:p w14:paraId="33445ED9"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8728</w:t>
            </w:r>
          </w:p>
        </w:tc>
        <w:tc>
          <w:tcPr>
            <w:tcW w:w="1603" w:type="dxa"/>
            <w:tcBorders>
              <w:top w:val="nil"/>
              <w:left w:val="nil"/>
              <w:bottom w:val="single" w:sz="4" w:space="0" w:color="auto"/>
              <w:right w:val="single" w:sz="4" w:space="0" w:color="auto"/>
            </w:tcBorders>
            <w:shd w:val="clear" w:color="auto" w:fill="auto"/>
            <w:hideMark/>
          </w:tcPr>
          <w:p w14:paraId="60F77B87"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-11344</w:t>
            </w:r>
          </w:p>
        </w:tc>
      </w:tr>
      <w:tr w:rsidR="0032004C" w:rsidRPr="00B7675F" w14:paraId="4195C531"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7FE43D42"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720EFA38" w14:textId="609B0031" w:rsidR="0032004C" w:rsidRPr="00736448" w:rsidRDefault="00A2242E" w:rsidP="00B372C7">
            <w:pPr>
              <w:spacing w:after="0" w:line="240" w:lineRule="auto"/>
              <w:rPr>
                <w:rFonts w:asciiTheme="majorHAnsi" w:eastAsia="Times New Roman" w:hAnsiTheme="majorHAnsi" w:cs="Times New Roman"/>
                <w:sz w:val="18"/>
                <w:szCs w:val="18"/>
                <w:lang w:val="ro-MD"/>
              </w:rPr>
            </w:pPr>
            <w:r w:rsidRPr="00A2242E">
              <w:rPr>
                <w:rFonts w:asciiTheme="majorHAnsi" w:eastAsia="Times New Roman" w:hAnsiTheme="majorHAnsi" w:cs="Times New Roman"/>
                <w:sz w:val="18"/>
                <w:szCs w:val="18"/>
                <w:lang w:val="ro-MD"/>
              </w:rPr>
              <w:t xml:space="preserve">Краткосрочные долги по выплатам из фонда безработицы </w:t>
            </w:r>
            <w:r w:rsidR="0032004C" w:rsidRPr="00736448">
              <w:rPr>
                <w:rFonts w:asciiTheme="majorHAnsi" w:eastAsia="Times New Roman" w:hAnsiTheme="majorHAnsi" w:cs="Times New Roman"/>
                <w:sz w:val="18"/>
                <w:szCs w:val="18"/>
                <w:lang w:val="ro-MD"/>
              </w:rPr>
              <w:t>(305)</w:t>
            </w:r>
          </w:p>
        </w:tc>
        <w:tc>
          <w:tcPr>
            <w:tcW w:w="993" w:type="dxa"/>
            <w:tcBorders>
              <w:top w:val="nil"/>
              <w:left w:val="nil"/>
              <w:bottom w:val="single" w:sz="4" w:space="0" w:color="auto"/>
              <w:right w:val="nil"/>
            </w:tcBorders>
            <w:shd w:val="clear" w:color="auto" w:fill="auto"/>
            <w:hideMark/>
          </w:tcPr>
          <w:p w14:paraId="43A23041"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58</w:t>
            </w:r>
          </w:p>
        </w:tc>
        <w:tc>
          <w:tcPr>
            <w:tcW w:w="1559" w:type="dxa"/>
            <w:tcBorders>
              <w:top w:val="nil"/>
              <w:left w:val="single" w:sz="4" w:space="0" w:color="auto"/>
              <w:bottom w:val="single" w:sz="4" w:space="0" w:color="auto"/>
              <w:right w:val="single" w:sz="4" w:space="0" w:color="auto"/>
            </w:tcBorders>
            <w:shd w:val="clear" w:color="auto" w:fill="auto"/>
            <w:hideMark/>
          </w:tcPr>
          <w:p w14:paraId="4021F578"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1003623</w:t>
            </w:r>
          </w:p>
        </w:tc>
        <w:tc>
          <w:tcPr>
            <w:tcW w:w="1603" w:type="dxa"/>
            <w:tcBorders>
              <w:top w:val="nil"/>
              <w:left w:val="nil"/>
              <w:bottom w:val="single" w:sz="4" w:space="0" w:color="auto"/>
              <w:right w:val="single" w:sz="4" w:space="0" w:color="auto"/>
            </w:tcBorders>
            <w:shd w:val="clear" w:color="auto" w:fill="auto"/>
            <w:hideMark/>
          </w:tcPr>
          <w:p w14:paraId="71D2DDD9"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893372</w:t>
            </w:r>
          </w:p>
        </w:tc>
      </w:tr>
      <w:tr w:rsidR="0032004C" w:rsidRPr="00B7675F" w14:paraId="7CA491B1"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29BAD047"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7ED507B6" w14:textId="27EC3443" w:rsidR="0032004C" w:rsidRPr="00736448" w:rsidRDefault="00A2242E" w:rsidP="00B372C7">
            <w:pPr>
              <w:spacing w:after="0" w:line="240" w:lineRule="auto"/>
              <w:rPr>
                <w:rFonts w:asciiTheme="majorHAnsi" w:eastAsia="Times New Roman" w:hAnsiTheme="majorHAnsi" w:cs="Times New Roman"/>
                <w:sz w:val="18"/>
                <w:szCs w:val="18"/>
                <w:lang w:val="ro-MD"/>
              </w:rPr>
            </w:pPr>
            <w:r w:rsidRPr="00A2242E">
              <w:rPr>
                <w:rFonts w:asciiTheme="majorHAnsi" w:eastAsia="Times New Roman" w:hAnsiTheme="majorHAnsi" w:cs="Times New Roman"/>
                <w:sz w:val="18"/>
                <w:szCs w:val="18"/>
                <w:lang w:val="ro-MD"/>
              </w:rPr>
              <w:t xml:space="preserve">Краткосрочные долги по выплатам добровольного социального страхования </w:t>
            </w:r>
            <w:r w:rsidR="0032004C" w:rsidRPr="00736448">
              <w:rPr>
                <w:rFonts w:asciiTheme="majorHAnsi" w:eastAsia="Times New Roman" w:hAnsiTheme="majorHAnsi" w:cs="Times New Roman"/>
                <w:sz w:val="18"/>
                <w:szCs w:val="18"/>
                <w:lang w:val="ro-MD"/>
              </w:rPr>
              <w:t>(306)</w:t>
            </w:r>
          </w:p>
        </w:tc>
        <w:tc>
          <w:tcPr>
            <w:tcW w:w="993" w:type="dxa"/>
            <w:tcBorders>
              <w:top w:val="nil"/>
              <w:left w:val="nil"/>
              <w:bottom w:val="single" w:sz="4" w:space="0" w:color="auto"/>
              <w:right w:val="nil"/>
            </w:tcBorders>
            <w:shd w:val="clear" w:color="auto" w:fill="auto"/>
            <w:hideMark/>
          </w:tcPr>
          <w:p w14:paraId="4D95BBBD"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59</w:t>
            </w:r>
          </w:p>
        </w:tc>
        <w:tc>
          <w:tcPr>
            <w:tcW w:w="1559" w:type="dxa"/>
            <w:tcBorders>
              <w:top w:val="nil"/>
              <w:left w:val="single" w:sz="4" w:space="0" w:color="auto"/>
              <w:bottom w:val="single" w:sz="4" w:space="0" w:color="auto"/>
              <w:right w:val="single" w:sz="4" w:space="0" w:color="auto"/>
            </w:tcBorders>
            <w:shd w:val="clear" w:color="auto" w:fill="auto"/>
            <w:hideMark/>
          </w:tcPr>
          <w:p w14:paraId="04502DC9"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12F92F9F"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03AB1699"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0763693"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6218883B" w14:textId="06D6E69B" w:rsidR="0032004C" w:rsidRPr="00736448" w:rsidRDefault="00A2242E" w:rsidP="00B372C7">
            <w:pPr>
              <w:spacing w:after="0" w:line="240" w:lineRule="auto"/>
              <w:rPr>
                <w:rFonts w:asciiTheme="majorHAnsi" w:eastAsia="Times New Roman" w:hAnsiTheme="majorHAnsi" w:cs="Times New Roman"/>
                <w:sz w:val="18"/>
                <w:szCs w:val="18"/>
                <w:lang w:val="ro-MD"/>
              </w:rPr>
            </w:pPr>
            <w:r w:rsidRPr="00A2242E">
              <w:rPr>
                <w:rFonts w:asciiTheme="majorHAnsi" w:eastAsia="Times New Roman" w:hAnsiTheme="majorHAnsi" w:cs="Times New Roman"/>
                <w:sz w:val="18"/>
                <w:szCs w:val="18"/>
                <w:lang w:val="ro-MD"/>
              </w:rPr>
              <w:t xml:space="preserve">Краткосрочные долги по выплате государственных пособий из государственного бюджета </w:t>
            </w:r>
            <w:r w:rsidR="0032004C" w:rsidRPr="00736448">
              <w:rPr>
                <w:rFonts w:asciiTheme="majorHAnsi" w:eastAsia="Times New Roman" w:hAnsiTheme="majorHAnsi" w:cs="Times New Roman"/>
                <w:sz w:val="18"/>
                <w:szCs w:val="18"/>
                <w:lang w:val="ro-MD"/>
              </w:rPr>
              <w:t>(307)</w:t>
            </w:r>
          </w:p>
        </w:tc>
        <w:tc>
          <w:tcPr>
            <w:tcW w:w="993" w:type="dxa"/>
            <w:tcBorders>
              <w:top w:val="nil"/>
              <w:left w:val="nil"/>
              <w:bottom w:val="single" w:sz="4" w:space="0" w:color="auto"/>
              <w:right w:val="nil"/>
            </w:tcBorders>
            <w:shd w:val="clear" w:color="auto" w:fill="auto"/>
            <w:hideMark/>
          </w:tcPr>
          <w:p w14:paraId="622F2FAD"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60</w:t>
            </w:r>
          </w:p>
        </w:tc>
        <w:tc>
          <w:tcPr>
            <w:tcW w:w="1559" w:type="dxa"/>
            <w:tcBorders>
              <w:top w:val="nil"/>
              <w:left w:val="single" w:sz="4" w:space="0" w:color="auto"/>
              <w:bottom w:val="single" w:sz="4" w:space="0" w:color="auto"/>
              <w:right w:val="single" w:sz="4" w:space="0" w:color="auto"/>
            </w:tcBorders>
            <w:shd w:val="clear" w:color="auto" w:fill="auto"/>
            <w:hideMark/>
          </w:tcPr>
          <w:p w14:paraId="4744DD6F"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47238186</w:t>
            </w:r>
          </w:p>
        </w:tc>
        <w:tc>
          <w:tcPr>
            <w:tcW w:w="1603" w:type="dxa"/>
            <w:tcBorders>
              <w:top w:val="nil"/>
              <w:left w:val="nil"/>
              <w:bottom w:val="single" w:sz="4" w:space="0" w:color="auto"/>
              <w:right w:val="single" w:sz="4" w:space="0" w:color="auto"/>
            </w:tcBorders>
            <w:shd w:val="clear" w:color="auto" w:fill="auto"/>
            <w:hideMark/>
          </w:tcPr>
          <w:p w14:paraId="37EFC025"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37088044</w:t>
            </w:r>
          </w:p>
        </w:tc>
      </w:tr>
      <w:tr w:rsidR="0032004C" w:rsidRPr="00B7675F" w14:paraId="18590E28"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58EA62D"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5C89E7D5" w14:textId="16B9A58C" w:rsidR="0032004C" w:rsidRPr="00736448" w:rsidRDefault="00A2242E" w:rsidP="00B372C7">
            <w:pPr>
              <w:spacing w:after="0" w:line="240" w:lineRule="auto"/>
              <w:rPr>
                <w:rFonts w:asciiTheme="majorHAnsi" w:eastAsia="Times New Roman" w:hAnsiTheme="majorHAnsi" w:cs="Times New Roman"/>
                <w:sz w:val="18"/>
                <w:szCs w:val="18"/>
                <w:lang w:val="ro-MD"/>
              </w:rPr>
            </w:pPr>
            <w:r w:rsidRPr="00A2242E">
              <w:rPr>
                <w:rFonts w:asciiTheme="majorHAnsi" w:eastAsia="Times New Roman" w:hAnsiTheme="majorHAnsi" w:cs="Times New Roman"/>
                <w:sz w:val="18"/>
                <w:szCs w:val="18"/>
                <w:lang w:val="ro-MD"/>
              </w:rPr>
              <w:t xml:space="preserve">Краткосрочные долги перед дистрибьюторами пособий по предоставленным услугам </w:t>
            </w:r>
            <w:r w:rsidR="0032004C" w:rsidRPr="00736448">
              <w:rPr>
                <w:rFonts w:asciiTheme="majorHAnsi" w:eastAsia="Times New Roman" w:hAnsiTheme="majorHAnsi" w:cs="Times New Roman"/>
                <w:sz w:val="18"/>
                <w:szCs w:val="18"/>
                <w:lang w:val="ro-MD"/>
              </w:rPr>
              <w:t>(308)</w:t>
            </w:r>
          </w:p>
        </w:tc>
        <w:tc>
          <w:tcPr>
            <w:tcW w:w="993" w:type="dxa"/>
            <w:tcBorders>
              <w:top w:val="nil"/>
              <w:left w:val="nil"/>
              <w:bottom w:val="single" w:sz="4" w:space="0" w:color="auto"/>
              <w:right w:val="nil"/>
            </w:tcBorders>
            <w:shd w:val="clear" w:color="auto" w:fill="auto"/>
            <w:hideMark/>
          </w:tcPr>
          <w:p w14:paraId="318FCE44"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61</w:t>
            </w:r>
          </w:p>
        </w:tc>
        <w:tc>
          <w:tcPr>
            <w:tcW w:w="1559" w:type="dxa"/>
            <w:tcBorders>
              <w:top w:val="nil"/>
              <w:left w:val="single" w:sz="4" w:space="0" w:color="auto"/>
              <w:bottom w:val="single" w:sz="4" w:space="0" w:color="auto"/>
              <w:right w:val="single" w:sz="4" w:space="0" w:color="auto"/>
            </w:tcBorders>
            <w:shd w:val="clear" w:color="auto" w:fill="auto"/>
            <w:hideMark/>
          </w:tcPr>
          <w:p w14:paraId="74E8D227"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172953395</w:t>
            </w:r>
          </w:p>
        </w:tc>
        <w:tc>
          <w:tcPr>
            <w:tcW w:w="1603" w:type="dxa"/>
            <w:tcBorders>
              <w:top w:val="nil"/>
              <w:left w:val="nil"/>
              <w:bottom w:val="single" w:sz="4" w:space="0" w:color="auto"/>
              <w:right w:val="single" w:sz="4" w:space="0" w:color="auto"/>
            </w:tcBorders>
            <w:shd w:val="clear" w:color="auto" w:fill="auto"/>
            <w:hideMark/>
          </w:tcPr>
          <w:p w14:paraId="22D31F0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168131524</w:t>
            </w:r>
          </w:p>
        </w:tc>
      </w:tr>
      <w:tr w:rsidR="0032004C" w:rsidRPr="00B7675F" w14:paraId="07C56B1F"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2B80CF20"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0796DA1E" w14:textId="6BB67453" w:rsidR="0032004C" w:rsidRPr="00736448" w:rsidRDefault="00A2242E" w:rsidP="00B372C7">
            <w:pPr>
              <w:spacing w:after="0" w:line="240" w:lineRule="auto"/>
              <w:rPr>
                <w:rFonts w:asciiTheme="majorHAnsi" w:eastAsia="Times New Roman" w:hAnsiTheme="majorHAnsi" w:cs="Times New Roman"/>
                <w:sz w:val="18"/>
                <w:szCs w:val="18"/>
                <w:lang w:val="ro-MD"/>
              </w:rPr>
            </w:pPr>
            <w:r w:rsidRPr="00A2242E">
              <w:rPr>
                <w:rFonts w:asciiTheme="majorHAnsi" w:eastAsia="Times New Roman" w:hAnsiTheme="majorHAnsi" w:cs="Times New Roman"/>
                <w:sz w:val="18"/>
                <w:szCs w:val="18"/>
                <w:lang w:val="ro-MD"/>
              </w:rPr>
              <w:t xml:space="preserve">Краткосрочные долги по оплате труда, взносам социального страхования и налогам персонала </w:t>
            </w:r>
            <w:r w:rsidR="0032004C" w:rsidRPr="00736448">
              <w:rPr>
                <w:rFonts w:asciiTheme="majorHAnsi" w:eastAsia="Times New Roman" w:hAnsiTheme="majorHAnsi" w:cs="Times New Roman"/>
                <w:sz w:val="18"/>
                <w:szCs w:val="18"/>
                <w:lang w:val="ro-MD"/>
              </w:rPr>
              <w:t>(309)</w:t>
            </w:r>
          </w:p>
        </w:tc>
        <w:tc>
          <w:tcPr>
            <w:tcW w:w="993" w:type="dxa"/>
            <w:tcBorders>
              <w:top w:val="nil"/>
              <w:left w:val="nil"/>
              <w:bottom w:val="single" w:sz="4" w:space="0" w:color="auto"/>
              <w:right w:val="nil"/>
            </w:tcBorders>
            <w:shd w:val="clear" w:color="auto" w:fill="auto"/>
            <w:hideMark/>
          </w:tcPr>
          <w:p w14:paraId="413A5C0F"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62</w:t>
            </w:r>
          </w:p>
        </w:tc>
        <w:tc>
          <w:tcPr>
            <w:tcW w:w="1559" w:type="dxa"/>
            <w:tcBorders>
              <w:top w:val="nil"/>
              <w:left w:val="single" w:sz="4" w:space="0" w:color="auto"/>
              <w:bottom w:val="single" w:sz="4" w:space="0" w:color="auto"/>
              <w:right w:val="single" w:sz="4" w:space="0" w:color="auto"/>
            </w:tcBorders>
            <w:shd w:val="clear" w:color="auto" w:fill="auto"/>
            <w:hideMark/>
          </w:tcPr>
          <w:p w14:paraId="76EA76E6"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12542998</w:t>
            </w:r>
          </w:p>
        </w:tc>
        <w:tc>
          <w:tcPr>
            <w:tcW w:w="1603" w:type="dxa"/>
            <w:tcBorders>
              <w:top w:val="nil"/>
              <w:left w:val="nil"/>
              <w:bottom w:val="single" w:sz="4" w:space="0" w:color="auto"/>
              <w:right w:val="single" w:sz="4" w:space="0" w:color="auto"/>
            </w:tcBorders>
            <w:shd w:val="clear" w:color="auto" w:fill="auto"/>
            <w:hideMark/>
          </w:tcPr>
          <w:p w14:paraId="1BE05263"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11582306</w:t>
            </w:r>
          </w:p>
        </w:tc>
      </w:tr>
      <w:tr w:rsidR="0032004C" w:rsidRPr="00B7675F" w14:paraId="15362F18"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3BAB3EDB"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3397330C" w14:textId="29A03F9C" w:rsidR="0032004C" w:rsidRPr="00736448" w:rsidRDefault="00A2242E" w:rsidP="00B372C7">
            <w:pPr>
              <w:spacing w:after="0" w:line="240" w:lineRule="auto"/>
              <w:rPr>
                <w:rFonts w:asciiTheme="majorHAnsi" w:eastAsia="Times New Roman" w:hAnsiTheme="majorHAnsi" w:cs="Times New Roman"/>
                <w:sz w:val="18"/>
                <w:szCs w:val="18"/>
                <w:lang w:val="ro-MD"/>
              </w:rPr>
            </w:pPr>
            <w:r w:rsidRPr="00A2242E">
              <w:rPr>
                <w:rFonts w:asciiTheme="majorHAnsi" w:eastAsia="Times New Roman" w:hAnsiTheme="majorHAnsi" w:cs="Times New Roman"/>
                <w:sz w:val="18"/>
                <w:szCs w:val="18"/>
                <w:lang w:val="ro-MD"/>
              </w:rPr>
              <w:t xml:space="preserve">Краткосрочные долги бюджета социального страхования перед государственным бюджетом </w:t>
            </w:r>
            <w:r w:rsidR="0032004C" w:rsidRPr="00736448">
              <w:rPr>
                <w:rFonts w:asciiTheme="majorHAnsi" w:eastAsia="Times New Roman" w:hAnsiTheme="majorHAnsi" w:cs="Times New Roman"/>
                <w:sz w:val="18"/>
                <w:szCs w:val="18"/>
                <w:lang w:val="ro-MD"/>
              </w:rPr>
              <w:t>(310)</w:t>
            </w:r>
          </w:p>
        </w:tc>
        <w:tc>
          <w:tcPr>
            <w:tcW w:w="993" w:type="dxa"/>
            <w:tcBorders>
              <w:top w:val="nil"/>
              <w:left w:val="nil"/>
              <w:bottom w:val="single" w:sz="4" w:space="0" w:color="auto"/>
              <w:right w:val="nil"/>
            </w:tcBorders>
            <w:shd w:val="clear" w:color="auto" w:fill="auto"/>
            <w:hideMark/>
          </w:tcPr>
          <w:p w14:paraId="4A8E24E2"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63</w:t>
            </w:r>
          </w:p>
        </w:tc>
        <w:tc>
          <w:tcPr>
            <w:tcW w:w="1559" w:type="dxa"/>
            <w:tcBorders>
              <w:top w:val="nil"/>
              <w:left w:val="single" w:sz="4" w:space="0" w:color="auto"/>
              <w:bottom w:val="single" w:sz="4" w:space="0" w:color="auto"/>
              <w:right w:val="single" w:sz="4" w:space="0" w:color="auto"/>
            </w:tcBorders>
            <w:shd w:val="clear" w:color="auto" w:fill="auto"/>
            <w:hideMark/>
          </w:tcPr>
          <w:p w14:paraId="4A29BD8E"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3E59C70E"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268405CF"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AB95860"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13803E9C" w14:textId="10E6F609" w:rsidR="0032004C" w:rsidRPr="00736448" w:rsidRDefault="00B478AE" w:rsidP="00B372C7">
            <w:pPr>
              <w:spacing w:after="0" w:line="240" w:lineRule="auto"/>
              <w:rPr>
                <w:rFonts w:asciiTheme="majorHAnsi" w:eastAsia="Times New Roman" w:hAnsiTheme="majorHAnsi" w:cs="Times New Roman"/>
                <w:sz w:val="18"/>
                <w:szCs w:val="18"/>
                <w:lang w:val="ro-MD"/>
              </w:rPr>
            </w:pPr>
            <w:r w:rsidRPr="00B478AE">
              <w:rPr>
                <w:rFonts w:asciiTheme="majorHAnsi" w:eastAsia="Times New Roman" w:hAnsiTheme="majorHAnsi" w:cs="Times New Roman"/>
                <w:sz w:val="18"/>
                <w:szCs w:val="18"/>
                <w:lang w:val="ro-MD"/>
              </w:rPr>
              <w:t xml:space="preserve">Краткосрочные долги по переплате взносов обязательного социального страхования </w:t>
            </w:r>
            <w:r w:rsidR="0032004C" w:rsidRPr="00736448">
              <w:rPr>
                <w:rFonts w:asciiTheme="majorHAnsi" w:eastAsia="Times New Roman" w:hAnsiTheme="majorHAnsi" w:cs="Times New Roman"/>
                <w:sz w:val="18"/>
                <w:szCs w:val="18"/>
                <w:lang w:val="ro-MD"/>
              </w:rPr>
              <w:t>(311)</w:t>
            </w:r>
          </w:p>
        </w:tc>
        <w:tc>
          <w:tcPr>
            <w:tcW w:w="993" w:type="dxa"/>
            <w:tcBorders>
              <w:top w:val="nil"/>
              <w:left w:val="nil"/>
              <w:bottom w:val="single" w:sz="4" w:space="0" w:color="auto"/>
              <w:right w:val="nil"/>
            </w:tcBorders>
            <w:shd w:val="clear" w:color="auto" w:fill="auto"/>
            <w:hideMark/>
          </w:tcPr>
          <w:p w14:paraId="39EE9115"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64</w:t>
            </w:r>
          </w:p>
        </w:tc>
        <w:tc>
          <w:tcPr>
            <w:tcW w:w="1559" w:type="dxa"/>
            <w:tcBorders>
              <w:top w:val="nil"/>
              <w:left w:val="single" w:sz="4" w:space="0" w:color="auto"/>
              <w:bottom w:val="single" w:sz="4" w:space="0" w:color="auto"/>
              <w:right w:val="single" w:sz="4" w:space="0" w:color="auto"/>
            </w:tcBorders>
            <w:shd w:val="clear" w:color="auto" w:fill="auto"/>
            <w:hideMark/>
          </w:tcPr>
          <w:p w14:paraId="1040A521"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8393264</w:t>
            </w:r>
          </w:p>
        </w:tc>
        <w:tc>
          <w:tcPr>
            <w:tcW w:w="1603" w:type="dxa"/>
            <w:tcBorders>
              <w:top w:val="nil"/>
              <w:left w:val="nil"/>
              <w:bottom w:val="single" w:sz="4" w:space="0" w:color="auto"/>
              <w:right w:val="single" w:sz="4" w:space="0" w:color="auto"/>
            </w:tcBorders>
            <w:shd w:val="clear" w:color="auto" w:fill="auto"/>
            <w:hideMark/>
          </w:tcPr>
          <w:p w14:paraId="1B0B95F1"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8411792</w:t>
            </w:r>
          </w:p>
        </w:tc>
      </w:tr>
      <w:tr w:rsidR="0032004C" w:rsidRPr="00B7675F" w14:paraId="626483B4"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31DFA613"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6BF2F281" w14:textId="7D894FB0" w:rsidR="0032004C" w:rsidRPr="00736448" w:rsidRDefault="00B478AE" w:rsidP="00B372C7">
            <w:pPr>
              <w:spacing w:after="0" w:line="240" w:lineRule="auto"/>
              <w:rPr>
                <w:rFonts w:asciiTheme="majorHAnsi" w:eastAsia="Times New Roman" w:hAnsiTheme="majorHAnsi" w:cs="Times New Roman"/>
                <w:sz w:val="18"/>
                <w:szCs w:val="18"/>
                <w:lang w:val="ro-MD"/>
              </w:rPr>
            </w:pPr>
            <w:r w:rsidRPr="00B478AE">
              <w:rPr>
                <w:rFonts w:asciiTheme="majorHAnsi" w:eastAsia="Times New Roman" w:hAnsiTheme="majorHAnsi" w:cs="Times New Roman"/>
                <w:sz w:val="18"/>
                <w:szCs w:val="18"/>
                <w:lang w:val="ro-MD"/>
              </w:rPr>
              <w:t xml:space="preserve">Краткосрочные финансовые обязательства </w:t>
            </w:r>
            <w:r w:rsidR="0032004C" w:rsidRPr="00736448">
              <w:rPr>
                <w:rFonts w:asciiTheme="majorHAnsi" w:eastAsia="Times New Roman" w:hAnsiTheme="majorHAnsi" w:cs="Times New Roman"/>
                <w:sz w:val="18"/>
                <w:szCs w:val="18"/>
                <w:lang w:val="ro-MD"/>
              </w:rPr>
              <w:t>(312)</w:t>
            </w:r>
          </w:p>
        </w:tc>
        <w:tc>
          <w:tcPr>
            <w:tcW w:w="993" w:type="dxa"/>
            <w:tcBorders>
              <w:top w:val="nil"/>
              <w:left w:val="nil"/>
              <w:bottom w:val="single" w:sz="4" w:space="0" w:color="auto"/>
              <w:right w:val="nil"/>
            </w:tcBorders>
            <w:shd w:val="clear" w:color="auto" w:fill="auto"/>
            <w:hideMark/>
          </w:tcPr>
          <w:p w14:paraId="624E2344"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65</w:t>
            </w:r>
          </w:p>
        </w:tc>
        <w:tc>
          <w:tcPr>
            <w:tcW w:w="1559" w:type="dxa"/>
            <w:tcBorders>
              <w:top w:val="nil"/>
              <w:left w:val="single" w:sz="4" w:space="0" w:color="auto"/>
              <w:bottom w:val="single" w:sz="4" w:space="0" w:color="auto"/>
              <w:right w:val="single" w:sz="4" w:space="0" w:color="auto"/>
            </w:tcBorders>
            <w:shd w:val="clear" w:color="auto" w:fill="auto"/>
            <w:hideMark/>
          </w:tcPr>
          <w:p w14:paraId="6AABD0D3"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5C7728C9"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77B6E399"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451D84AE"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1877DD75" w14:textId="56F38D30" w:rsidR="0032004C" w:rsidRPr="00736448" w:rsidRDefault="00B478AE" w:rsidP="00B372C7">
            <w:pPr>
              <w:spacing w:after="0" w:line="240" w:lineRule="auto"/>
              <w:rPr>
                <w:rFonts w:asciiTheme="majorHAnsi" w:eastAsia="Times New Roman" w:hAnsiTheme="majorHAnsi" w:cs="Times New Roman"/>
                <w:sz w:val="18"/>
                <w:szCs w:val="18"/>
                <w:lang w:val="ro-MD"/>
              </w:rPr>
            </w:pPr>
            <w:r>
              <w:rPr>
                <w:rFonts w:asciiTheme="majorHAnsi" w:eastAsia="Times New Roman" w:hAnsiTheme="majorHAnsi" w:cs="Times New Roman"/>
                <w:sz w:val="18"/>
                <w:szCs w:val="18"/>
                <w:lang w:val="ru-RU"/>
              </w:rPr>
              <w:t>П</w:t>
            </w:r>
            <w:r w:rsidRPr="00B478AE">
              <w:rPr>
                <w:rFonts w:asciiTheme="majorHAnsi" w:eastAsia="Times New Roman" w:hAnsiTheme="majorHAnsi" w:cs="Times New Roman"/>
                <w:sz w:val="18"/>
                <w:szCs w:val="18"/>
                <w:lang w:val="ro-MD"/>
              </w:rPr>
              <w:t xml:space="preserve">рочие краткосрочные долги </w:t>
            </w:r>
            <w:r w:rsidR="0032004C" w:rsidRPr="00736448">
              <w:rPr>
                <w:rFonts w:asciiTheme="majorHAnsi" w:eastAsia="Times New Roman" w:hAnsiTheme="majorHAnsi" w:cs="Times New Roman"/>
                <w:sz w:val="18"/>
                <w:szCs w:val="18"/>
                <w:lang w:val="ro-MD"/>
              </w:rPr>
              <w:t>(313)</w:t>
            </w:r>
          </w:p>
        </w:tc>
        <w:tc>
          <w:tcPr>
            <w:tcW w:w="993" w:type="dxa"/>
            <w:tcBorders>
              <w:top w:val="nil"/>
              <w:left w:val="nil"/>
              <w:bottom w:val="single" w:sz="4" w:space="0" w:color="auto"/>
              <w:right w:val="nil"/>
            </w:tcBorders>
            <w:shd w:val="clear" w:color="auto" w:fill="auto"/>
            <w:hideMark/>
          </w:tcPr>
          <w:p w14:paraId="4977879A"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66</w:t>
            </w:r>
          </w:p>
        </w:tc>
        <w:tc>
          <w:tcPr>
            <w:tcW w:w="1559" w:type="dxa"/>
            <w:tcBorders>
              <w:top w:val="nil"/>
              <w:left w:val="single" w:sz="4" w:space="0" w:color="auto"/>
              <w:bottom w:val="single" w:sz="4" w:space="0" w:color="auto"/>
              <w:right w:val="single" w:sz="4" w:space="0" w:color="auto"/>
            </w:tcBorders>
            <w:shd w:val="clear" w:color="auto" w:fill="auto"/>
            <w:hideMark/>
          </w:tcPr>
          <w:p w14:paraId="0999FE55"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16882099</w:t>
            </w:r>
          </w:p>
        </w:tc>
        <w:tc>
          <w:tcPr>
            <w:tcW w:w="1603" w:type="dxa"/>
            <w:tcBorders>
              <w:top w:val="nil"/>
              <w:left w:val="nil"/>
              <w:bottom w:val="single" w:sz="4" w:space="0" w:color="auto"/>
              <w:right w:val="single" w:sz="4" w:space="0" w:color="auto"/>
            </w:tcBorders>
            <w:shd w:val="clear" w:color="auto" w:fill="auto"/>
            <w:hideMark/>
          </w:tcPr>
          <w:p w14:paraId="73BEBF1E"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16786433</w:t>
            </w:r>
          </w:p>
        </w:tc>
      </w:tr>
      <w:tr w:rsidR="0032004C" w:rsidRPr="00B7675F" w14:paraId="108C5A27"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3E464E9B"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2A426B0C" w14:textId="49FF92A6" w:rsidR="0032004C" w:rsidRPr="00736448" w:rsidRDefault="00B478AE" w:rsidP="00B372C7">
            <w:pPr>
              <w:spacing w:after="0" w:line="240" w:lineRule="auto"/>
              <w:rPr>
                <w:rFonts w:asciiTheme="majorHAnsi" w:eastAsia="Times New Roman" w:hAnsiTheme="majorHAnsi" w:cs="Times New Roman"/>
                <w:b/>
                <w:bCs/>
                <w:sz w:val="18"/>
                <w:szCs w:val="18"/>
                <w:lang w:val="ro-MD"/>
              </w:rPr>
            </w:pPr>
            <w:r w:rsidRPr="00B478AE">
              <w:rPr>
                <w:rFonts w:asciiTheme="majorHAnsi" w:eastAsia="Times New Roman" w:hAnsiTheme="majorHAnsi" w:cs="Times New Roman"/>
                <w:b/>
                <w:bCs/>
                <w:sz w:val="18"/>
                <w:szCs w:val="18"/>
                <w:lang w:val="ro-MD"/>
              </w:rPr>
              <w:t>Всего</w:t>
            </w:r>
            <w:r w:rsidR="0032004C" w:rsidRPr="00736448">
              <w:rPr>
                <w:rFonts w:asciiTheme="majorHAnsi" w:eastAsia="Times New Roman" w:hAnsiTheme="majorHAnsi" w:cs="Times New Roman"/>
                <w:b/>
                <w:bCs/>
                <w:sz w:val="18"/>
                <w:szCs w:val="18"/>
                <w:lang w:val="ro-MD"/>
              </w:rPr>
              <w:t xml:space="preserve"> s.3.1 (rd.54+rd.55+rd.56+rd.57+rd.58+rd.59+rd.60+rd.61+ rd.62+rd.63+rd.64+rd.65+rd.66)</w:t>
            </w:r>
          </w:p>
        </w:tc>
        <w:tc>
          <w:tcPr>
            <w:tcW w:w="993" w:type="dxa"/>
            <w:tcBorders>
              <w:top w:val="nil"/>
              <w:left w:val="nil"/>
              <w:bottom w:val="single" w:sz="4" w:space="0" w:color="auto"/>
              <w:right w:val="nil"/>
            </w:tcBorders>
            <w:shd w:val="clear" w:color="auto" w:fill="auto"/>
            <w:hideMark/>
          </w:tcPr>
          <w:p w14:paraId="511183ED"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67</w:t>
            </w:r>
          </w:p>
        </w:tc>
        <w:tc>
          <w:tcPr>
            <w:tcW w:w="1559" w:type="dxa"/>
            <w:tcBorders>
              <w:top w:val="nil"/>
              <w:left w:val="single" w:sz="4" w:space="0" w:color="auto"/>
              <w:bottom w:val="single" w:sz="4" w:space="0" w:color="auto"/>
              <w:right w:val="single" w:sz="4" w:space="0" w:color="auto"/>
            </w:tcBorders>
            <w:shd w:val="clear" w:color="auto" w:fill="auto"/>
            <w:hideMark/>
          </w:tcPr>
          <w:p w14:paraId="27FEE966"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331523640</w:t>
            </w:r>
          </w:p>
        </w:tc>
        <w:tc>
          <w:tcPr>
            <w:tcW w:w="1603" w:type="dxa"/>
            <w:tcBorders>
              <w:top w:val="nil"/>
              <w:left w:val="nil"/>
              <w:bottom w:val="single" w:sz="4" w:space="0" w:color="auto"/>
              <w:right w:val="single" w:sz="4" w:space="0" w:color="auto"/>
            </w:tcBorders>
            <w:shd w:val="clear" w:color="auto" w:fill="auto"/>
            <w:hideMark/>
          </w:tcPr>
          <w:p w14:paraId="794CC0C6"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327329895</w:t>
            </w:r>
          </w:p>
        </w:tc>
      </w:tr>
      <w:tr w:rsidR="0032004C" w:rsidRPr="00B7675F" w14:paraId="00E33F93"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736B4522"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754827AE" w14:textId="2CD9F71F" w:rsidR="0032004C" w:rsidRPr="00736448" w:rsidRDefault="00E22464" w:rsidP="00E22464">
            <w:pPr>
              <w:spacing w:after="0" w:line="240" w:lineRule="auto"/>
              <w:rPr>
                <w:rFonts w:asciiTheme="majorHAnsi" w:eastAsia="Times New Roman" w:hAnsiTheme="majorHAnsi" w:cs="Times New Roman"/>
                <w:b/>
                <w:bCs/>
                <w:sz w:val="18"/>
                <w:szCs w:val="18"/>
                <w:lang w:val="ro-MD"/>
              </w:rPr>
            </w:pPr>
            <w:r>
              <w:rPr>
                <w:rFonts w:asciiTheme="majorHAnsi" w:eastAsia="Times New Roman" w:hAnsiTheme="majorHAnsi" w:cs="Times New Roman"/>
                <w:b/>
                <w:bCs/>
                <w:sz w:val="18"/>
                <w:szCs w:val="18"/>
                <w:lang w:val="ru-RU"/>
              </w:rPr>
              <w:t>ВСЕГО Раздел</w:t>
            </w:r>
            <w:r w:rsidR="0032004C" w:rsidRPr="00736448">
              <w:rPr>
                <w:rFonts w:asciiTheme="majorHAnsi" w:eastAsia="Times New Roman" w:hAnsiTheme="majorHAnsi" w:cs="Times New Roman"/>
                <w:b/>
                <w:bCs/>
                <w:sz w:val="18"/>
                <w:szCs w:val="18"/>
                <w:lang w:val="ro-MD"/>
              </w:rPr>
              <w:t xml:space="preserve"> 3  (rd.67)</w:t>
            </w:r>
          </w:p>
        </w:tc>
        <w:tc>
          <w:tcPr>
            <w:tcW w:w="993" w:type="dxa"/>
            <w:tcBorders>
              <w:top w:val="nil"/>
              <w:left w:val="nil"/>
              <w:bottom w:val="single" w:sz="4" w:space="0" w:color="auto"/>
              <w:right w:val="nil"/>
            </w:tcBorders>
            <w:shd w:val="clear" w:color="auto" w:fill="auto"/>
            <w:hideMark/>
          </w:tcPr>
          <w:p w14:paraId="6C2721A3"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68</w:t>
            </w:r>
          </w:p>
        </w:tc>
        <w:tc>
          <w:tcPr>
            <w:tcW w:w="1559" w:type="dxa"/>
            <w:tcBorders>
              <w:top w:val="nil"/>
              <w:left w:val="single" w:sz="4" w:space="0" w:color="auto"/>
              <w:bottom w:val="single" w:sz="4" w:space="0" w:color="auto"/>
              <w:right w:val="single" w:sz="4" w:space="0" w:color="auto"/>
            </w:tcBorders>
            <w:shd w:val="clear" w:color="auto" w:fill="auto"/>
            <w:hideMark/>
          </w:tcPr>
          <w:p w14:paraId="34426BEB"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331523640</w:t>
            </w:r>
          </w:p>
        </w:tc>
        <w:tc>
          <w:tcPr>
            <w:tcW w:w="1603" w:type="dxa"/>
            <w:tcBorders>
              <w:top w:val="nil"/>
              <w:left w:val="nil"/>
              <w:bottom w:val="single" w:sz="4" w:space="0" w:color="auto"/>
              <w:right w:val="single" w:sz="4" w:space="0" w:color="auto"/>
            </w:tcBorders>
            <w:shd w:val="clear" w:color="auto" w:fill="auto"/>
            <w:hideMark/>
          </w:tcPr>
          <w:p w14:paraId="7332DA07"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327329895</w:t>
            </w:r>
          </w:p>
        </w:tc>
      </w:tr>
      <w:tr w:rsidR="0032004C" w:rsidRPr="00B7675F" w14:paraId="472D3792"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290A95CA"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4</w:t>
            </w:r>
          </w:p>
        </w:tc>
        <w:tc>
          <w:tcPr>
            <w:tcW w:w="4924" w:type="dxa"/>
            <w:tcBorders>
              <w:top w:val="nil"/>
              <w:left w:val="nil"/>
              <w:bottom w:val="single" w:sz="4" w:space="0" w:color="auto"/>
              <w:right w:val="single" w:sz="4" w:space="0" w:color="auto"/>
            </w:tcBorders>
            <w:shd w:val="clear" w:color="auto" w:fill="auto"/>
            <w:hideMark/>
          </w:tcPr>
          <w:p w14:paraId="16212062" w14:textId="4E19B42C" w:rsidR="0032004C" w:rsidRPr="00736448" w:rsidRDefault="00F5660D" w:rsidP="00B372C7">
            <w:pPr>
              <w:spacing w:after="0" w:line="240" w:lineRule="auto"/>
              <w:rPr>
                <w:rFonts w:asciiTheme="majorHAnsi" w:eastAsia="Times New Roman" w:hAnsiTheme="majorHAnsi" w:cs="Times New Roman"/>
                <w:b/>
                <w:bCs/>
                <w:sz w:val="18"/>
                <w:szCs w:val="18"/>
                <w:lang w:val="ro-MD"/>
              </w:rPr>
            </w:pPr>
            <w:r w:rsidRPr="00F5660D">
              <w:rPr>
                <w:rFonts w:asciiTheme="majorHAnsi" w:eastAsia="Times New Roman" w:hAnsiTheme="majorHAnsi" w:cs="Times New Roman"/>
                <w:b/>
                <w:bCs/>
                <w:sz w:val="18"/>
                <w:szCs w:val="18"/>
                <w:lang w:val="ro-MD"/>
              </w:rPr>
              <w:t>ДОЛГОСРОЧНЫЕ ДОЛГИ</w:t>
            </w:r>
          </w:p>
        </w:tc>
        <w:tc>
          <w:tcPr>
            <w:tcW w:w="993" w:type="dxa"/>
            <w:tcBorders>
              <w:top w:val="nil"/>
              <w:left w:val="nil"/>
              <w:bottom w:val="single" w:sz="4" w:space="0" w:color="auto"/>
              <w:right w:val="nil"/>
            </w:tcBorders>
            <w:shd w:val="clear" w:color="auto" w:fill="auto"/>
            <w:hideMark/>
          </w:tcPr>
          <w:p w14:paraId="0FE3FED9"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38B47F3F"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7F825CC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49C1444F"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2CB9C5C4"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4.1</w:t>
            </w:r>
          </w:p>
        </w:tc>
        <w:tc>
          <w:tcPr>
            <w:tcW w:w="4924" w:type="dxa"/>
            <w:tcBorders>
              <w:top w:val="nil"/>
              <w:left w:val="nil"/>
              <w:bottom w:val="single" w:sz="4" w:space="0" w:color="auto"/>
              <w:right w:val="single" w:sz="4" w:space="0" w:color="auto"/>
            </w:tcBorders>
            <w:shd w:val="clear" w:color="auto" w:fill="auto"/>
            <w:hideMark/>
          </w:tcPr>
          <w:p w14:paraId="6DE4AEFE" w14:textId="0A0F07A8" w:rsidR="0032004C" w:rsidRPr="00736448" w:rsidRDefault="00F5660D" w:rsidP="00B372C7">
            <w:pPr>
              <w:spacing w:after="0" w:line="240" w:lineRule="auto"/>
              <w:rPr>
                <w:rFonts w:asciiTheme="majorHAnsi" w:eastAsia="Times New Roman" w:hAnsiTheme="majorHAnsi" w:cs="Times New Roman"/>
                <w:b/>
                <w:bCs/>
                <w:sz w:val="18"/>
                <w:szCs w:val="18"/>
                <w:lang w:val="ro-MD"/>
              </w:rPr>
            </w:pPr>
            <w:r>
              <w:rPr>
                <w:rFonts w:asciiTheme="majorHAnsi" w:eastAsia="Times New Roman" w:hAnsiTheme="majorHAnsi" w:cs="Times New Roman"/>
                <w:b/>
                <w:bCs/>
                <w:sz w:val="18"/>
                <w:szCs w:val="18"/>
                <w:lang w:val="ru-RU"/>
              </w:rPr>
              <w:t>Долг</w:t>
            </w:r>
            <w:r w:rsidRPr="008F6B6E">
              <w:rPr>
                <w:rFonts w:asciiTheme="majorHAnsi" w:eastAsia="Times New Roman" w:hAnsiTheme="majorHAnsi" w:cs="Times New Roman"/>
                <w:b/>
                <w:bCs/>
                <w:sz w:val="18"/>
                <w:szCs w:val="18"/>
                <w:lang w:val="ro-MD"/>
              </w:rPr>
              <w:t>осрочные долги, рассчитанные</w:t>
            </w:r>
          </w:p>
        </w:tc>
        <w:tc>
          <w:tcPr>
            <w:tcW w:w="993" w:type="dxa"/>
            <w:tcBorders>
              <w:top w:val="nil"/>
              <w:left w:val="nil"/>
              <w:bottom w:val="single" w:sz="4" w:space="0" w:color="auto"/>
              <w:right w:val="nil"/>
            </w:tcBorders>
            <w:shd w:val="clear" w:color="auto" w:fill="auto"/>
            <w:hideMark/>
          </w:tcPr>
          <w:p w14:paraId="791A285A"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7B8AFC0E"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1DF48C9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62703DC9"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166655EE"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6EFB4D05" w14:textId="610BCD71" w:rsidR="0032004C" w:rsidRPr="00736448" w:rsidRDefault="00F5660D" w:rsidP="00B372C7">
            <w:pPr>
              <w:spacing w:after="0" w:line="240" w:lineRule="auto"/>
              <w:rPr>
                <w:rFonts w:asciiTheme="majorHAnsi" w:eastAsia="Times New Roman" w:hAnsiTheme="majorHAnsi" w:cs="Times New Roman"/>
                <w:sz w:val="18"/>
                <w:szCs w:val="18"/>
                <w:lang w:val="ro-MD"/>
              </w:rPr>
            </w:pPr>
            <w:r w:rsidRPr="00F5660D">
              <w:rPr>
                <w:rFonts w:asciiTheme="majorHAnsi" w:eastAsia="Times New Roman" w:hAnsiTheme="majorHAnsi" w:cs="Times New Roman"/>
                <w:sz w:val="18"/>
                <w:szCs w:val="18"/>
                <w:lang w:val="ro-MD"/>
              </w:rPr>
              <w:t xml:space="preserve">Долгосрочные финансовые обязательства </w:t>
            </w:r>
            <w:r w:rsidR="0032004C" w:rsidRPr="00736448">
              <w:rPr>
                <w:rFonts w:asciiTheme="majorHAnsi" w:eastAsia="Times New Roman" w:hAnsiTheme="majorHAnsi" w:cs="Times New Roman"/>
                <w:sz w:val="18"/>
                <w:szCs w:val="18"/>
                <w:lang w:val="ro-MD"/>
              </w:rPr>
              <w:t>(401)</w:t>
            </w:r>
          </w:p>
        </w:tc>
        <w:tc>
          <w:tcPr>
            <w:tcW w:w="993" w:type="dxa"/>
            <w:tcBorders>
              <w:top w:val="nil"/>
              <w:left w:val="nil"/>
              <w:bottom w:val="single" w:sz="4" w:space="0" w:color="auto"/>
              <w:right w:val="nil"/>
            </w:tcBorders>
            <w:shd w:val="clear" w:color="auto" w:fill="auto"/>
            <w:hideMark/>
          </w:tcPr>
          <w:p w14:paraId="39C6B68C"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69</w:t>
            </w:r>
          </w:p>
        </w:tc>
        <w:tc>
          <w:tcPr>
            <w:tcW w:w="1559" w:type="dxa"/>
            <w:tcBorders>
              <w:top w:val="nil"/>
              <w:left w:val="single" w:sz="4" w:space="0" w:color="auto"/>
              <w:bottom w:val="single" w:sz="4" w:space="0" w:color="auto"/>
              <w:right w:val="single" w:sz="4" w:space="0" w:color="auto"/>
            </w:tcBorders>
            <w:shd w:val="clear" w:color="auto" w:fill="auto"/>
            <w:hideMark/>
          </w:tcPr>
          <w:p w14:paraId="1755EAE9"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56219C26"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475D1407"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06FF3C03"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08ADF976" w14:textId="32D73123" w:rsidR="0032004C" w:rsidRPr="00736448" w:rsidRDefault="00F5660D" w:rsidP="00B372C7">
            <w:pPr>
              <w:spacing w:after="0" w:line="240" w:lineRule="auto"/>
              <w:rPr>
                <w:rFonts w:asciiTheme="majorHAnsi" w:eastAsia="Times New Roman" w:hAnsiTheme="majorHAnsi" w:cs="Times New Roman"/>
                <w:sz w:val="18"/>
                <w:szCs w:val="18"/>
                <w:lang w:val="ro-MD"/>
              </w:rPr>
            </w:pPr>
            <w:r w:rsidRPr="00F5660D">
              <w:rPr>
                <w:rFonts w:asciiTheme="majorHAnsi" w:eastAsia="Times New Roman" w:hAnsiTheme="majorHAnsi" w:cs="Times New Roman"/>
                <w:sz w:val="18"/>
                <w:szCs w:val="18"/>
                <w:lang w:val="ro-MD"/>
              </w:rPr>
              <w:t xml:space="preserve">Прочие долгосрочные долги </w:t>
            </w:r>
            <w:r w:rsidR="0032004C" w:rsidRPr="00736448">
              <w:rPr>
                <w:rFonts w:asciiTheme="majorHAnsi" w:eastAsia="Times New Roman" w:hAnsiTheme="majorHAnsi" w:cs="Times New Roman"/>
                <w:sz w:val="18"/>
                <w:szCs w:val="18"/>
                <w:lang w:val="ro-MD"/>
              </w:rPr>
              <w:t>(402)</w:t>
            </w:r>
          </w:p>
        </w:tc>
        <w:tc>
          <w:tcPr>
            <w:tcW w:w="993" w:type="dxa"/>
            <w:tcBorders>
              <w:top w:val="nil"/>
              <w:left w:val="nil"/>
              <w:bottom w:val="single" w:sz="4" w:space="0" w:color="auto"/>
              <w:right w:val="nil"/>
            </w:tcBorders>
            <w:shd w:val="clear" w:color="auto" w:fill="auto"/>
            <w:hideMark/>
          </w:tcPr>
          <w:p w14:paraId="1547EA74"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70</w:t>
            </w:r>
          </w:p>
        </w:tc>
        <w:tc>
          <w:tcPr>
            <w:tcW w:w="1559" w:type="dxa"/>
            <w:tcBorders>
              <w:top w:val="nil"/>
              <w:left w:val="single" w:sz="4" w:space="0" w:color="auto"/>
              <w:bottom w:val="single" w:sz="4" w:space="0" w:color="auto"/>
              <w:right w:val="single" w:sz="4" w:space="0" w:color="auto"/>
            </w:tcBorders>
            <w:shd w:val="clear" w:color="auto" w:fill="auto"/>
            <w:hideMark/>
          </w:tcPr>
          <w:p w14:paraId="02FA1BAB"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35074373</w:t>
            </w:r>
          </w:p>
        </w:tc>
        <w:tc>
          <w:tcPr>
            <w:tcW w:w="1603" w:type="dxa"/>
            <w:tcBorders>
              <w:top w:val="nil"/>
              <w:left w:val="nil"/>
              <w:bottom w:val="single" w:sz="4" w:space="0" w:color="auto"/>
              <w:right w:val="single" w:sz="4" w:space="0" w:color="auto"/>
            </w:tcBorders>
            <w:shd w:val="clear" w:color="auto" w:fill="auto"/>
            <w:hideMark/>
          </w:tcPr>
          <w:p w14:paraId="50041316"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35127362</w:t>
            </w:r>
          </w:p>
        </w:tc>
      </w:tr>
      <w:tr w:rsidR="0032004C" w:rsidRPr="00B7675F" w14:paraId="1F6F63E5"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8D623A3"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2A220EEA" w14:textId="78C914C5" w:rsidR="0032004C" w:rsidRPr="00736448" w:rsidRDefault="00F5660D" w:rsidP="00B372C7">
            <w:pPr>
              <w:spacing w:after="0" w:line="240" w:lineRule="auto"/>
              <w:rPr>
                <w:rFonts w:asciiTheme="majorHAnsi" w:eastAsia="Times New Roman" w:hAnsiTheme="majorHAnsi" w:cs="Times New Roman"/>
                <w:b/>
                <w:bCs/>
                <w:sz w:val="18"/>
                <w:szCs w:val="18"/>
                <w:lang w:val="ro-MD"/>
              </w:rPr>
            </w:pPr>
            <w:r>
              <w:rPr>
                <w:rFonts w:asciiTheme="majorHAnsi" w:eastAsia="Times New Roman" w:hAnsiTheme="majorHAnsi" w:cs="Times New Roman"/>
                <w:b/>
                <w:bCs/>
                <w:sz w:val="18"/>
                <w:szCs w:val="18"/>
                <w:lang w:val="ru-RU"/>
              </w:rPr>
              <w:t xml:space="preserve">Всего </w:t>
            </w:r>
            <w:r w:rsidR="0032004C" w:rsidRPr="00736448">
              <w:rPr>
                <w:rFonts w:asciiTheme="majorHAnsi" w:eastAsia="Times New Roman" w:hAnsiTheme="majorHAnsi" w:cs="Times New Roman"/>
                <w:b/>
                <w:bCs/>
                <w:sz w:val="18"/>
                <w:szCs w:val="18"/>
                <w:lang w:val="ro-MD"/>
              </w:rPr>
              <w:t>s.4.1  (rd.69+rd.70)</w:t>
            </w:r>
          </w:p>
        </w:tc>
        <w:tc>
          <w:tcPr>
            <w:tcW w:w="993" w:type="dxa"/>
            <w:tcBorders>
              <w:top w:val="nil"/>
              <w:left w:val="nil"/>
              <w:bottom w:val="single" w:sz="4" w:space="0" w:color="auto"/>
              <w:right w:val="nil"/>
            </w:tcBorders>
            <w:shd w:val="clear" w:color="auto" w:fill="auto"/>
            <w:hideMark/>
          </w:tcPr>
          <w:p w14:paraId="77A2F3A8"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71</w:t>
            </w:r>
          </w:p>
        </w:tc>
        <w:tc>
          <w:tcPr>
            <w:tcW w:w="1559" w:type="dxa"/>
            <w:tcBorders>
              <w:top w:val="nil"/>
              <w:left w:val="single" w:sz="4" w:space="0" w:color="auto"/>
              <w:bottom w:val="single" w:sz="4" w:space="0" w:color="auto"/>
              <w:right w:val="single" w:sz="4" w:space="0" w:color="auto"/>
            </w:tcBorders>
            <w:shd w:val="clear" w:color="auto" w:fill="auto"/>
            <w:hideMark/>
          </w:tcPr>
          <w:p w14:paraId="416A6D44"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35074373</w:t>
            </w:r>
          </w:p>
        </w:tc>
        <w:tc>
          <w:tcPr>
            <w:tcW w:w="1603" w:type="dxa"/>
            <w:tcBorders>
              <w:top w:val="nil"/>
              <w:left w:val="nil"/>
              <w:bottom w:val="single" w:sz="4" w:space="0" w:color="auto"/>
              <w:right w:val="single" w:sz="4" w:space="0" w:color="auto"/>
            </w:tcBorders>
            <w:shd w:val="clear" w:color="auto" w:fill="auto"/>
            <w:hideMark/>
          </w:tcPr>
          <w:p w14:paraId="2AEE9FA6"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35127362</w:t>
            </w:r>
          </w:p>
        </w:tc>
      </w:tr>
      <w:tr w:rsidR="0032004C" w:rsidRPr="00B7675F" w14:paraId="4D4C5CCE"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0F5811B3"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40ABBAC5" w14:textId="573CD413" w:rsidR="0032004C" w:rsidRPr="00736448" w:rsidRDefault="00F5660D" w:rsidP="00F5660D">
            <w:pPr>
              <w:spacing w:after="0" w:line="240" w:lineRule="auto"/>
              <w:rPr>
                <w:rFonts w:asciiTheme="majorHAnsi" w:eastAsia="Times New Roman" w:hAnsiTheme="majorHAnsi" w:cs="Times New Roman"/>
                <w:b/>
                <w:bCs/>
                <w:sz w:val="18"/>
                <w:szCs w:val="18"/>
                <w:lang w:val="ro-MD"/>
              </w:rPr>
            </w:pPr>
            <w:r>
              <w:rPr>
                <w:rFonts w:asciiTheme="majorHAnsi" w:eastAsia="Times New Roman" w:hAnsiTheme="majorHAnsi" w:cs="Times New Roman"/>
                <w:b/>
                <w:bCs/>
                <w:sz w:val="18"/>
                <w:szCs w:val="18"/>
                <w:lang w:val="ru-RU"/>
              </w:rPr>
              <w:t>ВСЕГО Раздел</w:t>
            </w:r>
            <w:r w:rsidR="0032004C" w:rsidRPr="00736448">
              <w:rPr>
                <w:rFonts w:asciiTheme="majorHAnsi" w:eastAsia="Times New Roman" w:hAnsiTheme="majorHAnsi" w:cs="Times New Roman"/>
                <w:b/>
                <w:bCs/>
                <w:sz w:val="18"/>
                <w:szCs w:val="18"/>
                <w:lang w:val="ro-MD"/>
              </w:rPr>
              <w:t xml:space="preserve"> 4 (rd.71) </w:t>
            </w:r>
          </w:p>
        </w:tc>
        <w:tc>
          <w:tcPr>
            <w:tcW w:w="993" w:type="dxa"/>
            <w:tcBorders>
              <w:top w:val="nil"/>
              <w:left w:val="nil"/>
              <w:bottom w:val="single" w:sz="4" w:space="0" w:color="auto"/>
              <w:right w:val="nil"/>
            </w:tcBorders>
            <w:shd w:val="clear" w:color="auto" w:fill="auto"/>
            <w:hideMark/>
          </w:tcPr>
          <w:p w14:paraId="172900FE"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72</w:t>
            </w:r>
          </w:p>
        </w:tc>
        <w:tc>
          <w:tcPr>
            <w:tcW w:w="1559" w:type="dxa"/>
            <w:tcBorders>
              <w:top w:val="nil"/>
              <w:left w:val="single" w:sz="4" w:space="0" w:color="auto"/>
              <w:bottom w:val="single" w:sz="4" w:space="0" w:color="auto"/>
              <w:right w:val="single" w:sz="4" w:space="0" w:color="auto"/>
            </w:tcBorders>
            <w:shd w:val="clear" w:color="auto" w:fill="auto"/>
            <w:hideMark/>
          </w:tcPr>
          <w:p w14:paraId="1B17D98E"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35074373</w:t>
            </w:r>
          </w:p>
        </w:tc>
        <w:tc>
          <w:tcPr>
            <w:tcW w:w="1603" w:type="dxa"/>
            <w:tcBorders>
              <w:top w:val="nil"/>
              <w:left w:val="nil"/>
              <w:bottom w:val="single" w:sz="4" w:space="0" w:color="auto"/>
              <w:right w:val="single" w:sz="4" w:space="0" w:color="auto"/>
            </w:tcBorders>
            <w:shd w:val="clear" w:color="auto" w:fill="auto"/>
            <w:hideMark/>
          </w:tcPr>
          <w:p w14:paraId="7D01E8C9"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35127362</w:t>
            </w:r>
          </w:p>
        </w:tc>
      </w:tr>
      <w:tr w:rsidR="0032004C" w:rsidRPr="00B7675F" w14:paraId="04801759"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0591395C"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5</w:t>
            </w:r>
          </w:p>
        </w:tc>
        <w:tc>
          <w:tcPr>
            <w:tcW w:w="4924" w:type="dxa"/>
            <w:tcBorders>
              <w:top w:val="nil"/>
              <w:left w:val="nil"/>
              <w:bottom w:val="single" w:sz="4" w:space="0" w:color="auto"/>
              <w:right w:val="single" w:sz="4" w:space="0" w:color="auto"/>
            </w:tcBorders>
            <w:shd w:val="clear" w:color="auto" w:fill="auto"/>
            <w:hideMark/>
          </w:tcPr>
          <w:p w14:paraId="2F522ED4" w14:textId="20F306E0" w:rsidR="0032004C" w:rsidRPr="00736448" w:rsidRDefault="00F5660D" w:rsidP="00B372C7">
            <w:pPr>
              <w:spacing w:after="0" w:line="240" w:lineRule="auto"/>
              <w:rPr>
                <w:rFonts w:asciiTheme="majorHAnsi" w:eastAsia="Times New Roman" w:hAnsiTheme="majorHAnsi" w:cs="Times New Roman"/>
                <w:b/>
                <w:bCs/>
                <w:sz w:val="18"/>
                <w:szCs w:val="18"/>
                <w:lang w:val="ro-MD"/>
              </w:rPr>
            </w:pPr>
            <w:r w:rsidRPr="00F5660D">
              <w:rPr>
                <w:rFonts w:asciiTheme="majorHAnsi" w:eastAsia="Times New Roman" w:hAnsiTheme="majorHAnsi" w:cs="Times New Roman"/>
                <w:b/>
                <w:bCs/>
                <w:sz w:val="18"/>
                <w:szCs w:val="18"/>
                <w:lang w:val="ro-MD"/>
              </w:rPr>
              <w:t>СОБСТВЕННЫЙ КАПИТАЛ</w:t>
            </w:r>
          </w:p>
        </w:tc>
        <w:tc>
          <w:tcPr>
            <w:tcW w:w="993" w:type="dxa"/>
            <w:tcBorders>
              <w:top w:val="nil"/>
              <w:left w:val="nil"/>
              <w:bottom w:val="single" w:sz="4" w:space="0" w:color="auto"/>
              <w:right w:val="nil"/>
            </w:tcBorders>
            <w:shd w:val="clear" w:color="auto" w:fill="auto"/>
            <w:hideMark/>
          </w:tcPr>
          <w:p w14:paraId="7EDB3B86"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3B8792F1"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5B1D0CC7"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r>
      <w:tr w:rsidR="0032004C" w:rsidRPr="00B7675F" w14:paraId="0E0DD2ED"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410C57C5"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5.1</w:t>
            </w:r>
          </w:p>
        </w:tc>
        <w:tc>
          <w:tcPr>
            <w:tcW w:w="4924" w:type="dxa"/>
            <w:tcBorders>
              <w:top w:val="nil"/>
              <w:left w:val="nil"/>
              <w:bottom w:val="single" w:sz="4" w:space="0" w:color="auto"/>
              <w:right w:val="single" w:sz="4" w:space="0" w:color="auto"/>
            </w:tcBorders>
            <w:shd w:val="clear" w:color="auto" w:fill="auto"/>
            <w:hideMark/>
          </w:tcPr>
          <w:p w14:paraId="11900160" w14:textId="43069D23" w:rsidR="0032004C" w:rsidRPr="00736448" w:rsidRDefault="00F5660D" w:rsidP="00B372C7">
            <w:pPr>
              <w:spacing w:after="0" w:line="240" w:lineRule="auto"/>
              <w:rPr>
                <w:rFonts w:asciiTheme="majorHAnsi" w:eastAsia="Times New Roman" w:hAnsiTheme="majorHAnsi" w:cs="Times New Roman"/>
                <w:b/>
                <w:bCs/>
                <w:sz w:val="18"/>
                <w:szCs w:val="18"/>
                <w:lang w:val="ro-MD"/>
              </w:rPr>
            </w:pPr>
            <w:r w:rsidRPr="00F5660D">
              <w:rPr>
                <w:rFonts w:asciiTheme="majorHAnsi" w:eastAsia="Times New Roman" w:hAnsiTheme="majorHAnsi" w:cs="Times New Roman"/>
                <w:b/>
                <w:bCs/>
                <w:sz w:val="18"/>
                <w:szCs w:val="18"/>
                <w:lang w:val="ro-MD"/>
              </w:rPr>
              <w:t>Фонды учреждения</w:t>
            </w:r>
          </w:p>
        </w:tc>
        <w:tc>
          <w:tcPr>
            <w:tcW w:w="993" w:type="dxa"/>
            <w:tcBorders>
              <w:top w:val="nil"/>
              <w:left w:val="nil"/>
              <w:bottom w:val="single" w:sz="4" w:space="0" w:color="auto"/>
              <w:right w:val="nil"/>
            </w:tcBorders>
            <w:shd w:val="clear" w:color="auto" w:fill="auto"/>
            <w:hideMark/>
          </w:tcPr>
          <w:p w14:paraId="5C918D6D"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56EB685C"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200F827E"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7EC90D23"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43617596"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0CE8CAC5" w14:textId="4F6429BB" w:rsidR="0032004C" w:rsidRPr="00736448" w:rsidRDefault="00F5660D" w:rsidP="00B372C7">
            <w:pPr>
              <w:spacing w:after="0" w:line="240" w:lineRule="auto"/>
              <w:rPr>
                <w:rFonts w:asciiTheme="majorHAnsi" w:eastAsia="Times New Roman" w:hAnsiTheme="majorHAnsi" w:cs="Times New Roman"/>
                <w:sz w:val="18"/>
                <w:szCs w:val="18"/>
                <w:lang w:val="ro-MD"/>
              </w:rPr>
            </w:pPr>
            <w:r w:rsidRPr="00F5660D">
              <w:rPr>
                <w:rFonts w:asciiTheme="majorHAnsi" w:eastAsia="Times New Roman" w:hAnsiTheme="majorHAnsi" w:cs="Times New Roman"/>
                <w:sz w:val="18"/>
                <w:szCs w:val="18"/>
                <w:lang w:val="ro-MD"/>
              </w:rPr>
              <w:t xml:space="preserve">Фонд долгосрочных материальных активов </w:t>
            </w:r>
            <w:r w:rsidR="0032004C" w:rsidRPr="00736448">
              <w:rPr>
                <w:rFonts w:asciiTheme="majorHAnsi" w:eastAsia="Times New Roman" w:hAnsiTheme="majorHAnsi" w:cs="Times New Roman"/>
                <w:sz w:val="18"/>
                <w:szCs w:val="18"/>
                <w:lang w:val="ro-MD"/>
              </w:rPr>
              <w:t>(501)</w:t>
            </w:r>
          </w:p>
        </w:tc>
        <w:tc>
          <w:tcPr>
            <w:tcW w:w="993" w:type="dxa"/>
            <w:tcBorders>
              <w:top w:val="nil"/>
              <w:left w:val="nil"/>
              <w:bottom w:val="single" w:sz="4" w:space="0" w:color="auto"/>
              <w:right w:val="nil"/>
            </w:tcBorders>
            <w:shd w:val="clear" w:color="auto" w:fill="auto"/>
            <w:hideMark/>
          </w:tcPr>
          <w:p w14:paraId="59B7A1C9"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73</w:t>
            </w:r>
          </w:p>
        </w:tc>
        <w:tc>
          <w:tcPr>
            <w:tcW w:w="1559" w:type="dxa"/>
            <w:tcBorders>
              <w:top w:val="nil"/>
              <w:left w:val="single" w:sz="4" w:space="0" w:color="auto"/>
              <w:bottom w:val="single" w:sz="4" w:space="0" w:color="auto"/>
              <w:right w:val="single" w:sz="4" w:space="0" w:color="auto"/>
            </w:tcBorders>
            <w:shd w:val="clear" w:color="auto" w:fill="auto"/>
            <w:hideMark/>
          </w:tcPr>
          <w:p w14:paraId="74C67B07"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121523381</w:t>
            </w:r>
          </w:p>
        </w:tc>
        <w:tc>
          <w:tcPr>
            <w:tcW w:w="1603" w:type="dxa"/>
            <w:tcBorders>
              <w:top w:val="nil"/>
              <w:left w:val="nil"/>
              <w:bottom w:val="single" w:sz="4" w:space="0" w:color="auto"/>
              <w:right w:val="single" w:sz="4" w:space="0" w:color="auto"/>
            </w:tcBorders>
            <w:shd w:val="clear" w:color="auto" w:fill="auto"/>
            <w:hideMark/>
          </w:tcPr>
          <w:p w14:paraId="7D6AA1AB"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121977226</w:t>
            </w:r>
          </w:p>
        </w:tc>
      </w:tr>
      <w:tr w:rsidR="0032004C" w:rsidRPr="00B7675F" w14:paraId="095F4AB4"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0209E6D6"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50E9619A" w14:textId="6AD566EB" w:rsidR="0032004C" w:rsidRPr="00736448" w:rsidRDefault="00F5660D" w:rsidP="00B372C7">
            <w:pPr>
              <w:spacing w:after="0" w:line="240" w:lineRule="auto"/>
              <w:rPr>
                <w:rFonts w:asciiTheme="majorHAnsi" w:eastAsia="Times New Roman" w:hAnsiTheme="majorHAnsi" w:cs="Times New Roman"/>
                <w:sz w:val="18"/>
                <w:szCs w:val="18"/>
                <w:lang w:val="ro-MD"/>
              </w:rPr>
            </w:pPr>
            <w:r w:rsidRPr="00F5660D">
              <w:rPr>
                <w:rFonts w:asciiTheme="majorHAnsi" w:eastAsia="Times New Roman" w:hAnsiTheme="majorHAnsi" w:cs="Times New Roman"/>
                <w:sz w:val="18"/>
                <w:szCs w:val="18"/>
                <w:lang w:val="ro-MD"/>
              </w:rPr>
              <w:t xml:space="preserve">Фонд малоценных и быстроизнашивающихся объектов </w:t>
            </w:r>
            <w:r w:rsidR="0032004C" w:rsidRPr="00736448">
              <w:rPr>
                <w:rFonts w:asciiTheme="majorHAnsi" w:eastAsia="Times New Roman" w:hAnsiTheme="majorHAnsi" w:cs="Times New Roman"/>
                <w:sz w:val="18"/>
                <w:szCs w:val="18"/>
                <w:lang w:val="ro-MD"/>
              </w:rPr>
              <w:t>(502)</w:t>
            </w:r>
          </w:p>
        </w:tc>
        <w:tc>
          <w:tcPr>
            <w:tcW w:w="993" w:type="dxa"/>
            <w:tcBorders>
              <w:top w:val="nil"/>
              <w:left w:val="nil"/>
              <w:bottom w:val="single" w:sz="4" w:space="0" w:color="auto"/>
              <w:right w:val="nil"/>
            </w:tcBorders>
            <w:shd w:val="clear" w:color="auto" w:fill="auto"/>
            <w:hideMark/>
          </w:tcPr>
          <w:p w14:paraId="24524430"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74</w:t>
            </w:r>
          </w:p>
        </w:tc>
        <w:tc>
          <w:tcPr>
            <w:tcW w:w="1559" w:type="dxa"/>
            <w:tcBorders>
              <w:top w:val="nil"/>
              <w:left w:val="single" w:sz="4" w:space="0" w:color="auto"/>
              <w:bottom w:val="single" w:sz="4" w:space="0" w:color="auto"/>
              <w:right w:val="single" w:sz="4" w:space="0" w:color="auto"/>
            </w:tcBorders>
            <w:shd w:val="clear" w:color="auto" w:fill="auto"/>
            <w:hideMark/>
          </w:tcPr>
          <w:p w14:paraId="030EBDDB"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378242</w:t>
            </w:r>
          </w:p>
        </w:tc>
        <w:tc>
          <w:tcPr>
            <w:tcW w:w="1603" w:type="dxa"/>
            <w:tcBorders>
              <w:top w:val="nil"/>
              <w:left w:val="nil"/>
              <w:bottom w:val="single" w:sz="4" w:space="0" w:color="auto"/>
              <w:right w:val="single" w:sz="4" w:space="0" w:color="auto"/>
            </w:tcBorders>
            <w:shd w:val="clear" w:color="auto" w:fill="auto"/>
            <w:hideMark/>
          </w:tcPr>
          <w:p w14:paraId="67963AEB"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391905</w:t>
            </w:r>
          </w:p>
        </w:tc>
      </w:tr>
      <w:tr w:rsidR="0032004C" w:rsidRPr="00B7675F" w14:paraId="68240610"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27C19324"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483684F3" w14:textId="0C3BAA32" w:rsidR="0032004C" w:rsidRPr="00736448" w:rsidRDefault="00F5660D" w:rsidP="00B372C7">
            <w:pPr>
              <w:spacing w:after="0" w:line="240" w:lineRule="auto"/>
              <w:rPr>
                <w:rFonts w:asciiTheme="majorHAnsi" w:eastAsia="Times New Roman" w:hAnsiTheme="majorHAnsi" w:cs="Times New Roman"/>
                <w:sz w:val="18"/>
                <w:szCs w:val="18"/>
                <w:lang w:val="ro-MD"/>
              </w:rPr>
            </w:pPr>
            <w:r w:rsidRPr="00F5660D">
              <w:rPr>
                <w:rFonts w:asciiTheme="majorHAnsi" w:eastAsia="Times New Roman" w:hAnsiTheme="majorHAnsi" w:cs="Times New Roman"/>
                <w:sz w:val="18"/>
                <w:szCs w:val="18"/>
                <w:lang w:val="ro-MD"/>
              </w:rPr>
              <w:t xml:space="preserve">Фонд незавершенных активов </w:t>
            </w:r>
            <w:r w:rsidR="0032004C" w:rsidRPr="00736448">
              <w:rPr>
                <w:rFonts w:asciiTheme="majorHAnsi" w:eastAsia="Times New Roman" w:hAnsiTheme="majorHAnsi" w:cs="Times New Roman"/>
                <w:sz w:val="18"/>
                <w:szCs w:val="18"/>
                <w:lang w:val="ro-MD"/>
              </w:rPr>
              <w:t>(501.03)</w:t>
            </w:r>
          </w:p>
        </w:tc>
        <w:tc>
          <w:tcPr>
            <w:tcW w:w="993" w:type="dxa"/>
            <w:tcBorders>
              <w:top w:val="nil"/>
              <w:left w:val="nil"/>
              <w:bottom w:val="single" w:sz="4" w:space="0" w:color="auto"/>
              <w:right w:val="nil"/>
            </w:tcBorders>
            <w:shd w:val="clear" w:color="auto" w:fill="auto"/>
            <w:hideMark/>
          </w:tcPr>
          <w:p w14:paraId="6E9732F2"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75</w:t>
            </w:r>
          </w:p>
        </w:tc>
        <w:tc>
          <w:tcPr>
            <w:tcW w:w="1559" w:type="dxa"/>
            <w:tcBorders>
              <w:top w:val="nil"/>
              <w:left w:val="single" w:sz="4" w:space="0" w:color="auto"/>
              <w:bottom w:val="single" w:sz="4" w:space="0" w:color="auto"/>
              <w:right w:val="single" w:sz="4" w:space="0" w:color="auto"/>
            </w:tcBorders>
            <w:shd w:val="clear" w:color="auto" w:fill="auto"/>
            <w:hideMark/>
          </w:tcPr>
          <w:p w14:paraId="398A517F"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0A65380D"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0</w:t>
            </w:r>
          </w:p>
        </w:tc>
      </w:tr>
      <w:tr w:rsidR="0032004C" w:rsidRPr="00B7675F" w14:paraId="45E21B72"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49098E9F"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8" w:space="0" w:color="auto"/>
              <w:right w:val="single" w:sz="8" w:space="0" w:color="auto"/>
            </w:tcBorders>
            <w:shd w:val="clear" w:color="auto" w:fill="auto"/>
            <w:hideMark/>
          </w:tcPr>
          <w:p w14:paraId="0EB13871" w14:textId="4F3691E6" w:rsidR="0032004C" w:rsidRPr="00736448" w:rsidRDefault="00F5660D" w:rsidP="00B372C7">
            <w:pPr>
              <w:spacing w:after="0" w:line="240" w:lineRule="auto"/>
              <w:jc w:val="both"/>
              <w:rPr>
                <w:rFonts w:asciiTheme="majorHAnsi" w:eastAsia="Times New Roman" w:hAnsiTheme="majorHAnsi" w:cs="Times New Roman"/>
                <w:color w:val="000000"/>
                <w:sz w:val="18"/>
                <w:szCs w:val="18"/>
                <w:lang w:val="ro-MD"/>
              </w:rPr>
            </w:pPr>
            <w:r w:rsidRPr="00F5660D">
              <w:rPr>
                <w:rFonts w:asciiTheme="majorHAnsi" w:eastAsia="Times New Roman" w:hAnsiTheme="majorHAnsi" w:cs="Times New Roman"/>
                <w:color w:val="000000"/>
                <w:sz w:val="18"/>
                <w:szCs w:val="18"/>
                <w:lang w:val="ro-MD"/>
              </w:rPr>
              <w:t xml:space="preserve">Фонд нематериальных активов </w:t>
            </w:r>
            <w:r w:rsidR="0032004C" w:rsidRPr="00736448">
              <w:rPr>
                <w:rFonts w:asciiTheme="majorHAnsi" w:eastAsia="Times New Roman" w:hAnsiTheme="majorHAnsi" w:cs="Times New Roman"/>
                <w:color w:val="000000"/>
                <w:sz w:val="18"/>
                <w:szCs w:val="18"/>
                <w:lang w:val="ro-MD"/>
              </w:rPr>
              <w:t>(503)</w:t>
            </w:r>
          </w:p>
        </w:tc>
        <w:tc>
          <w:tcPr>
            <w:tcW w:w="993" w:type="dxa"/>
            <w:tcBorders>
              <w:top w:val="nil"/>
              <w:left w:val="single" w:sz="4" w:space="0" w:color="auto"/>
              <w:bottom w:val="single" w:sz="4" w:space="0" w:color="auto"/>
              <w:right w:val="nil"/>
            </w:tcBorders>
            <w:shd w:val="clear" w:color="auto" w:fill="auto"/>
            <w:hideMark/>
          </w:tcPr>
          <w:p w14:paraId="3FCEEFE3"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76</w:t>
            </w:r>
          </w:p>
        </w:tc>
        <w:tc>
          <w:tcPr>
            <w:tcW w:w="1559" w:type="dxa"/>
            <w:tcBorders>
              <w:top w:val="nil"/>
              <w:left w:val="single" w:sz="4" w:space="0" w:color="auto"/>
              <w:bottom w:val="single" w:sz="4" w:space="0" w:color="auto"/>
              <w:right w:val="single" w:sz="4" w:space="0" w:color="auto"/>
            </w:tcBorders>
            <w:shd w:val="clear" w:color="auto" w:fill="auto"/>
            <w:hideMark/>
          </w:tcPr>
          <w:p w14:paraId="00D5B115"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1941595</w:t>
            </w:r>
          </w:p>
        </w:tc>
        <w:tc>
          <w:tcPr>
            <w:tcW w:w="1603" w:type="dxa"/>
            <w:tcBorders>
              <w:top w:val="nil"/>
              <w:left w:val="nil"/>
              <w:bottom w:val="single" w:sz="4" w:space="0" w:color="auto"/>
              <w:right w:val="single" w:sz="4" w:space="0" w:color="auto"/>
            </w:tcBorders>
            <w:shd w:val="clear" w:color="auto" w:fill="auto"/>
            <w:hideMark/>
          </w:tcPr>
          <w:p w14:paraId="20F72F66"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2020995</w:t>
            </w:r>
          </w:p>
        </w:tc>
      </w:tr>
      <w:tr w:rsidR="0032004C" w:rsidRPr="00B7675F" w14:paraId="7BB1EEE8"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0E43BD05"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single" w:sz="4" w:space="0" w:color="auto"/>
              <w:left w:val="nil"/>
              <w:bottom w:val="single" w:sz="4" w:space="0" w:color="auto"/>
              <w:right w:val="single" w:sz="4" w:space="0" w:color="auto"/>
            </w:tcBorders>
            <w:shd w:val="clear" w:color="auto" w:fill="auto"/>
            <w:hideMark/>
          </w:tcPr>
          <w:p w14:paraId="57B72775" w14:textId="1077DA7D" w:rsidR="0032004C" w:rsidRPr="00736448" w:rsidRDefault="00F5660D" w:rsidP="00B372C7">
            <w:pPr>
              <w:spacing w:after="0" w:line="240" w:lineRule="auto"/>
              <w:rPr>
                <w:rFonts w:asciiTheme="majorHAnsi" w:eastAsia="Times New Roman" w:hAnsiTheme="majorHAnsi" w:cs="Times New Roman"/>
                <w:b/>
                <w:bCs/>
                <w:sz w:val="18"/>
                <w:szCs w:val="18"/>
                <w:lang w:val="ro-MD"/>
              </w:rPr>
            </w:pPr>
            <w:r w:rsidRPr="00F5660D">
              <w:rPr>
                <w:rFonts w:asciiTheme="majorHAnsi" w:eastAsia="Times New Roman" w:hAnsiTheme="majorHAnsi" w:cs="Times New Roman"/>
                <w:b/>
                <w:bCs/>
                <w:sz w:val="18"/>
                <w:szCs w:val="18"/>
                <w:lang w:val="ro-MD"/>
              </w:rPr>
              <w:t>Всего</w:t>
            </w:r>
            <w:r w:rsidR="0032004C" w:rsidRPr="00736448">
              <w:rPr>
                <w:rFonts w:asciiTheme="majorHAnsi" w:eastAsia="Times New Roman" w:hAnsiTheme="majorHAnsi" w:cs="Times New Roman"/>
                <w:b/>
                <w:bCs/>
                <w:sz w:val="18"/>
                <w:szCs w:val="18"/>
                <w:lang w:val="ro-MD"/>
              </w:rPr>
              <w:t xml:space="preserve"> s.5.1  (rd.73+rd.74+rd.75+rd.76)</w:t>
            </w:r>
          </w:p>
        </w:tc>
        <w:tc>
          <w:tcPr>
            <w:tcW w:w="993" w:type="dxa"/>
            <w:tcBorders>
              <w:top w:val="nil"/>
              <w:left w:val="nil"/>
              <w:bottom w:val="single" w:sz="4" w:space="0" w:color="auto"/>
              <w:right w:val="nil"/>
            </w:tcBorders>
            <w:shd w:val="clear" w:color="auto" w:fill="auto"/>
            <w:hideMark/>
          </w:tcPr>
          <w:p w14:paraId="287187A6"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77</w:t>
            </w:r>
          </w:p>
        </w:tc>
        <w:tc>
          <w:tcPr>
            <w:tcW w:w="1559" w:type="dxa"/>
            <w:tcBorders>
              <w:top w:val="nil"/>
              <w:left w:val="single" w:sz="4" w:space="0" w:color="auto"/>
              <w:bottom w:val="single" w:sz="4" w:space="0" w:color="auto"/>
              <w:right w:val="single" w:sz="4" w:space="0" w:color="auto"/>
            </w:tcBorders>
            <w:shd w:val="clear" w:color="auto" w:fill="auto"/>
            <w:hideMark/>
          </w:tcPr>
          <w:p w14:paraId="266DC479"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123843218</w:t>
            </w:r>
          </w:p>
        </w:tc>
        <w:tc>
          <w:tcPr>
            <w:tcW w:w="1603" w:type="dxa"/>
            <w:tcBorders>
              <w:top w:val="nil"/>
              <w:left w:val="nil"/>
              <w:bottom w:val="single" w:sz="4" w:space="0" w:color="auto"/>
              <w:right w:val="single" w:sz="4" w:space="0" w:color="auto"/>
            </w:tcBorders>
            <w:shd w:val="clear" w:color="auto" w:fill="auto"/>
            <w:hideMark/>
          </w:tcPr>
          <w:p w14:paraId="5C170F47"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124390126</w:t>
            </w:r>
          </w:p>
        </w:tc>
      </w:tr>
      <w:tr w:rsidR="0032004C" w:rsidRPr="00B7675F" w14:paraId="6AF10C15"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74272B7F"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5.2</w:t>
            </w:r>
          </w:p>
        </w:tc>
        <w:tc>
          <w:tcPr>
            <w:tcW w:w="4924" w:type="dxa"/>
            <w:tcBorders>
              <w:top w:val="nil"/>
              <w:left w:val="nil"/>
              <w:bottom w:val="single" w:sz="4" w:space="0" w:color="auto"/>
              <w:right w:val="single" w:sz="4" w:space="0" w:color="auto"/>
            </w:tcBorders>
            <w:shd w:val="clear" w:color="auto" w:fill="auto"/>
            <w:hideMark/>
          </w:tcPr>
          <w:p w14:paraId="1DBC92A9" w14:textId="7EBA616B" w:rsidR="0032004C" w:rsidRPr="00736448" w:rsidRDefault="00F5660D" w:rsidP="00B372C7">
            <w:pPr>
              <w:spacing w:after="0" w:line="240" w:lineRule="auto"/>
              <w:rPr>
                <w:rFonts w:asciiTheme="majorHAnsi" w:eastAsia="Times New Roman" w:hAnsiTheme="majorHAnsi" w:cs="Times New Roman"/>
                <w:b/>
                <w:bCs/>
                <w:sz w:val="18"/>
                <w:szCs w:val="18"/>
                <w:lang w:val="ro-MD"/>
              </w:rPr>
            </w:pPr>
            <w:r w:rsidRPr="00F5660D">
              <w:rPr>
                <w:rFonts w:asciiTheme="majorHAnsi" w:eastAsia="Times New Roman" w:hAnsiTheme="majorHAnsi" w:cs="Times New Roman"/>
                <w:b/>
                <w:bCs/>
                <w:sz w:val="18"/>
                <w:szCs w:val="18"/>
                <w:lang w:val="ro-MD"/>
              </w:rPr>
              <w:t>Разница от переоценки</w:t>
            </w:r>
          </w:p>
        </w:tc>
        <w:tc>
          <w:tcPr>
            <w:tcW w:w="993" w:type="dxa"/>
            <w:tcBorders>
              <w:top w:val="nil"/>
              <w:left w:val="nil"/>
              <w:bottom w:val="single" w:sz="4" w:space="0" w:color="auto"/>
              <w:right w:val="nil"/>
            </w:tcBorders>
            <w:shd w:val="clear" w:color="auto" w:fill="auto"/>
            <w:hideMark/>
          </w:tcPr>
          <w:p w14:paraId="66532A0B"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1F80E13B"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2E4D6A3A"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15A430AC"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3C6979BD"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35702818" w14:textId="5C8B0E75" w:rsidR="0032004C" w:rsidRPr="00736448" w:rsidRDefault="00F5660D" w:rsidP="00B372C7">
            <w:pPr>
              <w:spacing w:after="0" w:line="240" w:lineRule="auto"/>
              <w:rPr>
                <w:rFonts w:asciiTheme="majorHAnsi" w:eastAsia="Times New Roman" w:hAnsiTheme="majorHAnsi" w:cs="Times New Roman"/>
                <w:b/>
                <w:bCs/>
                <w:sz w:val="18"/>
                <w:szCs w:val="18"/>
                <w:lang w:val="ro-MD"/>
              </w:rPr>
            </w:pPr>
            <w:r>
              <w:rPr>
                <w:rFonts w:asciiTheme="majorHAnsi" w:eastAsia="Times New Roman" w:hAnsiTheme="majorHAnsi" w:cs="Times New Roman"/>
                <w:b/>
                <w:bCs/>
                <w:sz w:val="18"/>
                <w:szCs w:val="18"/>
                <w:lang w:val="ru-RU"/>
              </w:rPr>
              <w:t>Всего</w:t>
            </w:r>
            <w:r w:rsidR="0032004C" w:rsidRPr="00736448">
              <w:rPr>
                <w:rFonts w:asciiTheme="majorHAnsi" w:eastAsia="Times New Roman" w:hAnsiTheme="majorHAnsi" w:cs="Times New Roman"/>
                <w:b/>
                <w:bCs/>
                <w:sz w:val="18"/>
                <w:szCs w:val="18"/>
                <w:lang w:val="ro-MD"/>
              </w:rPr>
              <w:t xml:space="preserve"> s.5.2  (+/-rd.78+/-rd.79) </w:t>
            </w:r>
          </w:p>
        </w:tc>
        <w:tc>
          <w:tcPr>
            <w:tcW w:w="993" w:type="dxa"/>
            <w:tcBorders>
              <w:top w:val="nil"/>
              <w:left w:val="nil"/>
              <w:bottom w:val="single" w:sz="4" w:space="0" w:color="auto"/>
              <w:right w:val="nil"/>
            </w:tcBorders>
            <w:shd w:val="clear" w:color="auto" w:fill="auto"/>
            <w:hideMark/>
          </w:tcPr>
          <w:p w14:paraId="2ABEF1CB"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80</w:t>
            </w:r>
          </w:p>
        </w:tc>
        <w:tc>
          <w:tcPr>
            <w:tcW w:w="1559" w:type="dxa"/>
            <w:tcBorders>
              <w:top w:val="nil"/>
              <w:left w:val="single" w:sz="4" w:space="0" w:color="auto"/>
              <w:bottom w:val="single" w:sz="4" w:space="0" w:color="auto"/>
              <w:right w:val="single" w:sz="4" w:space="0" w:color="auto"/>
            </w:tcBorders>
            <w:shd w:val="clear" w:color="auto" w:fill="auto"/>
            <w:hideMark/>
          </w:tcPr>
          <w:p w14:paraId="7A4EC0C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3A4574F2"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151420E1"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6EBF845"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5.3</w:t>
            </w:r>
          </w:p>
        </w:tc>
        <w:tc>
          <w:tcPr>
            <w:tcW w:w="4924" w:type="dxa"/>
            <w:tcBorders>
              <w:top w:val="nil"/>
              <w:left w:val="nil"/>
              <w:bottom w:val="single" w:sz="4" w:space="0" w:color="auto"/>
              <w:right w:val="single" w:sz="4" w:space="0" w:color="auto"/>
            </w:tcBorders>
            <w:shd w:val="clear" w:color="auto" w:fill="auto"/>
            <w:hideMark/>
          </w:tcPr>
          <w:p w14:paraId="35A05B57" w14:textId="6DF9639D" w:rsidR="0032004C" w:rsidRPr="00736448" w:rsidRDefault="00F5660D" w:rsidP="00B372C7">
            <w:pPr>
              <w:spacing w:after="0" w:line="240" w:lineRule="auto"/>
              <w:rPr>
                <w:rFonts w:asciiTheme="majorHAnsi" w:eastAsia="Times New Roman" w:hAnsiTheme="majorHAnsi" w:cs="Times New Roman"/>
                <w:b/>
                <w:bCs/>
                <w:sz w:val="18"/>
                <w:szCs w:val="18"/>
                <w:lang w:val="ro-MD"/>
              </w:rPr>
            </w:pPr>
            <w:r>
              <w:rPr>
                <w:rFonts w:asciiTheme="majorHAnsi" w:eastAsia="Times New Roman" w:hAnsiTheme="majorHAnsi" w:cs="Times New Roman"/>
                <w:b/>
                <w:bCs/>
                <w:sz w:val="18"/>
                <w:szCs w:val="18"/>
                <w:lang w:val="ru-RU"/>
              </w:rPr>
              <w:t>Резервы</w:t>
            </w:r>
            <w:r w:rsidR="0032004C" w:rsidRPr="00736448">
              <w:rPr>
                <w:rFonts w:asciiTheme="majorHAnsi" w:eastAsia="Times New Roman" w:hAnsiTheme="majorHAnsi" w:cs="Times New Roman"/>
                <w:b/>
                <w:bCs/>
                <w:sz w:val="18"/>
                <w:szCs w:val="18"/>
                <w:lang w:val="ro-MD"/>
              </w:rPr>
              <w:t xml:space="preserve"> </w:t>
            </w:r>
          </w:p>
        </w:tc>
        <w:tc>
          <w:tcPr>
            <w:tcW w:w="993" w:type="dxa"/>
            <w:tcBorders>
              <w:top w:val="nil"/>
              <w:left w:val="nil"/>
              <w:bottom w:val="single" w:sz="4" w:space="0" w:color="auto"/>
              <w:right w:val="nil"/>
            </w:tcBorders>
            <w:shd w:val="clear" w:color="auto" w:fill="auto"/>
            <w:hideMark/>
          </w:tcPr>
          <w:p w14:paraId="63DCDE23"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2B42D423"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3DD0FA03"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r>
      <w:tr w:rsidR="0032004C" w:rsidRPr="00B7675F" w14:paraId="4DAFD160"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403E1EC5"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2A2F4CE6" w14:textId="0350599B" w:rsidR="0032004C" w:rsidRPr="00736448" w:rsidRDefault="00F5660D" w:rsidP="00B372C7">
            <w:pPr>
              <w:spacing w:after="0" w:line="240" w:lineRule="auto"/>
              <w:rPr>
                <w:rFonts w:asciiTheme="majorHAnsi" w:eastAsia="Times New Roman" w:hAnsiTheme="majorHAnsi" w:cs="Times New Roman"/>
                <w:b/>
                <w:bCs/>
                <w:sz w:val="18"/>
                <w:szCs w:val="18"/>
                <w:lang w:val="ro-MD"/>
              </w:rPr>
            </w:pPr>
            <w:r>
              <w:rPr>
                <w:rFonts w:asciiTheme="majorHAnsi" w:eastAsia="Times New Roman" w:hAnsiTheme="majorHAnsi" w:cs="Times New Roman"/>
                <w:b/>
                <w:bCs/>
                <w:sz w:val="18"/>
                <w:szCs w:val="18"/>
                <w:lang w:val="ru-RU"/>
              </w:rPr>
              <w:t>Всего</w:t>
            </w:r>
            <w:r w:rsidR="0032004C" w:rsidRPr="00736448">
              <w:rPr>
                <w:rFonts w:asciiTheme="majorHAnsi" w:eastAsia="Times New Roman" w:hAnsiTheme="majorHAnsi" w:cs="Times New Roman"/>
                <w:b/>
                <w:bCs/>
                <w:sz w:val="18"/>
                <w:szCs w:val="18"/>
                <w:lang w:val="ro-MD"/>
              </w:rPr>
              <w:t xml:space="preserve"> s.5.3  (rd.81+rd.82)</w:t>
            </w:r>
          </w:p>
        </w:tc>
        <w:tc>
          <w:tcPr>
            <w:tcW w:w="993" w:type="dxa"/>
            <w:tcBorders>
              <w:top w:val="nil"/>
              <w:left w:val="nil"/>
              <w:bottom w:val="single" w:sz="4" w:space="0" w:color="auto"/>
              <w:right w:val="nil"/>
            </w:tcBorders>
            <w:shd w:val="clear" w:color="auto" w:fill="auto"/>
            <w:hideMark/>
          </w:tcPr>
          <w:p w14:paraId="73A5EB85"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83</w:t>
            </w:r>
          </w:p>
        </w:tc>
        <w:tc>
          <w:tcPr>
            <w:tcW w:w="1559" w:type="dxa"/>
            <w:tcBorders>
              <w:top w:val="nil"/>
              <w:left w:val="single" w:sz="4" w:space="0" w:color="auto"/>
              <w:bottom w:val="single" w:sz="4" w:space="0" w:color="auto"/>
              <w:right w:val="single" w:sz="4" w:space="0" w:color="auto"/>
            </w:tcBorders>
            <w:shd w:val="clear" w:color="auto" w:fill="auto"/>
            <w:hideMark/>
          </w:tcPr>
          <w:p w14:paraId="3F493099"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75DA2AFB"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r>
      <w:tr w:rsidR="0032004C" w:rsidRPr="00B7675F" w14:paraId="385F8C70"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6D0022D1"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5.4</w:t>
            </w:r>
          </w:p>
        </w:tc>
        <w:tc>
          <w:tcPr>
            <w:tcW w:w="4924" w:type="dxa"/>
            <w:tcBorders>
              <w:top w:val="nil"/>
              <w:left w:val="nil"/>
              <w:bottom w:val="single" w:sz="4" w:space="0" w:color="auto"/>
              <w:right w:val="single" w:sz="4" w:space="0" w:color="auto"/>
            </w:tcBorders>
            <w:shd w:val="clear" w:color="auto" w:fill="auto"/>
            <w:hideMark/>
          </w:tcPr>
          <w:p w14:paraId="3944AF0D" w14:textId="0C897E7E" w:rsidR="0032004C" w:rsidRPr="00736448" w:rsidRDefault="00F5660D" w:rsidP="00F5660D">
            <w:pPr>
              <w:spacing w:after="0" w:line="240" w:lineRule="auto"/>
              <w:rPr>
                <w:rFonts w:asciiTheme="majorHAnsi" w:eastAsia="Times New Roman" w:hAnsiTheme="majorHAnsi" w:cs="Times New Roman"/>
                <w:b/>
                <w:bCs/>
                <w:sz w:val="18"/>
                <w:szCs w:val="18"/>
                <w:lang w:val="ro-MD"/>
              </w:rPr>
            </w:pPr>
            <w:r>
              <w:rPr>
                <w:rFonts w:asciiTheme="majorHAnsi" w:eastAsia="Times New Roman" w:hAnsiTheme="majorHAnsi" w:cs="Times New Roman"/>
                <w:b/>
                <w:bCs/>
                <w:sz w:val="18"/>
                <w:szCs w:val="18"/>
                <w:lang w:val="ru-RU"/>
              </w:rPr>
              <w:t>Излишек</w:t>
            </w:r>
            <w:r w:rsidR="0032004C" w:rsidRPr="00736448">
              <w:rPr>
                <w:rFonts w:asciiTheme="majorHAnsi" w:eastAsia="Times New Roman" w:hAnsiTheme="majorHAnsi" w:cs="Times New Roman"/>
                <w:b/>
                <w:bCs/>
                <w:sz w:val="18"/>
                <w:szCs w:val="18"/>
                <w:lang w:val="ro-MD"/>
              </w:rPr>
              <w:t>(+) (</w:t>
            </w:r>
            <w:r>
              <w:rPr>
                <w:rFonts w:asciiTheme="majorHAnsi" w:eastAsia="Times New Roman" w:hAnsiTheme="majorHAnsi" w:cs="Times New Roman"/>
                <w:b/>
                <w:bCs/>
                <w:sz w:val="18"/>
                <w:szCs w:val="18"/>
                <w:lang w:val="ru-RU"/>
              </w:rPr>
              <w:t>дефицит</w:t>
            </w:r>
            <w:r w:rsidR="0032004C" w:rsidRPr="00736448">
              <w:rPr>
                <w:rFonts w:asciiTheme="majorHAnsi" w:eastAsia="Times New Roman" w:hAnsiTheme="majorHAnsi" w:cs="Times New Roman"/>
                <w:b/>
                <w:bCs/>
                <w:sz w:val="18"/>
                <w:szCs w:val="18"/>
                <w:lang w:val="ro-MD"/>
              </w:rPr>
              <w:t>)(-)</w:t>
            </w:r>
          </w:p>
        </w:tc>
        <w:tc>
          <w:tcPr>
            <w:tcW w:w="993" w:type="dxa"/>
            <w:tcBorders>
              <w:top w:val="nil"/>
              <w:left w:val="nil"/>
              <w:bottom w:val="single" w:sz="4" w:space="0" w:color="auto"/>
              <w:right w:val="nil"/>
            </w:tcBorders>
            <w:shd w:val="clear" w:color="auto" w:fill="auto"/>
            <w:hideMark/>
          </w:tcPr>
          <w:p w14:paraId="1AFC5AC5"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5E32F142"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635E6BEF"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14535F91"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449B6BA5"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197D734F" w14:textId="7FB01018" w:rsidR="0032004C" w:rsidRPr="00736448" w:rsidRDefault="00F5660D" w:rsidP="00B372C7">
            <w:pPr>
              <w:spacing w:after="0" w:line="240" w:lineRule="auto"/>
              <w:rPr>
                <w:rFonts w:asciiTheme="majorHAnsi" w:eastAsia="Times New Roman" w:hAnsiTheme="majorHAnsi" w:cs="Times New Roman"/>
                <w:b/>
                <w:bCs/>
                <w:sz w:val="18"/>
                <w:szCs w:val="18"/>
                <w:lang w:val="ro-MD"/>
              </w:rPr>
            </w:pPr>
            <w:r>
              <w:rPr>
                <w:rFonts w:asciiTheme="majorHAnsi" w:eastAsia="Times New Roman" w:hAnsiTheme="majorHAnsi" w:cs="Times New Roman"/>
                <w:b/>
                <w:bCs/>
                <w:sz w:val="18"/>
                <w:szCs w:val="18"/>
                <w:lang w:val="ru-RU"/>
              </w:rPr>
              <w:t>Всего</w:t>
            </w:r>
            <w:r w:rsidR="0032004C" w:rsidRPr="00736448">
              <w:rPr>
                <w:rFonts w:asciiTheme="majorHAnsi" w:eastAsia="Times New Roman" w:hAnsiTheme="majorHAnsi" w:cs="Times New Roman"/>
                <w:b/>
                <w:bCs/>
                <w:sz w:val="18"/>
                <w:szCs w:val="18"/>
                <w:lang w:val="ro-MD"/>
              </w:rPr>
              <w:t xml:space="preserve"> s.5.4  (+/-rd. 84+/- rd.85) </w:t>
            </w:r>
          </w:p>
        </w:tc>
        <w:tc>
          <w:tcPr>
            <w:tcW w:w="993" w:type="dxa"/>
            <w:tcBorders>
              <w:top w:val="nil"/>
              <w:left w:val="nil"/>
              <w:bottom w:val="single" w:sz="4" w:space="0" w:color="auto"/>
              <w:right w:val="nil"/>
            </w:tcBorders>
            <w:shd w:val="clear" w:color="auto" w:fill="auto"/>
            <w:hideMark/>
          </w:tcPr>
          <w:p w14:paraId="7CBD536B"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86</w:t>
            </w:r>
          </w:p>
        </w:tc>
        <w:tc>
          <w:tcPr>
            <w:tcW w:w="1559" w:type="dxa"/>
            <w:tcBorders>
              <w:top w:val="nil"/>
              <w:left w:val="single" w:sz="4" w:space="0" w:color="auto"/>
              <w:bottom w:val="single" w:sz="4" w:space="0" w:color="auto"/>
              <w:right w:val="single" w:sz="4" w:space="0" w:color="auto"/>
            </w:tcBorders>
            <w:shd w:val="clear" w:color="auto" w:fill="auto"/>
            <w:hideMark/>
          </w:tcPr>
          <w:p w14:paraId="06363925"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2014873104</w:t>
            </w:r>
          </w:p>
        </w:tc>
        <w:tc>
          <w:tcPr>
            <w:tcW w:w="1603" w:type="dxa"/>
            <w:tcBorders>
              <w:top w:val="nil"/>
              <w:left w:val="nil"/>
              <w:bottom w:val="single" w:sz="4" w:space="0" w:color="auto"/>
              <w:right w:val="single" w:sz="4" w:space="0" w:color="auto"/>
            </w:tcBorders>
            <w:shd w:val="clear" w:color="auto" w:fill="auto"/>
            <w:hideMark/>
          </w:tcPr>
          <w:p w14:paraId="693AEAEC"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1811770862</w:t>
            </w:r>
          </w:p>
        </w:tc>
      </w:tr>
      <w:tr w:rsidR="0032004C" w:rsidRPr="00B7675F" w14:paraId="04790FCE"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D85EC81"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75CEFEDB" w14:textId="6955A22C" w:rsidR="0032004C" w:rsidRPr="00736448" w:rsidRDefault="00F5660D" w:rsidP="00B372C7">
            <w:pPr>
              <w:spacing w:after="0" w:line="240" w:lineRule="auto"/>
              <w:rPr>
                <w:rFonts w:asciiTheme="majorHAnsi" w:eastAsia="Times New Roman" w:hAnsiTheme="majorHAnsi" w:cs="Times New Roman"/>
                <w:b/>
                <w:bCs/>
                <w:sz w:val="18"/>
                <w:szCs w:val="18"/>
                <w:lang w:val="ro-MD"/>
              </w:rPr>
            </w:pPr>
            <w:r>
              <w:rPr>
                <w:rFonts w:asciiTheme="majorHAnsi" w:eastAsia="Times New Roman" w:hAnsiTheme="majorHAnsi" w:cs="Times New Roman"/>
                <w:b/>
                <w:bCs/>
                <w:sz w:val="18"/>
                <w:szCs w:val="18"/>
                <w:lang w:val="ru-RU"/>
              </w:rPr>
              <w:t>ВСЕГО Раздел</w:t>
            </w:r>
            <w:r w:rsidRPr="00736448">
              <w:rPr>
                <w:rFonts w:asciiTheme="majorHAnsi" w:eastAsia="Times New Roman" w:hAnsiTheme="majorHAnsi" w:cs="Times New Roman"/>
                <w:b/>
                <w:bCs/>
                <w:sz w:val="18"/>
                <w:szCs w:val="18"/>
                <w:lang w:val="ro-MD"/>
              </w:rPr>
              <w:t xml:space="preserve"> </w:t>
            </w:r>
            <w:r w:rsidR="0032004C" w:rsidRPr="00736448">
              <w:rPr>
                <w:rFonts w:asciiTheme="majorHAnsi" w:eastAsia="Times New Roman" w:hAnsiTheme="majorHAnsi" w:cs="Times New Roman"/>
                <w:b/>
                <w:bCs/>
                <w:sz w:val="18"/>
                <w:szCs w:val="18"/>
                <w:lang w:val="ro-MD"/>
              </w:rPr>
              <w:t>5 (rd. 77+/-rd.80+rd.83+/-rd.86)</w:t>
            </w:r>
          </w:p>
        </w:tc>
        <w:tc>
          <w:tcPr>
            <w:tcW w:w="993" w:type="dxa"/>
            <w:tcBorders>
              <w:top w:val="nil"/>
              <w:left w:val="nil"/>
              <w:bottom w:val="single" w:sz="4" w:space="0" w:color="auto"/>
              <w:right w:val="nil"/>
            </w:tcBorders>
            <w:shd w:val="clear" w:color="auto" w:fill="auto"/>
            <w:hideMark/>
          </w:tcPr>
          <w:p w14:paraId="21140A47"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87</w:t>
            </w:r>
          </w:p>
        </w:tc>
        <w:tc>
          <w:tcPr>
            <w:tcW w:w="1559" w:type="dxa"/>
            <w:tcBorders>
              <w:top w:val="nil"/>
              <w:left w:val="single" w:sz="4" w:space="0" w:color="auto"/>
              <w:bottom w:val="single" w:sz="4" w:space="0" w:color="auto"/>
              <w:right w:val="single" w:sz="4" w:space="0" w:color="auto"/>
            </w:tcBorders>
            <w:shd w:val="clear" w:color="auto" w:fill="auto"/>
            <w:hideMark/>
          </w:tcPr>
          <w:p w14:paraId="18DAFCDE"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2138716322</w:t>
            </w:r>
          </w:p>
        </w:tc>
        <w:tc>
          <w:tcPr>
            <w:tcW w:w="1603" w:type="dxa"/>
            <w:tcBorders>
              <w:top w:val="nil"/>
              <w:left w:val="nil"/>
              <w:bottom w:val="single" w:sz="4" w:space="0" w:color="auto"/>
              <w:right w:val="single" w:sz="4" w:space="0" w:color="auto"/>
            </w:tcBorders>
            <w:shd w:val="clear" w:color="auto" w:fill="auto"/>
            <w:hideMark/>
          </w:tcPr>
          <w:p w14:paraId="24239788"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1936160988</w:t>
            </w:r>
          </w:p>
        </w:tc>
      </w:tr>
      <w:tr w:rsidR="0032004C" w:rsidRPr="00B7675F" w14:paraId="677BD71D" w14:textId="77777777" w:rsidTr="00860800">
        <w:trPr>
          <w:trHeight w:val="20"/>
          <w:jc w:val="center"/>
        </w:trPr>
        <w:tc>
          <w:tcPr>
            <w:tcW w:w="600" w:type="dxa"/>
            <w:vMerge w:val="restart"/>
            <w:tcBorders>
              <w:top w:val="nil"/>
              <w:left w:val="single" w:sz="4" w:space="0" w:color="auto"/>
              <w:bottom w:val="single" w:sz="4" w:space="0" w:color="auto"/>
              <w:right w:val="single" w:sz="4" w:space="0" w:color="auto"/>
            </w:tcBorders>
            <w:shd w:val="clear" w:color="auto" w:fill="auto"/>
            <w:hideMark/>
          </w:tcPr>
          <w:p w14:paraId="33600BAF"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06ACF4BF" w14:textId="13B40444" w:rsidR="0032004C" w:rsidRPr="00736448" w:rsidRDefault="00F5660D" w:rsidP="00F5660D">
            <w:pPr>
              <w:spacing w:after="0" w:line="240" w:lineRule="auto"/>
              <w:rPr>
                <w:rFonts w:asciiTheme="majorHAnsi" w:eastAsia="Times New Roman" w:hAnsiTheme="majorHAnsi" w:cs="Times New Roman"/>
                <w:b/>
                <w:bCs/>
                <w:sz w:val="18"/>
                <w:szCs w:val="18"/>
                <w:lang w:val="ro-MD"/>
              </w:rPr>
            </w:pPr>
            <w:r>
              <w:rPr>
                <w:rFonts w:asciiTheme="majorHAnsi" w:eastAsia="Times New Roman" w:hAnsiTheme="majorHAnsi" w:cs="Times New Roman"/>
                <w:b/>
                <w:bCs/>
                <w:sz w:val="18"/>
                <w:szCs w:val="18"/>
                <w:lang w:val="ru-RU"/>
              </w:rPr>
              <w:t>ОБЩИЙ ИТОГ</w:t>
            </w:r>
            <w:r w:rsidR="0032004C" w:rsidRPr="00736448">
              <w:rPr>
                <w:rFonts w:asciiTheme="majorHAnsi" w:eastAsia="Times New Roman" w:hAnsiTheme="majorHAnsi" w:cs="Times New Roman"/>
                <w:b/>
                <w:bCs/>
                <w:sz w:val="18"/>
                <w:szCs w:val="18"/>
                <w:lang w:val="ro-MD"/>
              </w:rPr>
              <w:t xml:space="preserve"> – </w:t>
            </w:r>
            <w:r>
              <w:rPr>
                <w:rFonts w:asciiTheme="majorHAnsi" w:eastAsia="Times New Roman" w:hAnsiTheme="majorHAnsi" w:cs="Times New Roman"/>
                <w:b/>
                <w:bCs/>
                <w:sz w:val="18"/>
                <w:szCs w:val="18"/>
                <w:lang w:val="ru-RU"/>
              </w:rPr>
              <w:t>ПАССИВ</w:t>
            </w:r>
          </w:p>
        </w:tc>
        <w:tc>
          <w:tcPr>
            <w:tcW w:w="993" w:type="dxa"/>
            <w:vMerge w:val="restart"/>
            <w:tcBorders>
              <w:top w:val="nil"/>
              <w:left w:val="single" w:sz="4" w:space="0" w:color="auto"/>
              <w:bottom w:val="single" w:sz="4" w:space="0" w:color="auto"/>
              <w:right w:val="nil"/>
            </w:tcBorders>
            <w:shd w:val="clear" w:color="auto" w:fill="auto"/>
            <w:hideMark/>
          </w:tcPr>
          <w:p w14:paraId="3435F165"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88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47A7767"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2505314335</w:t>
            </w:r>
          </w:p>
        </w:tc>
        <w:tc>
          <w:tcPr>
            <w:tcW w:w="1603" w:type="dxa"/>
            <w:vMerge w:val="restart"/>
            <w:tcBorders>
              <w:top w:val="nil"/>
              <w:left w:val="single" w:sz="4" w:space="0" w:color="auto"/>
              <w:bottom w:val="single" w:sz="4" w:space="0" w:color="auto"/>
              <w:right w:val="single" w:sz="4" w:space="0" w:color="auto"/>
            </w:tcBorders>
            <w:shd w:val="clear" w:color="auto" w:fill="auto"/>
            <w:hideMark/>
          </w:tcPr>
          <w:p w14:paraId="39435760"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2298618245</w:t>
            </w:r>
          </w:p>
        </w:tc>
      </w:tr>
      <w:tr w:rsidR="0032004C" w:rsidRPr="00B7675F" w14:paraId="739CC7E1" w14:textId="77777777" w:rsidTr="00860800">
        <w:trPr>
          <w:trHeight w:val="20"/>
          <w:jc w:val="center"/>
        </w:trPr>
        <w:tc>
          <w:tcPr>
            <w:tcW w:w="600" w:type="dxa"/>
            <w:vMerge/>
            <w:tcBorders>
              <w:top w:val="nil"/>
              <w:left w:val="single" w:sz="4" w:space="0" w:color="auto"/>
              <w:bottom w:val="single" w:sz="4" w:space="0" w:color="auto"/>
              <w:right w:val="single" w:sz="4" w:space="0" w:color="auto"/>
            </w:tcBorders>
            <w:vAlign w:val="center"/>
            <w:hideMark/>
          </w:tcPr>
          <w:p w14:paraId="14F85A31"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p>
        </w:tc>
        <w:tc>
          <w:tcPr>
            <w:tcW w:w="4924" w:type="dxa"/>
            <w:tcBorders>
              <w:top w:val="nil"/>
              <w:left w:val="nil"/>
              <w:bottom w:val="single" w:sz="4" w:space="0" w:color="auto"/>
              <w:right w:val="single" w:sz="4" w:space="0" w:color="auto"/>
            </w:tcBorders>
            <w:shd w:val="clear" w:color="auto" w:fill="auto"/>
            <w:hideMark/>
          </w:tcPr>
          <w:p w14:paraId="16A8B76F"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xml:space="preserve">(rd. 68+rd.72+rd.87) </w:t>
            </w:r>
          </w:p>
        </w:tc>
        <w:tc>
          <w:tcPr>
            <w:tcW w:w="993" w:type="dxa"/>
            <w:vMerge/>
            <w:tcBorders>
              <w:top w:val="nil"/>
              <w:left w:val="single" w:sz="4" w:space="0" w:color="auto"/>
              <w:bottom w:val="single" w:sz="4" w:space="0" w:color="auto"/>
              <w:right w:val="nil"/>
            </w:tcBorders>
            <w:vAlign w:val="center"/>
            <w:hideMark/>
          </w:tcPr>
          <w:p w14:paraId="6191E88D"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p>
        </w:tc>
        <w:tc>
          <w:tcPr>
            <w:tcW w:w="1559" w:type="dxa"/>
            <w:vMerge/>
            <w:tcBorders>
              <w:top w:val="nil"/>
              <w:left w:val="single" w:sz="4" w:space="0" w:color="auto"/>
              <w:bottom w:val="single" w:sz="4" w:space="0" w:color="auto"/>
              <w:right w:val="single" w:sz="4" w:space="0" w:color="auto"/>
            </w:tcBorders>
            <w:vAlign w:val="center"/>
            <w:hideMark/>
          </w:tcPr>
          <w:p w14:paraId="35935126"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p>
        </w:tc>
        <w:tc>
          <w:tcPr>
            <w:tcW w:w="1603" w:type="dxa"/>
            <w:vMerge/>
            <w:tcBorders>
              <w:top w:val="nil"/>
              <w:left w:val="single" w:sz="4" w:space="0" w:color="auto"/>
              <w:bottom w:val="single" w:sz="4" w:space="0" w:color="auto"/>
              <w:right w:val="single" w:sz="4" w:space="0" w:color="auto"/>
            </w:tcBorders>
            <w:vAlign w:val="center"/>
            <w:hideMark/>
          </w:tcPr>
          <w:p w14:paraId="6F9CF62B"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p>
        </w:tc>
      </w:tr>
    </w:tbl>
    <w:p w14:paraId="095E7D5C" w14:textId="77777777" w:rsidR="0032004C" w:rsidRPr="00736448" w:rsidRDefault="0032004C" w:rsidP="00D874AE">
      <w:pPr>
        <w:rPr>
          <w:rFonts w:cstheme="majorHAnsi"/>
          <w:b/>
          <w:color w:val="000000" w:themeColor="text1"/>
          <w:sz w:val="24"/>
          <w:szCs w:val="24"/>
          <w:lang w:val="ro-MD"/>
        </w:rPr>
      </w:pPr>
    </w:p>
    <w:p w14:paraId="4F460129" w14:textId="77777777" w:rsidR="00E52459" w:rsidRPr="00736448" w:rsidRDefault="00E52459" w:rsidP="008F764B">
      <w:pPr>
        <w:rPr>
          <w:rFonts w:cstheme="majorHAnsi"/>
          <w:b/>
          <w:color w:val="000000" w:themeColor="text1"/>
          <w:sz w:val="24"/>
          <w:szCs w:val="24"/>
          <w:lang w:val="ro-MD"/>
        </w:rPr>
      </w:pPr>
    </w:p>
    <w:sectPr w:rsidR="00E52459" w:rsidRPr="00736448" w:rsidSect="00860800">
      <w:type w:val="continuous"/>
      <w:pgSz w:w="12240" w:h="15840"/>
      <w:pgMar w:top="993" w:right="851" w:bottom="1140"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64902" w14:textId="77777777" w:rsidR="008C63E3" w:rsidRDefault="008C63E3" w:rsidP="009351E2">
      <w:pPr>
        <w:spacing w:after="0" w:line="240" w:lineRule="auto"/>
      </w:pPr>
      <w:r>
        <w:separator/>
      </w:r>
    </w:p>
  </w:endnote>
  <w:endnote w:type="continuationSeparator" w:id="0">
    <w:p w14:paraId="1279B7F4" w14:textId="77777777" w:rsidR="008C63E3" w:rsidRDefault="008C63E3" w:rsidP="0093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rPr>
      <w:id w:val="-1459638755"/>
      <w:docPartObj>
        <w:docPartGallery w:val="Page Numbers (Bottom of Page)"/>
        <w:docPartUnique/>
      </w:docPartObj>
    </w:sdtPr>
    <w:sdtEndPr>
      <w:rPr>
        <w:noProof/>
      </w:rPr>
    </w:sdtEndPr>
    <w:sdtContent>
      <w:p w14:paraId="42B2D18C" w14:textId="6937FD41" w:rsidR="002C203D" w:rsidRPr="0018370A" w:rsidRDefault="002C203D">
        <w:pPr>
          <w:pStyle w:val="ae"/>
          <w:jc w:val="right"/>
          <w:rPr>
            <w:rFonts w:asciiTheme="majorHAnsi" w:hAnsiTheme="majorHAnsi" w:cstheme="majorHAnsi"/>
          </w:rPr>
        </w:pPr>
        <w:r w:rsidRPr="0018370A">
          <w:rPr>
            <w:rFonts w:asciiTheme="majorHAnsi" w:hAnsiTheme="majorHAnsi" w:cstheme="majorHAnsi"/>
          </w:rPr>
          <w:fldChar w:fldCharType="begin"/>
        </w:r>
        <w:r w:rsidRPr="0018370A">
          <w:rPr>
            <w:rFonts w:asciiTheme="majorHAnsi" w:hAnsiTheme="majorHAnsi" w:cstheme="majorHAnsi"/>
          </w:rPr>
          <w:instrText xml:space="preserve"> PAGE   \* MERGEFORMAT </w:instrText>
        </w:r>
        <w:r w:rsidRPr="0018370A">
          <w:rPr>
            <w:rFonts w:asciiTheme="majorHAnsi" w:hAnsiTheme="majorHAnsi" w:cstheme="majorHAnsi"/>
          </w:rPr>
          <w:fldChar w:fldCharType="separate"/>
        </w:r>
        <w:r w:rsidR="00461064">
          <w:rPr>
            <w:rFonts w:asciiTheme="majorHAnsi" w:hAnsiTheme="majorHAnsi" w:cstheme="majorHAnsi"/>
            <w:noProof/>
          </w:rPr>
          <w:t>2</w:t>
        </w:r>
        <w:r w:rsidRPr="0018370A">
          <w:rPr>
            <w:rFonts w:asciiTheme="majorHAnsi" w:hAnsiTheme="majorHAnsi" w:cstheme="majorHAnsi"/>
            <w:noProof/>
          </w:rPr>
          <w:fldChar w:fldCharType="end"/>
        </w:r>
      </w:p>
    </w:sdtContent>
  </w:sdt>
  <w:p w14:paraId="474A947C" w14:textId="77777777" w:rsidR="002C203D" w:rsidRDefault="002C203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82F12" w14:textId="77777777" w:rsidR="008C63E3" w:rsidRDefault="008C63E3" w:rsidP="009351E2">
      <w:pPr>
        <w:spacing w:after="0" w:line="240" w:lineRule="auto"/>
      </w:pPr>
      <w:r>
        <w:separator/>
      </w:r>
    </w:p>
  </w:footnote>
  <w:footnote w:type="continuationSeparator" w:id="0">
    <w:p w14:paraId="5D11D87A" w14:textId="77777777" w:rsidR="008C63E3" w:rsidRDefault="008C63E3" w:rsidP="009351E2">
      <w:pPr>
        <w:spacing w:after="0" w:line="240" w:lineRule="auto"/>
      </w:pPr>
      <w:r>
        <w:continuationSeparator/>
      </w:r>
    </w:p>
  </w:footnote>
  <w:footnote w:id="1">
    <w:p w14:paraId="6DCF4F45" w14:textId="77777777" w:rsidR="002C203D" w:rsidRPr="000B01F5" w:rsidRDefault="002C203D" w:rsidP="00B749E7">
      <w:pPr>
        <w:pStyle w:val="a8"/>
        <w:jc w:val="both"/>
        <w:rPr>
          <w:rFonts w:asciiTheme="majorHAnsi" w:hAnsiTheme="majorHAnsi" w:cstheme="majorHAnsi"/>
          <w:noProof/>
          <w:highlight w:val="yellow"/>
          <w:lang w:val="ru-MD"/>
        </w:rPr>
      </w:pPr>
      <w:r w:rsidRPr="000B01F5">
        <w:rPr>
          <w:rStyle w:val="a5"/>
          <w:rFonts w:asciiTheme="majorHAnsi" w:hAnsiTheme="majorHAnsi" w:cstheme="majorHAnsi"/>
          <w:lang w:val="ru-MD"/>
        </w:rPr>
        <w:footnoteRef/>
      </w:r>
      <w:r w:rsidRPr="000B01F5">
        <w:rPr>
          <w:rFonts w:asciiTheme="majorHAnsi" w:hAnsiTheme="majorHAnsi" w:cstheme="majorHAnsi"/>
          <w:lang w:val="ru-MD"/>
        </w:rPr>
        <w:t xml:space="preserve"> Отчет об исполнении общих показателей бюджета государственного социального страхования - Формуляр №1 НКСС (согласно приложению №1 к Закону о бюджете государственного социального страхования)</w:t>
      </w:r>
      <w:r w:rsidRPr="000B01F5">
        <w:rPr>
          <w:rFonts w:asciiTheme="majorHAnsi" w:hAnsiTheme="majorHAnsi" w:cstheme="majorHAnsi"/>
          <w:noProof/>
          <w:lang w:val="ru-MD"/>
        </w:rPr>
        <w:t xml:space="preserve">; Отчет об исполнении подпрограмм расходов бюджета государственного социального страхования – Формуляр №2 НКСС (согласно приложению №2 к Закону о бюджете государственного социального страхования); </w:t>
      </w:r>
      <w:r w:rsidRPr="000B01F5">
        <w:rPr>
          <w:rFonts w:asciiTheme="majorHAnsi" w:hAnsiTheme="majorHAnsi" w:cstheme="majorHAnsi"/>
          <w:bCs/>
          <w:noProof/>
          <w:lang w:val="ru-MD"/>
        </w:rPr>
        <w:t>Отчет об исполнении бюджета государственного социального страхования</w:t>
      </w:r>
      <w:r w:rsidRPr="000B01F5">
        <w:rPr>
          <w:rFonts w:asciiTheme="majorHAnsi" w:hAnsiTheme="majorHAnsi" w:cstheme="majorHAnsi"/>
          <w:noProof/>
          <w:lang w:val="ru-MD"/>
        </w:rPr>
        <w:t xml:space="preserve"> – Формуляр №4 НКСС; </w:t>
      </w:r>
      <w:r w:rsidRPr="000B01F5">
        <w:rPr>
          <w:rFonts w:asciiTheme="majorHAnsi" w:hAnsiTheme="majorHAnsi" w:cstheme="majorHAnsi"/>
          <w:bCs/>
          <w:noProof/>
          <w:lang w:val="ru-MD"/>
        </w:rPr>
        <w:t>Отчет об исполнении бюджета государственного социального страхования по части расходов и нефинансовых активов</w:t>
      </w:r>
      <w:r w:rsidRPr="000B01F5">
        <w:rPr>
          <w:rFonts w:asciiTheme="majorHAnsi" w:hAnsiTheme="majorHAnsi" w:cstheme="majorHAnsi"/>
          <w:noProof/>
          <w:lang w:val="ru-MD"/>
        </w:rPr>
        <w:t xml:space="preserve"> – Формуляр №4.1 НКСС; </w:t>
      </w:r>
      <w:r w:rsidRPr="000B01F5">
        <w:rPr>
          <w:rFonts w:asciiTheme="majorHAnsi" w:hAnsiTheme="majorHAnsi" w:cstheme="majorHAnsi"/>
          <w:bCs/>
          <w:noProof/>
          <w:lang w:val="ru-MD"/>
        </w:rPr>
        <w:t xml:space="preserve">Отчет об исполнении бюджета государственного социального страхования по части </w:t>
      </w:r>
      <w:r>
        <w:rPr>
          <w:rFonts w:asciiTheme="majorHAnsi" w:hAnsiTheme="majorHAnsi" w:cstheme="majorHAnsi"/>
          <w:bCs/>
          <w:noProof/>
          <w:lang w:val="ru-MD"/>
        </w:rPr>
        <w:t>до</w:t>
      </w:r>
      <w:r w:rsidRPr="000B01F5">
        <w:rPr>
          <w:rFonts w:asciiTheme="majorHAnsi" w:hAnsiTheme="majorHAnsi" w:cstheme="majorHAnsi"/>
          <w:bCs/>
          <w:noProof/>
          <w:lang w:val="ru-MD"/>
        </w:rPr>
        <w:t xml:space="preserve">ходов </w:t>
      </w:r>
      <w:r w:rsidRPr="000B01F5">
        <w:rPr>
          <w:rFonts w:asciiTheme="majorHAnsi" w:hAnsiTheme="majorHAnsi" w:cstheme="majorHAnsi"/>
          <w:noProof/>
          <w:lang w:val="ru-MD"/>
        </w:rPr>
        <w:t>– Формуляр №4.</w:t>
      </w:r>
      <w:r>
        <w:rPr>
          <w:rFonts w:asciiTheme="majorHAnsi" w:hAnsiTheme="majorHAnsi" w:cstheme="majorHAnsi"/>
          <w:noProof/>
          <w:lang w:val="ru-MD"/>
        </w:rPr>
        <w:t>2</w:t>
      </w:r>
      <w:r w:rsidRPr="000B01F5">
        <w:rPr>
          <w:rFonts w:asciiTheme="majorHAnsi" w:hAnsiTheme="majorHAnsi" w:cstheme="majorHAnsi"/>
          <w:noProof/>
          <w:lang w:val="ru-MD"/>
        </w:rPr>
        <w:t xml:space="preserve"> НКСС</w:t>
      </w:r>
      <w:r>
        <w:rPr>
          <w:rFonts w:asciiTheme="majorHAnsi" w:hAnsiTheme="majorHAnsi" w:cstheme="majorHAnsi"/>
          <w:noProof/>
          <w:lang w:val="ru-MD"/>
        </w:rPr>
        <w:t>;</w:t>
      </w:r>
      <w:r w:rsidRPr="000B01F5">
        <w:rPr>
          <w:rFonts w:asciiTheme="majorHAnsi" w:hAnsiTheme="majorHAnsi" w:cstheme="majorHAnsi"/>
          <w:bCs/>
          <w:noProof/>
          <w:lang w:val="ru-MD"/>
        </w:rPr>
        <w:t xml:space="preserve"> Отчет об исполнении бюджета государственного социального страхования</w:t>
      </w:r>
      <w:r w:rsidRPr="000B01F5">
        <w:rPr>
          <w:rFonts w:asciiTheme="majorHAnsi" w:hAnsiTheme="majorHAnsi" w:cstheme="majorHAnsi"/>
          <w:noProof/>
          <w:lang w:val="ru-MD"/>
        </w:rPr>
        <w:t xml:space="preserve"> (Пояснительная записка). </w:t>
      </w:r>
    </w:p>
  </w:footnote>
  <w:footnote w:id="2">
    <w:p w14:paraId="4520EB40" w14:textId="77777777" w:rsidR="002C203D" w:rsidRPr="000B01F5" w:rsidRDefault="002C203D" w:rsidP="00B749E7">
      <w:pPr>
        <w:pStyle w:val="a3"/>
        <w:jc w:val="both"/>
        <w:rPr>
          <w:rFonts w:asciiTheme="majorHAnsi" w:hAnsiTheme="majorHAnsi" w:cstheme="majorHAnsi"/>
          <w:lang w:val="ru-MD"/>
        </w:rPr>
      </w:pPr>
      <w:r w:rsidRPr="000B01F5">
        <w:rPr>
          <w:rStyle w:val="a5"/>
          <w:rFonts w:asciiTheme="majorHAnsi" w:hAnsiTheme="majorHAnsi" w:cstheme="majorHAnsi"/>
          <w:lang w:val="ru-MD"/>
        </w:rPr>
        <w:footnoteRef/>
      </w:r>
      <w:r w:rsidRPr="000B01F5">
        <w:rPr>
          <w:rFonts w:asciiTheme="majorHAnsi" w:hAnsiTheme="majorHAnsi" w:cstheme="majorHAnsi"/>
          <w:lang w:val="ru-MD"/>
        </w:rPr>
        <w:t xml:space="preserve"> Приказ министра финансов №38 от 17.02.2017 „</w:t>
      </w:r>
      <w:r w:rsidRPr="000B01F5">
        <w:rPr>
          <w:rFonts w:asciiTheme="majorHAnsi" w:hAnsiTheme="majorHAnsi" w:cstheme="majorHAnsi"/>
          <w:bCs/>
          <w:lang w:val="ru-MD"/>
        </w:rPr>
        <w:t>Об утверждении формуляров Отчетов об исполнении бюджета государственного социального страхования и Методологических норм о порядке их составления</w:t>
      </w:r>
      <w:r w:rsidRPr="000B01F5">
        <w:rPr>
          <w:rFonts w:asciiTheme="majorHAnsi" w:hAnsiTheme="majorHAnsi" w:cstheme="majorHAnsi"/>
          <w:lang w:val="ru-MD"/>
        </w:rPr>
        <w:t xml:space="preserve">” (с последующими изменениями и дополнениями) </w:t>
      </w:r>
      <w:r w:rsidRPr="000B01F5">
        <w:rPr>
          <w:rFonts w:asciiTheme="majorHAnsi" w:hAnsiTheme="majorHAnsi" w:cstheme="majorHAnsi"/>
          <w:noProof/>
          <w:lang w:val="ru-MD"/>
        </w:rPr>
        <w:t xml:space="preserve">(далее – </w:t>
      </w:r>
      <w:r w:rsidRPr="000B01F5">
        <w:rPr>
          <w:rFonts w:asciiTheme="majorHAnsi" w:hAnsiTheme="majorHAnsi" w:cstheme="majorHAnsi"/>
          <w:lang w:val="ru-MD"/>
        </w:rPr>
        <w:t>Приказ министра финансов №38 от 17.02.2017</w:t>
      </w:r>
      <w:r w:rsidRPr="000B01F5">
        <w:rPr>
          <w:rFonts w:asciiTheme="majorHAnsi" w:hAnsiTheme="majorHAnsi" w:cstheme="majorHAnsi"/>
          <w:noProof/>
          <w:lang w:val="ru-MD"/>
        </w:rPr>
        <w:t>).</w:t>
      </w:r>
    </w:p>
  </w:footnote>
  <w:footnote w:id="3">
    <w:p w14:paraId="1AEDC05B" w14:textId="77777777" w:rsidR="002C203D" w:rsidRPr="000A4484" w:rsidRDefault="002C203D" w:rsidP="00B749E7">
      <w:pPr>
        <w:pStyle w:val="a3"/>
        <w:jc w:val="both"/>
        <w:rPr>
          <w:rFonts w:asciiTheme="majorHAnsi" w:hAnsiTheme="majorHAnsi" w:cstheme="majorHAnsi"/>
          <w:lang w:val="ru-MD"/>
        </w:rPr>
      </w:pPr>
      <w:r w:rsidRPr="000A4484">
        <w:rPr>
          <w:rFonts w:asciiTheme="majorHAnsi" w:hAnsiTheme="majorHAnsi" w:cstheme="majorHAnsi"/>
          <w:vertAlign w:val="superscript"/>
          <w:lang w:val="ru-MD"/>
        </w:rPr>
        <w:footnoteRef/>
      </w:r>
      <w:r w:rsidRPr="000A4484">
        <w:rPr>
          <w:rFonts w:asciiTheme="majorHAnsi" w:hAnsiTheme="majorHAnsi" w:cstheme="majorHAnsi"/>
          <w:lang w:val="ru-MD"/>
        </w:rPr>
        <w:t xml:space="preserve"> Постановление Счетной палаты №2 от 24.01.2020 „О Системе профессиональных деклараций INTOSAI”.</w:t>
      </w:r>
    </w:p>
  </w:footnote>
  <w:footnote w:id="4">
    <w:p w14:paraId="2DF92F30" w14:textId="77777777" w:rsidR="002C203D" w:rsidRPr="003F3E9B" w:rsidRDefault="002C203D" w:rsidP="00B749E7">
      <w:pPr>
        <w:pStyle w:val="a3"/>
        <w:jc w:val="both"/>
        <w:rPr>
          <w:rFonts w:asciiTheme="majorHAnsi" w:hAnsiTheme="majorHAnsi" w:cstheme="majorHAnsi"/>
          <w:lang w:val="ru-MD"/>
        </w:rPr>
      </w:pPr>
      <w:r w:rsidRPr="000B01F5">
        <w:rPr>
          <w:rStyle w:val="a5"/>
          <w:rFonts w:asciiTheme="majorHAnsi" w:hAnsiTheme="majorHAnsi" w:cstheme="majorHAnsi"/>
          <w:lang w:val="ro-RO"/>
        </w:rPr>
        <w:footnoteRef/>
      </w:r>
      <w:r>
        <w:rPr>
          <w:rFonts w:asciiTheme="majorHAnsi" w:hAnsiTheme="majorHAnsi" w:cstheme="majorHAnsi"/>
          <w:lang w:val="ro-RO"/>
        </w:rPr>
        <w:t xml:space="preserve"> </w:t>
      </w:r>
      <w:r w:rsidRPr="003F3E9B">
        <w:rPr>
          <w:rFonts w:asciiTheme="majorHAnsi" w:hAnsiTheme="majorHAnsi" w:cstheme="majorHAnsi"/>
          <w:lang w:val="ru-MD"/>
        </w:rPr>
        <w:t xml:space="preserve">Приказ НКСС №191- A от 29.09.2017, приложение №2 к Инструкции по бухгалтерскому учету НКСС. </w:t>
      </w:r>
    </w:p>
  </w:footnote>
  <w:footnote w:id="5">
    <w:p w14:paraId="4B940CE5" w14:textId="77777777" w:rsidR="002C203D" w:rsidRPr="003F3E9B" w:rsidRDefault="002C203D" w:rsidP="00B749E7">
      <w:pPr>
        <w:pStyle w:val="a3"/>
        <w:jc w:val="both"/>
        <w:rPr>
          <w:rFonts w:asciiTheme="majorHAnsi" w:hAnsiTheme="majorHAnsi" w:cstheme="majorHAnsi"/>
          <w:lang w:val="ru-MD"/>
        </w:rPr>
      </w:pPr>
      <w:r w:rsidRPr="003F3E9B">
        <w:rPr>
          <w:rFonts w:asciiTheme="majorHAnsi" w:hAnsiTheme="majorHAnsi" w:cstheme="majorHAnsi"/>
          <w:vertAlign w:val="superscript"/>
          <w:lang w:val="ru-MD"/>
        </w:rPr>
        <w:footnoteRef/>
      </w:r>
      <w:r w:rsidRPr="003F3E9B">
        <w:rPr>
          <w:rFonts w:asciiTheme="majorHAnsi" w:hAnsiTheme="majorHAnsi" w:cstheme="majorHAnsi"/>
          <w:lang w:val="ru-MD"/>
        </w:rPr>
        <w:t xml:space="preserve"> Закон о бухгалтерском учете №113/2007.</w:t>
      </w:r>
    </w:p>
  </w:footnote>
  <w:footnote w:id="6">
    <w:p w14:paraId="09BF7979" w14:textId="77777777" w:rsidR="002C203D" w:rsidRPr="003F3E9B" w:rsidRDefault="002C203D" w:rsidP="00B749E7">
      <w:pPr>
        <w:pStyle w:val="a3"/>
        <w:jc w:val="both"/>
        <w:rPr>
          <w:rFonts w:asciiTheme="majorHAnsi" w:hAnsiTheme="majorHAnsi" w:cstheme="majorHAnsi"/>
          <w:lang w:val="ru-MD"/>
        </w:rPr>
      </w:pPr>
      <w:r w:rsidRPr="003F3E9B">
        <w:rPr>
          <w:rStyle w:val="a5"/>
          <w:rFonts w:asciiTheme="majorHAnsi" w:hAnsiTheme="majorHAnsi" w:cstheme="majorHAnsi"/>
          <w:lang w:val="ru-MD"/>
        </w:rPr>
        <w:footnoteRef/>
      </w:r>
      <w:r w:rsidRPr="003F3E9B">
        <w:rPr>
          <w:rFonts w:asciiTheme="majorHAnsi" w:hAnsiTheme="majorHAnsi" w:cstheme="majorHAnsi"/>
          <w:lang w:val="ru-MD"/>
        </w:rPr>
        <w:t xml:space="preserve"> Постановление Правительства №71 от 22.02.2023 об утверждении Стратегии развития менеджмента публичных финансов на 2023-2030 годы.</w:t>
      </w:r>
    </w:p>
  </w:footnote>
  <w:footnote w:id="7">
    <w:p w14:paraId="11A3C6FD" w14:textId="77777777" w:rsidR="002C203D" w:rsidRPr="000A4484" w:rsidRDefault="002C203D" w:rsidP="00B749E7">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w:t>
      </w:r>
      <w:r w:rsidRPr="000A4484">
        <w:rPr>
          <w:rFonts w:asciiTheme="majorHAnsi" w:eastAsia="Times New Roman" w:hAnsiTheme="majorHAnsi" w:cstheme="majorHAnsi"/>
          <w:lang w:val="ru-MD"/>
        </w:rPr>
        <w:t>Ст.1 Закона</w:t>
      </w:r>
      <w:r>
        <w:rPr>
          <w:rFonts w:asciiTheme="majorHAnsi" w:eastAsia="Times New Roman" w:hAnsiTheme="majorHAnsi" w:cstheme="majorHAnsi"/>
          <w:lang w:val="ru-MD"/>
        </w:rPr>
        <w:t xml:space="preserve"> о государственной системе социального страхования</w:t>
      </w:r>
      <w:r w:rsidRPr="000A4484">
        <w:rPr>
          <w:rFonts w:asciiTheme="majorHAnsi" w:eastAsia="Times New Roman" w:hAnsiTheme="majorHAnsi" w:cstheme="majorHAnsi"/>
          <w:lang w:val="ru-MD"/>
        </w:rPr>
        <w:t xml:space="preserve"> </w:t>
      </w:r>
      <w:r w:rsidRPr="000A4484">
        <w:rPr>
          <w:rFonts w:asciiTheme="majorHAnsi" w:eastAsia="Times New Roman" w:hAnsiTheme="majorHAnsi" w:cstheme="majorHAnsi"/>
          <w:bCs/>
          <w:lang w:val="ru-MD"/>
        </w:rPr>
        <w:t>№</w:t>
      </w:r>
      <w:r w:rsidRPr="000A4484">
        <w:rPr>
          <w:rFonts w:asciiTheme="majorHAnsi" w:eastAsia="Times New Roman" w:hAnsiTheme="majorHAnsi" w:cstheme="majorHAnsi"/>
          <w:lang w:val="ru-MD"/>
        </w:rPr>
        <w:t>489-XIV от 08.07.1999.</w:t>
      </w:r>
    </w:p>
  </w:footnote>
  <w:footnote w:id="8">
    <w:p w14:paraId="53159BF2" w14:textId="77777777" w:rsidR="002C203D" w:rsidRPr="000A4484" w:rsidRDefault="002C203D" w:rsidP="00B749E7">
      <w:pPr>
        <w:pStyle w:val="a3"/>
        <w:jc w:val="both"/>
        <w:rPr>
          <w:rFonts w:asciiTheme="majorHAnsi" w:eastAsia="Times New Roman"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w:t>
      </w:r>
      <w:r w:rsidRPr="000A4484">
        <w:rPr>
          <w:rFonts w:asciiTheme="majorHAnsi" w:eastAsia="Times New Roman" w:hAnsiTheme="majorHAnsi" w:cstheme="majorHAnsi"/>
          <w:lang w:val="ru-MD"/>
        </w:rPr>
        <w:t xml:space="preserve">Ст.10 Закона </w:t>
      </w:r>
      <w:r>
        <w:rPr>
          <w:rFonts w:asciiTheme="majorHAnsi" w:eastAsia="Times New Roman" w:hAnsiTheme="majorHAnsi" w:cstheme="majorHAnsi"/>
          <w:lang w:val="ru-MD"/>
        </w:rPr>
        <w:t>о государственной системе социального страхования</w:t>
      </w:r>
      <w:r w:rsidRPr="000A4484">
        <w:rPr>
          <w:rFonts w:asciiTheme="majorHAnsi" w:eastAsia="Times New Roman" w:hAnsiTheme="majorHAnsi" w:cstheme="majorHAnsi"/>
          <w:lang w:val="ru-MD"/>
        </w:rPr>
        <w:t xml:space="preserve"> №489-XIV от 08.07.1999.</w:t>
      </w:r>
    </w:p>
  </w:footnote>
  <w:footnote w:id="9">
    <w:p w14:paraId="7F0C6A0D" w14:textId="77777777" w:rsidR="002C203D" w:rsidRPr="000A4484" w:rsidRDefault="002C203D" w:rsidP="00B749E7">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w:t>
      </w:r>
      <w:r w:rsidRPr="000A4484">
        <w:rPr>
          <w:rFonts w:asciiTheme="majorHAnsi" w:eastAsia="Times New Roman" w:hAnsiTheme="majorHAnsi" w:cstheme="majorHAnsi"/>
          <w:lang w:val="ru-MD"/>
        </w:rPr>
        <w:t>Ст.22 Закона</w:t>
      </w:r>
      <w:r w:rsidRPr="0075278B">
        <w:rPr>
          <w:rFonts w:ascii="Georgia" w:hAnsi="Georgia"/>
          <w:b/>
          <w:bCs/>
          <w:color w:val="333333"/>
          <w:sz w:val="22"/>
          <w:szCs w:val="22"/>
          <w:shd w:val="clear" w:color="auto" w:fill="FFFFFF"/>
          <w:lang w:val="ru-RU"/>
        </w:rPr>
        <w:t xml:space="preserve"> </w:t>
      </w:r>
      <w:r w:rsidRPr="0075278B">
        <w:rPr>
          <w:rFonts w:asciiTheme="majorHAnsi" w:eastAsia="Times New Roman" w:hAnsiTheme="majorHAnsi" w:cstheme="majorHAnsi"/>
          <w:bCs/>
          <w:lang w:val="ru-RU"/>
        </w:rPr>
        <w:t>о публичных финансах и бюджетно-налоговой ответственности</w:t>
      </w:r>
      <w:r w:rsidRPr="000A4484">
        <w:rPr>
          <w:rFonts w:asciiTheme="majorHAnsi" w:eastAsia="Times New Roman" w:hAnsiTheme="majorHAnsi" w:cstheme="majorHAnsi"/>
          <w:lang w:val="ru-MD"/>
        </w:rPr>
        <w:t xml:space="preserve"> №181 от 25.07.2014.</w:t>
      </w:r>
    </w:p>
  </w:footnote>
  <w:footnote w:id="10">
    <w:p w14:paraId="1A4D7E72" w14:textId="77777777" w:rsidR="002C203D" w:rsidRPr="00D63052" w:rsidRDefault="002C203D" w:rsidP="00B749E7">
      <w:pPr>
        <w:pStyle w:val="a3"/>
        <w:jc w:val="both"/>
        <w:rPr>
          <w:rFonts w:asciiTheme="majorHAnsi" w:hAnsiTheme="majorHAnsi" w:cstheme="majorHAnsi"/>
          <w:lang w:val="ru-MD"/>
        </w:rPr>
      </w:pPr>
      <w:r w:rsidRPr="000A4484">
        <w:rPr>
          <w:rFonts w:asciiTheme="majorHAnsi" w:hAnsiTheme="majorHAnsi" w:cstheme="majorHAnsi"/>
          <w:vertAlign w:val="superscript"/>
          <w:lang w:val="ru-MD"/>
        </w:rPr>
        <w:footnoteRef/>
      </w:r>
      <w:r w:rsidRPr="000A4484">
        <w:rPr>
          <w:rFonts w:asciiTheme="majorHAnsi" w:hAnsiTheme="majorHAnsi" w:cstheme="majorHAnsi"/>
          <w:lang w:val="ru-MD"/>
        </w:rPr>
        <w:t xml:space="preserve"> </w:t>
      </w:r>
      <w:r w:rsidRPr="00D63052">
        <w:rPr>
          <w:rFonts w:asciiTheme="majorHAnsi" w:hAnsiTheme="majorHAnsi" w:cstheme="majorHAnsi"/>
          <w:lang w:val="ru-MD"/>
        </w:rPr>
        <w:t>Закон о публичных финансах и бюджетно-налоговой ответственности №181 от 25.07.2014.</w:t>
      </w:r>
    </w:p>
  </w:footnote>
  <w:footnote w:id="11">
    <w:p w14:paraId="29F8897F" w14:textId="77777777" w:rsidR="002C203D" w:rsidRPr="000A4484" w:rsidRDefault="002C203D" w:rsidP="00B749E7">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w:t>
      </w:r>
      <w:r w:rsidRPr="00CE0CAD">
        <w:rPr>
          <w:rFonts w:asciiTheme="majorHAnsi" w:hAnsiTheme="majorHAnsi" w:cstheme="majorHAnsi"/>
          <w:lang w:val="ru-MD"/>
        </w:rPr>
        <w:t xml:space="preserve">Закон №113/2022, Закон №261/2022 и Постановление Правительства №784/2022 о перераспределении некоторых </w:t>
      </w:r>
      <w:r>
        <w:rPr>
          <w:rFonts w:asciiTheme="majorHAnsi" w:hAnsiTheme="majorHAnsi" w:cstheme="majorHAnsi"/>
          <w:lang w:val="ru-MD"/>
        </w:rPr>
        <w:t>ассигнован</w:t>
      </w:r>
      <w:r w:rsidRPr="00CE0CAD">
        <w:rPr>
          <w:rFonts w:asciiTheme="majorHAnsi" w:hAnsiTheme="majorHAnsi" w:cstheme="majorHAnsi"/>
          <w:lang w:val="ru-MD"/>
        </w:rPr>
        <w:t>ий, утвержденных Законом №206/2021</w:t>
      </w:r>
      <w:r>
        <w:rPr>
          <w:rFonts w:asciiTheme="majorHAnsi" w:hAnsiTheme="majorHAnsi" w:cstheme="majorHAnsi"/>
          <w:lang w:val="ru-MD"/>
        </w:rPr>
        <w:t xml:space="preserve"> </w:t>
      </w:r>
      <w:r w:rsidRPr="00CE0CAD">
        <w:rPr>
          <w:rFonts w:asciiTheme="majorHAnsi" w:hAnsiTheme="majorHAnsi" w:cstheme="majorHAnsi"/>
          <w:lang w:val="ru-MD"/>
        </w:rPr>
        <w:t>о бюджете государственного социального страхования на 2022 год  и Законом №205/2021</w:t>
      </w:r>
      <w:r>
        <w:rPr>
          <w:rFonts w:asciiTheme="majorHAnsi" w:hAnsiTheme="majorHAnsi" w:cstheme="majorHAnsi"/>
          <w:lang w:val="ru-MD"/>
        </w:rPr>
        <w:t xml:space="preserve"> </w:t>
      </w:r>
      <w:r w:rsidRPr="00CE0CAD">
        <w:rPr>
          <w:rFonts w:asciiTheme="majorHAnsi" w:hAnsiTheme="majorHAnsi" w:cstheme="majorHAnsi"/>
          <w:lang w:val="ru-MD"/>
        </w:rPr>
        <w:t>о государственном бюджете на 2022 год</w:t>
      </w:r>
      <w:r w:rsidRPr="000A4484">
        <w:rPr>
          <w:rFonts w:asciiTheme="majorHAnsi" w:hAnsiTheme="majorHAnsi" w:cstheme="majorHAnsi"/>
          <w:lang w:val="ru-MD"/>
        </w:rPr>
        <w:t>.</w:t>
      </w:r>
    </w:p>
  </w:footnote>
  <w:footnote w:id="12">
    <w:p w14:paraId="3EBF9BD0" w14:textId="77777777" w:rsidR="002C203D" w:rsidRPr="000A4484" w:rsidRDefault="002C203D" w:rsidP="00B749E7">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w:t>
      </w:r>
      <w:r w:rsidRPr="000A4484">
        <w:rPr>
          <w:rFonts w:asciiTheme="majorHAnsi" w:hAnsiTheme="majorHAnsi" w:cstheme="majorHAnsi"/>
          <w:bCs/>
          <w:noProof/>
          <w:lang w:val="ru-MD"/>
        </w:rPr>
        <w:t>Отчет об исполнении бюджета государственного социального страхования по состоянию на 1 января 202</w:t>
      </w:r>
      <w:r>
        <w:rPr>
          <w:rFonts w:asciiTheme="majorHAnsi" w:hAnsiTheme="majorHAnsi" w:cstheme="majorHAnsi"/>
          <w:bCs/>
          <w:noProof/>
          <w:lang w:val="ru-MD"/>
        </w:rPr>
        <w:t>3</w:t>
      </w:r>
      <w:r w:rsidRPr="000A4484">
        <w:rPr>
          <w:rFonts w:asciiTheme="majorHAnsi" w:hAnsiTheme="majorHAnsi" w:cstheme="majorHAnsi"/>
          <w:bCs/>
          <w:noProof/>
          <w:lang w:val="ru-MD"/>
        </w:rPr>
        <w:t xml:space="preserve"> года (</w:t>
      </w:r>
      <w:r w:rsidRPr="000A4484">
        <w:rPr>
          <w:rFonts w:asciiTheme="majorHAnsi" w:hAnsiTheme="majorHAnsi" w:cstheme="majorHAnsi"/>
          <w:noProof/>
          <w:lang w:val="ru-MD"/>
        </w:rPr>
        <w:t>Формуляр №4 НКСС)</w:t>
      </w:r>
      <w:r w:rsidRPr="000A4484">
        <w:rPr>
          <w:rFonts w:asciiTheme="majorHAnsi" w:hAnsiTheme="majorHAnsi" w:cstheme="majorHAnsi"/>
          <w:lang w:val="ru-MD"/>
        </w:rPr>
        <w:t>.</w:t>
      </w:r>
    </w:p>
  </w:footnote>
  <w:footnote w:id="13">
    <w:p w14:paraId="57C949C3" w14:textId="77777777" w:rsidR="002C203D" w:rsidRPr="000A4484" w:rsidRDefault="002C203D" w:rsidP="00B749E7">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Приложение №1 к Закону </w:t>
      </w:r>
      <w:r w:rsidRPr="000A4484">
        <w:rPr>
          <w:rFonts w:asciiTheme="majorHAnsi" w:hAnsiTheme="majorHAnsi" w:cstheme="majorHAnsi"/>
          <w:bCs/>
          <w:lang w:val="ru-MD"/>
        </w:rPr>
        <w:t>о государственной системе социального страхования №</w:t>
      </w:r>
      <w:r w:rsidRPr="000A4484">
        <w:rPr>
          <w:rFonts w:asciiTheme="majorHAnsi" w:hAnsiTheme="majorHAnsi" w:cstheme="majorHAnsi"/>
          <w:lang w:val="ru-MD"/>
        </w:rPr>
        <w:t xml:space="preserve">489-XIV от 08.07.1999 (далее – Закон №489-XIV от 08.07.1999). </w:t>
      </w:r>
    </w:p>
  </w:footnote>
  <w:footnote w:id="14">
    <w:p w14:paraId="601F9774" w14:textId="77777777" w:rsidR="002C203D" w:rsidRPr="000A4484" w:rsidRDefault="002C203D" w:rsidP="00B749E7">
      <w:pPr>
        <w:pStyle w:val="a3"/>
        <w:jc w:val="both"/>
        <w:rPr>
          <w:rFonts w:asciiTheme="majorHAnsi" w:hAnsiTheme="majorHAnsi" w:cstheme="majorHAnsi"/>
          <w:lang w:val="ru-MD"/>
        </w:rPr>
      </w:pPr>
      <w:r w:rsidRPr="000A4484">
        <w:rPr>
          <w:rFonts w:asciiTheme="majorHAnsi" w:hAnsiTheme="majorHAnsi" w:cstheme="majorHAnsi"/>
          <w:vertAlign w:val="superscript"/>
          <w:lang w:val="ru-MD"/>
        </w:rPr>
        <w:footnoteRef/>
      </w:r>
      <w:r w:rsidRPr="000A4484">
        <w:rPr>
          <w:rFonts w:asciiTheme="majorHAnsi" w:hAnsiTheme="majorHAnsi" w:cstheme="majorHAnsi"/>
          <w:lang w:val="ru-MD"/>
        </w:rPr>
        <w:t xml:space="preserve"> Закон </w:t>
      </w:r>
      <w:r w:rsidRPr="000A4484">
        <w:rPr>
          <w:rFonts w:asciiTheme="majorHAnsi" w:hAnsiTheme="majorHAnsi" w:cstheme="majorHAnsi"/>
          <w:bCs/>
          <w:lang w:val="ru-MD"/>
        </w:rPr>
        <w:t>о порядке выполнения поденщиками случайных неквалифицированных работ</w:t>
      </w:r>
      <w:r w:rsidRPr="000A4484">
        <w:rPr>
          <w:rFonts w:asciiTheme="majorHAnsi" w:hAnsiTheme="majorHAnsi" w:cstheme="majorHAnsi"/>
          <w:b/>
          <w:bCs/>
          <w:lang w:val="ru-MD"/>
        </w:rPr>
        <w:t xml:space="preserve"> </w:t>
      </w:r>
      <w:r w:rsidRPr="000A4484">
        <w:rPr>
          <w:rFonts w:asciiTheme="majorHAnsi" w:hAnsiTheme="majorHAnsi" w:cstheme="majorHAnsi"/>
          <w:lang w:val="ru-MD"/>
        </w:rPr>
        <w:t>№</w:t>
      </w:r>
      <w:r w:rsidRPr="000B01F5">
        <w:rPr>
          <w:rFonts w:asciiTheme="majorHAnsi" w:hAnsiTheme="majorHAnsi" w:cstheme="majorHAnsi"/>
          <w:lang w:val="ro-RO"/>
        </w:rPr>
        <w:t>22/2018</w:t>
      </w:r>
      <w:r w:rsidRPr="000A4484">
        <w:rPr>
          <w:rFonts w:asciiTheme="majorHAnsi" w:hAnsiTheme="majorHAnsi" w:cstheme="majorHAnsi"/>
          <w:lang w:val="ru-MD"/>
        </w:rPr>
        <w:t>.</w:t>
      </w:r>
    </w:p>
  </w:footnote>
  <w:footnote w:id="15">
    <w:p w14:paraId="37022046" w14:textId="77777777" w:rsidR="002C203D" w:rsidRPr="006C220A" w:rsidRDefault="002C203D" w:rsidP="00B749E7">
      <w:pPr>
        <w:pStyle w:val="a3"/>
        <w:rPr>
          <w:lang w:val="ru-RU"/>
        </w:rPr>
      </w:pPr>
      <w:r w:rsidRPr="000B01F5">
        <w:rPr>
          <w:rStyle w:val="a5"/>
          <w:rFonts w:asciiTheme="majorHAnsi" w:hAnsiTheme="majorHAnsi" w:cstheme="majorHAnsi"/>
          <w:lang w:val="ro-RO"/>
        </w:rPr>
        <w:footnoteRef/>
      </w:r>
      <w:r w:rsidRPr="000B01F5">
        <w:rPr>
          <w:rFonts w:asciiTheme="majorHAnsi" w:hAnsiTheme="majorHAnsi" w:cstheme="majorHAnsi"/>
          <w:lang w:val="ro-RO"/>
        </w:rPr>
        <w:t xml:space="preserve"> </w:t>
      </w:r>
      <w:r>
        <w:rPr>
          <w:rFonts w:asciiTheme="majorHAnsi" w:hAnsiTheme="majorHAnsi" w:cstheme="majorHAnsi"/>
          <w:lang w:val="ru-RU"/>
        </w:rPr>
        <w:t xml:space="preserve">Закон </w:t>
      </w:r>
      <w:r w:rsidRPr="006C220A">
        <w:rPr>
          <w:rFonts w:asciiTheme="majorHAnsi" w:hAnsiTheme="majorHAnsi" w:cstheme="majorHAnsi"/>
          <w:bCs/>
          <w:lang w:val="ru-RU"/>
        </w:rPr>
        <w:t>о внесении изменений в некоторые нормативные акты</w:t>
      </w:r>
      <w:r w:rsidRPr="000B01F5">
        <w:rPr>
          <w:rFonts w:asciiTheme="majorHAnsi" w:hAnsiTheme="majorHAnsi" w:cstheme="majorHAnsi"/>
          <w:lang w:val="ro-RO"/>
        </w:rPr>
        <w:t xml:space="preserve"> </w:t>
      </w:r>
      <w:r>
        <w:rPr>
          <w:rFonts w:asciiTheme="majorHAnsi" w:hAnsiTheme="majorHAnsi" w:cstheme="majorHAnsi"/>
          <w:lang w:val="ru-RU"/>
        </w:rPr>
        <w:t>№</w:t>
      </w:r>
      <w:r w:rsidRPr="000B01F5">
        <w:rPr>
          <w:rFonts w:asciiTheme="majorHAnsi" w:hAnsiTheme="majorHAnsi" w:cstheme="majorHAnsi"/>
          <w:lang w:val="ro-RO"/>
        </w:rPr>
        <w:t>160/2022</w:t>
      </w:r>
      <w:r>
        <w:rPr>
          <w:rFonts w:asciiTheme="majorHAnsi" w:hAnsiTheme="majorHAnsi" w:cstheme="majorHAnsi"/>
          <w:lang w:val="ru-RU"/>
        </w:rPr>
        <w:t>.</w:t>
      </w:r>
      <w:r w:rsidRPr="000B01F5">
        <w:rPr>
          <w:rFonts w:asciiTheme="majorHAnsi" w:hAnsiTheme="majorHAnsi" w:cstheme="majorHAnsi"/>
          <w:lang w:val="ro-RO"/>
        </w:rPr>
        <w:t xml:space="preserve"> </w:t>
      </w:r>
    </w:p>
  </w:footnote>
  <w:footnote w:id="16">
    <w:p w14:paraId="679CDCD1" w14:textId="77777777" w:rsidR="002C203D" w:rsidRPr="000A4484" w:rsidRDefault="002C203D" w:rsidP="00B749E7">
      <w:pPr>
        <w:pStyle w:val="a3"/>
        <w:jc w:val="both"/>
        <w:rPr>
          <w:rFonts w:asciiTheme="majorHAnsi" w:hAnsiTheme="majorHAnsi" w:cstheme="majorHAnsi"/>
          <w:lang w:val="ru-MD"/>
        </w:rPr>
      </w:pPr>
      <w:r w:rsidRPr="000A4484">
        <w:rPr>
          <w:rFonts w:asciiTheme="majorHAnsi" w:hAnsiTheme="majorHAnsi" w:cstheme="majorHAnsi"/>
          <w:vertAlign w:val="superscript"/>
          <w:lang w:val="ru-MD"/>
        </w:rPr>
        <w:footnoteRef/>
      </w:r>
      <w:r w:rsidRPr="000A4484">
        <w:rPr>
          <w:rFonts w:asciiTheme="majorHAnsi" w:hAnsiTheme="majorHAnsi" w:cstheme="majorHAnsi"/>
          <w:lang w:val="ru-MD"/>
        </w:rPr>
        <w:t xml:space="preserve"> Ст.5 (1) Закона о бюджете государственного социального страхования на 202</w:t>
      </w:r>
      <w:r>
        <w:rPr>
          <w:rFonts w:asciiTheme="majorHAnsi" w:hAnsiTheme="majorHAnsi" w:cstheme="majorHAnsi"/>
          <w:lang w:val="ru-MD"/>
        </w:rPr>
        <w:t>2</w:t>
      </w:r>
      <w:r w:rsidRPr="000A4484">
        <w:rPr>
          <w:rFonts w:asciiTheme="majorHAnsi" w:hAnsiTheme="majorHAnsi" w:cstheme="majorHAnsi"/>
          <w:lang w:val="ru-MD"/>
        </w:rPr>
        <w:t xml:space="preserve"> год, №</w:t>
      </w:r>
      <w:r w:rsidRPr="000B01F5">
        <w:rPr>
          <w:rFonts w:asciiTheme="majorHAnsi" w:hAnsiTheme="majorHAnsi" w:cstheme="majorHAnsi"/>
          <w:lang w:val="ro-RO"/>
        </w:rPr>
        <w:t xml:space="preserve">206 </w:t>
      </w:r>
      <w:r>
        <w:rPr>
          <w:rFonts w:asciiTheme="majorHAnsi" w:hAnsiTheme="majorHAnsi" w:cstheme="majorHAnsi"/>
          <w:lang w:val="ru-RU"/>
        </w:rPr>
        <w:t>от</w:t>
      </w:r>
      <w:r w:rsidRPr="000B01F5">
        <w:rPr>
          <w:rFonts w:asciiTheme="majorHAnsi" w:hAnsiTheme="majorHAnsi" w:cstheme="majorHAnsi"/>
          <w:lang w:val="ro-RO"/>
        </w:rPr>
        <w:t xml:space="preserve"> 06.12.2021</w:t>
      </w:r>
      <w:r w:rsidRPr="000A4484">
        <w:rPr>
          <w:rFonts w:asciiTheme="majorHAnsi" w:hAnsiTheme="majorHAnsi" w:cstheme="majorHAnsi"/>
          <w:lang w:val="ru-MD"/>
        </w:rPr>
        <w:t>.</w:t>
      </w:r>
    </w:p>
  </w:footnote>
  <w:footnote w:id="17">
    <w:p w14:paraId="07D03165" w14:textId="77777777" w:rsidR="002C203D" w:rsidRPr="000A4484" w:rsidRDefault="002C203D" w:rsidP="00B749E7">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Ст.5 (3) Закона о бюджете государственного социального страхования на 2021 год, №255 от 16.12.2020.</w:t>
      </w:r>
    </w:p>
  </w:footnote>
  <w:footnote w:id="18">
    <w:p w14:paraId="59039FA5" w14:textId="77777777" w:rsidR="002C203D" w:rsidRPr="000A4484" w:rsidRDefault="002C203D" w:rsidP="00B749E7">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Отчет об исполнении бюджета государственного социального страхования по состоянию на 1 января 202</w:t>
      </w:r>
      <w:r>
        <w:rPr>
          <w:rFonts w:asciiTheme="majorHAnsi" w:hAnsiTheme="majorHAnsi" w:cstheme="majorHAnsi"/>
          <w:lang w:val="ru-MD"/>
        </w:rPr>
        <w:t>3</w:t>
      </w:r>
      <w:r w:rsidRPr="000A4484">
        <w:rPr>
          <w:rFonts w:asciiTheme="majorHAnsi" w:hAnsiTheme="majorHAnsi" w:cstheme="majorHAnsi"/>
          <w:lang w:val="ru-MD"/>
        </w:rPr>
        <w:t xml:space="preserve"> года (Формуляр №4.2 НКСС).</w:t>
      </w:r>
    </w:p>
  </w:footnote>
  <w:footnote w:id="19">
    <w:p w14:paraId="7B10605E" w14:textId="77777777" w:rsidR="002C203D" w:rsidRPr="000A4484" w:rsidRDefault="002C203D" w:rsidP="00B749E7">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Отчет об исполнении бюджета государственного социального страхования по состоянию на 1 января 202</w:t>
      </w:r>
      <w:r>
        <w:rPr>
          <w:rFonts w:asciiTheme="majorHAnsi" w:hAnsiTheme="majorHAnsi" w:cstheme="majorHAnsi"/>
          <w:lang w:val="ru-MD"/>
        </w:rPr>
        <w:t>3</w:t>
      </w:r>
      <w:r w:rsidRPr="000A4484">
        <w:rPr>
          <w:rFonts w:asciiTheme="majorHAnsi" w:hAnsiTheme="majorHAnsi" w:cstheme="majorHAnsi"/>
          <w:lang w:val="ru-MD"/>
        </w:rPr>
        <w:t xml:space="preserve"> года (Формуляр №4.2 НКСС).</w:t>
      </w:r>
    </w:p>
  </w:footnote>
  <w:footnote w:id="20">
    <w:p w14:paraId="3E4DF7C6" w14:textId="77777777" w:rsidR="002C203D" w:rsidRPr="000A4484" w:rsidRDefault="002C203D" w:rsidP="00B749E7">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w:t>
      </w:r>
      <w:r w:rsidRPr="000A4484">
        <w:rPr>
          <w:rFonts w:asciiTheme="majorHAnsi" w:hAnsiTheme="majorHAnsi" w:cstheme="majorHAnsi"/>
          <w:bCs/>
          <w:lang w:val="ru-MD"/>
        </w:rPr>
        <w:t>Постановление Правительства №</w:t>
      </w:r>
      <w:r w:rsidRPr="000B01F5">
        <w:rPr>
          <w:rFonts w:asciiTheme="majorHAnsi" w:hAnsiTheme="majorHAnsi" w:cstheme="majorHAnsi"/>
          <w:lang w:val="ro-MD"/>
        </w:rPr>
        <w:t xml:space="preserve">457 </w:t>
      </w:r>
      <w:r>
        <w:rPr>
          <w:rFonts w:asciiTheme="majorHAnsi" w:hAnsiTheme="majorHAnsi" w:cstheme="majorHAnsi"/>
          <w:lang w:val="ru-RU"/>
        </w:rPr>
        <w:t>от</w:t>
      </w:r>
      <w:r w:rsidRPr="000B01F5">
        <w:rPr>
          <w:rFonts w:asciiTheme="majorHAnsi" w:hAnsiTheme="majorHAnsi" w:cstheme="majorHAnsi"/>
          <w:lang w:val="ro-MD"/>
        </w:rPr>
        <w:t xml:space="preserve"> 29.12.2021</w:t>
      </w:r>
      <w:r>
        <w:rPr>
          <w:rFonts w:asciiTheme="majorHAnsi" w:hAnsiTheme="majorHAnsi" w:cstheme="majorHAnsi"/>
          <w:lang w:val="ru-RU"/>
        </w:rPr>
        <w:t xml:space="preserve"> </w:t>
      </w:r>
      <w:r w:rsidRPr="000A4484">
        <w:rPr>
          <w:rFonts w:asciiTheme="majorHAnsi" w:hAnsiTheme="majorHAnsi" w:cstheme="majorHAnsi"/>
          <w:bCs/>
          <w:lang w:val="ru-MD"/>
        </w:rPr>
        <w:t>о внесении изменений в Приложение №1 к Положению о порядке назначения и выплаты пособий семьям с детьми, утвержденному Постановлением Правительства №</w:t>
      </w:r>
      <w:r w:rsidRPr="000A4484">
        <w:rPr>
          <w:rFonts w:asciiTheme="majorHAnsi" w:hAnsiTheme="majorHAnsi" w:cstheme="majorHAnsi"/>
          <w:lang w:val="ru-MD"/>
        </w:rPr>
        <w:t xml:space="preserve">1478 от 15.11.2002 о пособиях </w:t>
      </w:r>
      <w:r w:rsidRPr="000A4484">
        <w:rPr>
          <w:rFonts w:asciiTheme="majorHAnsi" w:hAnsiTheme="majorHAnsi" w:cstheme="majorHAnsi"/>
          <w:bCs/>
          <w:lang w:val="ru-MD"/>
        </w:rPr>
        <w:t>семьям с детьми</w:t>
      </w:r>
      <w:r w:rsidRPr="000A4484">
        <w:rPr>
          <w:rFonts w:asciiTheme="majorHAnsi" w:hAnsiTheme="majorHAnsi" w:cstheme="majorHAnsi"/>
          <w:lang w:val="ru-MD"/>
        </w:rPr>
        <w:t>.</w:t>
      </w:r>
    </w:p>
  </w:footnote>
  <w:footnote w:id="21">
    <w:p w14:paraId="3BCE4216" w14:textId="29A3FBA0" w:rsidR="002C203D" w:rsidRPr="00257B39" w:rsidRDefault="002C203D" w:rsidP="0059674A">
      <w:pPr>
        <w:pStyle w:val="tt"/>
        <w:jc w:val="both"/>
        <w:rPr>
          <w:rFonts w:asciiTheme="majorHAnsi" w:hAnsiTheme="majorHAnsi" w:cstheme="majorHAnsi"/>
          <w:b w:val="0"/>
          <w:sz w:val="20"/>
          <w:szCs w:val="20"/>
          <w:lang w:val="ru-MD"/>
        </w:rPr>
      </w:pPr>
      <w:r w:rsidRPr="00257B39">
        <w:rPr>
          <w:rStyle w:val="a5"/>
          <w:rFonts w:asciiTheme="majorHAnsi" w:hAnsiTheme="majorHAnsi" w:cstheme="majorHAnsi"/>
          <w:b w:val="0"/>
          <w:sz w:val="20"/>
          <w:szCs w:val="20"/>
          <w:lang w:val="ru-MD"/>
        </w:rPr>
        <w:footnoteRef/>
      </w:r>
      <w:r w:rsidRPr="00257B39">
        <w:rPr>
          <w:rFonts w:asciiTheme="majorHAnsi" w:hAnsiTheme="majorHAnsi" w:cstheme="majorHAnsi"/>
          <w:b w:val="0"/>
          <w:sz w:val="20"/>
          <w:szCs w:val="20"/>
          <w:lang w:val="ru-MD"/>
        </w:rPr>
        <w:t xml:space="preserve"> Ст.62 (2) Закона о публичных финансах и бюджетно-налоговой ответственности №181 от 25.07.2014.</w:t>
      </w:r>
    </w:p>
  </w:footnote>
  <w:footnote w:id="22">
    <w:p w14:paraId="4EDA1182" w14:textId="4D1575AB" w:rsidR="002C203D" w:rsidRPr="00257B39" w:rsidRDefault="002C203D" w:rsidP="009B0B3C">
      <w:pPr>
        <w:pStyle w:val="a3"/>
        <w:contextualSpacing/>
        <w:rPr>
          <w:rFonts w:asciiTheme="majorHAnsi" w:hAnsiTheme="majorHAnsi" w:cstheme="majorHAnsi"/>
          <w:lang w:val="ro-MD"/>
        </w:rPr>
      </w:pPr>
      <w:r w:rsidRPr="00257B39">
        <w:rPr>
          <w:rStyle w:val="a5"/>
          <w:rFonts w:asciiTheme="majorHAnsi" w:hAnsiTheme="majorHAnsi" w:cstheme="majorHAnsi"/>
          <w:lang w:val="ro-MD"/>
        </w:rPr>
        <w:footnoteRef/>
      </w:r>
      <w:r w:rsidRPr="00257B39">
        <w:rPr>
          <w:rFonts w:asciiTheme="majorHAnsi" w:hAnsiTheme="majorHAnsi" w:cstheme="majorHAnsi"/>
          <w:lang w:val="ro-MD"/>
        </w:rPr>
        <w:t xml:space="preserve"> </w:t>
      </w:r>
      <w:r>
        <w:rPr>
          <w:rFonts w:asciiTheme="majorHAnsi" w:hAnsiTheme="majorHAnsi" w:cstheme="majorHAnsi"/>
          <w:lang w:val="ru-RU"/>
        </w:rPr>
        <w:t>Письмо НКСС №</w:t>
      </w:r>
      <w:r w:rsidRPr="00257B39">
        <w:rPr>
          <w:rFonts w:asciiTheme="majorHAnsi" w:hAnsiTheme="majorHAnsi" w:cstheme="majorHAnsi"/>
          <w:lang w:val="ro-MD"/>
        </w:rPr>
        <w:t xml:space="preserve">780 </w:t>
      </w:r>
      <w:r>
        <w:rPr>
          <w:rFonts w:asciiTheme="majorHAnsi" w:hAnsiTheme="majorHAnsi" w:cstheme="majorHAnsi"/>
          <w:lang w:val="ru-RU"/>
        </w:rPr>
        <w:t>от</w:t>
      </w:r>
      <w:r w:rsidRPr="00257B39">
        <w:rPr>
          <w:rFonts w:asciiTheme="majorHAnsi" w:hAnsiTheme="majorHAnsi" w:cstheme="majorHAnsi"/>
          <w:lang w:val="ro-MD"/>
        </w:rPr>
        <w:t xml:space="preserve"> 14.02.2022.</w:t>
      </w:r>
    </w:p>
  </w:footnote>
  <w:footnote w:id="23">
    <w:p w14:paraId="56D4A6A1" w14:textId="548D2E63" w:rsidR="002C203D" w:rsidRPr="002F3B96" w:rsidRDefault="002C203D" w:rsidP="00CC250F">
      <w:pPr>
        <w:pStyle w:val="a3"/>
        <w:rPr>
          <w:rFonts w:asciiTheme="majorHAnsi" w:hAnsiTheme="majorHAnsi" w:cstheme="majorHAnsi"/>
          <w:lang w:val="ru-MD"/>
        </w:rPr>
      </w:pPr>
      <w:r w:rsidRPr="00257B39">
        <w:rPr>
          <w:rStyle w:val="a5"/>
          <w:rFonts w:asciiTheme="majorHAnsi" w:hAnsiTheme="majorHAnsi" w:cstheme="majorHAnsi"/>
          <w:lang w:val="ro-MD"/>
        </w:rPr>
        <w:footnoteRef/>
      </w:r>
      <w:r w:rsidRPr="00257B39">
        <w:rPr>
          <w:rFonts w:asciiTheme="majorHAnsi" w:hAnsiTheme="majorHAnsi" w:cstheme="majorHAnsi"/>
          <w:lang w:val="ro-MD"/>
        </w:rPr>
        <w:t xml:space="preserve"> </w:t>
      </w:r>
      <w:r w:rsidRPr="002F3B96">
        <w:rPr>
          <w:rFonts w:asciiTheme="majorHAnsi" w:hAnsiTheme="majorHAnsi" w:cstheme="majorHAnsi"/>
          <w:lang w:val="ru-MD"/>
        </w:rPr>
        <w:t>Письмо МТСЗ №16/1242 от 12.04.2023.</w:t>
      </w:r>
    </w:p>
  </w:footnote>
  <w:footnote w:id="24">
    <w:p w14:paraId="41BCD4A2" w14:textId="7F3E7301" w:rsidR="002C203D" w:rsidRPr="002F3B96" w:rsidRDefault="002C203D" w:rsidP="00883E08">
      <w:pPr>
        <w:pStyle w:val="a3"/>
        <w:jc w:val="both"/>
        <w:rPr>
          <w:rFonts w:asciiTheme="majorHAnsi" w:hAnsiTheme="majorHAnsi" w:cstheme="majorHAnsi"/>
          <w:lang w:val="ru-MD"/>
        </w:rPr>
      </w:pPr>
      <w:r w:rsidRPr="002F3B96">
        <w:rPr>
          <w:rStyle w:val="a5"/>
          <w:rFonts w:asciiTheme="majorHAnsi" w:hAnsiTheme="majorHAnsi" w:cstheme="majorHAnsi"/>
          <w:lang w:val="ru-MD"/>
        </w:rPr>
        <w:footnoteRef/>
      </w:r>
      <w:r w:rsidRPr="002F3B96">
        <w:rPr>
          <w:rFonts w:asciiTheme="majorHAnsi" w:hAnsiTheme="majorHAnsi" w:cstheme="majorHAnsi"/>
          <w:lang w:val="ru-MD"/>
        </w:rPr>
        <w:t xml:space="preserve"> Ст.3 и ст.6 Закона о государственной помощи №139 от 15.06.2012.</w:t>
      </w:r>
    </w:p>
  </w:footnote>
  <w:footnote w:id="25">
    <w:p w14:paraId="04362D16" w14:textId="1BA517BE" w:rsidR="002C203D" w:rsidRPr="00257B39" w:rsidRDefault="002C203D" w:rsidP="00883E08">
      <w:pPr>
        <w:pStyle w:val="a3"/>
        <w:rPr>
          <w:rFonts w:asciiTheme="majorHAnsi" w:hAnsiTheme="majorHAnsi" w:cstheme="majorHAnsi"/>
          <w:lang w:val="ro-MD"/>
        </w:rPr>
      </w:pPr>
      <w:r w:rsidRPr="002F3B96">
        <w:rPr>
          <w:rStyle w:val="a5"/>
          <w:rFonts w:asciiTheme="majorHAnsi" w:hAnsiTheme="majorHAnsi" w:cstheme="majorHAnsi"/>
          <w:lang w:val="ru-MD"/>
        </w:rPr>
        <w:footnoteRef/>
      </w:r>
      <w:r w:rsidRPr="002F3B96">
        <w:rPr>
          <w:rFonts w:asciiTheme="majorHAnsi" w:hAnsiTheme="majorHAnsi" w:cstheme="majorHAnsi"/>
          <w:lang w:val="ru-MD"/>
        </w:rPr>
        <w:t xml:space="preserve"> Ст.19 Закона о государственной помощи №139 от 15.06.2012.</w:t>
      </w:r>
    </w:p>
  </w:footnote>
  <w:footnote w:id="26">
    <w:p w14:paraId="04DA5B8A" w14:textId="0D464750" w:rsidR="002C203D" w:rsidRPr="00257B39" w:rsidRDefault="002C203D" w:rsidP="00867887">
      <w:pPr>
        <w:pStyle w:val="a3"/>
        <w:jc w:val="both"/>
        <w:rPr>
          <w:rFonts w:asciiTheme="majorHAnsi" w:hAnsiTheme="majorHAnsi" w:cstheme="majorHAnsi"/>
          <w:lang w:val="ro-MD"/>
        </w:rPr>
      </w:pPr>
      <w:r w:rsidRPr="00257B39">
        <w:rPr>
          <w:rStyle w:val="a5"/>
          <w:rFonts w:asciiTheme="majorHAnsi" w:hAnsiTheme="majorHAnsi" w:cstheme="majorHAnsi"/>
          <w:lang w:val="ro-MD"/>
        </w:rPr>
        <w:footnoteRef/>
      </w:r>
      <w:r w:rsidRPr="00257B39">
        <w:rPr>
          <w:rFonts w:asciiTheme="majorHAnsi" w:hAnsiTheme="majorHAnsi" w:cstheme="majorHAnsi"/>
          <w:lang w:val="ro-MD"/>
        </w:rPr>
        <w:t xml:space="preserve"> </w:t>
      </w:r>
      <w:r>
        <w:rPr>
          <w:rFonts w:asciiTheme="majorHAnsi" w:hAnsiTheme="majorHAnsi" w:cstheme="majorHAnsi"/>
          <w:lang w:val="ro-MD"/>
        </w:rPr>
        <w:t>Ст</w:t>
      </w:r>
      <w:r w:rsidRPr="00257B39">
        <w:rPr>
          <w:rFonts w:asciiTheme="majorHAnsi" w:hAnsiTheme="majorHAnsi" w:cstheme="majorHAnsi"/>
          <w:lang w:val="ro-MD"/>
        </w:rPr>
        <w:t xml:space="preserve">.3 </w:t>
      </w:r>
      <w:r w:rsidRPr="009060B4">
        <w:rPr>
          <w:rFonts w:asciiTheme="majorHAnsi" w:hAnsiTheme="majorHAnsi" w:cstheme="majorHAnsi"/>
          <w:lang w:val="ru-MD"/>
        </w:rPr>
        <w:t xml:space="preserve">Закона о государственной системе социального страхования №489 </w:t>
      </w:r>
      <w:r>
        <w:rPr>
          <w:rFonts w:asciiTheme="majorHAnsi" w:hAnsiTheme="majorHAnsi" w:cstheme="majorHAnsi"/>
          <w:lang w:val="ru-MD"/>
        </w:rPr>
        <w:t>от</w:t>
      </w:r>
      <w:r w:rsidRPr="009060B4">
        <w:rPr>
          <w:rFonts w:asciiTheme="majorHAnsi" w:hAnsiTheme="majorHAnsi" w:cstheme="majorHAnsi"/>
          <w:lang w:val="ru-MD"/>
        </w:rPr>
        <w:t xml:space="preserve"> 08.07.1999</w:t>
      </w:r>
      <w:r w:rsidRPr="00257B39">
        <w:rPr>
          <w:rFonts w:asciiTheme="majorHAnsi" w:hAnsiTheme="majorHAnsi" w:cstheme="majorHAnsi"/>
          <w:lang w:val="ro-MD"/>
        </w:rPr>
        <w:t>.</w:t>
      </w:r>
    </w:p>
  </w:footnote>
  <w:footnote w:id="27">
    <w:p w14:paraId="1D560D30" w14:textId="77777777" w:rsidR="002C203D" w:rsidRPr="00511126" w:rsidRDefault="002C203D" w:rsidP="00795A7C">
      <w:pPr>
        <w:pStyle w:val="a3"/>
        <w:contextualSpacing/>
        <w:jc w:val="both"/>
        <w:rPr>
          <w:rFonts w:asciiTheme="majorHAnsi" w:hAnsiTheme="majorHAnsi" w:cstheme="majorHAnsi"/>
          <w:lang w:val="ru-MD"/>
        </w:rPr>
      </w:pPr>
      <w:r w:rsidRPr="00257B39">
        <w:rPr>
          <w:rStyle w:val="a5"/>
          <w:rFonts w:asciiTheme="majorHAnsi" w:hAnsiTheme="majorHAnsi" w:cstheme="majorHAnsi"/>
          <w:lang w:val="ro-MD"/>
        </w:rPr>
        <w:footnoteRef/>
      </w:r>
      <w:r w:rsidRPr="00257B39">
        <w:rPr>
          <w:rFonts w:asciiTheme="majorHAnsi" w:hAnsiTheme="majorHAnsi" w:cstheme="majorHAnsi"/>
          <w:lang w:val="ro-MD"/>
        </w:rPr>
        <w:t xml:space="preserve"> </w:t>
      </w:r>
      <w:r w:rsidRPr="00511126">
        <w:rPr>
          <w:rFonts w:asciiTheme="majorHAnsi" w:hAnsiTheme="majorHAnsi" w:cstheme="majorHAnsi"/>
          <w:lang w:val="ru-MD"/>
        </w:rPr>
        <w:t>Лица, работающие по индивидуальному трудовому договору, лица, находящиеся в служебных отношениях на основании административного акта или работающие по иным гражданским договорам о выполнении работ или оказании услуг, за исключением лиц, указанных в пунктах 1.2–1.5</w:t>
      </w:r>
      <w:r w:rsidRPr="00511126">
        <w:rPr>
          <w:rFonts w:asciiTheme="majorHAnsi" w:eastAsia="Times New Roman" w:hAnsiTheme="majorHAnsi" w:cstheme="majorHAnsi"/>
          <w:bCs/>
          <w:lang w:val="ru-MD" w:eastAsia="ro-RO"/>
        </w:rPr>
        <w:t>; за работающих и/или других физических лиц на основании гражданских договоров о выполнении работ или оказании услуг, в случае резидентов информационно-технологических парков; за граждан Республики Молдова, работающих по договору в международных проектах, учреждениях и организациях, независимо от источника финансирования деятельности, если международными соглашениями, стороной которых является Республика Молдова, не предусмотрено освобождение от уплаты взносов обязательного государственного социального страхования; за лиц, работающих на выборных должностях или назначенных в органы исполнительной власти; за судей, прокуроров, народных адвокатов; Приложение №1 к</w:t>
      </w:r>
      <w:r w:rsidRPr="00511126">
        <w:rPr>
          <w:rFonts w:asciiTheme="majorHAnsi" w:hAnsiTheme="majorHAnsi" w:cstheme="majorHAnsi"/>
          <w:lang w:val="ru-MD"/>
        </w:rPr>
        <w:t xml:space="preserve"> Закону о государственной системе социального страхования №489 от 08.07.1999</w:t>
      </w:r>
      <w:r w:rsidRPr="00511126">
        <w:rPr>
          <w:rFonts w:asciiTheme="majorHAnsi" w:eastAsia="Times New Roman" w:hAnsiTheme="majorHAnsi" w:cstheme="majorHAnsi"/>
          <w:bCs/>
          <w:lang w:val="ru-MD" w:eastAsia="ro-RO"/>
        </w:rPr>
        <w:t>.</w:t>
      </w:r>
    </w:p>
  </w:footnote>
  <w:footnote w:id="28">
    <w:p w14:paraId="24C0C294" w14:textId="77777777" w:rsidR="002C203D" w:rsidRPr="00257B39" w:rsidRDefault="002C203D" w:rsidP="004B26ED">
      <w:pPr>
        <w:pStyle w:val="a3"/>
        <w:rPr>
          <w:rFonts w:asciiTheme="majorHAnsi" w:hAnsiTheme="majorHAnsi" w:cstheme="majorHAnsi"/>
          <w:lang w:val="ro-MD"/>
        </w:rPr>
      </w:pPr>
      <w:r w:rsidRPr="00257B39">
        <w:rPr>
          <w:rFonts w:asciiTheme="majorHAnsi" w:eastAsia="Times New Roman" w:hAnsiTheme="majorHAnsi" w:cstheme="majorHAnsi"/>
          <w:bCs/>
          <w:vertAlign w:val="superscript"/>
          <w:lang w:val="ro-RO" w:eastAsia="ro-RO"/>
        </w:rPr>
        <w:footnoteRef/>
      </w:r>
      <w:r w:rsidRPr="00257B39">
        <w:rPr>
          <w:rFonts w:asciiTheme="majorHAnsi" w:eastAsia="Times New Roman" w:hAnsiTheme="majorHAnsi" w:cstheme="majorHAnsi"/>
          <w:bCs/>
          <w:lang w:val="ro-RO" w:eastAsia="ro-RO"/>
        </w:rPr>
        <w:t xml:space="preserve"> </w:t>
      </w:r>
      <w:r w:rsidRPr="00257B39">
        <w:rPr>
          <w:rFonts w:asciiTheme="majorHAnsi" w:eastAsia="Times New Roman" w:hAnsiTheme="majorHAnsi" w:cstheme="majorHAnsi"/>
          <w:bCs/>
          <w:color w:val="1F3864" w:themeColor="accent5" w:themeShade="80"/>
          <w:u w:val="single"/>
          <w:lang w:val="ro-RO" w:eastAsia="ro-RO"/>
        </w:rPr>
        <w:t>www.statistica.md</w:t>
      </w:r>
    </w:p>
  </w:footnote>
  <w:footnote w:id="29">
    <w:p w14:paraId="3D035860" w14:textId="1DB64349" w:rsidR="002C203D" w:rsidRPr="00257B39" w:rsidRDefault="002C203D" w:rsidP="000C7D59">
      <w:pPr>
        <w:pStyle w:val="a3"/>
        <w:rPr>
          <w:rFonts w:asciiTheme="majorHAnsi" w:hAnsiTheme="majorHAnsi" w:cstheme="majorHAnsi"/>
          <w:lang w:val="ro-MD"/>
        </w:rPr>
      </w:pPr>
      <w:r w:rsidRPr="00257B39">
        <w:rPr>
          <w:rStyle w:val="a5"/>
          <w:rFonts w:asciiTheme="majorHAnsi" w:hAnsiTheme="majorHAnsi" w:cstheme="majorHAnsi"/>
          <w:lang w:val="ro-MD"/>
        </w:rPr>
        <w:footnoteRef/>
      </w:r>
      <w:r w:rsidRPr="00257B39">
        <w:rPr>
          <w:rFonts w:asciiTheme="majorHAnsi" w:hAnsiTheme="majorHAnsi" w:cstheme="majorHAnsi"/>
          <w:lang w:val="ro-MD"/>
        </w:rPr>
        <w:t xml:space="preserve"> </w:t>
      </w:r>
      <w:hyperlink r:id="rId1" w:history="1">
        <w:r w:rsidRPr="00257B39">
          <w:rPr>
            <w:rStyle w:val="af2"/>
            <w:rFonts w:asciiTheme="majorHAnsi" w:hAnsiTheme="majorHAnsi" w:cstheme="majorHAnsi"/>
            <w:lang w:val="ro-MD"/>
          </w:rPr>
          <w:t>www.statistica.md</w:t>
        </w:r>
      </w:hyperlink>
      <w:r w:rsidRPr="00C95B59">
        <w:rPr>
          <w:rFonts w:asciiTheme="majorHAnsi" w:hAnsiTheme="majorHAnsi" w:cstheme="majorHAnsi"/>
          <w:lang w:val="ru-MD"/>
        </w:rPr>
        <w:t>; Отчет о деятельности ГИТ за 2022 год</w:t>
      </w:r>
      <w:r w:rsidRPr="00257B39">
        <w:rPr>
          <w:rFonts w:asciiTheme="majorHAnsi" w:hAnsiTheme="majorHAnsi" w:cstheme="majorHAnsi"/>
          <w:lang w:val="ro-MD"/>
        </w:rPr>
        <w:t xml:space="preserve">, </w:t>
      </w:r>
      <w:r w:rsidRPr="00257B39">
        <w:rPr>
          <w:rFonts w:asciiTheme="majorHAnsi" w:hAnsiTheme="majorHAnsi" w:cstheme="majorHAnsi"/>
          <w:color w:val="1F3864" w:themeColor="accent5" w:themeShade="80"/>
          <w:u w:val="single"/>
          <w:lang w:val="ro-MD"/>
        </w:rPr>
        <w:t>https://ism.gov.md/</w:t>
      </w:r>
    </w:p>
  </w:footnote>
  <w:footnote w:id="30">
    <w:p w14:paraId="0555E538" w14:textId="2373E3E2" w:rsidR="002C203D" w:rsidRPr="00257B39" w:rsidRDefault="002C203D" w:rsidP="00F904D9">
      <w:pPr>
        <w:pStyle w:val="a8"/>
        <w:jc w:val="both"/>
        <w:rPr>
          <w:rFonts w:asciiTheme="majorHAnsi" w:hAnsiTheme="majorHAnsi" w:cstheme="majorHAnsi"/>
          <w:noProof/>
          <w:lang w:val="ro-RO"/>
        </w:rPr>
      </w:pPr>
      <w:r w:rsidRPr="00257B39">
        <w:rPr>
          <w:rFonts w:asciiTheme="majorHAnsi" w:hAnsiTheme="majorHAnsi" w:cstheme="majorHAnsi"/>
          <w:noProof/>
          <w:vertAlign w:val="superscript"/>
          <w:lang w:val="ro-RO"/>
        </w:rPr>
        <w:footnoteRef/>
      </w:r>
      <w:r w:rsidRPr="00257B39">
        <w:rPr>
          <w:rFonts w:asciiTheme="majorHAnsi" w:hAnsiTheme="majorHAnsi" w:cstheme="majorHAnsi"/>
          <w:noProof/>
          <w:lang w:val="ro-RO"/>
        </w:rPr>
        <w:t xml:space="preserve"> </w:t>
      </w:r>
      <w:bookmarkStart w:id="4" w:name="_Toc450123757"/>
      <w:r>
        <w:rPr>
          <w:rFonts w:asciiTheme="majorHAnsi" w:hAnsiTheme="majorHAnsi" w:cstheme="majorHAnsi"/>
          <w:noProof/>
          <w:lang w:val="ro-RO"/>
        </w:rPr>
        <w:t>Постановление Счетной палаты №</w:t>
      </w:r>
      <w:r w:rsidRPr="00257B39">
        <w:rPr>
          <w:rFonts w:asciiTheme="majorHAnsi" w:hAnsiTheme="majorHAnsi" w:cstheme="majorHAnsi"/>
          <w:noProof/>
          <w:lang w:val="ro-RO"/>
        </w:rPr>
        <w:t xml:space="preserve">20 </w:t>
      </w:r>
      <w:r w:rsidRPr="002E3A8E">
        <w:rPr>
          <w:rFonts w:asciiTheme="majorHAnsi" w:hAnsiTheme="majorHAnsi" w:cstheme="majorHAnsi"/>
          <w:noProof/>
          <w:lang w:val="ro-MD"/>
        </w:rPr>
        <w:t>от</w:t>
      </w:r>
      <w:r w:rsidRPr="00257B39">
        <w:rPr>
          <w:rFonts w:asciiTheme="majorHAnsi" w:hAnsiTheme="majorHAnsi" w:cstheme="majorHAnsi"/>
          <w:noProof/>
          <w:lang w:val="ro-RO"/>
        </w:rPr>
        <w:t xml:space="preserve"> 03.06.2021 „</w:t>
      </w:r>
      <w:r w:rsidRPr="002E3A8E">
        <w:rPr>
          <w:rFonts w:asciiTheme="majorHAnsi" w:hAnsiTheme="majorHAnsi" w:cstheme="majorHAnsi"/>
          <w:noProof/>
          <w:lang w:val="ro-MD"/>
        </w:rPr>
        <w:t xml:space="preserve">По </w:t>
      </w:r>
      <w:r w:rsidRPr="002E3A8E">
        <w:rPr>
          <w:rFonts w:asciiTheme="majorHAnsi" w:hAnsiTheme="majorHAnsi" w:cstheme="majorHAnsi"/>
          <w:bCs/>
          <w:noProof/>
          <w:lang w:val="ro-MD"/>
        </w:rPr>
        <w:t>Отчету финансового аудита Отчета Правительства об исполнении бюджета государственного социального страхования за 2020 год</w:t>
      </w:r>
      <w:r w:rsidRPr="00257B39">
        <w:rPr>
          <w:rFonts w:asciiTheme="majorHAnsi" w:hAnsiTheme="majorHAnsi" w:cstheme="majorHAnsi"/>
          <w:noProof/>
          <w:lang w:val="ro-RO"/>
        </w:rPr>
        <w:t xml:space="preserve">” </w:t>
      </w:r>
      <w:r w:rsidRPr="002E3A8E">
        <w:rPr>
          <w:rFonts w:asciiTheme="majorHAnsi" w:hAnsiTheme="majorHAnsi" w:cstheme="majorHAnsi"/>
          <w:noProof/>
          <w:lang w:val="ro-MD"/>
        </w:rPr>
        <w:t xml:space="preserve">и </w:t>
      </w:r>
      <w:r w:rsidRPr="002E3A8E">
        <w:rPr>
          <w:rFonts w:asciiTheme="majorHAnsi" w:hAnsiTheme="majorHAnsi" w:cstheme="majorHAnsi"/>
          <w:noProof/>
          <w:highlight w:val="yellow"/>
          <w:lang w:val="ro-RO"/>
        </w:rPr>
        <w:t>Постановление Счетной палаты</w:t>
      </w:r>
      <w:r>
        <w:rPr>
          <w:rFonts w:asciiTheme="majorHAnsi" w:hAnsiTheme="majorHAnsi" w:cstheme="majorHAnsi"/>
          <w:noProof/>
          <w:lang w:val="ro-RO"/>
        </w:rPr>
        <w:t xml:space="preserve"> №</w:t>
      </w:r>
      <w:bookmarkEnd w:id="4"/>
      <w:r w:rsidRPr="00257B39">
        <w:rPr>
          <w:rFonts w:asciiTheme="majorHAnsi" w:hAnsiTheme="majorHAnsi" w:cstheme="majorHAnsi"/>
          <w:noProof/>
          <w:lang w:val="ro-RO"/>
        </w:rPr>
        <w:t xml:space="preserve">17 </w:t>
      </w:r>
      <w:r w:rsidRPr="002E3A8E">
        <w:rPr>
          <w:rFonts w:asciiTheme="majorHAnsi" w:hAnsiTheme="majorHAnsi" w:cstheme="majorHAnsi"/>
          <w:noProof/>
          <w:lang w:val="ro-MD"/>
        </w:rPr>
        <w:t>от</w:t>
      </w:r>
      <w:r w:rsidRPr="00257B39">
        <w:rPr>
          <w:rFonts w:asciiTheme="majorHAnsi" w:hAnsiTheme="majorHAnsi" w:cstheme="majorHAnsi"/>
          <w:noProof/>
          <w:lang w:val="ro-RO"/>
        </w:rPr>
        <w:t xml:space="preserve"> 24.05.2022 „</w:t>
      </w:r>
      <w:r w:rsidRPr="002E3A8E">
        <w:rPr>
          <w:rFonts w:asciiTheme="majorHAnsi" w:hAnsiTheme="majorHAnsi" w:cstheme="majorHAnsi"/>
          <w:noProof/>
          <w:lang w:val="ro-MD"/>
        </w:rPr>
        <w:t xml:space="preserve">По </w:t>
      </w:r>
      <w:r w:rsidRPr="002E3A8E">
        <w:rPr>
          <w:rFonts w:asciiTheme="majorHAnsi" w:hAnsiTheme="majorHAnsi" w:cstheme="majorHAnsi"/>
          <w:bCs/>
          <w:noProof/>
          <w:lang w:val="ro-MD"/>
        </w:rPr>
        <w:t>Отчету финансового аудита Отчета Правительства об исполнении бюджета государственного социального страхования за 202</w:t>
      </w:r>
      <w:r>
        <w:rPr>
          <w:rFonts w:asciiTheme="majorHAnsi" w:hAnsiTheme="majorHAnsi" w:cstheme="majorHAnsi"/>
          <w:bCs/>
          <w:noProof/>
          <w:lang w:val="ru-RU"/>
        </w:rPr>
        <w:t>1</w:t>
      </w:r>
      <w:r w:rsidRPr="002E3A8E">
        <w:rPr>
          <w:rFonts w:asciiTheme="majorHAnsi" w:hAnsiTheme="majorHAnsi" w:cstheme="majorHAnsi"/>
          <w:bCs/>
          <w:noProof/>
          <w:lang w:val="ro-MD"/>
        </w:rPr>
        <w:t xml:space="preserve"> год</w:t>
      </w:r>
      <w:r w:rsidRPr="00257B39">
        <w:rPr>
          <w:rFonts w:asciiTheme="majorHAnsi" w:hAnsiTheme="majorHAnsi" w:cstheme="majorHAnsi"/>
          <w:noProof/>
          <w:lang w:val="ro-RO"/>
        </w:rPr>
        <w:t>”.</w:t>
      </w:r>
    </w:p>
  </w:footnote>
  <w:footnote w:id="31">
    <w:p w14:paraId="20C2F510" w14:textId="234709BC" w:rsidR="002C203D" w:rsidRPr="00112CE7" w:rsidRDefault="002C203D" w:rsidP="00736448">
      <w:pPr>
        <w:pStyle w:val="a3"/>
        <w:jc w:val="both"/>
        <w:rPr>
          <w:rFonts w:asciiTheme="majorHAnsi" w:hAnsiTheme="majorHAnsi" w:cstheme="majorHAnsi"/>
          <w:lang w:val="ru-MD"/>
        </w:rPr>
      </w:pPr>
      <w:r w:rsidRPr="00257B39">
        <w:rPr>
          <w:rStyle w:val="a5"/>
          <w:rFonts w:asciiTheme="majorHAnsi" w:hAnsiTheme="majorHAnsi" w:cstheme="majorHAnsi"/>
          <w:lang w:val="ro-MD"/>
        </w:rPr>
        <w:footnoteRef/>
      </w:r>
      <w:r w:rsidRPr="00257B39">
        <w:rPr>
          <w:rFonts w:asciiTheme="majorHAnsi" w:hAnsiTheme="majorHAnsi" w:cstheme="majorHAnsi"/>
          <w:lang w:val="ro-MD"/>
        </w:rPr>
        <w:t xml:space="preserve"> </w:t>
      </w:r>
      <w:r w:rsidRPr="00112CE7">
        <w:rPr>
          <w:rFonts w:asciiTheme="majorHAnsi" w:hAnsiTheme="majorHAnsi" w:cstheme="majorHAnsi"/>
          <w:lang w:val="ru-MD"/>
        </w:rPr>
        <w:t>Ст.1 Закона о государственной системе социального страхования №489 от 08.07.1999.</w:t>
      </w:r>
    </w:p>
  </w:footnote>
  <w:footnote w:id="32">
    <w:p w14:paraId="061E8339" w14:textId="3C0F6154" w:rsidR="002C203D" w:rsidRPr="00112CE7" w:rsidRDefault="002C203D" w:rsidP="00D2581B">
      <w:pPr>
        <w:pStyle w:val="a3"/>
        <w:jc w:val="both"/>
        <w:rPr>
          <w:rFonts w:asciiTheme="majorHAnsi" w:hAnsiTheme="majorHAnsi" w:cstheme="majorHAnsi"/>
          <w:lang w:val="ru-MD"/>
        </w:rPr>
      </w:pPr>
      <w:r w:rsidRPr="00112CE7">
        <w:rPr>
          <w:rStyle w:val="a5"/>
          <w:rFonts w:asciiTheme="majorHAnsi" w:hAnsiTheme="majorHAnsi" w:cstheme="majorHAnsi"/>
          <w:lang w:val="ru-MD"/>
        </w:rPr>
        <w:footnoteRef/>
      </w:r>
      <w:r w:rsidRPr="00112CE7">
        <w:rPr>
          <w:rFonts w:asciiTheme="majorHAnsi" w:hAnsiTheme="majorHAnsi" w:cstheme="majorHAnsi"/>
          <w:lang w:val="ru-MD"/>
        </w:rPr>
        <w:t xml:space="preserve"> Адвокаты, нотариусы, судебные исполнители, авторизованные управляющие, медиаторы.</w:t>
      </w:r>
    </w:p>
  </w:footnote>
  <w:footnote w:id="33">
    <w:p w14:paraId="50DFF963" w14:textId="5864D130" w:rsidR="002C203D" w:rsidRPr="00112CE7" w:rsidRDefault="002C203D" w:rsidP="00D2581B">
      <w:pPr>
        <w:pStyle w:val="a3"/>
        <w:jc w:val="both"/>
        <w:rPr>
          <w:rFonts w:asciiTheme="majorHAnsi" w:hAnsiTheme="majorHAnsi" w:cstheme="majorHAnsi"/>
          <w:lang w:val="ru-MD"/>
        </w:rPr>
      </w:pPr>
      <w:r w:rsidRPr="00112CE7">
        <w:rPr>
          <w:rStyle w:val="a5"/>
          <w:rFonts w:asciiTheme="majorHAnsi" w:hAnsiTheme="majorHAnsi" w:cstheme="majorHAnsi"/>
          <w:lang w:val="ru-MD"/>
        </w:rPr>
        <w:footnoteRef/>
      </w:r>
      <w:r w:rsidRPr="00112CE7">
        <w:rPr>
          <w:rFonts w:asciiTheme="majorHAnsi" w:hAnsiTheme="majorHAnsi" w:cstheme="majorHAnsi"/>
          <w:lang w:val="ru-MD"/>
        </w:rPr>
        <w:t xml:space="preserve"> Закон о государственной регистрации юридических лиц и индивидуальных предпринимателей №220-XVI от 19.10.2007.</w:t>
      </w:r>
    </w:p>
  </w:footnote>
  <w:footnote w:id="34">
    <w:p w14:paraId="1EC89E96" w14:textId="32B4F2DE" w:rsidR="002C203D" w:rsidRPr="00112CE7" w:rsidRDefault="002C203D" w:rsidP="00303677">
      <w:pPr>
        <w:pStyle w:val="a3"/>
        <w:jc w:val="both"/>
        <w:rPr>
          <w:rFonts w:asciiTheme="majorHAnsi" w:hAnsiTheme="majorHAnsi" w:cstheme="majorHAnsi"/>
          <w:lang w:val="ru-MD"/>
        </w:rPr>
      </w:pPr>
      <w:r w:rsidRPr="00112CE7">
        <w:rPr>
          <w:rStyle w:val="a5"/>
          <w:rFonts w:asciiTheme="majorHAnsi" w:hAnsiTheme="majorHAnsi" w:cstheme="majorHAnsi"/>
          <w:lang w:val="ru-MD"/>
        </w:rPr>
        <w:footnoteRef/>
      </w:r>
      <w:r w:rsidRPr="00112CE7">
        <w:rPr>
          <w:rFonts w:asciiTheme="majorHAnsi" w:hAnsiTheme="majorHAnsi" w:cstheme="majorHAnsi"/>
          <w:lang w:val="ru-MD"/>
        </w:rPr>
        <w:t xml:space="preserve"> Ст.5  (2) Закона о бюджете государственного социального страхования на 2021 год №255 от 16.12.2020</w:t>
      </w:r>
      <w:r>
        <w:rPr>
          <w:rFonts w:asciiTheme="majorHAnsi" w:hAnsiTheme="majorHAnsi" w:cstheme="majorHAnsi"/>
          <w:lang w:val="ru-MD"/>
        </w:rPr>
        <w:t>.</w:t>
      </w:r>
    </w:p>
  </w:footnote>
  <w:footnote w:id="35">
    <w:p w14:paraId="373E6210" w14:textId="6156B27E" w:rsidR="002C203D" w:rsidRPr="00257B39" w:rsidRDefault="002C203D" w:rsidP="00303677">
      <w:pPr>
        <w:pStyle w:val="a3"/>
        <w:jc w:val="both"/>
        <w:rPr>
          <w:rFonts w:asciiTheme="majorHAnsi" w:hAnsiTheme="majorHAnsi" w:cstheme="majorHAnsi"/>
          <w:lang w:val="ro-MD"/>
        </w:rPr>
      </w:pPr>
      <w:r w:rsidRPr="00112CE7">
        <w:rPr>
          <w:rStyle w:val="a5"/>
          <w:rFonts w:asciiTheme="majorHAnsi" w:hAnsiTheme="majorHAnsi" w:cstheme="majorHAnsi"/>
          <w:lang w:val="ru-MD"/>
        </w:rPr>
        <w:footnoteRef/>
      </w:r>
      <w:r w:rsidRPr="00112CE7">
        <w:rPr>
          <w:rFonts w:asciiTheme="majorHAnsi" w:hAnsiTheme="majorHAnsi" w:cstheme="majorHAnsi"/>
          <w:lang w:val="ru-MD"/>
        </w:rPr>
        <w:t xml:space="preserve"> </w:t>
      </w:r>
      <w:r w:rsidRPr="00112CE7">
        <w:rPr>
          <w:rFonts w:asciiTheme="majorHAnsi" w:hAnsiTheme="majorHAnsi" w:cstheme="majorHAnsi"/>
          <w:highlight w:val="yellow"/>
          <w:lang w:val="ru-MD"/>
        </w:rPr>
        <w:t>Ст.3  (2) Закона о бюджете государственного социального страхования на 2022 год №206 от 06.12.2021</w:t>
      </w:r>
      <w:r>
        <w:rPr>
          <w:rFonts w:asciiTheme="majorHAnsi" w:hAnsiTheme="majorHAnsi" w:cstheme="majorHAnsi"/>
          <w:lang w:val="ru-MD"/>
        </w:rPr>
        <w:t>.</w:t>
      </w:r>
    </w:p>
  </w:footnote>
  <w:footnote w:id="36">
    <w:p w14:paraId="58BC9935" w14:textId="681262B8" w:rsidR="002C203D" w:rsidRPr="0048103E" w:rsidRDefault="002C203D" w:rsidP="00736448">
      <w:pPr>
        <w:pStyle w:val="a3"/>
        <w:jc w:val="both"/>
        <w:rPr>
          <w:rFonts w:asciiTheme="majorHAnsi" w:hAnsiTheme="majorHAnsi" w:cstheme="majorHAnsi"/>
          <w:lang w:val="ru-MD"/>
        </w:rPr>
      </w:pPr>
      <w:r w:rsidRPr="00257B39">
        <w:rPr>
          <w:rStyle w:val="a5"/>
          <w:rFonts w:asciiTheme="majorHAnsi" w:hAnsiTheme="majorHAnsi" w:cstheme="majorHAnsi"/>
          <w:lang w:val="ro-MD"/>
        </w:rPr>
        <w:footnoteRef/>
      </w:r>
      <w:r w:rsidRPr="00257B39">
        <w:rPr>
          <w:rFonts w:asciiTheme="majorHAnsi" w:hAnsiTheme="majorHAnsi" w:cstheme="majorHAnsi"/>
          <w:lang w:val="ro-MD"/>
        </w:rPr>
        <w:t xml:space="preserve"> </w:t>
      </w:r>
      <w:r w:rsidRPr="0048103E">
        <w:rPr>
          <w:rFonts w:asciiTheme="majorHAnsi" w:hAnsiTheme="majorHAnsi" w:cstheme="majorHAnsi"/>
          <w:lang w:val="ru-MD"/>
        </w:rPr>
        <w:t>Глава II, п.8 Положения об учете плательщиков взносов в бюджет государственного социального страхования, утвержденного Приказом НКСС №275-А от 27.11.2015, с последующими изменениями.</w:t>
      </w:r>
    </w:p>
  </w:footnote>
  <w:footnote w:id="37">
    <w:p w14:paraId="564E65F0" w14:textId="2EF726A7" w:rsidR="002C203D" w:rsidRPr="0048103E" w:rsidRDefault="002C203D" w:rsidP="00736448">
      <w:pPr>
        <w:pStyle w:val="a3"/>
        <w:jc w:val="both"/>
        <w:rPr>
          <w:rFonts w:asciiTheme="majorHAnsi" w:hAnsiTheme="majorHAnsi" w:cstheme="majorHAnsi"/>
          <w:lang w:val="ru-MD"/>
        </w:rPr>
      </w:pPr>
      <w:r w:rsidRPr="0048103E">
        <w:rPr>
          <w:rStyle w:val="a5"/>
          <w:rFonts w:asciiTheme="majorHAnsi" w:hAnsiTheme="majorHAnsi" w:cstheme="majorHAnsi"/>
          <w:lang w:val="ru-MD"/>
        </w:rPr>
        <w:footnoteRef/>
      </w:r>
      <w:r w:rsidRPr="0048103E">
        <w:rPr>
          <w:rFonts w:asciiTheme="majorHAnsi" w:hAnsiTheme="majorHAnsi" w:cstheme="majorHAnsi"/>
          <w:lang w:val="ru-MD"/>
        </w:rPr>
        <w:t xml:space="preserve"> Ст.263  (2) Кодекса о правонарушениях.</w:t>
      </w:r>
    </w:p>
  </w:footnote>
  <w:footnote w:id="38">
    <w:p w14:paraId="1676D4AA" w14:textId="79F91555" w:rsidR="002C203D" w:rsidRPr="0048103E" w:rsidRDefault="002C203D" w:rsidP="00150254">
      <w:pPr>
        <w:pStyle w:val="a3"/>
        <w:jc w:val="both"/>
        <w:rPr>
          <w:rFonts w:asciiTheme="majorHAnsi" w:hAnsiTheme="majorHAnsi" w:cstheme="majorHAnsi"/>
          <w:lang w:val="ru-MD"/>
        </w:rPr>
      </w:pPr>
      <w:r w:rsidRPr="0048103E">
        <w:rPr>
          <w:rStyle w:val="a5"/>
          <w:rFonts w:asciiTheme="majorHAnsi" w:hAnsiTheme="majorHAnsi" w:cstheme="majorHAnsi"/>
          <w:lang w:val="ru-MD"/>
        </w:rPr>
        <w:footnoteRef/>
      </w:r>
      <w:r w:rsidRPr="0048103E">
        <w:rPr>
          <w:rFonts w:asciiTheme="majorHAnsi" w:hAnsiTheme="majorHAnsi" w:cstheme="majorHAnsi"/>
          <w:lang w:val="ru-MD"/>
        </w:rPr>
        <w:t xml:space="preserve"> Ст.34 п.2</w:t>
      </w:r>
      <w:r w:rsidRPr="0048103E">
        <w:rPr>
          <w:rFonts w:asciiTheme="majorHAnsi" w:hAnsiTheme="majorHAnsi" w:cstheme="majorHAnsi"/>
          <w:vertAlign w:val="superscript"/>
          <w:lang w:val="ru-MD"/>
        </w:rPr>
        <w:t>7</w:t>
      </w:r>
      <w:r w:rsidRPr="0048103E">
        <w:rPr>
          <w:rFonts w:asciiTheme="majorHAnsi" w:hAnsiTheme="majorHAnsi" w:cstheme="majorHAnsi"/>
          <w:lang w:val="ru-MD"/>
        </w:rPr>
        <w:t xml:space="preserve"> Кодекса о правонарушениях.</w:t>
      </w:r>
    </w:p>
  </w:footnote>
  <w:footnote w:id="39">
    <w:p w14:paraId="286982E1" w14:textId="54A1CFC0" w:rsidR="002C203D" w:rsidRPr="009F722D" w:rsidRDefault="002C203D" w:rsidP="006D4511">
      <w:pPr>
        <w:pStyle w:val="a3"/>
        <w:jc w:val="both"/>
        <w:rPr>
          <w:rFonts w:asciiTheme="majorHAnsi" w:hAnsiTheme="majorHAnsi" w:cstheme="majorHAnsi"/>
          <w:lang w:val="ru-MD"/>
        </w:rPr>
      </w:pPr>
      <w:r w:rsidRPr="00257B39">
        <w:rPr>
          <w:rStyle w:val="a5"/>
          <w:rFonts w:asciiTheme="majorHAnsi" w:hAnsiTheme="majorHAnsi" w:cstheme="majorHAnsi"/>
          <w:lang w:val="ro-MD"/>
        </w:rPr>
        <w:footnoteRef/>
      </w:r>
      <w:r w:rsidRPr="00257B39">
        <w:rPr>
          <w:rFonts w:asciiTheme="majorHAnsi" w:hAnsiTheme="majorHAnsi" w:cstheme="majorHAnsi"/>
          <w:lang w:val="ro-MD"/>
        </w:rPr>
        <w:t xml:space="preserve"> </w:t>
      </w:r>
      <w:r w:rsidRPr="009F722D">
        <w:rPr>
          <w:rFonts w:asciiTheme="majorHAnsi" w:hAnsiTheme="majorHAnsi" w:cstheme="majorHAnsi"/>
          <w:lang w:val="ru-MD"/>
        </w:rPr>
        <w:t>Ст.5 (1) a) Закона №489 от 08.07.1999.</w:t>
      </w:r>
    </w:p>
  </w:footnote>
  <w:footnote w:id="40">
    <w:p w14:paraId="0ADA6CEB" w14:textId="733E0C3F" w:rsidR="002C203D" w:rsidRPr="009F722D" w:rsidRDefault="002C203D" w:rsidP="006D4511">
      <w:pPr>
        <w:pStyle w:val="a3"/>
        <w:jc w:val="both"/>
        <w:rPr>
          <w:rFonts w:asciiTheme="majorHAnsi" w:hAnsiTheme="majorHAnsi" w:cstheme="majorHAnsi"/>
          <w:lang w:val="ru-MD"/>
        </w:rPr>
      </w:pPr>
      <w:r w:rsidRPr="009F722D">
        <w:rPr>
          <w:rStyle w:val="a5"/>
          <w:rFonts w:asciiTheme="majorHAnsi" w:hAnsiTheme="majorHAnsi" w:cstheme="majorHAnsi"/>
          <w:lang w:val="ru-MD"/>
        </w:rPr>
        <w:footnoteRef/>
      </w:r>
      <w:r w:rsidRPr="009F722D">
        <w:rPr>
          <w:rFonts w:asciiTheme="majorHAnsi" w:hAnsiTheme="majorHAnsi" w:cstheme="majorHAnsi"/>
          <w:lang w:val="ru-MD"/>
        </w:rPr>
        <w:t xml:space="preserve"> Ст.3  (2) Закона о БГСС на 2022 год №206 от 06.12.2021.</w:t>
      </w:r>
    </w:p>
  </w:footnote>
  <w:footnote w:id="41">
    <w:p w14:paraId="275C4E4D" w14:textId="19D37466" w:rsidR="002C203D" w:rsidRPr="009F722D" w:rsidRDefault="002C203D" w:rsidP="0097451F">
      <w:pPr>
        <w:pStyle w:val="a3"/>
        <w:jc w:val="both"/>
        <w:rPr>
          <w:rFonts w:asciiTheme="majorHAnsi" w:hAnsiTheme="majorHAnsi" w:cstheme="majorHAnsi"/>
          <w:lang w:val="ru-MD"/>
        </w:rPr>
      </w:pPr>
      <w:r w:rsidRPr="009F722D">
        <w:rPr>
          <w:rStyle w:val="a5"/>
          <w:rFonts w:asciiTheme="majorHAnsi" w:hAnsiTheme="majorHAnsi" w:cstheme="majorHAnsi"/>
          <w:lang w:val="ru-MD"/>
        </w:rPr>
        <w:footnoteRef/>
      </w:r>
      <w:r w:rsidRPr="009F722D">
        <w:rPr>
          <w:rFonts w:asciiTheme="majorHAnsi" w:hAnsiTheme="majorHAnsi" w:cstheme="majorHAnsi"/>
          <w:lang w:val="ru-MD"/>
        </w:rPr>
        <w:t xml:space="preserve"> П.1.6</w:t>
      </w:r>
      <w:r w:rsidRPr="009F722D">
        <w:rPr>
          <w:rFonts w:asciiTheme="majorHAnsi" w:hAnsiTheme="majorHAnsi" w:cstheme="majorHAnsi"/>
          <w:vertAlign w:val="superscript"/>
          <w:lang w:val="ru-MD"/>
        </w:rPr>
        <w:t xml:space="preserve">1 </w:t>
      </w:r>
      <w:r w:rsidRPr="009F722D">
        <w:rPr>
          <w:rFonts w:asciiTheme="majorHAnsi" w:hAnsiTheme="majorHAnsi" w:cstheme="majorHAnsi"/>
          <w:lang w:val="ru-MD"/>
        </w:rPr>
        <w:t>Приложения №1 к Закона о государственной системе социального страхования №489 от 08.07.1999.</w:t>
      </w:r>
    </w:p>
  </w:footnote>
  <w:footnote w:id="42">
    <w:p w14:paraId="49F4EDED" w14:textId="363F8CD8" w:rsidR="002C203D" w:rsidRPr="009F722D" w:rsidRDefault="002C203D" w:rsidP="005E7DC9">
      <w:pPr>
        <w:pStyle w:val="a3"/>
        <w:rPr>
          <w:rFonts w:asciiTheme="majorHAnsi" w:hAnsiTheme="majorHAnsi" w:cstheme="majorHAnsi"/>
          <w:lang w:val="ru-MD"/>
        </w:rPr>
      </w:pPr>
      <w:r w:rsidRPr="009F722D">
        <w:rPr>
          <w:rStyle w:val="a5"/>
          <w:rFonts w:asciiTheme="majorHAnsi" w:hAnsiTheme="majorHAnsi" w:cstheme="majorHAnsi"/>
          <w:lang w:val="ru-MD"/>
        </w:rPr>
        <w:footnoteRef/>
      </w:r>
      <w:r w:rsidRPr="009F722D">
        <w:rPr>
          <w:rFonts w:asciiTheme="majorHAnsi" w:hAnsiTheme="majorHAnsi" w:cstheme="majorHAnsi"/>
          <w:lang w:val="ru-MD"/>
        </w:rPr>
        <w:t xml:space="preserve"> Ст.35  (1) Закона о государственной системе социального страхования №489 от 08.07.1999.</w:t>
      </w:r>
    </w:p>
  </w:footnote>
  <w:footnote w:id="43">
    <w:p w14:paraId="29340C59" w14:textId="42C6E964" w:rsidR="002C203D" w:rsidRPr="005D1599" w:rsidRDefault="002C203D" w:rsidP="005D1599">
      <w:pPr>
        <w:pStyle w:val="a3"/>
        <w:jc w:val="both"/>
        <w:rPr>
          <w:lang w:val="ru-MD"/>
        </w:rPr>
      </w:pPr>
      <w:r w:rsidRPr="00257B39">
        <w:rPr>
          <w:rStyle w:val="a5"/>
          <w:rFonts w:asciiTheme="majorHAnsi" w:hAnsiTheme="majorHAnsi" w:cstheme="majorHAnsi"/>
          <w:lang w:val="ro-MD"/>
        </w:rPr>
        <w:footnoteRef/>
      </w:r>
      <w:r w:rsidRPr="00257B39">
        <w:rPr>
          <w:rFonts w:asciiTheme="majorHAnsi" w:hAnsiTheme="majorHAnsi" w:cstheme="majorHAnsi"/>
          <w:lang w:val="ro-MD"/>
        </w:rPr>
        <w:t xml:space="preserve"> </w:t>
      </w:r>
      <w:r w:rsidRPr="005D1599">
        <w:rPr>
          <w:rFonts w:asciiTheme="majorHAnsi" w:hAnsiTheme="majorHAnsi" w:cstheme="majorHAnsi"/>
          <w:lang w:val="ru-MD"/>
        </w:rPr>
        <w:t>Положение о порядке установления и выплаты социального пособия, утвержденное Постановлением Правительства №1167 от 16.10.2008.</w:t>
      </w:r>
    </w:p>
  </w:footnote>
  <w:footnote w:id="44">
    <w:p w14:paraId="3E98FE62" w14:textId="424EB805" w:rsidR="002C203D" w:rsidRPr="000122D2" w:rsidRDefault="002C203D" w:rsidP="00C11144">
      <w:pPr>
        <w:pStyle w:val="a3"/>
        <w:jc w:val="both"/>
        <w:rPr>
          <w:rFonts w:asciiTheme="majorHAnsi" w:hAnsiTheme="majorHAnsi" w:cstheme="majorHAnsi"/>
          <w:lang w:val="ru-RU"/>
        </w:rPr>
      </w:pPr>
      <w:r w:rsidRPr="00257B39">
        <w:rPr>
          <w:rStyle w:val="a5"/>
          <w:rFonts w:asciiTheme="majorHAnsi" w:hAnsiTheme="majorHAnsi" w:cstheme="majorHAnsi"/>
        </w:rPr>
        <w:footnoteRef/>
      </w:r>
      <w:r w:rsidRPr="000122D2">
        <w:rPr>
          <w:rFonts w:asciiTheme="majorHAnsi" w:hAnsiTheme="majorHAnsi" w:cstheme="majorHAnsi"/>
          <w:lang w:val="ru-RU"/>
        </w:rPr>
        <w:t xml:space="preserve"> </w:t>
      </w:r>
      <w:r w:rsidRPr="000122D2">
        <w:rPr>
          <w:rFonts w:asciiTheme="majorHAnsi" w:hAnsiTheme="majorHAnsi" w:cstheme="majorHAnsi"/>
          <w:lang w:val="ru-MD"/>
        </w:rPr>
        <w:t>Постановление Правительства №802 от 28.10.2011 „Об организации и функционировании Государственной социальной инспекции”.</w:t>
      </w:r>
    </w:p>
  </w:footnote>
  <w:footnote w:id="45">
    <w:p w14:paraId="7A563473" w14:textId="77777777" w:rsidR="002C203D" w:rsidRPr="00825378" w:rsidRDefault="002C203D" w:rsidP="007E030A">
      <w:pPr>
        <w:pStyle w:val="a3"/>
        <w:rPr>
          <w:rFonts w:asciiTheme="majorHAnsi" w:hAnsiTheme="majorHAnsi" w:cstheme="majorHAnsi"/>
          <w:lang w:val="ru-MD"/>
        </w:rPr>
      </w:pPr>
      <w:r w:rsidRPr="00257B39">
        <w:rPr>
          <w:rStyle w:val="a5"/>
          <w:rFonts w:asciiTheme="majorHAnsi" w:hAnsiTheme="majorHAnsi" w:cstheme="majorHAnsi"/>
          <w:lang w:val="ro-RO"/>
        </w:rPr>
        <w:footnoteRef/>
      </w:r>
      <w:r w:rsidRPr="00257B39">
        <w:rPr>
          <w:rFonts w:asciiTheme="majorHAnsi" w:hAnsiTheme="majorHAnsi" w:cstheme="majorHAnsi"/>
          <w:lang w:val="ro-RO"/>
        </w:rPr>
        <w:t xml:space="preserve"> </w:t>
      </w:r>
      <w:r w:rsidRPr="00825378">
        <w:rPr>
          <w:rFonts w:asciiTheme="majorHAnsi" w:hAnsiTheme="majorHAnsi" w:cstheme="majorHAnsi"/>
          <w:lang w:val="ru-MD"/>
        </w:rPr>
        <w:t>Закон о государственной пенсионной системе №156/1998.</w:t>
      </w:r>
    </w:p>
  </w:footnote>
  <w:footnote w:id="46">
    <w:p w14:paraId="4A8A5A6C" w14:textId="77777777" w:rsidR="002C203D" w:rsidRPr="00825378" w:rsidRDefault="002C203D" w:rsidP="004C5D7E">
      <w:pPr>
        <w:pStyle w:val="a3"/>
        <w:jc w:val="both"/>
        <w:rPr>
          <w:rFonts w:asciiTheme="majorHAnsi" w:hAnsiTheme="majorHAnsi" w:cstheme="majorHAnsi"/>
          <w:lang w:val="ru-MD"/>
        </w:rPr>
      </w:pPr>
      <w:r w:rsidRPr="00825378">
        <w:rPr>
          <w:rStyle w:val="a5"/>
          <w:rFonts w:asciiTheme="majorHAnsi" w:hAnsiTheme="majorHAnsi" w:cstheme="majorHAnsi"/>
          <w:lang w:val="ru-MD"/>
        </w:rPr>
        <w:footnoteRef/>
      </w:r>
      <w:r w:rsidRPr="00825378">
        <w:rPr>
          <w:rFonts w:asciiTheme="majorHAnsi" w:hAnsiTheme="majorHAnsi" w:cstheme="majorHAnsi"/>
          <w:lang w:val="ru-MD"/>
        </w:rPr>
        <w:t xml:space="preserve"> Ст.9 Закона о государственной пенсионной системе №156/1998.</w:t>
      </w:r>
    </w:p>
  </w:footnote>
  <w:footnote w:id="47">
    <w:p w14:paraId="1EEA2ACC" w14:textId="77777777" w:rsidR="002C203D" w:rsidRPr="00825378" w:rsidRDefault="002C203D" w:rsidP="004C5D7E">
      <w:pPr>
        <w:pStyle w:val="a3"/>
        <w:jc w:val="both"/>
        <w:rPr>
          <w:rFonts w:asciiTheme="majorHAnsi" w:hAnsiTheme="majorHAnsi" w:cstheme="majorHAnsi"/>
          <w:lang w:val="ru-MD"/>
        </w:rPr>
      </w:pPr>
      <w:r w:rsidRPr="00825378">
        <w:rPr>
          <w:rStyle w:val="a5"/>
          <w:rFonts w:asciiTheme="majorHAnsi" w:hAnsiTheme="majorHAnsi" w:cstheme="majorHAnsi"/>
          <w:lang w:val="ru-MD"/>
        </w:rPr>
        <w:footnoteRef/>
      </w:r>
      <w:r w:rsidRPr="00825378">
        <w:rPr>
          <w:rFonts w:asciiTheme="majorHAnsi" w:hAnsiTheme="majorHAnsi" w:cstheme="majorHAnsi"/>
          <w:lang w:val="ru-MD"/>
        </w:rPr>
        <w:t xml:space="preserve"> Ст.15</w:t>
      </w:r>
      <w:r w:rsidRPr="00825378">
        <w:rPr>
          <w:rFonts w:asciiTheme="majorHAnsi" w:hAnsiTheme="majorHAnsi" w:cstheme="majorHAnsi"/>
          <w:vertAlign w:val="superscript"/>
          <w:lang w:val="ru-MD"/>
        </w:rPr>
        <w:t xml:space="preserve">2  </w:t>
      </w:r>
      <w:r w:rsidRPr="00825378">
        <w:rPr>
          <w:rFonts w:asciiTheme="majorHAnsi" w:hAnsiTheme="majorHAnsi" w:cstheme="majorHAnsi"/>
          <w:lang w:val="ru-MD"/>
        </w:rPr>
        <w:t>Закона о государственной пенсионной системе №156/1998.</w:t>
      </w:r>
    </w:p>
  </w:footnote>
  <w:footnote w:id="48">
    <w:p w14:paraId="64D3193E" w14:textId="2713AFE2" w:rsidR="002C203D" w:rsidRPr="00825378" w:rsidRDefault="002C203D" w:rsidP="00667142">
      <w:pPr>
        <w:pStyle w:val="a3"/>
        <w:jc w:val="both"/>
        <w:rPr>
          <w:rFonts w:asciiTheme="majorHAnsi" w:hAnsiTheme="majorHAnsi" w:cstheme="majorHAnsi"/>
          <w:lang w:val="ru-MD"/>
        </w:rPr>
      </w:pPr>
      <w:r w:rsidRPr="00FE7AEA">
        <w:rPr>
          <w:rStyle w:val="a5"/>
          <w:rFonts w:asciiTheme="majorHAnsi" w:hAnsiTheme="majorHAnsi" w:cstheme="majorHAnsi"/>
          <w:lang w:val="ru-MD"/>
        </w:rPr>
        <w:footnoteRef/>
      </w:r>
      <w:r w:rsidRPr="00FE7AEA">
        <w:rPr>
          <w:rFonts w:asciiTheme="majorHAnsi" w:hAnsiTheme="majorHAnsi" w:cstheme="majorHAnsi"/>
          <w:lang w:val="ru-MD"/>
        </w:rPr>
        <w:t xml:space="preserve"> </w:t>
      </w:r>
      <w:r w:rsidRPr="00825378">
        <w:rPr>
          <w:rFonts w:asciiTheme="majorHAnsi" w:hAnsiTheme="majorHAnsi" w:cstheme="majorHAnsi"/>
          <w:lang w:val="ru-MD"/>
        </w:rPr>
        <w:t>Ст. 37 Закона о государственной пенсионной системе №156/1998.</w:t>
      </w:r>
    </w:p>
  </w:footnote>
  <w:footnote w:id="49">
    <w:p w14:paraId="38FB2738" w14:textId="77777777" w:rsidR="002C203D" w:rsidRPr="00825378" w:rsidRDefault="002C203D" w:rsidP="004B7155">
      <w:pPr>
        <w:pStyle w:val="a3"/>
        <w:jc w:val="both"/>
        <w:rPr>
          <w:rFonts w:asciiTheme="majorHAnsi" w:hAnsiTheme="majorHAnsi" w:cstheme="majorHAnsi"/>
          <w:lang w:val="ru-MD"/>
        </w:rPr>
      </w:pPr>
      <w:r w:rsidRPr="00825378">
        <w:rPr>
          <w:rStyle w:val="a5"/>
          <w:rFonts w:asciiTheme="majorHAnsi" w:hAnsiTheme="majorHAnsi" w:cstheme="majorHAnsi"/>
          <w:lang w:val="ru-MD"/>
        </w:rPr>
        <w:footnoteRef/>
      </w:r>
      <w:r w:rsidRPr="00825378">
        <w:rPr>
          <w:rFonts w:asciiTheme="majorHAnsi" w:hAnsiTheme="majorHAnsi" w:cstheme="majorHAnsi"/>
          <w:lang w:val="ru-MD"/>
        </w:rPr>
        <w:t xml:space="preserve"> Дополнительное соглашение №193.02/19 от 25.02.2019 о внесении изменений в Соглашение о сотрудничестве по использованию платформы интероперабельномсти (MConnect)</w:t>
      </w:r>
      <w:r w:rsidRPr="00825378">
        <w:rPr>
          <w:rFonts w:asciiTheme="majorHAnsi" w:eastAsia="Calibri" w:hAnsiTheme="majorHAnsi" w:cstheme="majorHAnsi"/>
          <w:noProof/>
          <w:lang w:val="ru-MD"/>
        </w:rPr>
        <w:t>.</w:t>
      </w:r>
    </w:p>
  </w:footnote>
  <w:footnote w:id="50">
    <w:p w14:paraId="6F272E03" w14:textId="77777777" w:rsidR="002C203D" w:rsidRPr="000A4484" w:rsidRDefault="002C203D" w:rsidP="00BA4F33">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Постановление Правительства №1442 от 19.12.2006 </w:t>
      </w:r>
      <w:r w:rsidRPr="000A4484">
        <w:rPr>
          <w:rFonts w:asciiTheme="majorHAnsi" w:hAnsiTheme="majorHAnsi" w:cstheme="majorHAnsi"/>
          <w:bCs/>
          <w:lang w:val="ru-MD"/>
        </w:rPr>
        <w:t>об утверждении Положения о порядке назначения и выплаты пособий на погребение</w:t>
      </w:r>
      <w:r w:rsidRPr="000A4484">
        <w:rPr>
          <w:rFonts w:asciiTheme="majorHAnsi" w:hAnsiTheme="majorHAnsi" w:cstheme="majorHAnsi"/>
          <w:lang w:val="ru-MD"/>
        </w:rPr>
        <w:t>.</w:t>
      </w:r>
    </w:p>
  </w:footnote>
  <w:footnote w:id="51">
    <w:p w14:paraId="77B771B8" w14:textId="77777777" w:rsidR="002C203D" w:rsidRPr="000A4484" w:rsidRDefault="002C203D" w:rsidP="00DD1841">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Положение </w:t>
      </w:r>
      <w:r w:rsidRPr="000A4484">
        <w:rPr>
          <w:rFonts w:asciiTheme="majorHAnsi" w:hAnsiTheme="majorHAnsi" w:cstheme="majorHAnsi"/>
          <w:bCs/>
          <w:lang w:val="ru-MD"/>
        </w:rPr>
        <w:t>об организации и функционировании Национальной кассы социального страхования</w:t>
      </w:r>
      <w:r w:rsidRPr="000A4484">
        <w:rPr>
          <w:rFonts w:asciiTheme="majorHAnsi" w:hAnsiTheme="majorHAnsi" w:cstheme="majorHAnsi"/>
          <w:lang w:val="ru-MD"/>
        </w:rPr>
        <w:t>, утвержденное Постановление Правительства №230 от 10.04.2020.</w:t>
      </w:r>
    </w:p>
  </w:footnote>
  <w:footnote w:id="52">
    <w:p w14:paraId="5392999A" w14:textId="77777777" w:rsidR="002C203D" w:rsidRPr="000A4484" w:rsidRDefault="002C203D" w:rsidP="00DD1841">
      <w:pPr>
        <w:pStyle w:val="a3"/>
        <w:contextualSpacing/>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Постановление Правительства №314 от 22.05.2017 о создании Агентства публичных услуг.</w:t>
      </w:r>
    </w:p>
  </w:footnote>
  <w:footnote w:id="53">
    <w:p w14:paraId="3A1B893B" w14:textId="77777777" w:rsidR="002C203D" w:rsidRPr="000A4484" w:rsidRDefault="002C203D" w:rsidP="00FB6FD7">
      <w:pPr>
        <w:pStyle w:val="4"/>
        <w:rPr>
          <w:i/>
          <w:color w:val="333333"/>
        </w:rPr>
      </w:pPr>
      <w:r w:rsidRPr="00FB6FD7">
        <w:rPr>
          <w:rStyle w:val="a5"/>
        </w:rPr>
        <w:footnoteRef/>
      </w:r>
      <w:r w:rsidRPr="00FB6FD7">
        <w:t>Постановление Правительства №760 от 18.08.2010 о Публичном учреждении „Агентство электронного управления”.</w:t>
      </w:r>
    </w:p>
  </w:footnote>
  <w:footnote w:id="54">
    <w:p w14:paraId="17DFC1BD" w14:textId="77777777" w:rsidR="002C203D" w:rsidRPr="008830FF" w:rsidRDefault="002C203D" w:rsidP="008830FF">
      <w:pPr>
        <w:pStyle w:val="a3"/>
        <w:contextualSpacing/>
        <w:jc w:val="both"/>
        <w:rPr>
          <w:rFonts w:asciiTheme="majorHAnsi" w:hAnsiTheme="majorHAnsi" w:cstheme="majorHAnsi"/>
          <w:lang w:val="ru-MD"/>
        </w:rPr>
      </w:pPr>
      <w:r w:rsidRPr="00257B39">
        <w:rPr>
          <w:rStyle w:val="a5"/>
          <w:rFonts w:asciiTheme="majorHAnsi" w:hAnsiTheme="majorHAnsi" w:cstheme="majorHAnsi"/>
        </w:rPr>
        <w:footnoteRef/>
      </w:r>
      <w:r w:rsidRPr="00FB6FD7">
        <w:rPr>
          <w:rFonts w:asciiTheme="majorHAnsi" w:hAnsiTheme="majorHAnsi" w:cstheme="majorHAnsi"/>
          <w:lang w:val="ru-RU"/>
        </w:rPr>
        <w:t xml:space="preserve"> </w:t>
      </w:r>
      <w:r w:rsidRPr="008830FF">
        <w:rPr>
          <w:rFonts w:asciiTheme="majorHAnsi" w:hAnsiTheme="majorHAnsi" w:cstheme="majorHAnsi"/>
          <w:lang w:val="ru-MD"/>
        </w:rPr>
        <w:t>Постановление Правительства №</w:t>
      </w:r>
      <w:r w:rsidRPr="008830FF">
        <w:rPr>
          <w:rFonts w:asciiTheme="majorHAnsi" w:hAnsiTheme="majorHAnsi" w:cstheme="majorHAnsi"/>
          <w:color w:val="000000" w:themeColor="text1"/>
          <w:lang w:val="ru-MD"/>
        </w:rPr>
        <w:t>426/2018 „</w:t>
      </w:r>
      <w:r w:rsidRPr="008830FF">
        <w:rPr>
          <w:rFonts w:asciiTheme="majorHAnsi" w:hAnsiTheme="majorHAnsi" w:cstheme="majorHAnsi"/>
          <w:bCs/>
          <w:lang w:val="ru-MD"/>
        </w:rPr>
        <w:t>О некоторых аспектах, касающихся учета рабочего стажа</w:t>
      </w:r>
      <w:r w:rsidRPr="008830FF">
        <w:rPr>
          <w:rStyle w:val="af0"/>
          <w:rFonts w:asciiTheme="majorHAnsi" w:hAnsiTheme="majorHAnsi" w:cstheme="majorHAnsi"/>
          <w:b w:val="0"/>
          <w:color w:val="000000" w:themeColor="text1"/>
          <w:lang w:val="ru-MD"/>
        </w:rPr>
        <w:t>”.</w:t>
      </w:r>
    </w:p>
  </w:footnote>
  <w:footnote w:id="55">
    <w:p w14:paraId="0E6979BB" w14:textId="77777777" w:rsidR="002C203D" w:rsidRPr="008830FF" w:rsidRDefault="002C203D" w:rsidP="008830FF">
      <w:pPr>
        <w:pStyle w:val="a3"/>
        <w:jc w:val="both"/>
        <w:rPr>
          <w:rFonts w:asciiTheme="majorHAnsi" w:hAnsiTheme="majorHAnsi" w:cstheme="majorHAnsi"/>
          <w:lang w:val="ru-MD"/>
        </w:rPr>
      </w:pPr>
      <w:r w:rsidRPr="008830FF">
        <w:rPr>
          <w:rStyle w:val="a5"/>
          <w:rFonts w:asciiTheme="majorHAnsi" w:hAnsiTheme="majorHAnsi" w:cstheme="majorHAnsi"/>
          <w:lang w:val="ru-MD"/>
        </w:rPr>
        <w:footnoteRef/>
      </w:r>
      <w:r w:rsidRPr="008830FF">
        <w:rPr>
          <w:rFonts w:asciiTheme="majorHAnsi" w:hAnsiTheme="majorHAnsi" w:cstheme="majorHAnsi"/>
          <w:lang w:val="ru-MD"/>
        </w:rPr>
        <w:t xml:space="preserve"> П.1 Постановления Правительства №426/2018 „</w:t>
      </w:r>
      <w:r w:rsidRPr="008830FF">
        <w:rPr>
          <w:rFonts w:asciiTheme="majorHAnsi" w:hAnsiTheme="majorHAnsi" w:cstheme="majorHAnsi"/>
          <w:bCs/>
          <w:lang w:val="ru-MD"/>
        </w:rPr>
        <w:t>О некоторых аспектах, касающихся учета рабочего стажа,</w:t>
      </w:r>
      <w:r w:rsidRPr="008830FF">
        <w:rPr>
          <w:rFonts w:asciiTheme="majorHAnsi" w:hAnsiTheme="majorHAnsi" w:cstheme="majorHAnsi"/>
          <w:bCs/>
          <w:lang w:val="ru-MD"/>
        </w:rPr>
        <w:br/>
        <w:t>и о признании утратившим силу Постановления Правительства №1449 от 24 декабря 2007 года</w:t>
      </w:r>
      <w:r w:rsidRPr="008830FF">
        <w:rPr>
          <w:rFonts w:asciiTheme="majorHAnsi" w:hAnsiTheme="majorHAnsi" w:cstheme="majorHAnsi"/>
          <w:lang w:val="ru-MD"/>
        </w:rPr>
        <w:t>”.</w:t>
      </w:r>
    </w:p>
  </w:footnote>
  <w:footnote w:id="56">
    <w:p w14:paraId="40D1C1AE" w14:textId="77777777" w:rsidR="002C203D" w:rsidRPr="008830FF" w:rsidRDefault="002C203D" w:rsidP="008830FF">
      <w:pPr>
        <w:pStyle w:val="a3"/>
        <w:jc w:val="both"/>
        <w:rPr>
          <w:rFonts w:asciiTheme="majorHAnsi" w:hAnsiTheme="majorHAnsi" w:cstheme="majorHAnsi"/>
          <w:color w:val="000000" w:themeColor="text1"/>
          <w:lang w:val="ru-MD"/>
        </w:rPr>
      </w:pPr>
      <w:r w:rsidRPr="008830FF">
        <w:rPr>
          <w:rStyle w:val="a5"/>
          <w:rFonts w:asciiTheme="majorHAnsi" w:hAnsiTheme="majorHAnsi" w:cstheme="majorHAnsi"/>
          <w:color w:val="000000" w:themeColor="text1"/>
          <w:lang w:val="ru-MD"/>
        </w:rPr>
        <w:footnoteRef/>
      </w:r>
      <w:r w:rsidRPr="008830FF">
        <w:rPr>
          <w:rFonts w:asciiTheme="majorHAnsi" w:hAnsiTheme="majorHAnsi" w:cstheme="majorHAnsi"/>
          <w:color w:val="000000" w:themeColor="text1"/>
          <w:lang w:val="ru-MD"/>
        </w:rPr>
        <w:t xml:space="preserve"> </w:t>
      </w:r>
      <w:r w:rsidRPr="008830FF">
        <w:rPr>
          <w:rFonts w:asciiTheme="majorHAnsi" w:hAnsiTheme="majorHAnsi" w:cstheme="majorHAnsi"/>
          <w:lang w:val="ru-MD"/>
        </w:rPr>
        <w:t>Постановление Правительства №</w:t>
      </w:r>
      <w:r w:rsidRPr="008830FF">
        <w:rPr>
          <w:rStyle w:val="af0"/>
          <w:rFonts w:asciiTheme="majorHAnsi" w:hAnsiTheme="majorHAnsi" w:cstheme="majorHAnsi"/>
          <w:b w:val="0"/>
          <w:color w:val="000000" w:themeColor="text1"/>
          <w:lang w:val="ru-MD"/>
        </w:rPr>
        <w:t xml:space="preserve">1449 от 24.12.2007. </w:t>
      </w:r>
    </w:p>
  </w:footnote>
  <w:footnote w:id="57">
    <w:p w14:paraId="3FA284B7" w14:textId="108970A5" w:rsidR="002C203D" w:rsidRPr="008830FF" w:rsidRDefault="002C203D" w:rsidP="008830FF">
      <w:pPr>
        <w:pStyle w:val="a3"/>
        <w:jc w:val="both"/>
        <w:rPr>
          <w:rFonts w:asciiTheme="majorHAnsi" w:hAnsiTheme="majorHAnsi" w:cstheme="majorHAnsi"/>
          <w:color w:val="000000" w:themeColor="text1"/>
          <w:lang w:val="ru-MD"/>
        </w:rPr>
      </w:pPr>
      <w:r w:rsidRPr="008830FF">
        <w:rPr>
          <w:rStyle w:val="a5"/>
          <w:rFonts w:asciiTheme="majorHAnsi" w:hAnsiTheme="majorHAnsi" w:cstheme="majorHAnsi"/>
          <w:color w:val="000000" w:themeColor="text1"/>
          <w:lang w:val="ru-MD"/>
        </w:rPr>
        <w:footnoteRef/>
      </w:r>
      <w:r w:rsidRPr="008830FF">
        <w:rPr>
          <w:rFonts w:asciiTheme="majorHAnsi" w:hAnsiTheme="majorHAnsi" w:cstheme="majorHAnsi"/>
          <w:color w:val="000000" w:themeColor="text1"/>
          <w:lang w:val="ru-MD"/>
        </w:rPr>
        <w:t xml:space="preserve"> Ст. 51  (1) Закона о государственной пенсионной системе №156/1998; п. 69 Постановления Правительства №165 от 21.03.2017 „Об утверждении Положения о порядке исчисления пенсий и о порядке подтверждения страхового стажа для назначения пенсий”.</w:t>
      </w:r>
    </w:p>
  </w:footnote>
  <w:footnote w:id="58">
    <w:p w14:paraId="00445BD2" w14:textId="4324C455" w:rsidR="002C203D" w:rsidRPr="008830FF" w:rsidRDefault="002C203D" w:rsidP="008830FF">
      <w:pPr>
        <w:pStyle w:val="a3"/>
        <w:jc w:val="both"/>
        <w:rPr>
          <w:rFonts w:asciiTheme="majorHAnsi" w:hAnsiTheme="majorHAnsi" w:cstheme="majorHAnsi"/>
          <w:lang w:val="ru-MD"/>
        </w:rPr>
      </w:pPr>
      <w:r w:rsidRPr="008830FF">
        <w:rPr>
          <w:rStyle w:val="a5"/>
          <w:rFonts w:asciiTheme="majorHAnsi" w:hAnsiTheme="majorHAnsi" w:cstheme="majorHAnsi"/>
          <w:lang w:val="ru-MD"/>
        </w:rPr>
        <w:footnoteRef/>
      </w:r>
      <w:r w:rsidRPr="008830FF">
        <w:rPr>
          <w:rFonts w:asciiTheme="majorHAnsi" w:hAnsiTheme="majorHAnsi" w:cstheme="majorHAnsi"/>
          <w:lang w:val="ru-MD"/>
        </w:rPr>
        <w:t xml:space="preserve"> </w:t>
      </w:r>
      <w:r w:rsidRPr="008830FF">
        <w:rPr>
          <w:rFonts w:asciiTheme="majorHAnsi" w:eastAsia="Times New Roman" w:hAnsiTheme="majorHAnsi" w:cstheme="majorHAnsi"/>
          <w:lang w:val="ru-MD" w:eastAsia="ro-RO"/>
        </w:rPr>
        <w:t>Российская Федерация, Республика Узбекистан, Украина, Республика Азербайджан.</w:t>
      </w:r>
    </w:p>
  </w:footnote>
  <w:footnote w:id="59">
    <w:p w14:paraId="496B72FC" w14:textId="3318A1F0" w:rsidR="002C203D" w:rsidRPr="00257B39" w:rsidRDefault="002C203D" w:rsidP="00677800">
      <w:pPr>
        <w:pStyle w:val="a3"/>
        <w:jc w:val="both"/>
        <w:rPr>
          <w:rFonts w:asciiTheme="majorHAnsi" w:hAnsiTheme="majorHAnsi" w:cstheme="majorHAnsi"/>
          <w:lang w:val="ro-MD"/>
        </w:rPr>
      </w:pPr>
      <w:r w:rsidRPr="00257B39">
        <w:rPr>
          <w:rStyle w:val="a5"/>
          <w:rFonts w:asciiTheme="majorHAnsi" w:hAnsiTheme="majorHAnsi" w:cstheme="majorHAnsi"/>
          <w:lang w:val="ro-MD"/>
        </w:rPr>
        <w:footnoteRef/>
      </w:r>
      <w:r w:rsidRPr="00257B39">
        <w:rPr>
          <w:rFonts w:asciiTheme="majorHAnsi" w:hAnsiTheme="majorHAnsi" w:cstheme="majorHAnsi"/>
          <w:lang w:val="ro-MD"/>
        </w:rPr>
        <w:t xml:space="preserve"> </w:t>
      </w:r>
      <w:r w:rsidRPr="00BA43AE">
        <w:rPr>
          <w:rFonts w:asciiTheme="majorHAnsi" w:eastAsia="Times New Roman" w:hAnsiTheme="majorHAnsi" w:cstheme="majorHAnsi"/>
          <w:lang w:val="ru-MD" w:eastAsia="ro-RO"/>
        </w:rPr>
        <w:t>Республика Болгария, Португальская Республика, Румыния, Великое Герцогство Люксембург, Эстонская Республика, Чешская Республика, Австрийская Республика, Королевство Бельгия, Республика Польша, Венгрия, Литовская Республика, Федеративная Республика Германия, Турецкая Республика, Республика Беларусь, Республика Гре</w:t>
      </w:r>
      <w:r>
        <w:rPr>
          <w:rFonts w:asciiTheme="majorHAnsi" w:eastAsia="Times New Roman" w:hAnsiTheme="majorHAnsi" w:cstheme="majorHAnsi"/>
          <w:lang w:val="ru-MD" w:eastAsia="ro-RO"/>
        </w:rPr>
        <w:t>ция</w:t>
      </w:r>
      <w:r w:rsidRPr="00257B39">
        <w:rPr>
          <w:rFonts w:asciiTheme="majorHAnsi" w:eastAsia="Times New Roman" w:hAnsiTheme="majorHAnsi" w:cstheme="majorHAnsi"/>
          <w:lang w:val="ro-MD" w:eastAsia="ro-RO"/>
        </w:rPr>
        <w:t>.</w:t>
      </w:r>
    </w:p>
  </w:footnote>
  <w:footnote w:id="60">
    <w:p w14:paraId="71095124" w14:textId="77777777" w:rsidR="002C203D" w:rsidRPr="00FB7FE4" w:rsidRDefault="002C203D" w:rsidP="00317870">
      <w:pPr>
        <w:pStyle w:val="a3"/>
        <w:jc w:val="both"/>
        <w:rPr>
          <w:rFonts w:asciiTheme="majorHAnsi" w:hAnsiTheme="majorHAnsi" w:cstheme="majorHAnsi"/>
          <w:lang w:val="ru-MD"/>
        </w:rPr>
      </w:pPr>
      <w:r w:rsidRPr="00FB7FE4">
        <w:rPr>
          <w:rStyle w:val="a5"/>
          <w:rFonts w:asciiTheme="majorHAnsi" w:hAnsiTheme="majorHAnsi" w:cstheme="majorHAnsi"/>
          <w:lang w:val="ru-MD"/>
        </w:rPr>
        <w:footnoteRef/>
      </w:r>
      <w:r w:rsidRPr="00FB7FE4">
        <w:rPr>
          <w:rFonts w:asciiTheme="majorHAnsi" w:hAnsiTheme="majorHAnsi" w:cstheme="majorHAnsi"/>
          <w:lang w:val="ru-MD"/>
        </w:rPr>
        <w:t xml:space="preserve"> Ст. 4, 8 и 15 Закона о государственном внутреннем финансовом контроле №229 от 23.09.2010 (далее – Закон №</w:t>
      </w:r>
      <w:r w:rsidRPr="00FB7FE4">
        <w:rPr>
          <w:rFonts w:asciiTheme="majorHAnsi" w:eastAsia="Times New Roman" w:hAnsiTheme="majorHAnsi" w:cstheme="majorHAnsi"/>
          <w:lang w:val="ru-MD"/>
        </w:rPr>
        <w:t>229 от 23.09.2010)</w:t>
      </w:r>
      <w:r w:rsidRPr="00FB7FE4">
        <w:rPr>
          <w:rFonts w:asciiTheme="majorHAnsi" w:hAnsiTheme="majorHAnsi" w:cstheme="majorHAnsi"/>
          <w:lang w:val="ru-MD"/>
        </w:rPr>
        <w:t>.</w:t>
      </w:r>
    </w:p>
  </w:footnote>
  <w:footnote w:id="61">
    <w:p w14:paraId="0D7AD235" w14:textId="77777777" w:rsidR="002C203D" w:rsidRPr="00FB7FE4" w:rsidRDefault="002C203D" w:rsidP="00317870">
      <w:pPr>
        <w:pStyle w:val="a8"/>
        <w:jc w:val="both"/>
        <w:rPr>
          <w:rFonts w:asciiTheme="majorHAnsi" w:hAnsiTheme="majorHAnsi" w:cstheme="majorHAnsi"/>
          <w:lang w:val="ru-MD"/>
        </w:rPr>
      </w:pPr>
      <w:r w:rsidRPr="00FB7FE4">
        <w:rPr>
          <w:rStyle w:val="a5"/>
          <w:rFonts w:asciiTheme="majorHAnsi" w:hAnsiTheme="majorHAnsi" w:cstheme="majorHAnsi"/>
          <w:lang w:val="ru-MD"/>
        </w:rPr>
        <w:footnoteRef/>
      </w:r>
      <w:r w:rsidRPr="00FB7FE4">
        <w:rPr>
          <w:rFonts w:asciiTheme="majorHAnsi" w:hAnsiTheme="majorHAnsi" w:cstheme="majorHAnsi"/>
          <w:lang w:val="ru-MD"/>
        </w:rPr>
        <w:t xml:space="preserve"> </w:t>
      </w:r>
      <w:r w:rsidRPr="00FB7FE4">
        <w:rPr>
          <w:rFonts w:asciiTheme="majorHAnsi" w:eastAsia="Times New Roman" w:hAnsiTheme="majorHAnsi" w:cstheme="majorHAnsi"/>
          <w:lang w:val="ru-MD"/>
        </w:rPr>
        <w:t>Закон №229 от 23.09.2010.</w:t>
      </w:r>
    </w:p>
  </w:footnote>
  <w:footnote w:id="62">
    <w:p w14:paraId="259A370E" w14:textId="7B3ED5BA" w:rsidR="002C203D" w:rsidRPr="00FB7FE4" w:rsidRDefault="002C203D" w:rsidP="00C83972">
      <w:pPr>
        <w:spacing w:after="0"/>
        <w:jc w:val="both"/>
        <w:rPr>
          <w:rFonts w:asciiTheme="majorHAnsi" w:hAnsiTheme="majorHAnsi" w:cstheme="majorHAnsi"/>
          <w:sz w:val="20"/>
          <w:szCs w:val="20"/>
          <w:lang w:val="ru-MD"/>
        </w:rPr>
      </w:pPr>
      <w:r w:rsidRPr="00FB7FE4">
        <w:rPr>
          <w:rStyle w:val="a5"/>
          <w:rFonts w:asciiTheme="majorHAnsi" w:hAnsiTheme="majorHAnsi" w:cstheme="majorHAnsi"/>
          <w:sz w:val="20"/>
          <w:szCs w:val="20"/>
          <w:lang w:val="ru-MD"/>
        </w:rPr>
        <w:footnoteRef/>
      </w:r>
      <w:r w:rsidRPr="00FB7FE4">
        <w:rPr>
          <w:rFonts w:asciiTheme="majorHAnsi" w:hAnsiTheme="majorHAnsi" w:cstheme="majorHAnsi"/>
          <w:sz w:val="20"/>
          <w:szCs w:val="20"/>
          <w:lang w:val="ru-MD"/>
        </w:rPr>
        <w:t xml:space="preserve"> </w:t>
      </w:r>
      <w:r w:rsidRPr="00FB7FE4">
        <w:rPr>
          <w:rFonts w:asciiTheme="majorHAnsi" w:eastAsia="Times New Roman" w:hAnsiTheme="majorHAnsi" w:cstheme="majorHAnsi"/>
          <w:sz w:val="20"/>
          <w:szCs w:val="20"/>
          <w:lang w:val="ru-MD"/>
        </w:rPr>
        <w:t xml:space="preserve">Постановлением Счетной палаты №17 от 24.05.2022 „По Отчету аудита </w:t>
      </w:r>
      <w:r w:rsidRPr="00FB7FE4">
        <w:rPr>
          <w:rFonts w:asciiTheme="majorHAnsi" w:eastAsia="Times New Roman" w:hAnsiTheme="majorHAnsi" w:cstheme="majorHAnsi"/>
          <w:bCs/>
          <w:sz w:val="20"/>
          <w:szCs w:val="20"/>
          <w:lang w:val="ru-MD"/>
        </w:rPr>
        <w:t>Отчета Правительства об исполнении бюджета государственного социального страхования за 2021 год</w:t>
      </w:r>
      <w:r w:rsidRPr="00FB7FE4">
        <w:rPr>
          <w:rFonts w:asciiTheme="majorHAnsi" w:eastAsia="Times New Roman" w:hAnsiTheme="majorHAnsi" w:cstheme="majorHAnsi"/>
          <w:sz w:val="20"/>
          <w:szCs w:val="20"/>
          <w:lang w:val="ru-MD"/>
        </w:rPr>
        <w:t>” были направлены</w:t>
      </w:r>
      <w:r w:rsidRPr="00FB7FE4">
        <w:rPr>
          <w:rFonts w:asciiTheme="majorHAnsi" w:hAnsiTheme="majorHAnsi" w:cstheme="majorHAnsi"/>
          <w:iCs/>
          <w:sz w:val="20"/>
          <w:szCs w:val="20"/>
          <w:lang w:val="ru-MD"/>
        </w:rPr>
        <w:t xml:space="preserve"> 14 рекомендаций.</w:t>
      </w:r>
    </w:p>
  </w:footnote>
  <w:footnote w:id="63">
    <w:p w14:paraId="5A407AC6" w14:textId="062277B4" w:rsidR="002C203D" w:rsidRPr="00D72DA5" w:rsidRDefault="002C203D" w:rsidP="005F0AA5">
      <w:pPr>
        <w:pStyle w:val="a3"/>
        <w:rPr>
          <w:rFonts w:asciiTheme="majorHAnsi" w:hAnsiTheme="majorHAnsi" w:cstheme="majorHAnsi"/>
          <w:lang w:val="ru-MD"/>
        </w:rPr>
      </w:pPr>
      <w:r w:rsidRPr="00D72DA5">
        <w:rPr>
          <w:rFonts w:asciiTheme="majorHAnsi" w:eastAsia="Times New Roman" w:hAnsiTheme="majorHAnsi" w:cstheme="majorHAnsi"/>
          <w:vertAlign w:val="superscript"/>
          <w:lang w:val="ru-MD"/>
        </w:rPr>
        <w:footnoteRef/>
      </w:r>
      <w:r w:rsidRPr="00D72DA5">
        <w:rPr>
          <w:rFonts w:asciiTheme="majorHAnsi" w:eastAsia="Times New Roman" w:hAnsiTheme="majorHAnsi" w:cstheme="majorHAnsi"/>
          <w:vertAlign w:val="superscript"/>
          <w:lang w:val="ru-MD"/>
        </w:rPr>
        <w:t xml:space="preserve"> </w:t>
      </w:r>
      <w:r w:rsidRPr="00D72DA5">
        <w:rPr>
          <w:rFonts w:asciiTheme="majorHAnsi" w:eastAsia="Times New Roman" w:hAnsiTheme="majorHAnsi" w:cstheme="majorHAnsi"/>
          <w:lang w:val="ru-MD"/>
        </w:rPr>
        <w:t>Министерство внутренних дел, Министерство труда и социальной защиты.</w:t>
      </w:r>
    </w:p>
  </w:footnote>
  <w:footnote w:id="64">
    <w:p w14:paraId="6A7B4C92" w14:textId="729FCDBB" w:rsidR="002C203D" w:rsidRPr="006A229C" w:rsidRDefault="002C203D" w:rsidP="006A229C">
      <w:pPr>
        <w:tabs>
          <w:tab w:val="left" w:pos="851"/>
        </w:tabs>
        <w:spacing w:after="0" w:line="240" w:lineRule="auto"/>
        <w:jc w:val="both"/>
        <w:rPr>
          <w:bCs/>
          <w:color w:val="333333"/>
          <w:lang w:val="ru-RU"/>
        </w:rPr>
      </w:pPr>
      <w:r w:rsidRPr="00257B39">
        <w:rPr>
          <w:rStyle w:val="a5"/>
          <w:rFonts w:asciiTheme="majorHAnsi" w:hAnsiTheme="majorHAnsi" w:cstheme="majorHAnsi"/>
          <w:sz w:val="20"/>
          <w:szCs w:val="20"/>
          <w:lang w:val="ro-MD"/>
        </w:rPr>
        <w:footnoteRef/>
      </w:r>
      <w:r w:rsidRPr="00257B39">
        <w:rPr>
          <w:rFonts w:asciiTheme="majorHAnsi" w:hAnsiTheme="majorHAnsi" w:cstheme="majorHAnsi"/>
          <w:sz w:val="20"/>
          <w:szCs w:val="20"/>
          <w:lang w:val="ro-MD"/>
        </w:rPr>
        <w:t xml:space="preserve"> </w:t>
      </w:r>
      <w:r>
        <w:rPr>
          <w:rFonts w:asciiTheme="majorHAnsi" w:hAnsiTheme="majorHAnsi" w:cstheme="majorHAnsi"/>
          <w:sz w:val="20"/>
          <w:szCs w:val="20"/>
          <w:lang w:val="ro-MD"/>
        </w:rPr>
        <w:t>Ст.</w:t>
      </w:r>
      <w:r w:rsidRPr="00257B39">
        <w:rPr>
          <w:rFonts w:asciiTheme="majorHAnsi" w:hAnsiTheme="majorHAnsi" w:cstheme="majorHAnsi"/>
          <w:sz w:val="20"/>
          <w:szCs w:val="20"/>
          <w:lang w:val="ro-MD"/>
        </w:rPr>
        <w:t xml:space="preserve">80 </w:t>
      </w:r>
      <w:r>
        <w:rPr>
          <w:rFonts w:asciiTheme="majorHAnsi" w:hAnsiTheme="majorHAnsi" w:cstheme="majorHAnsi"/>
          <w:sz w:val="20"/>
          <w:szCs w:val="20"/>
          <w:lang w:val="ru-RU"/>
        </w:rPr>
        <w:t>Трудового кодекса Республики Молдова №</w:t>
      </w:r>
      <w:r w:rsidRPr="00257B39">
        <w:rPr>
          <w:rFonts w:asciiTheme="majorHAnsi" w:hAnsiTheme="majorHAnsi" w:cstheme="majorHAnsi"/>
          <w:sz w:val="20"/>
          <w:szCs w:val="20"/>
          <w:lang w:val="ro-MD"/>
        </w:rPr>
        <w:t>154/2003;</w:t>
      </w:r>
      <w:r w:rsidRPr="00257B39">
        <w:rPr>
          <w:rFonts w:asciiTheme="majorHAnsi" w:hAnsiTheme="majorHAnsi" w:cstheme="majorHAnsi"/>
          <w:b/>
          <w:sz w:val="20"/>
          <w:szCs w:val="20"/>
          <w:lang w:val="ro-MD"/>
        </w:rPr>
        <w:t xml:space="preserve"> </w:t>
      </w:r>
      <w:r>
        <w:rPr>
          <w:rStyle w:val="af0"/>
          <w:rFonts w:asciiTheme="majorHAnsi" w:hAnsiTheme="majorHAnsi" w:cstheme="majorHAnsi"/>
          <w:b w:val="0"/>
          <w:color w:val="333333"/>
          <w:sz w:val="20"/>
          <w:szCs w:val="20"/>
          <w:lang w:val="ru-RU"/>
        </w:rPr>
        <w:t>ПП №</w:t>
      </w:r>
      <w:r w:rsidRPr="00257B39">
        <w:rPr>
          <w:rStyle w:val="af0"/>
          <w:rFonts w:asciiTheme="majorHAnsi" w:hAnsiTheme="majorHAnsi" w:cstheme="majorHAnsi"/>
          <w:b w:val="0"/>
          <w:color w:val="333333"/>
          <w:sz w:val="20"/>
          <w:szCs w:val="20"/>
          <w:lang w:val="ro-MD"/>
        </w:rPr>
        <w:t xml:space="preserve">316 </w:t>
      </w:r>
      <w:r>
        <w:rPr>
          <w:rStyle w:val="af0"/>
          <w:rFonts w:asciiTheme="majorHAnsi" w:hAnsiTheme="majorHAnsi" w:cstheme="majorHAnsi"/>
          <w:b w:val="0"/>
          <w:color w:val="333333"/>
          <w:sz w:val="20"/>
          <w:szCs w:val="20"/>
          <w:lang w:val="ru-RU"/>
        </w:rPr>
        <w:t>от</w:t>
      </w:r>
      <w:r w:rsidRPr="00257B39">
        <w:rPr>
          <w:rStyle w:val="af0"/>
          <w:rFonts w:asciiTheme="majorHAnsi" w:hAnsiTheme="majorHAnsi" w:cstheme="majorHAnsi"/>
          <w:b w:val="0"/>
          <w:color w:val="333333"/>
          <w:sz w:val="20"/>
          <w:szCs w:val="20"/>
          <w:lang w:val="ro-MD"/>
        </w:rPr>
        <w:t xml:space="preserve"> 03.11.2021</w:t>
      </w:r>
      <w:r w:rsidRPr="00257B39">
        <w:rPr>
          <w:rFonts w:asciiTheme="majorHAnsi" w:hAnsiTheme="majorHAnsi" w:cstheme="majorHAnsi"/>
          <w:b/>
          <w:sz w:val="20"/>
          <w:szCs w:val="20"/>
          <w:lang w:val="ro-MD"/>
        </w:rPr>
        <w:t xml:space="preserve"> </w:t>
      </w:r>
      <w:r w:rsidRPr="006A229C">
        <w:rPr>
          <w:rFonts w:asciiTheme="majorHAnsi" w:hAnsiTheme="majorHAnsi" w:cstheme="majorHAnsi"/>
          <w:sz w:val="20"/>
          <w:szCs w:val="20"/>
          <w:lang w:val="ro-MD"/>
        </w:rPr>
        <w:t>„</w:t>
      </w:r>
      <w:r>
        <w:rPr>
          <w:rFonts w:asciiTheme="majorHAnsi" w:hAnsiTheme="majorHAnsi" w:cstheme="majorHAnsi"/>
          <w:bCs/>
          <w:color w:val="333333"/>
          <w:sz w:val="20"/>
          <w:szCs w:val="20"/>
          <w:lang w:val="ru-RU"/>
        </w:rPr>
        <w:t>О</w:t>
      </w:r>
      <w:r w:rsidRPr="006A229C">
        <w:rPr>
          <w:rFonts w:asciiTheme="majorHAnsi" w:hAnsiTheme="majorHAnsi" w:cstheme="majorHAnsi"/>
          <w:bCs/>
          <w:color w:val="333333"/>
          <w:sz w:val="20"/>
          <w:szCs w:val="20"/>
          <w:lang w:val="ru-RU"/>
        </w:rPr>
        <w:t>б учреждении некоторых мер поддержки</w:t>
      </w:r>
      <w:r>
        <w:rPr>
          <w:rFonts w:asciiTheme="majorHAnsi" w:hAnsiTheme="majorHAnsi" w:cstheme="majorHAnsi"/>
          <w:bCs/>
          <w:color w:val="333333"/>
          <w:sz w:val="20"/>
          <w:szCs w:val="20"/>
          <w:lang w:val="ru-RU"/>
        </w:rPr>
        <w:t xml:space="preserve"> </w:t>
      </w:r>
      <w:r w:rsidRPr="006A229C">
        <w:rPr>
          <w:rFonts w:asciiTheme="majorHAnsi" w:hAnsiTheme="majorHAnsi" w:cstheme="majorHAnsi"/>
          <w:bCs/>
          <w:color w:val="333333"/>
          <w:sz w:val="20"/>
          <w:szCs w:val="20"/>
          <w:lang w:val="ru-RU"/>
        </w:rPr>
        <w:t>работодателей и работников в условиях</w:t>
      </w:r>
      <w:r>
        <w:rPr>
          <w:rFonts w:asciiTheme="majorHAnsi" w:hAnsiTheme="majorHAnsi" w:cstheme="majorHAnsi"/>
          <w:bCs/>
          <w:color w:val="333333"/>
          <w:sz w:val="20"/>
          <w:szCs w:val="20"/>
          <w:lang w:val="ru-RU"/>
        </w:rPr>
        <w:t xml:space="preserve"> </w:t>
      </w:r>
      <w:r w:rsidRPr="006A229C">
        <w:rPr>
          <w:rFonts w:asciiTheme="majorHAnsi" w:hAnsiTheme="majorHAnsi" w:cstheme="majorHAnsi"/>
          <w:bCs/>
          <w:color w:val="333333"/>
          <w:sz w:val="20"/>
          <w:szCs w:val="20"/>
          <w:lang w:val="ru-RU"/>
        </w:rPr>
        <w:t>реализации ограничительных мер</w:t>
      </w:r>
      <w:r>
        <w:rPr>
          <w:rFonts w:asciiTheme="majorHAnsi" w:hAnsiTheme="majorHAnsi" w:cstheme="majorHAnsi"/>
          <w:bCs/>
          <w:color w:val="333333"/>
          <w:sz w:val="20"/>
          <w:szCs w:val="20"/>
          <w:lang w:val="ru-RU"/>
        </w:rPr>
        <w:t xml:space="preserve"> </w:t>
      </w:r>
      <w:r w:rsidRPr="006A229C">
        <w:rPr>
          <w:rFonts w:asciiTheme="majorHAnsi" w:hAnsiTheme="majorHAnsi" w:cstheme="majorHAnsi"/>
          <w:bCs/>
          <w:color w:val="333333"/>
          <w:sz w:val="20"/>
          <w:szCs w:val="20"/>
          <w:lang w:val="ru-RU"/>
        </w:rPr>
        <w:t>в период пандемии COVID-19</w:t>
      </w:r>
      <w:r w:rsidRPr="00257B39">
        <w:rPr>
          <w:rStyle w:val="af0"/>
          <w:rFonts w:asciiTheme="majorHAnsi" w:hAnsiTheme="majorHAnsi" w:cstheme="majorHAnsi"/>
          <w:b w:val="0"/>
          <w:color w:val="333333"/>
          <w:sz w:val="20"/>
          <w:szCs w:val="20"/>
          <w:lang w:val="ro-MD"/>
        </w:rPr>
        <w:t>”.</w:t>
      </w:r>
    </w:p>
  </w:footnote>
  <w:footnote w:id="65">
    <w:p w14:paraId="37056161" w14:textId="3493A3F6" w:rsidR="002C203D" w:rsidRPr="00257B39" w:rsidRDefault="002C203D" w:rsidP="00736448">
      <w:pPr>
        <w:pStyle w:val="a3"/>
        <w:jc w:val="both"/>
        <w:rPr>
          <w:rFonts w:asciiTheme="majorHAnsi" w:hAnsiTheme="majorHAnsi" w:cstheme="majorHAnsi"/>
          <w:lang w:val="ro-MD"/>
        </w:rPr>
      </w:pPr>
      <w:r w:rsidRPr="00257B39">
        <w:rPr>
          <w:rStyle w:val="a5"/>
          <w:rFonts w:asciiTheme="majorHAnsi" w:hAnsiTheme="majorHAnsi" w:cstheme="majorHAnsi"/>
          <w:lang w:val="ro-MD"/>
        </w:rPr>
        <w:footnoteRef/>
      </w:r>
      <w:r w:rsidRPr="00257B39">
        <w:rPr>
          <w:rFonts w:asciiTheme="majorHAnsi" w:hAnsiTheme="majorHAnsi" w:cstheme="majorHAnsi"/>
          <w:lang w:val="ro-MD"/>
        </w:rPr>
        <w:t xml:space="preserve"> </w:t>
      </w:r>
      <w:r>
        <w:rPr>
          <w:rFonts w:asciiTheme="majorHAnsi" w:hAnsiTheme="majorHAnsi" w:cstheme="majorHAnsi"/>
          <w:lang w:val="ru-RU"/>
        </w:rPr>
        <w:t>Письмо</w:t>
      </w:r>
      <w:r w:rsidRPr="00D83778">
        <w:rPr>
          <w:rFonts w:asciiTheme="majorHAnsi" w:hAnsiTheme="majorHAnsi" w:cstheme="majorHAnsi"/>
          <w:lang w:val="ru-RU"/>
        </w:rPr>
        <w:t xml:space="preserve"> </w:t>
      </w:r>
      <w:r>
        <w:rPr>
          <w:rFonts w:asciiTheme="majorHAnsi" w:hAnsiTheme="majorHAnsi" w:cstheme="majorHAnsi"/>
          <w:lang w:val="ru-RU"/>
        </w:rPr>
        <w:t>НКСС</w:t>
      </w:r>
      <w:r w:rsidRPr="00D83778">
        <w:rPr>
          <w:rFonts w:asciiTheme="majorHAnsi" w:hAnsiTheme="majorHAnsi" w:cstheme="majorHAnsi"/>
          <w:lang w:val="ru-RU"/>
        </w:rPr>
        <w:t xml:space="preserve"> </w:t>
      </w:r>
      <w:r>
        <w:rPr>
          <w:rFonts w:asciiTheme="majorHAnsi" w:hAnsiTheme="majorHAnsi" w:cstheme="majorHAnsi"/>
          <w:lang w:val="ru-RU"/>
        </w:rPr>
        <w:t>от</w:t>
      </w:r>
      <w:r w:rsidRPr="00257B39">
        <w:rPr>
          <w:rFonts w:asciiTheme="majorHAnsi" w:hAnsiTheme="majorHAnsi" w:cstheme="majorHAnsi"/>
          <w:lang w:val="ro-MD"/>
        </w:rPr>
        <w:t xml:space="preserve"> 03.03.2023, </w:t>
      </w:r>
      <w:r>
        <w:rPr>
          <w:rFonts w:asciiTheme="majorHAnsi" w:hAnsiTheme="majorHAnsi" w:cstheme="majorHAnsi"/>
          <w:lang w:val="ru-RU"/>
        </w:rPr>
        <w:t>Письмо</w:t>
      </w:r>
      <w:r w:rsidRPr="00257B39">
        <w:rPr>
          <w:rFonts w:asciiTheme="majorHAnsi" w:hAnsiTheme="majorHAnsi" w:cstheme="majorHAnsi"/>
          <w:lang w:val="ro-MD"/>
        </w:rPr>
        <w:t xml:space="preserve"> MMPS </w:t>
      </w:r>
      <w:r>
        <w:rPr>
          <w:rFonts w:asciiTheme="majorHAnsi" w:hAnsiTheme="majorHAnsi" w:cstheme="majorHAnsi"/>
          <w:lang w:val="ru-RU"/>
        </w:rPr>
        <w:t>от</w:t>
      </w:r>
      <w:r w:rsidRPr="00257B39">
        <w:rPr>
          <w:rFonts w:asciiTheme="majorHAnsi" w:hAnsiTheme="majorHAnsi" w:cstheme="majorHAnsi"/>
          <w:lang w:val="ro-MD"/>
        </w:rPr>
        <w:t xml:space="preserve"> 22.03.2023, </w:t>
      </w:r>
      <w:r>
        <w:rPr>
          <w:rFonts w:asciiTheme="majorHAnsi" w:hAnsiTheme="majorHAnsi" w:cstheme="majorHAnsi"/>
          <w:lang w:val="ru-RU"/>
        </w:rPr>
        <w:t>Письмо ГНС №</w:t>
      </w:r>
      <w:r w:rsidRPr="00257B39">
        <w:rPr>
          <w:rFonts w:asciiTheme="majorHAnsi" w:hAnsiTheme="majorHAnsi" w:cstheme="majorHAnsi"/>
          <w:lang w:val="ro-MD"/>
        </w:rPr>
        <w:t xml:space="preserve">26-07/2-08/43868 </w:t>
      </w:r>
      <w:r>
        <w:rPr>
          <w:rFonts w:asciiTheme="majorHAnsi" w:hAnsiTheme="majorHAnsi" w:cstheme="majorHAnsi"/>
          <w:lang w:val="ru-RU"/>
        </w:rPr>
        <w:t>от</w:t>
      </w:r>
      <w:r w:rsidRPr="00257B39">
        <w:rPr>
          <w:rFonts w:asciiTheme="majorHAnsi" w:hAnsiTheme="majorHAnsi" w:cstheme="majorHAnsi"/>
          <w:lang w:val="ro-MD"/>
        </w:rPr>
        <w:t xml:space="preserve"> 30.03.2023.</w:t>
      </w:r>
    </w:p>
  </w:footnote>
  <w:footnote w:id="66">
    <w:p w14:paraId="4684FC21" w14:textId="465899C4" w:rsidR="002C203D" w:rsidRPr="00257B39" w:rsidRDefault="002C203D" w:rsidP="00D55BFC">
      <w:pPr>
        <w:pStyle w:val="a3"/>
        <w:jc w:val="both"/>
        <w:rPr>
          <w:rFonts w:asciiTheme="majorHAnsi" w:hAnsiTheme="majorHAnsi" w:cstheme="majorHAnsi"/>
          <w:lang w:val="ro-MD"/>
        </w:rPr>
      </w:pPr>
      <w:r w:rsidRPr="00257B39">
        <w:rPr>
          <w:rStyle w:val="a5"/>
          <w:rFonts w:asciiTheme="majorHAnsi" w:hAnsiTheme="majorHAnsi" w:cstheme="majorHAnsi"/>
          <w:lang w:val="ro-MD"/>
        </w:rPr>
        <w:footnoteRef/>
      </w:r>
      <w:r w:rsidRPr="00257B39">
        <w:rPr>
          <w:rFonts w:asciiTheme="majorHAnsi" w:hAnsiTheme="majorHAnsi" w:cstheme="majorHAnsi"/>
          <w:lang w:val="ro-MD"/>
        </w:rPr>
        <w:t xml:space="preserve"> </w:t>
      </w:r>
      <w:r w:rsidRPr="00D55BFC">
        <w:rPr>
          <w:rFonts w:asciiTheme="majorHAnsi" w:hAnsiTheme="majorHAnsi" w:cstheme="majorHAnsi"/>
          <w:lang w:val="ru-RU"/>
        </w:rPr>
        <w:t>Классификатор категорий застрахованных лиц</w:t>
      </w:r>
      <w:r w:rsidRPr="00257B39">
        <w:rPr>
          <w:rFonts w:asciiTheme="majorHAnsi" w:hAnsiTheme="majorHAnsi" w:cstheme="majorHAnsi"/>
          <w:lang w:val="ro-MD"/>
        </w:rPr>
        <w:t xml:space="preserve">, </w:t>
      </w:r>
      <w:r>
        <w:rPr>
          <w:rFonts w:asciiTheme="majorHAnsi" w:hAnsiTheme="majorHAnsi" w:cstheme="majorHAnsi"/>
          <w:lang w:val="ru-RU"/>
        </w:rPr>
        <w:t>утвержденный Приказом НКСС №</w:t>
      </w:r>
      <w:r w:rsidRPr="00257B39">
        <w:rPr>
          <w:rFonts w:asciiTheme="majorHAnsi" w:hAnsiTheme="majorHAnsi" w:cstheme="majorHAnsi"/>
          <w:lang w:val="ro-MD"/>
        </w:rPr>
        <w:t xml:space="preserve">119 </w:t>
      </w:r>
      <w:r>
        <w:rPr>
          <w:rFonts w:asciiTheme="majorHAnsi" w:hAnsiTheme="majorHAnsi" w:cstheme="majorHAnsi"/>
          <w:lang w:val="ru-RU"/>
        </w:rPr>
        <w:t>от</w:t>
      </w:r>
      <w:r w:rsidRPr="00257B39">
        <w:rPr>
          <w:rFonts w:asciiTheme="majorHAnsi" w:hAnsiTheme="majorHAnsi" w:cstheme="majorHAnsi"/>
          <w:lang w:val="ro-MD"/>
        </w:rPr>
        <w:t xml:space="preserve"> 04.09.2018.</w:t>
      </w:r>
    </w:p>
  </w:footnote>
  <w:footnote w:id="67">
    <w:p w14:paraId="1350C387" w14:textId="0B340234" w:rsidR="002C203D" w:rsidRPr="00617C10" w:rsidRDefault="002C203D" w:rsidP="00314E76">
      <w:pPr>
        <w:pStyle w:val="a3"/>
        <w:jc w:val="both"/>
        <w:rPr>
          <w:rFonts w:asciiTheme="majorHAnsi" w:hAnsiTheme="majorHAnsi" w:cstheme="majorHAnsi"/>
          <w:lang w:val="ru-MD"/>
        </w:rPr>
      </w:pPr>
      <w:r w:rsidRPr="00257B39">
        <w:rPr>
          <w:rStyle w:val="a5"/>
          <w:rFonts w:asciiTheme="majorHAnsi" w:hAnsiTheme="majorHAnsi" w:cstheme="majorHAnsi"/>
          <w:lang w:val="ro-RO"/>
        </w:rPr>
        <w:footnoteRef/>
      </w:r>
      <w:r w:rsidRPr="00257B39">
        <w:rPr>
          <w:rFonts w:asciiTheme="majorHAnsi" w:hAnsiTheme="majorHAnsi" w:cstheme="majorHAnsi"/>
          <w:lang w:val="ro-RO"/>
        </w:rPr>
        <w:t xml:space="preserve"> </w:t>
      </w:r>
      <w:r w:rsidRPr="00617C10">
        <w:rPr>
          <w:rFonts w:asciiTheme="majorHAnsi" w:hAnsiTheme="majorHAnsi" w:cstheme="majorHAnsi"/>
          <w:lang w:val="ru-MD"/>
        </w:rPr>
        <w:t xml:space="preserve">Постановление Правительства №1144 </w:t>
      </w:r>
      <w:r>
        <w:rPr>
          <w:rFonts w:asciiTheme="majorHAnsi" w:hAnsiTheme="majorHAnsi" w:cstheme="majorHAnsi"/>
          <w:lang w:val="ru-MD"/>
        </w:rPr>
        <w:t>от</w:t>
      </w:r>
      <w:r w:rsidRPr="00617C10">
        <w:rPr>
          <w:rFonts w:asciiTheme="majorHAnsi" w:hAnsiTheme="majorHAnsi" w:cstheme="majorHAnsi"/>
          <w:lang w:val="ru-MD"/>
        </w:rPr>
        <w:t xml:space="preserve"> 20.12.2017 „</w:t>
      </w:r>
      <w:r w:rsidRPr="00617C10">
        <w:rPr>
          <w:rFonts w:asciiTheme="majorHAnsi" w:hAnsiTheme="majorHAnsi" w:cstheme="majorHAnsi"/>
          <w:bCs/>
          <w:lang w:val="ru-MD"/>
        </w:rPr>
        <w:t>О создании информационно-технологического парка „Moldova IT park”</w:t>
      </w:r>
      <w:r w:rsidRPr="00617C10">
        <w:rPr>
          <w:rFonts w:asciiTheme="majorHAnsi" w:hAnsiTheme="majorHAnsi" w:cstheme="majorHAnsi"/>
          <w:lang w:val="ru-MD"/>
        </w:rPr>
        <w:t>”.</w:t>
      </w:r>
    </w:p>
  </w:footnote>
  <w:footnote w:id="68">
    <w:p w14:paraId="02F52B85" w14:textId="60559740" w:rsidR="002C203D" w:rsidRPr="00257B39" w:rsidRDefault="002C203D" w:rsidP="00736448">
      <w:pPr>
        <w:pStyle w:val="a3"/>
        <w:jc w:val="both"/>
        <w:rPr>
          <w:rFonts w:asciiTheme="majorHAnsi" w:hAnsiTheme="majorHAnsi" w:cstheme="majorHAnsi"/>
          <w:lang w:val="ro-RO"/>
        </w:rPr>
      </w:pPr>
      <w:r w:rsidRPr="00617C10">
        <w:rPr>
          <w:rStyle w:val="a5"/>
          <w:rFonts w:asciiTheme="majorHAnsi" w:hAnsiTheme="majorHAnsi" w:cstheme="majorHAnsi"/>
          <w:lang w:val="ru-MD"/>
        </w:rPr>
        <w:footnoteRef/>
      </w:r>
      <w:r w:rsidRPr="00617C10">
        <w:rPr>
          <w:rFonts w:asciiTheme="majorHAnsi" w:hAnsiTheme="majorHAnsi" w:cstheme="majorHAnsi"/>
          <w:lang w:val="ru-MD"/>
        </w:rPr>
        <w:t xml:space="preserve"> Ст.8 Закона об </w:t>
      </w:r>
      <w:r w:rsidRPr="00617C10">
        <w:rPr>
          <w:rFonts w:asciiTheme="majorHAnsi" w:hAnsiTheme="majorHAnsi" w:cstheme="majorHAnsi"/>
          <w:bCs/>
          <w:lang w:val="ru-MD"/>
        </w:rPr>
        <w:t xml:space="preserve">информационно-технологических парках </w:t>
      </w:r>
      <w:r w:rsidRPr="00617C10">
        <w:rPr>
          <w:rFonts w:asciiTheme="majorHAnsi" w:hAnsiTheme="majorHAnsi" w:cstheme="majorHAnsi"/>
          <w:lang w:val="ru-MD"/>
        </w:rPr>
        <w:t>№77 от 21.04.2016</w:t>
      </w:r>
      <w:r w:rsidRPr="00257B39">
        <w:rPr>
          <w:rFonts w:asciiTheme="majorHAnsi" w:hAnsiTheme="majorHAnsi" w:cstheme="majorHAnsi"/>
          <w:lang w:val="ro-RO"/>
        </w:rPr>
        <w:t>.</w:t>
      </w:r>
    </w:p>
  </w:footnote>
  <w:footnote w:id="69">
    <w:p w14:paraId="3FCA2AD1" w14:textId="18789D0F" w:rsidR="002C203D" w:rsidRPr="00257B39" w:rsidRDefault="002C203D" w:rsidP="001209B3">
      <w:pPr>
        <w:pStyle w:val="a3"/>
        <w:jc w:val="both"/>
        <w:rPr>
          <w:rFonts w:asciiTheme="majorHAnsi" w:hAnsiTheme="majorHAnsi" w:cstheme="majorHAnsi"/>
          <w:lang w:val="ro-RO"/>
        </w:rPr>
      </w:pPr>
      <w:r w:rsidRPr="00257B39">
        <w:rPr>
          <w:rStyle w:val="a5"/>
          <w:rFonts w:asciiTheme="majorHAnsi" w:hAnsiTheme="majorHAnsi" w:cstheme="majorHAnsi"/>
          <w:lang w:val="ro-RO"/>
        </w:rPr>
        <w:footnoteRef/>
      </w:r>
      <w:r w:rsidRPr="00257B39">
        <w:rPr>
          <w:rFonts w:asciiTheme="majorHAnsi" w:hAnsiTheme="majorHAnsi" w:cstheme="majorHAnsi"/>
          <w:lang w:val="ro-RO"/>
        </w:rPr>
        <w:t xml:space="preserve"> </w:t>
      </w:r>
      <w:r>
        <w:rPr>
          <w:rFonts w:asciiTheme="majorHAnsi" w:hAnsiTheme="majorHAnsi" w:cstheme="majorHAnsi"/>
          <w:lang w:val="ro-RO"/>
        </w:rPr>
        <w:t>Ст</w:t>
      </w:r>
      <w:r w:rsidRPr="00257B39">
        <w:rPr>
          <w:rFonts w:asciiTheme="majorHAnsi" w:hAnsiTheme="majorHAnsi" w:cstheme="majorHAnsi"/>
          <w:lang w:val="ro-RO"/>
        </w:rPr>
        <w:t xml:space="preserve">.15 </w:t>
      </w:r>
      <w:r w:rsidRPr="00B02631">
        <w:rPr>
          <w:rFonts w:asciiTheme="majorHAnsi" w:hAnsiTheme="majorHAnsi" w:cstheme="majorHAnsi"/>
          <w:lang w:val="ru-MD"/>
        </w:rPr>
        <w:t xml:space="preserve">Закона об </w:t>
      </w:r>
      <w:r w:rsidRPr="00B02631">
        <w:rPr>
          <w:rFonts w:asciiTheme="majorHAnsi" w:hAnsiTheme="majorHAnsi" w:cstheme="majorHAnsi"/>
          <w:bCs/>
          <w:lang w:val="ru-MD"/>
        </w:rPr>
        <w:t xml:space="preserve">информационно-технологических парках </w:t>
      </w:r>
      <w:r w:rsidRPr="00B02631">
        <w:rPr>
          <w:rFonts w:asciiTheme="majorHAnsi" w:hAnsiTheme="majorHAnsi" w:cstheme="majorHAnsi"/>
          <w:lang w:val="ru-MD"/>
        </w:rPr>
        <w:t>№77 от 21.04.2016</w:t>
      </w:r>
      <w:r w:rsidRPr="00257B39">
        <w:rPr>
          <w:rFonts w:asciiTheme="majorHAnsi" w:hAnsiTheme="majorHAnsi" w:cstheme="majorHAnsi"/>
          <w:lang w:val="ro-RO"/>
        </w:rPr>
        <w:t>.</w:t>
      </w:r>
    </w:p>
  </w:footnote>
  <w:footnote w:id="70">
    <w:p w14:paraId="5AF704CF" w14:textId="54E86C44" w:rsidR="002C203D" w:rsidRPr="00742144" w:rsidRDefault="002C203D" w:rsidP="008860F8">
      <w:pPr>
        <w:pStyle w:val="a3"/>
        <w:jc w:val="both"/>
        <w:rPr>
          <w:lang w:val="ru-RU"/>
        </w:rPr>
      </w:pPr>
      <w:r w:rsidRPr="00257B39">
        <w:rPr>
          <w:rStyle w:val="a5"/>
          <w:rFonts w:asciiTheme="majorHAnsi" w:hAnsiTheme="majorHAnsi" w:cstheme="majorHAnsi"/>
          <w:lang w:val="ro-RO"/>
        </w:rPr>
        <w:footnoteRef/>
      </w:r>
      <w:r w:rsidRPr="00257B39">
        <w:rPr>
          <w:rFonts w:asciiTheme="majorHAnsi" w:hAnsiTheme="majorHAnsi" w:cstheme="majorHAnsi"/>
          <w:lang w:val="ro-RO"/>
        </w:rPr>
        <w:t xml:space="preserve"> </w:t>
      </w:r>
      <w:r w:rsidRPr="004D6499">
        <w:rPr>
          <w:rFonts w:asciiTheme="majorHAnsi" w:hAnsiTheme="majorHAnsi" w:cstheme="majorHAnsi"/>
          <w:lang w:val="ru-MD"/>
        </w:rPr>
        <w:t>Постановление Правительства</w:t>
      </w:r>
      <w:r>
        <w:rPr>
          <w:rFonts w:asciiTheme="majorHAnsi" w:hAnsiTheme="majorHAnsi" w:cstheme="majorHAnsi"/>
          <w:lang w:val="ro-RO"/>
        </w:rPr>
        <w:t xml:space="preserve"> №</w:t>
      </w:r>
      <w:r w:rsidRPr="00257B39">
        <w:rPr>
          <w:rFonts w:asciiTheme="majorHAnsi" w:hAnsiTheme="majorHAnsi" w:cstheme="majorHAnsi"/>
          <w:lang w:val="ro-RO"/>
        </w:rPr>
        <w:t xml:space="preserve">458 </w:t>
      </w:r>
      <w:r>
        <w:rPr>
          <w:rFonts w:asciiTheme="majorHAnsi" w:hAnsiTheme="majorHAnsi" w:cstheme="majorHAnsi"/>
          <w:lang w:val="ru-RU"/>
        </w:rPr>
        <w:t>от</w:t>
      </w:r>
      <w:r w:rsidRPr="00257B39">
        <w:rPr>
          <w:rFonts w:asciiTheme="majorHAnsi" w:hAnsiTheme="majorHAnsi" w:cstheme="majorHAnsi"/>
          <w:lang w:val="ro-RO"/>
        </w:rPr>
        <w:t xml:space="preserve"> 29.12.2021 „</w:t>
      </w:r>
      <w:r>
        <w:rPr>
          <w:rFonts w:asciiTheme="majorHAnsi" w:hAnsiTheme="majorHAnsi" w:cstheme="majorHAnsi"/>
          <w:bCs/>
          <w:lang w:val="ru-RU"/>
        </w:rPr>
        <w:t>О</w:t>
      </w:r>
      <w:r w:rsidRPr="00742144">
        <w:rPr>
          <w:rFonts w:asciiTheme="majorHAnsi" w:hAnsiTheme="majorHAnsi" w:cstheme="majorHAnsi"/>
          <w:bCs/>
          <w:lang w:val="ru-RU"/>
        </w:rPr>
        <w:t>б утверждении размера среднемесячной заработной</w:t>
      </w:r>
      <w:r w:rsidRPr="00742144">
        <w:rPr>
          <w:rFonts w:asciiTheme="majorHAnsi" w:hAnsiTheme="majorHAnsi" w:cstheme="majorHAnsi"/>
          <w:lang w:val="ru-RU"/>
        </w:rPr>
        <w:br/>
      </w:r>
      <w:r w:rsidRPr="00742144">
        <w:rPr>
          <w:rFonts w:asciiTheme="majorHAnsi" w:hAnsiTheme="majorHAnsi" w:cstheme="majorHAnsi"/>
          <w:bCs/>
          <w:lang w:val="ru-RU"/>
        </w:rPr>
        <w:t>платы по экономике, прогнозируемой на 2022 год</w:t>
      </w:r>
      <w:r w:rsidRPr="00257B39">
        <w:rPr>
          <w:rFonts w:asciiTheme="majorHAnsi" w:hAnsiTheme="majorHAnsi" w:cstheme="majorHAnsi"/>
          <w:lang w:val="ro-RO"/>
        </w:rPr>
        <w:t>”.</w:t>
      </w:r>
    </w:p>
  </w:footnote>
  <w:footnote w:id="71">
    <w:p w14:paraId="322F14E2" w14:textId="77777777" w:rsidR="002C203D" w:rsidRPr="00257B39" w:rsidRDefault="002C203D" w:rsidP="00550FA9">
      <w:pPr>
        <w:pStyle w:val="a3"/>
        <w:rPr>
          <w:rFonts w:asciiTheme="majorHAnsi" w:hAnsiTheme="majorHAnsi" w:cstheme="majorHAnsi"/>
          <w:lang w:val="ro-MD"/>
        </w:rPr>
      </w:pPr>
      <w:r w:rsidRPr="00257B39">
        <w:rPr>
          <w:rStyle w:val="a5"/>
          <w:rFonts w:asciiTheme="majorHAnsi" w:hAnsiTheme="majorHAnsi" w:cstheme="majorHAnsi"/>
        </w:rPr>
        <w:footnoteRef/>
      </w:r>
      <w:r w:rsidRPr="00257B39">
        <w:rPr>
          <w:rFonts w:asciiTheme="majorHAnsi" w:hAnsiTheme="majorHAnsi" w:cstheme="majorHAnsi"/>
          <w:lang w:val="ro-RO"/>
        </w:rPr>
        <w:t xml:space="preserve"> </w:t>
      </w:r>
      <w:hyperlink r:id="rId2" w:history="1">
        <w:r w:rsidRPr="00257B39">
          <w:rPr>
            <w:rStyle w:val="af2"/>
            <w:rFonts w:asciiTheme="majorHAnsi" w:hAnsiTheme="majorHAnsi" w:cstheme="majorHAnsi"/>
            <w:lang w:val="ro-RO"/>
          </w:rPr>
          <w:t>https://mitp.md/</w:t>
        </w:r>
      </w:hyperlink>
    </w:p>
  </w:footnote>
  <w:footnote w:id="72">
    <w:p w14:paraId="3E087656" w14:textId="77777777" w:rsidR="002C203D" w:rsidRPr="00B86FD3" w:rsidRDefault="002C203D" w:rsidP="00B86FD3">
      <w:pPr>
        <w:pStyle w:val="a3"/>
        <w:jc w:val="both"/>
        <w:rPr>
          <w:rFonts w:asciiTheme="majorHAnsi" w:hAnsiTheme="majorHAnsi" w:cstheme="majorHAnsi"/>
          <w:lang w:val="ru-MD"/>
        </w:rPr>
      </w:pPr>
      <w:r w:rsidRPr="00257B39">
        <w:rPr>
          <w:rStyle w:val="a5"/>
          <w:rFonts w:asciiTheme="majorHAnsi" w:hAnsiTheme="majorHAnsi" w:cstheme="majorHAnsi"/>
        </w:rPr>
        <w:footnoteRef/>
      </w:r>
      <w:r w:rsidRPr="00257B39">
        <w:rPr>
          <w:rFonts w:asciiTheme="majorHAnsi" w:hAnsiTheme="majorHAnsi" w:cstheme="majorHAnsi"/>
          <w:lang w:val="ro-RO"/>
        </w:rPr>
        <w:t xml:space="preserve"> </w:t>
      </w:r>
      <w:r w:rsidRPr="00B86FD3">
        <w:rPr>
          <w:rFonts w:asciiTheme="majorHAnsi" w:hAnsiTheme="majorHAnsi" w:cstheme="majorHAnsi"/>
          <w:lang w:val="ru-MD"/>
        </w:rPr>
        <w:t>Ст.3 Закона о государственной системе социального страхования №489 от 08.07.1999.</w:t>
      </w:r>
    </w:p>
  </w:footnote>
  <w:footnote w:id="73">
    <w:p w14:paraId="4EEED2FA" w14:textId="283E5C1B" w:rsidR="002C203D" w:rsidRPr="00B86FD3" w:rsidRDefault="002C203D" w:rsidP="00B86FD3">
      <w:pPr>
        <w:pStyle w:val="a3"/>
        <w:jc w:val="both"/>
        <w:rPr>
          <w:rFonts w:asciiTheme="majorHAnsi" w:hAnsiTheme="majorHAnsi" w:cstheme="majorHAnsi"/>
          <w:lang w:val="ru-MD"/>
        </w:rPr>
      </w:pPr>
      <w:r w:rsidRPr="00B86FD3">
        <w:rPr>
          <w:rStyle w:val="a5"/>
          <w:rFonts w:asciiTheme="majorHAnsi" w:hAnsiTheme="majorHAnsi" w:cstheme="majorHAnsi"/>
          <w:lang w:val="ru-MD"/>
        </w:rPr>
        <w:footnoteRef/>
      </w:r>
      <w:r w:rsidRPr="00B86FD3">
        <w:rPr>
          <w:rFonts w:asciiTheme="majorHAnsi" w:hAnsiTheme="majorHAnsi" w:cstheme="majorHAnsi"/>
          <w:lang w:val="ru-MD"/>
        </w:rPr>
        <w:t xml:space="preserve"> Сводные отчеты НКСС о расчете, использовании и перечислении взносов социального страхования, за 2022 год.</w:t>
      </w:r>
    </w:p>
  </w:footnote>
  <w:footnote w:id="74">
    <w:p w14:paraId="5DF1279D" w14:textId="405DDA4C" w:rsidR="002C203D" w:rsidRPr="00B86FD3" w:rsidRDefault="002C203D" w:rsidP="00B86FD3">
      <w:pPr>
        <w:pStyle w:val="a3"/>
        <w:jc w:val="both"/>
        <w:rPr>
          <w:rFonts w:asciiTheme="majorHAnsi" w:hAnsiTheme="majorHAnsi" w:cstheme="majorHAnsi"/>
          <w:lang w:val="ru-MD"/>
        </w:rPr>
      </w:pPr>
      <w:r w:rsidRPr="00B86FD3">
        <w:rPr>
          <w:rStyle w:val="a5"/>
          <w:rFonts w:asciiTheme="majorHAnsi" w:hAnsiTheme="majorHAnsi" w:cstheme="majorHAnsi"/>
          <w:lang w:val="ru-MD"/>
        </w:rPr>
        <w:footnoteRef/>
      </w:r>
      <w:r w:rsidRPr="00B86FD3">
        <w:rPr>
          <w:rFonts w:asciiTheme="majorHAnsi" w:hAnsiTheme="majorHAnsi" w:cstheme="majorHAnsi"/>
          <w:lang w:val="ru-MD"/>
        </w:rPr>
        <w:t xml:space="preserve"> Отчет об исполнении Бюджета государственного социального страхования по состоянию на 1 января 2023 года. (Форма №4 НКСС).</w:t>
      </w:r>
    </w:p>
  </w:footnote>
  <w:footnote w:id="75">
    <w:p w14:paraId="34D6DA91" w14:textId="09CF3526" w:rsidR="002C203D" w:rsidRPr="00257B39" w:rsidRDefault="002C203D" w:rsidP="00033B2D">
      <w:pPr>
        <w:pStyle w:val="4"/>
        <w:rPr>
          <w:rStyle w:val="af0"/>
          <w:b w:val="0"/>
          <w:lang w:val="ro-RO"/>
        </w:rPr>
      </w:pPr>
      <w:r w:rsidRPr="00257B39">
        <w:rPr>
          <w:rStyle w:val="af0"/>
          <w:b w:val="0"/>
          <w:vertAlign w:val="superscript"/>
          <w:lang w:val="ro-RO"/>
        </w:rPr>
        <w:footnoteRef/>
      </w:r>
      <w:r w:rsidRPr="00257B39">
        <w:rPr>
          <w:rStyle w:val="af0"/>
          <w:b w:val="0"/>
          <w:lang w:val="ro-RO"/>
        </w:rPr>
        <w:t xml:space="preserve"> </w:t>
      </w:r>
      <w:r>
        <w:rPr>
          <w:rStyle w:val="af0"/>
          <w:b w:val="0"/>
          <w:lang w:val="ro-RO"/>
        </w:rPr>
        <w:t>П.</w:t>
      </w:r>
      <w:r w:rsidRPr="00257B39">
        <w:rPr>
          <w:rStyle w:val="af0"/>
          <w:b w:val="0"/>
          <w:lang w:val="ro-RO"/>
        </w:rPr>
        <w:t xml:space="preserve">89 </w:t>
      </w:r>
      <w:r w:rsidRPr="00CA6B98">
        <w:rPr>
          <w:rStyle w:val="af0"/>
          <w:b w:val="0"/>
          <w:lang w:val="ro-RO"/>
        </w:rPr>
        <w:t>Постановления Правительства №</w:t>
      </w:r>
      <w:r w:rsidRPr="00257B39">
        <w:rPr>
          <w:rStyle w:val="af0"/>
          <w:b w:val="0"/>
          <w:lang w:val="ro-RO"/>
        </w:rPr>
        <w:t xml:space="preserve">108 </w:t>
      </w:r>
      <w:r>
        <w:rPr>
          <w:rStyle w:val="af0"/>
          <w:b w:val="0"/>
          <w:lang w:val="ru-RU"/>
        </w:rPr>
        <w:t>от</w:t>
      </w:r>
      <w:r w:rsidRPr="00257B39">
        <w:rPr>
          <w:rStyle w:val="af0"/>
          <w:b w:val="0"/>
          <w:lang w:val="ro-RO"/>
        </w:rPr>
        <w:t xml:space="preserve"> 03.02.2005 „</w:t>
      </w:r>
      <w:r>
        <w:rPr>
          <w:rStyle w:val="af0"/>
          <w:b w:val="0"/>
          <w:lang w:val="ru-RU"/>
        </w:rPr>
        <w:t>Об утверждении</w:t>
      </w:r>
      <w:r w:rsidRPr="00257B39">
        <w:rPr>
          <w:rStyle w:val="af0"/>
          <w:b w:val="0"/>
          <w:lang w:val="ro-RO"/>
        </w:rPr>
        <w:t xml:space="preserve"> </w:t>
      </w:r>
      <w:r w:rsidRPr="00730DF3">
        <w:rPr>
          <w:bCs/>
          <w:lang w:val="ru-RU"/>
        </w:rPr>
        <w:t>Положени</w:t>
      </w:r>
      <w:r>
        <w:rPr>
          <w:bCs/>
          <w:lang w:val="ru-RU"/>
        </w:rPr>
        <w:t>я</w:t>
      </w:r>
      <w:r w:rsidRPr="00730DF3">
        <w:rPr>
          <w:bCs/>
          <w:lang w:val="ru-RU"/>
        </w:rPr>
        <w:t xml:space="preserve"> об условиях назначения, порядке исчисления и выплаты пособий по временной нетрудоспособности</w:t>
      </w:r>
      <w:r w:rsidRPr="00257B39">
        <w:rPr>
          <w:rStyle w:val="af0"/>
          <w:b w:val="0"/>
          <w:lang w:val="ro-RO"/>
        </w:rPr>
        <w:t>”.</w:t>
      </w:r>
    </w:p>
  </w:footnote>
  <w:footnote w:id="76">
    <w:p w14:paraId="27CC3112" w14:textId="493F769E" w:rsidR="002C203D" w:rsidRPr="00257B39" w:rsidRDefault="002C203D" w:rsidP="00774C0B">
      <w:pPr>
        <w:pStyle w:val="a3"/>
        <w:rPr>
          <w:rFonts w:asciiTheme="majorHAnsi" w:hAnsiTheme="majorHAnsi" w:cstheme="majorHAnsi"/>
          <w:lang w:val="ro-RO"/>
        </w:rPr>
      </w:pPr>
      <w:r w:rsidRPr="00257B39">
        <w:rPr>
          <w:rStyle w:val="a5"/>
          <w:rFonts w:asciiTheme="majorHAnsi" w:hAnsiTheme="majorHAnsi" w:cstheme="majorHAnsi"/>
          <w:lang w:val="ro-RO"/>
        </w:rPr>
        <w:footnoteRef/>
      </w:r>
      <w:r w:rsidRPr="00257B39">
        <w:rPr>
          <w:rFonts w:asciiTheme="majorHAnsi" w:hAnsiTheme="majorHAnsi" w:cstheme="majorHAnsi"/>
          <w:lang w:val="ro-RO"/>
        </w:rPr>
        <w:t xml:space="preserve"> </w:t>
      </w:r>
      <w:r>
        <w:rPr>
          <w:rFonts w:asciiTheme="majorHAnsi" w:hAnsiTheme="majorHAnsi" w:cstheme="majorHAnsi"/>
          <w:lang w:val="ro-RO"/>
        </w:rPr>
        <w:t>Ст</w:t>
      </w:r>
      <w:r w:rsidRPr="00257B39">
        <w:rPr>
          <w:rFonts w:asciiTheme="majorHAnsi" w:hAnsiTheme="majorHAnsi" w:cstheme="majorHAnsi"/>
          <w:lang w:val="ro-RO"/>
        </w:rPr>
        <w:t xml:space="preserve">.144 </w:t>
      </w:r>
      <w:r w:rsidRPr="002B2680">
        <w:rPr>
          <w:rFonts w:asciiTheme="majorHAnsi" w:hAnsiTheme="majorHAnsi" w:cstheme="majorHAnsi"/>
          <w:lang w:val="ro-RO"/>
        </w:rPr>
        <w:t>Трудового кодекса</w:t>
      </w:r>
      <w:r w:rsidRPr="00257B39">
        <w:rPr>
          <w:rFonts w:asciiTheme="majorHAnsi" w:hAnsiTheme="majorHAnsi" w:cstheme="majorHAnsi"/>
          <w:lang w:val="ro-RO"/>
        </w:rPr>
        <w:t>.</w:t>
      </w:r>
    </w:p>
  </w:footnote>
  <w:footnote w:id="77">
    <w:p w14:paraId="62E67E0A" w14:textId="7815DB20" w:rsidR="002C203D" w:rsidRPr="00257B39" w:rsidRDefault="002C203D" w:rsidP="0045297C">
      <w:pPr>
        <w:pStyle w:val="a3"/>
        <w:rPr>
          <w:rFonts w:asciiTheme="majorHAnsi" w:eastAsia="Times New Roman" w:hAnsiTheme="majorHAnsi" w:cstheme="majorHAnsi"/>
          <w:lang w:val="ro-MD"/>
        </w:rPr>
      </w:pPr>
      <w:r w:rsidRPr="00257B39">
        <w:rPr>
          <w:rFonts w:asciiTheme="majorHAnsi" w:eastAsia="Times New Roman" w:hAnsiTheme="majorHAnsi" w:cstheme="majorHAnsi"/>
          <w:vertAlign w:val="superscript"/>
          <w:lang w:val="ro-MD"/>
        </w:rPr>
        <w:footnoteRef/>
      </w:r>
      <w:r w:rsidRPr="00257B39">
        <w:rPr>
          <w:rFonts w:asciiTheme="majorHAnsi" w:eastAsia="Times New Roman" w:hAnsiTheme="majorHAnsi" w:cstheme="majorHAnsi"/>
          <w:vertAlign w:val="superscript"/>
          <w:lang w:val="ro-MD"/>
        </w:rPr>
        <w:t xml:space="preserve"> </w:t>
      </w:r>
      <w:r>
        <w:rPr>
          <w:rFonts w:asciiTheme="majorHAnsi" w:eastAsia="Times New Roman" w:hAnsiTheme="majorHAnsi" w:cstheme="majorHAnsi"/>
          <w:lang w:val="ro-MD"/>
        </w:rPr>
        <w:t>Ст.</w:t>
      </w:r>
      <w:r w:rsidRPr="00257B39">
        <w:rPr>
          <w:rFonts w:asciiTheme="majorHAnsi" w:eastAsia="Times New Roman" w:hAnsiTheme="majorHAnsi" w:cstheme="majorHAnsi"/>
          <w:lang w:val="ro-MD"/>
        </w:rPr>
        <w:t xml:space="preserve">35  4) </w:t>
      </w:r>
      <w:r>
        <w:rPr>
          <w:rFonts w:asciiTheme="majorHAnsi" w:eastAsia="Times New Roman" w:hAnsiTheme="majorHAnsi" w:cstheme="majorHAnsi"/>
          <w:lang w:val="ru-RU"/>
        </w:rPr>
        <w:t xml:space="preserve">Закона </w:t>
      </w:r>
      <w:r w:rsidRPr="002B2680">
        <w:rPr>
          <w:rFonts w:asciiTheme="majorHAnsi" w:eastAsia="Times New Roman" w:hAnsiTheme="majorHAnsi" w:cstheme="majorHAnsi"/>
          <w:lang w:val="ru-RU"/>
        </w:rPr>
        <w:t xml:space="preserve">о государственной системе социального страхования </w:t>
      </w:r>
      <w:r>
        <w:rPr>
          <w:rFonts w:asciiTheme="majorHAnsi" w:eastAsia="Times New Roman" w:hAnsiTheme="majorHAnsi" w:cstheme="majorHAnsi"/>
          <w:lang w:val="ru-RU"/>
        </w:rPr>
        <w:t>№</w:t>
      </w:r>
      <w:r w:rsidRPr="00257B39">
        <w:rPr>
          <w:rFonts w:asciiTheme="majorHAnsi" w:eastAsia="Times New Roman" w:hAnsiTheme="majorHAnsi" w:cstheme="majorHAnsi"/>
          <w:lang w:val="ro-MD"/>
        </w:rPr>
        <w:t xml:space="preserve">489-XIV </w:t>
      </w:r>
      <w:r>
        <w:rPr>
          <w:rFonts w:asciiTheme="majorHAnsi" w:eastAsia="Times New Roman" w:hAnsiTheme="majorHAnsi" w:cstheme="majorHAnsi"/>
          <w:lang w:val="ru-RU"/>
        </w:rPr>
        <w:t>от</w:t>
      </w:r>
      <w:r w:rsidRPr="00257B39">
        <w:rPr>
          <w:rFonts w:asciiTheme="majorHAnsi" w:eastAsia="Times New Roman" w:hAnsiTheme="majorHAnsi" w:cstheme="majorHAnsi"/>
          <w:lang w:val="ro-MD"/>
        </w:rPr>
        <w:t xml:space="preserve"> 08.07.1999.</w:t>
      </w:r>
    </w:p>
  </w:footnote>
  <w:footnote w:id="78">
    <w:p w14:paraId="435FBE24" w14:textId="0B2E69EE" w:rsidR="002C203D" w:rsidRPr="00257B39" w:rsidRDefault="002C203D" w:rsidP="00787F7C">
      <w:pPr>
        <w:pStyle w:val="a3"/>
        <w:tabs>
          <w:tab w:val="left" w:pos="180"/>
        </w:tabs>
        <w:jc w:val="both"/>
        <w:rPr>
          <w:rFonts w:asciiTheme="majorHAnsi" w:hAnsiTheme="majorHAnsi" w:cstheme="majorHAnsi"/>
          <w:lang w:val="ro-MD"/>
        </w:rPr>
      </w:pPr>
      <w:r w:rsidRPr="00257B39">
        <w:rPr>
          <w:rStyle w:val="a5"/>
          <w:rFonts w:asciiTheme="majorHAnsi" w:hAnsiTheme="majorHAnsi" w:cstheme="majorHAnsi"/>
          <w:lang w:val="ro-MD"/>
        </w:rPr>
        <w:footnoteRef/>
      </w:r>
      <w:r w:rsidRPr="00257B39">
        <w:rPr>
          <w:rFonts w:asciiTheme="majorHAnsi" w:hAnsiTheme="majorHAnsi" w:cstheme="majorHAnsi"/>
          <w:lang w:val="ro-MD"/>
        </w:rPr>
        <w:t xml:space="preserve"> </w:t>
      </w:r>
      <w:r w:rsidRPr="00DD3C9B">
        <w:rPr>
          <w:rFonts w:asciiTheme="majorHAnsi" w:hAnsiTheme="majorHAnsi" w:cstheme="majorHAnsi"/>
          <w:lang w:val="ro-MD"/>
        </w:rPr>
        <w:t>Руководство по использованию больничных листов, обновлен</w:t>
      </w:r>
      <w:r>
        <w:rPr>
          <w:rFonts w:asciiTheme="majorHAnsi" w:hAnsiTheme="majorHAnsi" w:cstheme="majorHAnsi"/>
          <w:lang w:val="ru-RU"/>
        </w:rPr>
        <w:t>н</w:t>
      </w:r>
      <w:r w:rsidRPr="00DD3C9B">
        <w:rPr>
          <w:rFonts w:asciiTheme="majorHAnsi" w:hAnsiTheme="majorHAnsi" w:cstheme="majorHAnsi"/>
          <w:lang w:val="ro-MD"/>
        </w:rPr>
        <w:t>о</w:t>
      </w:r>
      <w:r>
        <w:rPr>
          <w:rFonts w:asciiTheme="majorHAnsi" w:hAnsiTheme="majorHAnsi" w:cstheme="majorHAnsi"/>
          <w:lang w:val="ru-RU"/>
        </w:rPr>
        <w:t>е</w:t>
      </w:r>
      <w:r w:rsidRPr="00DD3C9B">
        <w:rPr>
          <w:rFonts w:asciiTheme="majorHAnsi" w:hAnsiTheme="majorHAnsi" w:cstheme="majorHAnsi"/>
          <w:lang w:val="ro-MD"/>
        </w:rPr>
        <w:t xml:space="preserve"> 01.11.2022</w:t>
      </w:r>
      <w:r w:rsidRPr="00257B39">
        <w:rPr>
          <w:rFonts w:asciiTheme="majorHAnsi" w:hAnsiTheme="majorHAnsi" w:cstheme="majorHAnsi"/>
          <w:lang w:val="ro-MD"/>
        </w:rPr>
        <w:t>.</w:t>
      </w:r>
    </w:p>
  </w:footnote>
  <w:footnote w:id="79">
    <w:p w14:paraId="6E03C81E" w14:textId="563BAA68" w:rsidR="002C203D" w:rsidRPr="00257B39" w:rsidRDefault="002C203D" w:rsidP="00787F7C">
      <w:pPr>
        <w:pStyle w:val="a3"/>
        <w:tabs>
          <w:tab w:val="left" w:pos="180"/>
        </w:tabs>
        <w:jc w:val="both"/>
        <w:rPr>
          <w:rFonts w:asciiTheme="majorHAnsi" w:hAnsiTheme="majorHAnsi" w:cstheme="majorHAnsi"/>
          <w:lang w:val="ro-MD"/>
        </w:rPr>
      </w:pPr>
      <w:r w:rsidRPr="00257B39">
        <w:rPr>
          <w:rStyle w:val="a5"/>
          <w:rFonts w:asciiTheme="majorHAnsi" w:hAnsiTheme="majorHAnsi" w:cstheme="majorHAnsi"/>
          <w:lang w:val="ro-MD"/>
        </w:rPr>
        <w:footnoteRef/>
      </w:r>
      <w:r w:rsidRPr="00257B39">
        <w:rPr>
          <w:rFonts w:asciiTheme="majorHAnsi" w:hAnsiTheme="majorHAnsi" w:cstheme="majorHAnsi"/>
          <w:lang w:val="ro-MD"/>
        </w:rPr>
        <w:t xml:space="preserve"> </w:t>
      </w:r>
      <w:r>
        <w:rPr>
          <w:rFonts w:asciiTheme="majorHAnsi" w:hAnsiTheme="majorHAnsi" w:cstheme="majorHAnsi"/>
          <w:lang w:val="ro-MD"/>
        </w:rPr>
        <w:t>ПСП №</w:t>
      </w:r>
      <w:r w:rsidRPr="00257B39">
        <w:rPr>
          <w:rFonts w:asciiTheme="majorHAnsi" w:hAnsiTheme="majorHAnsi" w:cstheme="majorHAnsi"/>
          <w:lang w:val="ro-MD"/>
        </w:rPr>
        <w:t xml:space="preserve">29 </w:t>
      </w:r>
      <w:r w:rsidRPr="00787F7C">
        <w:rPr>
          <w:rFonts w:asciiTheme="majorHAnsi" w:hAnsiTheme="majorHAnsi" w:cstheme="majorHAnsi"/>
          <w:lang w:val="ro-MD"/>
        </w:rPr>
        <w:t>от</w:t>
      </w:r>
      <w:r w:rsidRPr="00257B39">
        <w:rPr>
          <w:rFonts w:asciiTheme="majorHAnsi" w:hAnsiTheme="majorHAnsi" w:cstheme="majorHAnsi"/>
          <w:lang w:val="ro-MD"/>
        </w:rPr>
        <w:t xml:space="preserve"> 15.07.2020, </w:t>
      </w:r>
      <w:r>
        <w:rPr>
          <w:rFonts w:asciiTheme="majorHAnsi" w:hAnsiTheme="majorHAnsi" w:cstheme="majorHAnsi"/>
          <w:lang w:val="ro-MD"/>
        </w:rPr>
        <w:t>ПСП №</w:t>
      </w:r>
      <w:r w:rsidRPr="00257B39">
        <w:rPr>
          <w:rFonts w:asciiTheme="majorHAnsi" w:hAnsiTheme="majorHAnsi" w:cstheme="majorHAnsi"/>
          <w:lang w:val="ro-MD"/>
        </w:rPr>
        <w:t xml:space="preserve">20 </w:t>
      </w:r>
      <w:r>
        <w:rPr>
          <w:rFonts w:asciiTheme="majorHAnsi" w:hAnsiTheme="majorHAnsi" w:cstheme="majorHAnsi"/>
          <w:lang w:val="ru-RU"/>
        </w:rPr>
        <w:t>от</w:t>
      </w:r>
      <w:r w:rsidRPr="00257B39">
        <w:rPr>
          <w:rFonts w:asciiTheme="majorHAnsi" w:hAnsiTheme="majorHAnsi" w:cstheme="majorHAnsi"/>
          <w:lang w:val="ro-MD"/>
        </w:rPr>
        <w:t xml:space="preserve"> 03.06.2021, </w:t>
      </w:r>
      <w:r>
        <w:rPr>
          <w:rFonts w:asciiTheme="majorHAnsi" w:hAnsiTheme="majorHAnsi" w:cstheme="majorHAnsi"/>
          <w:lang w:val="ro-MD"/>
        </w:rPr>
        <w:t>ПСП №</w:t>
      </w:r>
      <w:r w:rsidRPr="00257B39">
        <w:rPr>
          <w:rFonts w:asciiTheme="majorHAnsi" w:hAnsiTheme="majorHAnsi" w:cstheme="majorHAnsi"/>
          <w:lang w:val="ro-MD"/>
        </w:rPr>
        <w:t xml:space="preserve">17 </w:t>
      </w:r>
      <w:r>
        <w:rPr>
          <w:rFonts w:asciiTheme="majorHAnsi" w:hAnsiTheme="majorHAnsi" w:cstheme="majorHAnsi"/>
          <w:lang w:val="ru-RU"/>
        </w:rPr>
        <w:t>от</w:t>
      </w:r>
      <w:r w:rsidRPr="00257B39">
        <w:rPr>
          <w:rFonts w:asciiTheme="majorHAnsi" w:hAnsiTheme="majorHAnsi" w:cstheme="majorHAnsi"/>
          <w:lang w:val="ro-MD"/>
        </w:rPr>
        <w:t> 24.05.2022.</w:t>
      </w:r>
    </w:p>
  </w:footnote>
  <w:footnote w:id="80">
    <w:p w14:paraId="45442B8C" w14:textId="56E859DF" w:rsidR="002C203D" w:rsidRPr="002C6F74" w:rsidRDefault="002C203D" w:rsidP="00787F7C">
      <w:pPr>
        <w:pStyle w:val="a3"/>
        <w:tabs>
          <w:tab w:val="left" w:pos="180"/>
        </w:tabs>
        <w:jc w:val="both"/>
        <w:rPr>
          <w:lang w:val="ro-MD"/>
        </w:rPr>
      </w:pPr>
      <w:r w:rsidRPr="00257B39">
        <w:rPr>
          <w:rStyle w:val="a5"/>
          <w:rFonts w:asciiTheme="majorHAnsi" w:hAnsiTheme="majorHAnsi" w:cstheme="majorHAnsi"/>
          <w:lang w:val="ro-MD"/>
        </w:rPr>
        <w:footnoteRef/>
      </w:r>
      <w:r w:rsidRPr="00257B39">
        <w:rPr>
          <w:rFonts w:asciiTheme="majorHAnsi" w:hAnsiTheme="majorHAnsi" w:cstheme="majorHAnsi"/>
          <w:lang w:val="ro-MD"/>
        </w:rPr>
        <w:t xml:space="preserve"> </w:t>
      </w:r>
      <w:r>
        <w:rPr>
          <w:rFonts w:asciiTheme="majorHAnsi" w:hAnsiTheme="majorHAnsi" w:cstheme="majorHAnsi"/>
          <w:lang w:val="ro-MD"/>
        </w:rPr>
        <w:t>Ст</w:t>
      </w:r>
      <w:r w:rsidRPr="00257B39">
        <w:rPr>
          <w:rFonts w:asciiTheme="majorHAnsi" w:hAnsiTheme="majorHAnsi" w:cstheme="majorHAnsi"/>
          <w:lang w:val="ro-MD"/>
        </w:rPr>
        <w:t xml:space="preserve">.14 </w:t>
      </w:r>
      <w:r>
        <w:rPr>
          <w:rFonts w:asciiTheme="majorHAnsi" w:hAnsiTheme="majorHAnsi" w:cstheme="majorHAnsi"/>
          <w:lang w:val="ru-RU"/>
        </w:rPr>
        <w:t xml:space="preserve">Закона </w:t>
      </w:r>
      <w:r w:rsidRPr="002C6F74">
        <w:rPr>
          <w:rFonts w:asciiTheme="majorHAnsi" w:hAnsiTheme="majorHAnsi" w:cstheme="majorHAnsi"/>
          <w:bCs/>
          <w:lang w:val="ro-MD"/>
        </w:rPr>
        <w:t>о страховании от несчастных случаев на производстве</w:t>
      </w:r>
      <w:r>
        <w:rPr>
          <w:rFonts w:asciiTheme="majorHAnsi" w:hAnsiTheme="majorHAnsi" w:cstheme="majorHAnsi"/>
          <w:bCs/>
          <w:lang w:val="ru-RU"/>
        </w:rPr>
        <w:t xml:space="preserve"> </w:t>
      </w:r>
      <w:r w:rsidRPr="002C6F74">
        <w:rPr>
          <w:rFonts w:asciiTheme="majorHAnsi" w:hAnsiTheme="majorHAnsi" w:cstheme="majorHAnsi"/>
          <w:bCs/>
          <w:lang w:val="ro-MD"/>
        </w:rPr>
        <w:t>и профессиональных заболеваний</w:t>
      </w:r>
      <w:r>
        <w:rPr>
          <w:rFonts w:asciiTheme="majorHAnsi" w:hAnsiTheme="majorHAnsi" w:cstheme="majorHAnsi"/>
          <w:lang w:val="ru-RU"/>
        </w:rPr>
        <w:t xml:space="preserve"> №</w:t>
      </w:r>
      <w:r w:rsidRPr="00257B39">
        <w:rPr>
          <w:rFonts w:asciiTheme="majorHAnsi" w:hAnsiTheme="majorHAnsi" w:cstheme="majorHAnsi"/>
          <w:lang w:val="ro-MD"/>
        </w:rPr>
        <w:t xml:space="preserve">756 </w:t>
      </w:r>
      <w:r>
        <w:rPr>
          <w:rFonts w:asciiTheme="majorHAnsi" w:hAnsiTheme="majorHAnsi" w:cstheme="majorHAnsi"/>
          <w:lang w:val="ru-RU"/>
        </w:rPr>
        <w:t>от</w:t>
      </w:r>
      <w:r w:rsidRPr="00257B39">
        <w:rPr>
          <w:rFonts w:asciiTheme="majorHAnsi" w:hAnsiTheme="majorHAnsi" w:cstheme="majorHAnsi"/>
          <w:lang w:val="ro-MD"/>
        </w:rPr>
        <w:t xml:space="preserve"> 24.12.1999.</w:t>
      </w:r>
    </w:p>
  </w:footnote>
  <w:footnote w:id="81">
    <w:p w14:paraId="26A7BF67" w14:textId="31277744" w:rsidR="002C203D" w:rsidRPr="00257B39" w:rsidRDefault="002C203D" w:rsidP="00E86E20">
      <w:pPr>
        <w:pStyle w:val="a3"/>
        <w:jc w:val="both"/>
        <w:rPr>
          <w:rFonts w:asciiTheme="majorHAnsi" w:hAnsiTheme="majorHAnsi" w:cstheme="majorHAnsi"/>
          <w:lang w:val="ro-MD"/>
        </w:rPr>
      </w:pPr>
      <w:r w:rsidRPr="00257B39">
        <w:rPr>
          <w:rStyle w:val="a5"/>
          <w:rFonts w:asciiTheme="majorHAnsi" w:hAnsiTheme="majorHAnsi" w:cstheme="majorHAnsi"/>
          <w:lang w:val="ro-MD"/>
        </w:rPr>
        <w:footnoteRef/>
      </w:r>
      <w:r w:rsidRPr="00257B39">
        <w:rPr>
          <w:rFonts w:asciiTheme="majorHAnsi" w:hAnsiTheme="majorHAnsi" w:cstheme="majorHAnsi"/>
          <w:lang w:val="ro-MD"/>
        </w:rPr>
        <w:t xml:space="preserve"> </w:t>
      </w:r>
      <w:r w:rsidRPr="004158A7">
        <w:rPr>
          <w:rFonts w:asciiTheme="majorHAnsi" w:hAnsiTheme="majorHAnsi" w:cstheme="majorHAnsi"/>
          <w:lang w:val="ro-MD"/>
        </w:rPr>
        <w:t>Ст.44</w:t>
      </w:r>
      <w:r w:rsidRPr="00257B39">
        <w:rPr>
          <w:rFonts w:asciiTheme="majorHAnsi" w:hAnsiTheme="majorHAnsi" w:cstheme="majorHAnsi"/>
          <w:lang w:val="ro-MD"/>
        </w:rPr>
        <w:t xml:space="preserve"> </w:t>
      </w:r>
      <w:r>
        <w:rPr>
          <w:rFonts w:asciiTheme="majorHAnsi" w:hAnsiTheme="majorHAnsi" w:cstheme="majorHAnsi"/>
          <w:lang w:val="ru-RU"/>
        </w:rPr>
        <w:t>Закона</w:t>
      </w:r>
      <w:r w:rsidRPr="00257B39">
        <w:rPr>
          <w:rFonts w:asciiTheme="majorHAnsi" w:hAnsiTheme="majorHAnsi" w:cstheme="majorHAnsi"/>
          <w:lang w:val="ro-MD"/>
        </w:rPr>
        <w:t xml:space="preserve"> </w:t>
      </w:r>
      <w:r w:rsidRPr="00E86E20">
        <w:rPr>
          <w:rFonts w:asciiTheme="majorHAnsi" w:hAnsiTheme="majorHAnsi" w:cstheme="majorHAnsi"/>
          <w:bCs/>
          <w:lang w:val="ru-RU"/>
        </w:rPr>
        <w:t>о пенсионном обеспечении военнослужащих и лиц  начальствующего и рядового состава органов внутренних дел и Генерального инспектората карабинеров №</w:t>
      </w:r>
      <w:r w:rsidRPr="00257B39">
        <w:rPr>
          <w:rFonts w:asciiTheme="majorHAnsi" w:hAnsiTheme="majorHAnsi" w:cstheme="majorHAnsi"/>
          <w:lang w:val="ro-MD"/>
        </w:rPr>
        <w:t>1544/1993.</w:t>
      </w:r>
    </w:p>
  </w:footnote>
  <w:footnote w:id="82">
    <w:p w14:paraId="7C978237" w14:textId="77777777" w:rsidR="002C203D" w:rsidRPr="004158A7" w:rsidRDefault="002C203D" w:rsidP="004158A7">
      <w:pPr>
        <w:pStyle w:val="a3"/>
        <w:jc w:val="both"/>
        <w:rPr>
          <w:lang w:val="ro-MD"/>
        </w:rPr>
      </w:pPr>
      <w:r w:rsidRPr="00257B39">
        <w:rPr>
          <w:rStyle w:val="a5"/>
          <w:rFonts w:asciiTheme="majorHAnsi" w:hAnsiTheme="majorHAnsi" w:cstheme="majorHAnsi"/>
          <w:lang w:val="ro-MD"/>
        </w:rPr>
        <w:footnoteRef/>
      </w:r>
      <w:r w:rsidRPr="00257B39">
        <w:rPr>
          <w:rFonts w:asciiTheme="majorHAnsi" w:hAnsiTheme="majorHAnsi" w:cstheme="majorHAnsi"/>
          <w:lang w:val="ro-MD"/>
        </w:rPr>
        <w:t xml:space="preserve"> </w:t>
      </w:r>
      <w:r w:rsidRPr="004158A7">
        <w:rPr>
          <w:rFonts w:asciiTheme="majorHAnsi" w:hAnsiTheme="majorHAnsi" w:cstheme="majorHAnsi"/>
          <w:lang w:val="ro-MD"/>
        </w:rPr>
        <w:t xml:space="preserve">Закон </w:t>
      </w:r>
      <w:r w:rsidRPr="004158A7">
        <w:rPr>
          <w:rFonts w:asciiTheme="majorHAnsi" w:hAnsiTheme="majorHAnsi" w:cstheme="majorHAnsi"/>
          <w:bCs/>
          <w:lang w:val="ro-MD"/>
        </w:rPr>
        <w:t>о единой системе оплаты труда в бюджетной сфере</w:t>
      </w:r>
      <w:r w:rsidRPr="004158A7">
        <w:rPr>
          <w:lang w:val="ro-MD"/>
        </w:rPr>
        <w:t xml:space="preserve"> </w:t>
      </w:r>
      <w:r w:rsidRPr="004158A7">
        <w:rPr>
          <w:rFonts w:asciiTheme="majorHAnsi" w:hAnsiTheme="majorHAnsi" w:cstheme="majorHAnsi"/>
          <w:lang w:val="ro-MD"/>
        </w:rPr>
        <w:t>№</w:t>
      </w:r>
      <w:r w:rsidRPr="00257B39">
        <w:rPr>
          <w:rFonts w:asciiTheme="majorHAnsi" w:hAnsiTheme="majorHAnsi" w:cstheme="majorHAnsi"/>
          <w:lang w:val="ro-MD"/>
        </w:rPr>
        <w:t xml:space="preserve">270 </w:t>
      </w:r>
      <w:r w:rsidRPr="004158A7">
        <w:rPr>
          <w:rFonts w:asciiTheme="majorHAnsi" w:hAnsiTheme="majorHAnsi" w:cstheme="majorHAnsi"/>
          <w:lang w:val="ro-MD"/>
        </w:rPr>
        <w:t>от</w:t>
      </w:r>
      <w:r w:rsidRPr="00257B39">
        <w:rPr>
          <w:rFonts w:asciiTheme="majorHAnsi" w:hAnsiTheme="majorHAnsi" w:cstheme="majorHAnsi"/>
          <w:lang w:val="ro-MD"/>
        </w:rPr>
        <w:t xml:space="preserve"> 23.11.2018.</w:t>
      </w:r>
    </w:p>
  </w:footnote>
  <w:footnote w:id="83">
    <w:p w14:paraId="544E195C" w14:textId="77777777" w:rsidR="002C203D" w:rsidRPr="00257B39" w:rsidRDefault="002C203D" w:rsidP="005C5DCE">
      <w:pPr>
        <w:pStyle w:val="a3"/>
        <w:jc w:val="both"/>
        <w:rPr>
          <w:rFonts w:asciiTheme="majorHAnsi" w:hAnsiTheme="majorHAnsi" w:cstheme="majorHAnsi"/>
          <w:lang w:val="ro-MD"/>
        </w:rPr>
      </w:pPr>
      <w:r w:rsidRPr="00257B39">
        <w:rPr>
          <w:rStyle w:val="a5"/>
          <w:rFonts w:asciiTheme="majorHAnsi" w:hAnsiTheme="majorHAnsi" w:cstheme="majorHAnsi"/>
          <w:lang w:val="ro-MD"/>
        </w:rPr>
        <w:footnoteRef/>
      </w:r>
      <w:r w:rsidRPr="00257B39">
        <w:rPr>
          <w:rFonts w:asciiTheme="majorHAnsi" w:hAnsiTheme="majorHAnsi" w:cstheme="majorHAnsi"/>
          <w:lang w:val="ro-MD"/>
        </w:rPr>
        <w:t xml:space="preserve"> </w:t>
      </w:r>
      <w:r w:rsidRPr="004158A7">
        <w:rPr>
          <w:rFonts w:asciiTheme="majorHAnsi" w:hAnsiTheme="majorHAnsi" w:cstheme="majorHAnsi"/>
          <w:lang w:val="ro-MD"/>
        </w:rPr>
        <w:t>Закон о нормативных актах №</w:t>
      </w:r>
      <w:r w:rsidRPr="00257B39">
        <w:rPr>
          <w:rFonts w:asciiTheme="majorHAnsi" w:hAnsiTheme="majorHAnsi" w:cstheme="majorHAnsi"/>
          <w:lang w:val="ro-MD"/>
        </w:rPr>
        <w:t xml:space="preserve">100 </w:t>
      </w:r>
      <w:r w:rsidRPr="004158A7">
        <w:rPr>
          <w:rFonts w:asciiTheme="majorHAnsi" w:hAnsiTheme="majorHAnsi" w:cstheme="majorHAnsi"/>
          <w:lang w:val="ro-MD"/>
        </w:rPr>
        <w:t>от</w:t>
      </w:r>
      <w:r w:rsidRPr="00257B39">
        <w:rPr>
          <w:rFonts w:asciiTheme="majorHAnsi" w:hAnsiTheme="majorHAnsi" w:cstheme="majorHAnsi"/>
          <w:lang w:val="ro-MD"/>
        </w:rPr>
        <w:t xml:space="preserve"> 22.12.2017.</w:t>
      </w:r>
    </w:p>
  </w:footnote>
  <w:footnote w:id="84">
    <w:p w14:paraId="29C10EC9" w14:textId="276DA2B7" w:rsidR="002C203D" w:rsidRPr="00104B47" w:rsidRDefault="002C203D" w:rsidP="00104B47">
      <w:pPr>
        <w:pStyle w:val="a3"/>
        <w:jc w:val="both"/>
        <w:rPr>
          <w:lang w:val="ro-MD"/>
        </w:rPr>
      </w:pPr>
      <w:r w:rsidRPr="00257B39">
        <w:rPr>
          <w:rStyle w:val="a5"/>
          <w:rFonts w:asciiTheme="majorHAnsi" w:hAnsiTheme="majorHAnsi" w:cstheme="majorHAnsi"/>
          <w:lang w:val="ro-RO"/>
        </w:rPr>
        <w:footnoteRef/>
      </w:r>
      <w:r w:rsidRPr="00257B39">
        <w:rPr>
          <w:rFonts w:asciiTheme="majorHAnsi" w:hAnsiTheme="majorHAnsi" w:cstheme="majorHAnsi"/>
          <w:lang w:val="ro-RO"/>
        </w:rPr>
        <w:t xml:space="preserve"> </w:t>
      </w:r>
      <w:r>
        <w:rPr>
          <w:rFonts w:asciiTheme="majorHAnsi" w:hAnsiTheme="majorHAnsi" w:cstheme="majorHAnsi"/>
          <w:lang w:val="ro-RO"/>
        </w:rPr>
        <w:t>Ст</w:t>
      </w:r>
      <w:r w:rsidRPr="00257B39">
        <w:rPr>
          <w:rFonts w:asciiTheme="majorHAnsi" w:hAnsiTheme="majorHAnsi" w:cstheme="majorHAnsi"/>
          <w:lang w:val="ro-RO"/>
        </w:rPr>
        <w:t xml:space="preserve">.43 </w:t>
      </w:r>
      <w:r w:rsidRPr="00104B47">
        <w:rPr>
          <w:rFonts w:asciiTheme="majorHAnsi" w:hAnsiTheme="majorHAnsi" w:cstheme="majorHAnsi"/>
          <w:lang w:val="ro-MD"/>
        </w:rPr>
        <w:t xml:space="preserve">Закона </w:t>
      </w:r>
      <w:r w:rsidRPr="00104B47">
        <w:rPr>
          <w:rFonts w:asciiTheme="majorHAnsi" w:hAnsiTheme="majorHAnsi" w:cstheme="majorHAnsi"/>
          <w:bCs/>
          <w:lang w:val="ro-MD"/>
        </w:rPr>
        <w:t>о содействии занятости населения и страховании по безработице</w:t>
      </w:r>
      <w:r w:rsidRPr="00104B47">
        <w:rPr>
          <w:lang w:val="ro-MD"/>
        </w:rPr>
        <w:t xml:space="preserve"> </w:t>
      </w:r>
      <w:r w:rsidRPr="00104B47">
        <w:rPr>
          <w:rFonts w:asciiTheme="majorHAnsi" w:hAnsiTheme="majorHAnsi" w:cstheme="majorHAnsi"/>
          <w:lang w:val="ro-MD"/>
        </w:rPr>
        <w:t>№</w:t>
      </w:r>
      <w:r w:rsidRPr="00257B39">
        <w:rPr>
          <w:rFonts w:asciiTheme="majorHAnsi" w:hAnsiTheme="majorHAnsi" w:cstheme="majorHAnsi"/>
          <w:lang w:val="ro-RO"/>
        </w:rPr>
        <w:t xml:space="preserve">105 </w:t>
      </w:r>
      <w:r w:rsidRPr="00104B47">
        <w:rPr>
          <w:rFonts w:asciiTheme="majorHAnsi" w:hAnsiTheme="majorHAnsi" w:cstheme="majorHAnsi"/>
          <w:lang w:val="ro-MD"/>
        </w:rPr>
        <w:t>от</w:t>
      </w:r>
      <w:r w:rsidRPr="00257B39">
        <w:rPr>
          <w:rFonts w:asciiTheme="majorHAnsi" w:hAnsiTheme="majorHAnsi" w:cstheme="majorHAnsi"/>
          <w:lang w:val="ro-RO"/>
        </w:rPr>
        <w:t xml:space="preserve"> 14.06.2018.</w:t>
      </w:r>
    </w:p>
  </w:footnote>
  <w:footnote w:id="85">
    <w:p w14:paraId="1B9DE9BA" w14:textId="78265E9D" w:rsidR="002C203D" w:rsidRPr="00257B39" w:rsidRDefault="002C203D" w:rsidP="00104B47">
      <w:pPr>
        <w:pStyle w:val="a3"/>
        <w:jc w:val="both"/>
        <w:rPr>
          <w:rFonts w:asciiTheme="majorHAnsi" w:hAnsiTheme="majorHAnsi" w:cstheme="majorHAnsi"/>
          <w:lang w:val="ro-RO"/>
        </w:rPr>
      </w:pPr>
      <w:r w:rsidRPr="00257B39">
        <w:rPr>
          <w:rStyle w:val="a5"/>
          <w:rFonts w:asciiTheme="majorHAnsi" w:hAnsiTheme="majorHAnsi" w:cstheme="majorHAnsi"/>
          <w:lang w:val="ro-RO"/>
        </w:rPr>
        <w:footnoteRef/>
      </w:r>
      <w:r w:rsidRPr="00257B39">
        <w:rPr>
          <w:rFonts w:asciiTheme="majorHAnsi" w:hAnsiTheme="majorHAnsi" w:cstheme="majorHAnsi"/>
          <w:lang w:val="ro-RO"/>
        </w:rPr>
        <w:t xml:space="preserve"> </w:t>
      </w:r>
      <w:r>
        <w:rPr>
          <w:rFonts w:asciiTheme="majorHAnsi" w:hAnsiTheme="majorHAnsi" w:cstheme="majorHAnsi"/>
          <w:lang w:val="ro-RO"/>
        </w:rPr>
        <w:t>Ст</w:t>
      </w:r>
      <w:r w:rsidRPr="00257B39">
        <w:rPr>
          <w:rFonts w:asciiTheme="majorHAnsi" w:hAnsiTheme="majorHAnsi" w:cstheme="majorHAnsi"/>
          <w:lang w:val="ro-RO"/>
        </w:rPr>
        <w:t xml:space="preserve">.45 </w:t>
      </w:r>
      <w:r w:rsidRPr="00104B47">
        <w:rPr>
          <w:rFonts w:asciiTheme="majorHAnsi" w:hAnsiTheme="majorHAnsi" w:cstheme="majorHAnsi"/>
          <w:lang w:val="ro-MD"/>
        </w:rPr>
        <w:t xml:space="preserve">Закона </w:t>
      </w:r>
      <w:r w:rsidRPr="00104B47">
        <w:rPr>
          <w:rFonts w:asciiTheme="majorHAnsi" w:hAnsiTheme="majorHAnsi" w:cstheme="majorHAnsi"/>
          <w:bCs/>
          <w:lang w:val="ro-MD"/>
        </w:rPr>
        <w:t>о содействии занятости населения и страховании по безработице</w:t>
      </w:r>
      <w:r w:rsidRPr="00104B47">
        <w:rPr>
          <w:lang w:val="ro-MD"/>
        </w:rPr>
        <w:t xml:space="preserve"> </w:t>
      </w:r>
      <w:r w:rsidRPr="00104B47">
        <w:rPr>
          <w:rFonts w:asciiTheme="majorHAnsi" w:hAnsiTheme="majorHAnsi" w:cstheme="majorHAnsi"/>
          <w:lang w:val="ro-MD"/>
        </w:rPr>
        <w:t>№</w:t>
      </w:r>
      <w:r w:rsidRPr="00257B39">
        <w:rPr>
          <w:rFonts w:asciiTheme="majorHAnsi" w:hAnsiTheme="majorHAnsi" w:cstheme="majorHAnsi"/>
          <w:lang w:val="ro-RO"/>
        </w:rPr>
        <w:t xml:space="preserve">105 </w:t>
      </w:r>
      <w:r w:rsidRPr="00104B47">
        <w:rPr>
          <w:rFonts w:asciiTheme="majorHAnsi" w:hAnsiTheme="majorHAnsi" w:cstheme="majorHAnsi"/>
          <w:lang w:val="ro-MD"/>
        </w:rPr>
        <w:t>от</w:t>
      </w:r>
      <w:r w:rsidRPr="00257B39">
        <w:rPr>
          <w:rFonts w:asciiTheme="majorHAnsi" w:hAnsiTheme="majorHAnsi" w:cstheme="majorHAnsi"/>
          <w:lang w:val="ro-RO"/>
        </w:rPr>
        <w:t xml:space="preserve"> 14.06.2018.​</w:t>
      </w:r>
    </w:p>
  </w:footnote>
  <w:footnote w:id="86">
    <w:p w14:paraId="135E8EA3" w14:textId="6411B49E" w:rsidR="002C203D" w:rsidRPr="009F0DDE" w:rsidRDefault="002C203D" w:rsidP="00FA7FB2">
      <w:pPr>
        <w:pStyle w:val="a3"/>
        <w:jc w:val="both"/>
        <w:rPr>
          <w:rFonts w:asciiTheme="majorHAnsi" w:hAnsiTheme="majorHAnsi" w:cstheme="majorHAnsi"/>
          <w:lang w:val="ru-RU"/>
        </w:rPr>
      </w:pPr>
      <w:r w:rsidRPr="00257B39">
        <w:rPr>
          <w:rStyle w:val="a5"/>
          <w:rFonts w:asciiTheme="majorHAnsi" w:hAnsiTheme="majorHAnsi" w:cstheme="majorHAnsi"/>
          <w:lang w:val="ro-RO"/>
        </w:rPr>
        <w:footnoteRef/>
      </w:r>
      <w:r w:rsidRPr="00257B39">
        <w:rPr>
          <w:rFonts w:asciiTheme="majorHAnsi" w:hAnsiTheme="majorHAnsi" w:cstheme="majorHAnsi"/>
          <w:lang w:val="ro-RO"/>
        </w:rPr>
        <w:t xml:space="preserve"> </w:t>
      </w:r>
      <w:r>
        <w:rPr>
          <w:rFonts w:asciiTheme="majorHAnsi" w:hAnsiTheme="majorHAnsi" w:cstheme="majorHAnsi"/>
          <w:lang w:val="ro-RO"/>
        </w:rPr>
        <w:t>П</w:t>
      </w:r>
      <w:r w:rsidRPr="00257B39">
        <w:rPr>
          <w:rFonts w:asciiTheme="majorHAnsi" w:hAnsiTheme="majorHAnsi" w:cstheme="majorHAnsi"/>
          <w:lang w:val="ro-RO"/>
        </w:rPr>
        <w:t xml:space="preserve">.14 </w:t>
      </w:r>
      <w:r w:rsidRPr="009F0DDE">
        <w:rPr>
          <w:rFonts w:asciiTheme="majorHAnsi" w:hAnsiTheme="majorHAnsi" w:cstheme="majorHAnsi"/>
          <w:lang w:val="ro-RO"/>
        </w:rPr>
        <w:t>Положения, утвержденного Приказом НКСС №</w:t>
      </w:r>
      <w:r w:rsidRPr="00257B39">
        <w:rPr>
          <w:rFonts w:asciiTheme="majorHAnsi" w:hAnsiTheme="majorHAnsi" w:cstheme="majorHAnsi"/>
          <w:lang w:val="ro-RO"/>
        </w:rPr>
        <w:t xml:space="preserve">183-A </w:t>
      </w:r>
      <w:r>
        <w:rPr>
          <w:rFonts w:asciiTheme="majorHAnsi" w:hAnsiTheme="majorHAnsi" w:cstheme="majorHAnsi"/>
          <w:lang w:val="ru-RU"/>
        </w:rPr>
        <w:t>от</w:t>
      </w:r>
      <w:r w:rsidRPr="00257B39">
        <w:rPr>
          <w:rFonts w:asciiTheme="majorHAnsi" w:hAnsiTheme="majorHAnsi" w:cstheme="majorHAnsi"/>
          <w:lang w:val="ro-RO"/>
        </w:rPr>
        <w:t xml:space="preserve"> 27.12.2019.</w:t>
      </w:r>
    </w:p>
  </w:footnote>
  <w:footnote w:id="87">
    <w:p w14:paraId="6C247C2C" w14:textId="79B4BBE9" w:rsidR="002C203D" w:rsidRPr="00257B39" w:rsidRDefault="002C203D" w:rsidP="00B658A4">
      <w:pPr>
        <w:pStyle w:val="a3"/>
        <w:jc w:val="both"/>
        <w:rPr>
          <w:rFonts w:asciiTheme="majorHAnsi" w:hAnsiTheme="majorHAnsi" w:cstheme="majorHAnsi"/>
          <w:lang w:val="ro-MD"/>
        </w:rPr>
      </w:pPr>
      <w:r w:rsidRPr="00257B39">
        <w:rPr>
          <w:rStyle w:val="a5"/>
          <w:rFonts w:asciiTheme="majorHAnsi" w:hAnsiTheme="majorHAnsi" w:cstheme="majorHAnsi"/>
          <w:lang w:val="ro-MD"/>
        </w:rPr>
        <w:footnoteRef/>
      </w:r>
      <w:r w:rsidRPr="00257B39">
        <w:rPr>
          <w:rFonts w:asciiTheme="majorHAnsi" w:hAnsiTheme="majorHAnsi" w:cstheme="majorHAnsi"/>
          <w:lang w:val="ro-MD"/>
        </w:rPr>
        <w:t xml:space="preserve"> </w:t>
      </w:r>
      <w:r>
        <w:rPr>
          <w:rFonts w:asciiTheme="majorHAnsi" w:hAnsiTheme="majorHAnsi" w:cstheme="majorHAnsi"/>
          <w:lang w:val="ro-MD"/>
        </w:rPr>
        <w:t>Ст</w:t>
      </w:r>
      <w:r w:rsidRPr="00257B39">
        <w:rPr>
          <w:rFonts w:asciiTheme="majorHAnsi" w:hAnsiTheme="majorHAnsi" w:cstheme="majorHAnsi"/>
          <w:lang w:val="ro-MD"/>
        </w:rPr>
        <w:t xml:space="preserve">.5 </w:t>
      </w:r>
      <w:r>
        <w:rPr>
          <w:rFonts w:asciiTheme="majorHAnsi" w:hAnsiTheme="majorHAnsi" w:cstheme="majorHAnsi"/>
          <w:lang w:val="ro-MD"/>
        </w:rPr>
        <w:t>Закона о бюджете государственного социального страхования на</w:t>
      </w:r>
      <w:r w:rsidRPr="00257B39">
        <w:rPr>
          <w:rFonts w:asciiTheme="majorHAnsi" w:hAnsiTheme="majorHAnsi" w:cstheme="majorHAnsi"/>
          <w:lang w:val="ro-MD"/>
        </w:rPr>
        <w:t xml:space="preserve"> 2022</w:t>
      </w:r>
      <w:r>
        <w:rPr>
          <w:rFonts w:asciiTheme="majorHAnsi" w:hAnsiTheme="majorHAnsi" w:cstheme="majorHAnsi"/>
          <w:lang w:val="ru-RU"/>
        </w:rPr>
        <w:t xml:space="preserve"> год</w:t>
      </w:r>
      <w:r w:rsidRPr="00257B39">
        <w:rPr>
          <w:rFonts w:asciiTheme="majorHAnsi" w:hAnsiTheme="majorHAnsi" w:cstheme="majorHAnsi"/>
          <w:lang w:val="ro-MD"/>
        </w:rPr>
        <w:t xml:space="preserve"> </w:t>
      </w:r>
      <w:r>
        <w:rPr>
          <w:rFonts w:asciiTheme="majorHAnsi" w:hAnsiTheme="majorHAnsi" w:cstheme="majorHAnsi"/>
          <w:lang w:val="ru-RU"/>
        </w:rPr>
        <w:t>№</w:t>
      </w:r>
      <w:r w:rsidRPr="00257B39">
        <w:rPr>
          <w:rFonts w:asciiTheme="majorHAnsi" w:hAnsiTheme="majorHAnsi" w:cstheme="majorHAnsi"/>
          <w:lang w:val="ro-MD"/>
        </w:rPr>
        <w:t>206/2021.</w:t>
      </w:r>
    </w:p>
  </w:footnote>
  <w:footnote w:id="88">
    <w:p w14:paraId="330456D2" w14:textId="47A9B047" w:rsidR="002C203D" w:rsidRPr="00153762" w:rsidRDefault="002C203D" w:rsidP="00B658A4">
      <w:pPr>
        <w:pStyle w:val="a3"/>
        <w:jc w:val="both"/>
        <w:rPr>
          <w:lang w:val="ru-RU"/>
        </w:rPr>
      </w:pPr>
      <w:r w:rsidRPr="00257B39">
        <w:rPr>
          <w:rStyle w:val="a5"/>
          <w:rFonts w:asciiTheme="majorHAnsi" w:hAnsiTheme="majorHAnsi" w:cstheme="majorHAnsi"/>
          <w:lang w:val="ro-MD"/>
        </w:rPr>
        <w:footnoteRef/>
      </w:r>
      <w:r w:rsidRPr="00257B39">
        <w:rPr>
          <w:rFonts w:asciiTheme="majorHAnsi" w:hAnsiTheme="majorHAnsi" w:cstheme="majorHAnsi"/>
          <w:lang w:val="ro-MD"/>
        </w:rPr>
        <w:t xml:space="preserve"> </w:t>
      </w:r>
      <w:r>
        <w:rPr>
          <w:rFonts w:asciiTheme="majorHAnsi" w:hAnsiTheme="majorHAnsi" w:cstheme="majorHAnsi"/>
          <w:lang w:val="ro-MD"/>
        </w:rPr>
        <w:t>Ст</w:t>
      </w:r>
      <w:r w:rsidRPr="00257B39">
        <w:rPr>
          <w:rFonts w:asciiTheme="majorHAnsi" w:hAnsiTheme="majorHAnsi" w:cstheme="majorHAnsi"/>
          <w:lang w:val="ro-MD"/>
        </w:rPr>
        <w:t xml:space="preserve">.1 </w:t>
      </w:r>
      <w:r w:rsidRPr="00153762">
        <w:rPr>
          <w:rFonts w:asciiTheme="majorHAnsi" w:hAnsiTheme="majorHAnsi" w:cstheme="majorHAnsi"/>
          <w:lang w:val="ro-MD"/>
        </w:rPr>
        <w:t>Закона №</w:t>
      </w:r>
      <w:r w:rsidRPr="00257B39">
        <w:rPr>
          <w:rFonts w:asciiTheme="majorHAnsi" w:hAnsiTheme="majorHAnsi" w:cstheme="majorHAnsi"/>
          <w:lang w:val="ro-MD"/>
        </w:rPr>
        <w:t xml:space="preserve">51 </w:t>
      </w:r>
      <w:r w:rsidRPr="00153762">
        <w:rPr>
          <w:rFonts w:asciiTheme="majorHAnsi" w:hAnsiTheme="majorHAnsi" w:cstheme="majorHAnsi"/>
          <w:lang w:val="ro-MD"/>
        </w:rPr>
        <w:t>от</w:t>
      </w:r>
      <w:r w:rsidRPr="00257B39">
        <w:rPr>
          <w:rFonts w:asciiTheme="majorHAnsi" w:hAnsiTheme="majorHAnsi" w:cstheme="majorHAnsi"/>
          <w:lang w:val="ro-MD"/>
        </w:rPr>
        <w:t xml:space="preserve"> 10.03.2022 </w:t>
      </w:r>
      <w:r w:rsidRPr="00153762">
        <w:rPr>
          <w:rFonts w:asciiTheme="majorHAnsi" w:hAnsiTheme="majorHAnsi" w:cstheme="majorHAnsi"/>
          <w:bCs/>
          <w:lang w:val="ru-RU"/>
        </w:rPr>
        <w:t>об установлении некоторых мер поддержки деятельности крестьянских (фермерских) хозяйств и внесении изменений в Закон о государственной системе социального страхования № 489/1999</w:t>
      </w:r>
      <w:r w:rsidRPr="00153762">
        <w:rPr>
          <w:rFonts w:asciiTheme="majorHAnsi" w:hAnsiTheme="majorHAnsi" w:cstheme="majorHAnsi"/>
          <w:lang w:val="ro-MD"/>
        </w:rPr>
        <w:t>.</w:t>
      </w:r>
    </w:p>
  </w:footnote>
  <w:footnote w:id="89">
    <w:p w14:paraId="510E9D60" w14:textId="612CCBD0" w:rsidR="002C203D" w:rsidRPr="00257B39" w:rsidRDefault="002C203D" w:rsidP="005E2255">
      <w:pPr>
        <w:pStyle w:val="a3"/>
        <w:jc w:val="both"/>
        <w:rPr>
          <w:rFonts w:asciiTheme="majorHAnsi" w:hAnsiTheme="majorHAnsi" w:cstheme="majorHAnsi"/>
          <w:lang w:val="ro-MD"/>
        </w:rPr>
      </w:pPr>
      <w:r w:rsidRPr="00257B39">
        <w:rPr>
          <w:rStyle w:val="a5"/>
          <w:rFonts w:asciiTheme="majorHAnsi" w:hAnsiTheme="majorHAnsi" w:cstheme="majorHAnsi"/>
          <w:lang w:val="ro-MD"/>
        </w:rPr>
        <w:footnoteRef/>
      </w:r>
      <w:r>
        <w:rPr>
          <w:rFonts w:asciiTheme="majorHAnsi" w:hAnsiTheme="majorHAnsi" w:cstheme="majorHAnsi"/>
          <w:lang w:val="ru-RU"/>
        </w:rPr>
        <w:t xml:space="preserve"> </w:t>
      </w:r>
      <w:r>
        <w:rPr>
          <w:rFonts w:asciiTheme="majorHAnsi" w:eastAsia="Times New Roman" w:hAnsiTheme="majorHAnsi" w:cstheme="majorHAnsi"/>
          <w:lang w:val="ru-RU"/>
        </w:rPr>
        <w:t>КХ</w:t>
      </w:r>
      <w:r w:rsidRPr="00257B39">
        <w:rPr>
          <w:rFonts w:asciiTheme="majorHAnsi" w:eastAsia="Times New Roman" w:hAnsiTheme="majorHAnsi" w:cstheme="majorHAnsi"/>
          <w:lang w:val="ro-MD"/>
        </w:rPr>
        <w:t xml:space="preserve"> CIOBU SERGHEI VASILE – 1 152,0 </w:t>
      </w:r>
      <w:r>
        <w:rPr>
          <w:rFonts w:asciiTheme="majorHAnsi" w:eastAsia="Times New Roman" w:hAnsiTheme="majorHAnsi" w:cstheme="majorHAnsi"/>
          <w:lang w:val="ro-MD"/>
        </w:rPr>
        <w:t>леев</w:t>
      </w:r>
      <w:r w:rsidRPr="00257B39">
        <w:rPr>
          <w:rFonts w:asciiTheme="majorHAnsi" w:eastAsia="Times New Roman" w:hAnsiTheme="majorHAnsi" w:cstheme="majorHAnsi"/>
          <w:lang w:val="ro-MD"/>
        </w:rPr>
        <w:t xml:space="preserve">; </w:t>
      </w:r>
      <w:r>
        <w:rPr>
          <w:rFonts w:asciiTheme="majorHAnsi" w:eastAsia="Times New Roman" w:hAnsiTheme="majorHAnsi" w:cstheme="majorHAnsi"/>
          <w:lang w:val="ro-MD"/>
        </w:rPr>
        <w:t>КХ</w:t>
      </w:r>
      <w:r w:rsidRPr="00257B39">
        <w:rPr>
          <w:rFonts w:asciiTheme="majorHAnsi" w:eastAsia="Times New Roman" w:hAnsiTheme="majorHAnsi" w:cstheme="majorHAnsi"/>
          <w:lang w:val="ro-MD"/>
        </w:rPr>
        <w:t xml:space="preserve"> ROBU STEFAN VASILE – 576,0 </w:t>
      </w:r>
      <w:r>
        <w:rPr>
          <w:rFonts w:asciiTheme="majorHAnsi" w:eastAsia="Times New Roman" w:hAnsiTheme="majorHAnsi" w:cstheme="majorHAnsi"/>
          <w:lang w:val="ro-MD"/>
        </w:rPr>
        <w:t>леев</w:t>
      </w:r>
      <w:r w:rsidRPr="00257B39">
        <w:rPr>
          <w:rFonts w:asciiTheme="majorHAnsi" w:eastAsia="Times New Roman" w:hAnsiTheme="majorHAnsi" w:cstheme="majorHAnsi"/>
          <w:lang w:val="ro-MD"/>
        </w:rPr>
        <w:t xml:space="preserve">; </w:t>
      </w:r>
      <w:r>
        <w:rPr>
          <w:rFonts w:asciiTheme="majorHAnsi" w:eastAsia="Times New Roman" w:hAnsiTheme="majorHAnsi" w:cstheme="majorHAnsi"/>
          <w:lang w:val="ro-MD"/>
        </w:rPr>
        <w:t>КХ</w:t>
      </w:r>
      <w:r w:rsidRPr="00257B39">
        <w:rPr>
          <w:rFonts w:asciiTheme="majorHAnsi" w:eastAsia="Times New Roman" w:hAnsiTheme="majorHAnsi" w:cstheme="majorHAnsi"/>
          <w:lang w:val="ro-MD"/>
        </w:rPr>
        <w:t xml:space="preserve"> BULIGA PETRU – 576,0 </w:t>
      </w:r>
      <w:r>
        <w:rPr>
          <w:rFonts w:asciiTheme="majorHAnsi" w:eastAsia="Times New Roman" w:hAnsiTheme="majorHAnsi" w:cstheme="majorHAnsi"/>
          <w:lang w:val="ro-MD"/>
        </w:rPr>
        <w:t>леев</w:t>
      </w:r>
      <w:r w:rsidRPr="00257B39">
        <w:rPr>
          <w:rFonts w:asciiTheme="majorHAnsi" w:eastAsia="Times New Roman" w:hAnsiTheme="majorHAnsi" w:cstheme="majorHAnsi"/>
          <w:lang w:val="ro-MD"/>
        </w:rPr>
        <w:t xml:space="preserve">; </w:t>
      </w:r>
      <w:r>
        <w:rPr>
          <w:rFonts w:asciiTheme="majorHAnsi" w:eastAsia="Times New Roman" w:hAnsiTheme="majorHAnsi" w:cstheme="majorHAnsi"/>
          <w:lang w:val="ro-MD"/>
        </w:rPr>
        <w:t>КХ</w:t>
      </w:r>
      <w:r w:rsidRPr="00257B39">
        <w:rPr>
          <w:rFonts w:asciiTheme="majorHAnsi" w:eastAsia="Times New Roman" w:hAnsiTheme="majorHAnsi" w:cstheme="majorHAnsi"/>
          <w:lang w:val="ro-MD"/>
        </w:rPr>
        <w:t xml:space="preserve"> ALEXANDRU VICTOR PAVEL – 576,0 </w:t>
      </w:r>
      <w:r>
        <w:rPr>
          <w:rFonts w:asciiTheme="majorHAnsi" w:eastAsia="Times New Roman" w:hAnsiTheme="majorHAnsi" w:cstheme="majorHAnsi"/>
          <w:lang w:val="ro-MD"/>
        </w:rPr>
        <w:t>леев</w:t>
      </w:r>
      <w:r w:rsidRPr="00257B39">
        <w:rPr>
          <w:rFonts w:asciiTheme="majorHAnsi" w:eastAsia="Times New Roman" w:hAnsiTheme="majorHAnsi" w:cstheme="majorHAnsi"/>
          <w:lang w:val="ro-MD"/>
        </w:rPr>
        <w:t xml:space="preserve">; </w:t>
      </w:r>
      <w:r>
        <w:rPr>
          <w:rFonts w:asciiTheme="majorHAnsi" w:eastAsia="Times New Roman" w:hAnsiTheme="majorHAnsi" w:cstheme="majorHAnsi"/>
          <w:lang w:val="ro-MD"/>
        </w:rPr>
        <w:t>КХ</w:t>
      </w:r>
      <w:r w:rsidRPr="00257B39">
        <w:rPr>
          <w:rFonts w:asciiTheme="majorHAnsi" w:eastAsia="Times New Roman" w:hAnsiTheme="majorHAnsi" w:cstheme="majorHAnsi"/>
          <w:lang w:val="ro-MD"/>
        </w:rPr>
        <w:t xml:space="preserve"> DIDIC LARISA PAVEL – 2 069,06 </w:t>
      </w:r>
      <w:r>
        <w:rPr>
          <w:rFonts w:asciiTheme="majorHAnsi" w:eastAsia="Times New Roman" w:hAnsiTheme="majorHAnsi" w:cstheme="majorHAnsi"/>
          <w:lang w:val="ro-MD"/>
        </w:rPr>
        <w:t>леев</w:t>
      </w:r>
      <w:r w:rsidRPr="00257B39">
        <w:rPr>
          <w:rFonts w:asciiTheme="majorHAnsi" w:eastAsia="Times New Roman" w:hAnsiTheme="majorHAnsi" w:cstheme="majorHAnsi"/>
          <w:lang w:val="ro-MD"/>
        </w:rPr>
        <w:t>.</w:t>
      </w:r>
    </w:p>
  </w:footnote>
  <w:footnote w:id="90">
    <w:p w14:paraId="53FF5478" w14:textId="46C82A64" w:rsidR="002C203D" w:rsidRPr="00257B39" w:rsidRDefault="002C203D" w:rsidP="005E2255">
      <w:pPr>
        <w:pStyle w:val="a3"/>
        <w:jc w:val="both"/>
        <w:rPr>
          <w:rFonts w:asciiTheme="majorHAnsi" w:hAnsiTheme="majorHAnsi" w:cstheme="majorHAnsi"/>
          <w:lang w:val="ro-MD"/>
        </w:rPr>
      </w:pPr>
      <w:r w:rsidRPr="00257B39">
        <w:rPr>
          <w:rStyle w:val="a5"/>
          <w:rFonts w:asciiTheme="majorHAnsi" w:hAnsiTheme="majorHAnsi" w:cstheme="majorHAnsi"/>
          <w:lang w:val="ro-MD"/>
        </w:rPr>
        <w:footnoteRef/>
      </w:r>
      <w:r w:rsidRPr="00257B39">
        <w:rPr>
          <w:rFonts w:asciiTheme="majorHAnsi" w:hAnsiTheme="majorHAnsi" w:cstheme="majorHAnsi"/>
          <w:lang w:val="ro-MD"/>
        </w:rPr>
        <w:t xml:space="preserve"> </w:t>
      </w:r>
      <w:r>
        <w:rPr>
          <w:rFonts w:asciiTheme="majorHAnsi" w:eastAsia="Times New Roman" w:hAnsiTheme="majorHAnsi" w:cstheme="majorHAnsi"/>
          <w:lang w:val="ro-MD"/>
        </w:rPr>
        <w:t>КХ</w:t>
      </w:r>
      <w:r w:rsidRPr="00257B39">
        <w:rPr>
          <w:rFonts w:asciiTheme="majorHAnsi" w:eastAsia="Times New Roman" w:hAnsiTheme="majorHAnsi" w:cstheme="majorHAnsi"/>
          <w:lang w:val="ro-MD"/>
        </w:rPr>
        <w:t xml:space="preserve"> </w:t>
      </w:r>
      <w:r w:rsidRPr="00257B39">
        <w:rPr>
          <w:rFonts w:asciiTheme="majorHAnsi" w:eastAsia="Times New Roman" w:hAnsiTheme="majorHAnsi" w:cstheme="majorHAnsi"/>
          <w:color w:val="000000"/>
          <w:lang w:val="ro-MD"/>
        </w:rPr>
        <w:t xml:space="preserve">DABIJA ANDREI VASILE – 283,0 </w:t>
      </w:r>
      <w:r>
        <w:rPr>
          <w:rFonts w:asciiTheme="majorHAnsi" w:eastAsia="Times New Roman" w:hAnsiTheme="majorHAnsi" w:cstheme="majorHAnsi"/>
          <w:color w:val="000000"/>
          <w:lang w:val="ro-MD"/>
        </w:rPr>
        <w:t>леев</w:t>
      </w:r>
      <w:r w:rsidRPr="00257B39">
        <w:rPr>
          <w:rFonts w:asciiTheme="majorHAnsi" w:eastAsia="Times New Roman" w:hAnsiTheme="majorHAnsi" w:cstheme="majorHAnsi"/>
          <w:color w:val="000000"/>
          <w:lang w:val="ro-MD"/>
        </w:rPr>
        <w:t xml:space="preserve">; </w:t>
      </w:r>
      <w:r>
        <w:rPr>
          <w:rFonts w:asciiTheme="majorHAnsi" w:eastAsia="Times New Roman" w:hAnsiTheme="majorHAnsi" w:cstheme="majorHAnsi"/>
          <w:color w:val="000000"/>
          <w:lang w:val="ro-MD"/>
        </w:rPr>
        <w:t>КХ</w:t>
      </w:r>
      <w:r w:rsidRPr="00257B39">
        <w:rPr>
          <w:rFonts w:asciiTheme="majorHAnsi" w:eastAsia="Times New Roman" w:hAnsiTheme="majorHAnsi" w:cstheme="majorHAnsi"/>
          <w:color w:val="000000"/>
          <w:lang w:val="ro-MD"/>
        </w:rPr>
        <w:t xml:space="preserve"> BIVOL PETRU CONSTANTIN – 384,0 </w:t>
      </w:r>
      <w:r>
        <w:rPr>
          <w:rFonts w:asciiTheme="majorHAnsi" w:eastAsia="Times New Roman" w:hAnsiTheme="majorHAnsi" w:cstheme="majorHAnsi"/>
          <w:color w:val="000000"/>
          <w:lang w:val="ro-MD"/>
        </w:rPr>
        <w:t>леев</w:t>
      </w:r>
      <w:r w:rsidRPr="00257B39">
        <w:rPr>
          <w:rFonts w:asciiTheme="majorHAnsi" w:eastAsia="Times New Roman" w:hAnsiTheme="majorHAnsi" w:cstheme="majorHAnsi"/>
          <w:color w:val="000000"/>
          <w:lang w:val="ro-MD"/>
        </w:rPr>
        <w:t xml:space="preserve">; </w:t>
      </w:r>
      <w:r>
        <w:rPr>
          <w:rFonts w:asciiTheme="majorHAnsi" w:eastAsia="Times New Roman" w:hAnsiTheme="majorHAnsi" w:cstheme="majorHAnsi"/>
          <w:color w:val="000000"/>
          <w:lang w:val="ro-MD"/>
        </w:rPr>
        <w:t>КХ</w:t>
      </w:r>
      <w:r w:rsidRPr="00257B39">
        <w:rPr>
          <w:rFonts w:asciiTheme="majorHAnsi" w:eastAsia="Times New Roman" w:hAnsiTheme="majorHAnsi" w:cstheme="majorHAnsi"/>
          <w:color w:val="000000"/>
          <w:lang w:val="ro-MD"/>
        </w:rPr>
        <w:t xml:space="preserve"> PETCU DUMITRU FEODOR – 380,0 </w:t>
      </w:r>
      <w:r>
        <w:rPr>
          <w:rFonts w:asciiTheme="majorHAnsi" w:eastAsia="Times New Roman" w:hAnsiTheme="majorHAnsi" w:cstheme="majorHAnsi"/>
          <w:color w:val="000000"/>
          <w:lang w:val="ro-MD"/>
        </w:rPr>
        <w:t>леев</w:t>
      </w:r>
      <w:r w:rsidRPr="00257B39">
        <w:rPr>
          <w:rFonts w:asciiTheme="majorHAnsi" w:eastAsia="Times New Roman" w:hAnsiTheme="majorHAnsi" w:cstheme="majorHAnsi"/>
          <w:color w:val="000000"/>
          <w:lang w:val="ro-MD"/>
        </w:rPr>
        <w:t>.</w:t>
      </w:r>
    </w:p>
  </w:footnote>
  <w:footnote w:id="91">
    <w:p w14:paraId="2F109E9D" w14:textId="2CDF7345" w:rsidR="002C203D" w:rsidRPr="009974C0" w:rsidRDefault="002C203D" w:rsidP="009974C0">
      <w:pPr>
        <w:pStyle w:val="a8"/>
        <w:jc w:val="both"/>
        <w:rPr>
          <w:rFonts w:asciiTheme="majorHAnsi" w:hAnsiTheme="majorHAnsi" w:cstheme="majorHAnsi"/>
          <w:lang w:val="ro-MD"/>
        </w:rPr>
      </w:pPr>
      <w:r w:rsidRPr="000A4484">
        <w:rPr>
          <w:rStyle w:val="a5"/>
          <w:rFonts w:asciiTheme="majorHAnsi" w:hAnsiTheme="majorHAnsi" w:cstheme="majorHAnsi"/>
          <w:lang w:val="ru-MD"/>
        </w:rPr>
        <w:footnoteRef/>
      </w:r>
      <w:r w:rsidRPr="009974C0">
        <w:rPr>
          <w:rFonts w:asciiTheme="majorHAnsi" w:hAnsiTheme="majorHAnsi" w:cstheme="majorHAnsi"/>
          <w:lang w:val="ro-MD"/>
        </w:rPr>
        <w:t xml:space="preserve"> Ст.19 Закона о публичных финансах и бюдже</w:t>
      </w:r>
      <w:r>
        <w:rPr>
          <w:rFonts w:asciiTheme="majorHAnsi" w:hAnsiTheme="majorHAnsi" w:cstheme="majorHAnsi"/>
          <w:lang w:val="ro-MD"/>
        </w:rPr>
        <w:t>тно-налоговой ответственности №</w:t>
      </w:r>
      <w:r w:rsidRPr="009974C0">
        <w:rPr>
          <w:rFonts w:asciiTheme="majorHAnsi" w:eastAsia="Times New Roman" w:hAnsiTheme="majorHAnsi" w:cstheme="majorHAnsi"/>
          <w:bCs/>
          <w:lang w:val="ro-MD"/>
        </w:rPr>
        <w:t>181 от 25.07.2014</w:t>
      </w:r>
      <w:r w:rsidRPr="009974C0">
        <w:rPr>
          <w:rFonts w:asciiTheme="majorHAnsi" w:hAnsiTheme="majorHAnsi" w:cstheme="majorHAnsi"/>
          <w:lang w:val="ro-MD" w:eastAsia="ro-RO"/>
        </w:rPr>
        <w:t>.</w:t>
      </w:r>
    </w:p>
  </w:footnote>
  <w:footnote w:id="92">
    <w:p w14:paraId="060EE080" w14:textId="68BAF977" w:rsidR="002C203D" w:rsidRPr="00EE5B2A" w:rsidRDefault="002C203D" w:rsidP="00EE5B2A">
      <w:pPr>
        <w:pStyle w:val="a3"/>
        <w:jc w:val="both"/>
        <w:rPr>
          <w:rFonts w:asciiTheme="majorHAnsi" w:hAnsiTheme="majorHAnsi" w:cstheme="majorHAnsi"/>
          <w:lang w:val="ru-RU"/>
        </w:rPr>
      </w:pPr>
      <w:r w:rsidRPr="000A4484">
        <w:rPr>
          <w:rStyle w:val="a5"/>
          <w:rFonts w:asciiTheme="majorHAnsi" w:hAnsiTheme="majorHAnsi" w:cstheme="majorHAnsi"/>
          <w:lang w:val="ru-MD"/>
        </w:rPr>
        <w:footnoteRef/>
      </w:r>
      <w:r w:rsidRPr="00EE5B2A">
        <w:rPr>
          <w:rFonts w:asciiTheme="majorHAnsi" w:hAnsiTheme="majorHAnsi" w:cstheme="majorHAnsi"/>
          <w:lang w:val="ru-RU"/>
        </w:rPr>
        <w:t xml:space="preserve"> </w:t>
      </w:r>
      <w:r w:rsidRPr="000A4484">
        <w:rPr>
          <w:rFonts w:asciiTheme="majorHAnsi" w:hAnsiTheme="majorHAnsi" w:cstheme="majorHAnsi"/>
          <w:lang w:val="ru-MD"/>
        </w:rPr>
        <w:t>Ст</w:t>
      </w:r>
      <w:r w:rsidRPr="00EE5B2A">
        <w:rPr>
          <w:rFonts w:asciiTheme="majorHAnsi" w:hAnsiTheme="majorHAnsi" w:cstheme="majorHAnsi"/>
          <w:lang w:val="ru-RU"/>
        </w:rPr>
        <w:t xml:space="preserve">.22 </w:t>
      </w:r>
      <w:r>
        <w:rPr>
          <w:rFonts w:asciiTheme="majorHAnsi" w:hAnsiTheme="majorHAnsi" w:cstheme="majorHAnsi"/>
          <w:lang w:val="ru-MD"/>
        </w:rPr>
        <w:t>Закона о государственном внутреннем контроле №22</w:t>
      </w:r>
      <w:r w:rsidRPr="00EE5B2A">
        <w:rPr>
          <w:rFonts w:asciiTheme="majorHAnsi" w:hAnsiTheme="majorHAnsi" w:cstheme="majorHAnsi"/>
          <w:lang w:val="ru-RU"/>
        </w:rPr>
        <w:t>9</w:t>
      </w:r>
      <w:r w:rsidRPr="00EE5B2A">
        <w:rPr>
          <w:rFonts w:asciiTheme="majorHAnsi" w:eastAsia="Times New Roman" w:hAnsiTheme="majorHAnsi" w:cstheme="majorHAnsi"/>
          <w:bCs/>
          <w:lang w:val="ru-RU"/>
        </w:rPr>
        <w:t xml:space="preserve"> </w:t>
      </w:r>
      <w:r w:rsidRPr="000A4484">
        <w:rPr>
          <w:rFonts w:asciiTheme="majorHAnsi" w:eastAsia="Times New Roman" w:hAnsiTheme="majorHAnsi" w:cstheme="majorHAnsi"/>
          <w:bCs/>
          <w:lang w:val="ru-MD"/>
        </w:rPr>
        <w:t>от</w:t>
      </w:r>
      <w:r w:rsidRPr="00EE5B2A">
        <w:rPr>
          <w:rFonts w:asciiTheme="majorHAnsi" w:eastAsia="Times New Roman" w:hAnsiTheme="majorHAnsi" w:cstheme="majorHAnsi"/>
          <w:bCs/>
          <w:lang w:val="ru-RU"/>
        </w:rPr>
        <w:t xml:space="preserve"> 23.09.2010.</w:t>
      </w:r>
    </w:p>
  </w:footnote>
  <w:footnote w:id="93">
    <w:p w14:paraId="28ACCFAD" w14:textId="77777777" w:rsidR="002C203D" w:rsidRPr="000A4484" w:rsidRDefault="002C203D" w:rsidP="00EE5B2A">
      <w:pPr>
        <w:pStyle w:val="a8"/>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Закон №</w:t>
      </w:r>
      <w:r w:rsidRPr="000A4484">
        <w:rPr>
          <w:rFonts w:asciiTheme="majorHAnsi" w:eastAsia="Times New Roman" w:hAnsiTheme="majorHAnsi" w:cstheme="majorHAnsi"/>
          <w:bCs/>
          <w:lang w:val="ru-MD"/>
        </w:rPr>
        <w:t>181 от 25.07.2014</w:t>
      </w:r>
      <w:r w:rsidRPr="000A4484">
        <w:rPr>
          <w:rFonts w:asciiTheme="majorHAnsi" w:hAnsiTheme="majorHAnsi" w:cstheme="majorHAnsi"/>
          <w:lang w:val="ru-MD" w:eastAsia="ro-RO"/>
        </w:rPr>
        <w:t xml:space="preserve">; </w:t>
      </w:r>
      <w:r w:rsidRPr="000A4484">
        <w:rPr>
          <w:rFonts w:asciiTheme="majorHAnsi" w:hAnsiTheme="majorHAnsi" w:cstheme="majorHAnsi"/>
          <w:lang w:val="ru-MD"/>
        </w:rPr>
        <w:t>Закон о бухгалтерском учете №</w:t>
      </w:r>
      <w:r w:rsidRPr="000A4484">
        <w:rPr>
          <w:rFonts w:asciiTheme="majorHAnsi" w:eastAsia="Times New Roman" w:hAnsiTheme="majorHAnsi" w:cstheme="majorHAnsi"/>
          <w:lang w:val="ru-MD"/>
        </w:rPr>
        <w:t>113-XVI от 27.04.2007</w:t>
      </w:r>
      <w:r w:rsidRPr="000A4484">
        <w:rPr>
          <w:rFonts w:asciiTheme="majorHAnsi" w:hAnsiTheme="majorHAnsi" w:cstheme="majorHAnsi"/>
          <w:lang w:val="ru-MD" w:eastAsia="ro-RO"/>
        </w:rPr>
        <w:t>.</w:t>
      </w:r>
    </w:p>
  </w:footnote>
  <w:footnote w:id="94">
    <w:p w14:paraId="723949AA" w14:textId="6387D513" w:rsidR="002C203D" w:rsidRPr="000A4484" w:rsidRDefault="002C203D" w:rsidP="003D131F">
      <w:pPr>
        <w:pStyle w:val="a8"/>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Ст.22 </w:t>
      </w:r>
      <w:r w:rsidRPr="009974C0">
        <w:rPr>
          <w:rFonts w:asciiTheme="majorHAnsi" w:hAnsiTheme="majorHAnsi" w:cstheme="majorHAnsi"/>
          <w:lang w:val="ro-MD"/>
        </w:rPr>
        <w:t>Закона о публичных финансах и бюдже</w:t>
      </w:r>
      <w:r>
        <w:rPr>
          <w:rFonts w:asciiTheme="majorHAnsi" w:hAnsiTheme="majorHAnsi" w:cstheme="majorHAnsi"/>
          <w:lang w:val="ro-MD"/>
        </w:rPr>
        <w:t>тно-налоговой ответственности</w:t>
      </w:r>
      <w:r w:rsidRPr="000A4484">
        <w:rPr>
          <w:rFonts w:asciiTheme="majorHAnsi" w:hAnsiTheme="majorHAnsi" w:cstheme="majorHAnsi"/>
          <w:lang w:val="ru-MD"/>
        </w:rPr>
        <w:t xml:space="preserve"> №</w:t>
      </w:r>
      <w:r w:rsidRPr="000A4484">
        <w:rPr>
          <w:rFonts w:asciiTheme="majorHAnsi" w:eastAsia="Times New Roman" w:hAnsiTheme="majorHAnsi" w:cstheme="majorHAnsi"/>
          <w:bCs/>
          <w:lang w:val="ru-MD"/>
        </w:rPr>
        <w:t>181 от 25.07.2014</w:t>
      </w:r>
      <w:r w:rsidRPr="000A4484">
        <w:rPr>
          <w:rFonts w:asciiTheme="majorHAnsi" w:hAnsiTheme="majorHAnsi" w:cstheme="majorHAnsi"/>
          <w:lang w:val="ru-MD" w:eastAsia="ro-RO"/>
        </w:rPr>
        <w:t>.</w:t>
      </w:r>
    </w:p>
  </w:footnote>
  <w:footnote w:id="95">
    <w:p w14:paraId="737F04D9" w14:textId="77777777" w:rsidR="002C203D" w:rsidRPr="000A4484" w:rsidRDefault="002C203D" w:rsidP="003D131F">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Закон №113-XVI от 27.04.2007; Приказ министра финансов №118 от 06.08.2013 „</w:t>
      </w:r>
      <w:r w:rsidRPr="000A4484">
        <w:rPr>
          <w:rFonts w:asciiTheme="majorHAnsi" w:hAnsiTheme="majorHAnsi" w:cstheme="majorHAnsi"/>
          <w:bCs/>
          <w:lang w:val="ru-MD"/>
        </w:rPr>
        <w:t>Об утверждении Национальных стандартов бухгалтерского учета</w:t>
      </w:r>
      <w:r w:rsidRPr="000A4484">
        <w:rPr>
          <w:rFonts w:asciiTheme="majorHAnsi" w:hAnsiTheme="majorHAnsi" w:cstheme="majorHAnsi"/>
          <w:lang w:val="ru-MD"/>
        </w:rPr>
        <w:t>”; Приказ министра финансов №</w:t>
      </w:r>
      <w:r w:rsidRPr="000A4484">
        <w:rPr>
          <w:rFonts w:asciiTheme="majorHAnsi" w:hAnsiTheme="majorHAnsi" w:cstheme="majorHAnsi"/>
          <w:noProof/>
          <w:lang w:val="ru-MD"/>
        </w:rPr>
        <w:t>38 от 17.02.2017.</w:t>
      </w:r>
    </w:p>
  </w:footnote>
  <w:footnote w:id="96">
    <w:p w14:paraId="73DC5EC7" w14:textId="743B7CAD" w:rsidR="002C203D" w:rsidRPr="004B55C0" w:rsidRDefault="002C203D" w:rsidP="003D131F">
      <w:pPr>
        <w:pStyle w:val="a3"/>
        <w:jc w:val="both"/>
        <w:rPr>
          <w:rFonts w:asciiTheme="majorHAnsi" w:hAnsiTheme="majorHAnsi" w:cstheme="majorHAnsi"/>
          <w:lang w:val="ro-RO"/>
        </w:rPr>
      </w:pPr>
      <w:r w:rsidRPr="004B55C0">
        <w:rPr>
          <w:rStyle w:val="a5"/>
          <w:rFonts w:asciiTheme="majorHAnsi" w:hAnsiTheme="majorHAnsi" w:cstheme="majorHAnsi"/>
        </w:rPr>
        <w:footnoteRef/>
      </w:r>
      <w:r w:rsidRPr="004B55C0">
        <w:rPr>
          <w:rFonts w:asciiTheme="majorHAnsi" w:hAnsiTheme="majorHAnsi" w:cstheme="majorHAnsi"/>
          <w:lang w:val="ro-RO"/>
        </w:rPr>
        <w:t xml:space="preserve"> Ст. 13 (2) e) Закон</w:t>
      </w:r>
      <w:r w:rsidRPr="004B55C0">
        <w:rPr>
          <w:rFonts w:asciiTheme="majorHAnsi" w:hAnsiTheme="majorHAnsi" w:cstheme="majorHAnsi"/>
          <w:lang w:val="ru-RU"/>
        </w:rPr>
        <w:t>а</w:t>
      </w:r>
      <w:r w:rsidRPr="004B55C0">
        <w:rPr>
          <w:rFonts w:asciiTheme="majorHAnsi" w:hAnsiTheme="majorHAnsi" w:cstheme="majorHAnsi"/>
          <w:lang w:val="ro-RO"/>
        </w:rPr>
        <w:t xml:space="preserve"> №113-XVI от 27.04.2007.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EBA"/>
    <w:multiLevelType w:val="hybridMultilevel"/>
    <w:tmpl w:val="5E122D0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25C33D6"/>
    <w:multiLevelType w:val="hybridMultilevel"/>
    <w:tmpl w:val="156C46E6"/>
    <w:lvl w:ilvl="0" w:tplc="707A84A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A03DB"/>
    <w:multiLevelType w:val="multilevel"/>
    <w:tmpl w:val="37DC72DA"/>
    <w:lvl w:ilvl="0">
      <w:start w:val="5"/>
      <w:numFmt w:val="decimal"/>
      <w:lvlText w:val="%1."/>
      <w:lvlJc w:val="left"/>
      <w:pPr>
        <w:ind w:left="564" w:hanging="564"/>
      </w:pPr>
      <w:rPr>
        <w:rFonts w:hint="default"/>
      </w:rPr>
    </w:lvl>
    <w:lvl w:ilvl="1">
      <w:start w:val="2"/>
      <w:numFmt w:val="decimal"/>
      <w:lvlText w:val="%1.%2."/>
      <w:lvlJc w:val="left"/>
      <w:pPr>
        <w:ind w:left="564" w:hanging="56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A14ED7"/>
    <w:multiLevelType w:val="multilevel"/>
    <w:tmpl w:val="93E2D4CC"/>
    <w:lvl w:ilvl="0">
      <w:start w:val="4"/>
      <w:numFmt w:val="decimal"/>
      <w:lvlText w:val="%1."/>
      <w:lvlJc w:val="left"/>
      <w:pPr>
        <w:ind w:left="396" w:hanging="396"/>
      </w:pPr>
      <w:rPr>
        <w:rFonts w:hint="default"/>
      </w:rPr>
    </w:lvl>
    <w:lvl w:ilvl="1">
      <w:start w:val="2"/>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984D65"/>
    <w:multiLevelType w:val="hybridMultilevel"/>
    <w:tmpl w:val="EC5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EE6"/>
    <w:multiLevelType w:val="hybridMultilevel"/>
    <w:tmpl w:val="156C46E6"/>
    <w:lvl w:ilvl="0" w:tplc="707A84A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E298A"/>
    <w:multiLevelType w:val="hybridMultilevel"/>
    <w:tmpl w:val="7736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84DE0"/>
    <w:multiLevelType w:val="hybridMultilevel"/>
    <w:tmpl w:val="156C46E6"/>
    <w:lvl w:ilvl="0" w:tplc="707A84A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E0EE0"/>
    <w:multiLevelType w:val="multilevel"/>
    <w:tmpl w:val="23D2B7D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E93B99"/>
    <w:multiLevelType w:val="hybridMultilevel"/>
    <w:tmpl w:val="68E23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16840"/>
    <w:multiLevelType w:val="hybridMultilevel"/>
    <w:tmpl w:val="483A6266"/>
    <w:lvl w:ilvl="0" w:tplc="FB966C6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0937F8"/>
    <w:multiLevelType w:val="multilevel"/>
    <w:tmpl w:val="99A26A1C"/>
    <w:lvl w:ilvl="0">
      <w:start w:val="1"/>
      <w:numFmt w:val="upperRoman"/>
      <w:lvlText w:val="%1."/>
      <w:lvlJc w:val="left"/>
      <w:pPr>
        <w:ind w:left="1080" w:hanging="720"/>
      </w:pPr>
      <w:rPr>
        <w:rFonts w:hint="default"/>
        <w:b/>
      </w:rPr>
    </w:lvl>
    <w:lvl w:ilvl="1">
      <w:start w:val="1"/>
      <w:numFmt w:val="decimal"/>
      <w:isLgl/>
      <w:lvlText w:val="%1.%2."/>
      <w:lvlJc w:val="left"/>
      <w:pPr>
        <w:ind w:left="396" w:hanging="396"/>
      </w:pPr>
      <w:rPr>
        <w:rFonts w:asciiTheme="majorHAnsi" w:hAnsiTheme="majorHAnsi" w:cstheme="majorHAnsi" w:hint="default"/>
        <w:b/>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C728B4"/>
    <w:multiLevelType w:val="hybridMultilevel"/>
    <w:tmpl w:val="C5EC8456"/>
    <w:lvl w:ilvl="0" w:tplc="95CEA93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D2115CC"/>
    <w:multiLevelType w:val="hybridMultilevel"/>
    <w:tmpl w:val="89F03216"/>
    <w:lvl w:ilvl="0" w:tplc="8FDE9EE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306005C6"/>
    <w:multiLevelType w:val="multilevel"/>
    <w:tmpl w:val="6FA207E2"/>
    <w:lvl w:ilvl="0">
      <w:start w:val="4"/>
      <w:numFmt w:val="decimal"/>
      <w:lvlText w:val="%1"/>
      <w:lvlJc w:val="left"/>
      <w:pPr>
        <w:ind w:left="360" w:hanging="360"/>
      </w:pPr>
      <w:rPr>
        <w:rFonts w:asciiTheme="majorHAnsi" w:eastAsia="Times New Roman" w:hAnsiTheme="majorHAnsi" w:cstheme="majorHAnsi" w:hint="default"/>
        <w:b/>
        <w:sz w:val="24"/>
      </w:rPr>
    </w:lvl>
    <w:lvl w:ilvl="1">
      <w:start w:val="3"/>
      <w:numFmt w:val="decimal"/>
      <w:lvlText w:val="%1.%2"/>
      <w:lvlJc w:val="left"/>
      <w:pPr>
        <w:ind w:left="360" w:hanging="360"/>
      </w:pPr>
      <w:rPr>
        <w:rFonts w:asciiTheme="majorHAnsi" w:eastAsia="Times New Roman" w:hAnsiTheme="majorHAnsi" w:cstheme="majorHAnsi" w:hint="default"/>
        <w:b/>
        <w:sz w:val="24"/>
      </w:rPr>
    </w:lvl>
    <w:lvl w:ilvl="2">
      <w:start w:val="1"/>
      <w:numFmt w:val="decimal"/>
      <w:lvlText w:val="%1.%2.%3"/>
      <w:lvlJc w:val="left"/>
      <w:pPr>
        <w:ind w:left="720" w:hanging="720"/>
      </w:pPr>
      <w:rPr>
        <w:rFonts w:asciiTheme="majorHAnsi" w:eastAsia="Times New Roman" w:hAnsiTheme="majorHAnsi" w:cstheme="majorHAnsi" w:hint="default"/>
        <w:b/>
        <w:sz w:val="24"/>
      </w:rPr>
    </w:lvl>
    <w:lvl w:ilvl="3">
      <w:start w:val="1"/>
      <w:numFmt w:val="decimal"/>
      <w:lvlText w:val="%1.%2.%3.%4"/>
      <w:lvlJc w:val="left"/>
      <w:pPr>
        <w:ind w:left="720" w:hanging="720"/>
      </w:pPr>
      <w:rPr>
        <w:rFonts w:asciiTheme="majorHAnsi" w:eastAsia="Times New Roman" w:hAnsiTheme="majorHAnsi" w:cstheme="majorHAnsi" w:hint="default"/>
        <w:b/>
        <w:sz w:val="24"/>
      </w:rPr>
    </w:lvl>
    <w:lvl w:ilvl="4">
      <w:start w:val="1"/>
      <w:numFmt w:val="decimal"/>
      <w:lvlText w:val="%1.%2.%3.%4.%5"/>
      <w:lvlJc w:val="left"/>
      <w:pPr>
        <w:ind w:left="1080" w:hanging="1080"/>
      </w:pPr>
      <w:rPr>
        <w:rFonts w:asciiTheme="majorHAnsi" w:eastAsia="Times New Roman" w:hAnsiTheme="majorHAnsi" w:cstheme="majorHAnsi" w:hint="default"/>
        <w:b/>
        <w:sz w:val="24"/>
      </w:rPr>
    </w:lvl>
    <w:lvl w:ilvl="5">
      <w:start w:val="1"/>
      <w:numFmt w:val="decimal"/>
      <w:lvlText w:val="%1.%2.%3.%4.%5.%6"/>
      <w:lvlJc w:val="left"/>
      <w:pPr>
        <w:ind w:left="1080" w:hanging="1080"/>
      </w:pPr>
      <w:rPr>
        <w:rFonts w:asciiTheme="majorHAnsi" w:eastAsia="Times New Roman" w:hAnsiTheme="majorHAnsi" w:cstheme="majorHAnsi" w:hint="default"/>
        <w:b/>
        <w:sz w:val="24"/>
      </w:rPr>
    </w:lvl>
    <w:lvl w:ilvl="6">
      <w:start w:val="1"/>
      <w:numFmt w:val="decimal"/>
      <w:lvlText w:val="%1.%2.%3.%4.%5.%6.%7"/>
      <w:lvlJc w:val="left"/>
      <w:pPr>
        <w:ind w:left="1440" w:hanging="1440"/>
      </w:pPr>
      <w:rPr>
        <w:rFonts w:asciiTheme="majorHAnsi" w:eastAsia="Times New Roman" w:hAnsiTheme="majorHAnsi" w:cstheme="majorHAnsi" w:hint="default"/>
        <w:b/>
        <w:sz w:val="24"/>
      </w:rPr>
    </w:lvl>
    <w:lvl w:ilvl="7">
      <w:start w:val="1"/>
      <w:numFmt w:val="decimal"/>
      <w:lvlText w:val="%1.%2.%3.%4.%5.%6.%7.%8"/>
      <w:lvlJc w:val="left"/>
      <w:pPr>
        <w:ind w:left="1440" w:hanging="1440"/>
      </w:pPr>
      <w:rPr>
        <w:rFonts w:asciiTheme="majorHAnsi" w:eastAsia="Times New Roman" w:hAnsiTheme="majorHAnsi" w:cstheme="majorHAnsi" w:hint="default"/>
        <w:b/>
        <w:sz w:val="24"/>
      </w:rPr>
    </w:lvl>
    <w:lvl w:ilvl="8">
      <w:start w:val="1"/>
      <w:numFmt w:val="decimal"/>
      <w:lvlText w:val="%1.%2.%3.%4.%5.%6.%7.%8.%9"/>
      <w:lvlJc w:val="left"/>
      <w:pPr>
        <w:ind w:left="1440" w:hanging="1440"/>
      </w:pPr>
      <w:rPr>
        <w:rFonts w:asciiTheme="majorHAnsi" w:eastAsia="Times New Roman" w:hAnsiTheme="majorHAnsi" w:cstheme="majorHAnsi" w:hint="default"/>
        <w:b/>
        <w:sz w:val="24"/>
      </w:rPr>
    </w:lvl>
  </w:abstractNum>
  <w:abstractNum w:abstractNumId="15" w15:restartNumberingAfterBreak="0">
    <w:nsid w:val="32424CA0"/>
    <w:multiLevelType w:val="hybridMultilevel"/>
    <w:tmpl w:val="CD861A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83BF1"/>
    <w:multiLevelType w:val="hybridMultilevel"/>
    <w:tmpl w:val="2528E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84F49"/>
    <w:multiLevelType w:val="hybridMultilevel"/>
    <w:tmpl w:val="CC02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3235E"/>
    <w:multiLevelType w:val="hybridMultilevel"/>
    <w:tmpl w:val="0C4867F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5896D7C"/>
    <w:multiLevelType w:val="multilevel"/>
    <w:tmpl w:val="6D7C95A6"/>
    <w:lvl w:ilvl="0">
      <w:start w:val="1"/>
      <w:numFmt w:val="upperRoman"/>
      <w:pStyle w:val="1"/>
      <w:lvlText w:val="%1."/>
      <w:lvlJc w:val="left"/>
      <w:pPr>
        <w:ind w:left="5606" w:hanging="360"/>
      </w:pPr>
      <w:rPr>
        <w:rFonts w:asciiTheme="majorHAnsi" w:hAnsiTheme="majorHAnsi" w:cstheme="majorHAnsi" w:hint="default"/>
        <w:b/>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ind w:left="150" w:hanging="576"/>
      </w:pPr>
      <w:rPr>
        <w:rFonts w:hint="default"/>
      </w:rPr>
    </w:lvl>
    <w:lvl w:ilvl="2">
      <w:start w:val="1"/>
      <w:numFmt w:val="decimal"/>
      <w:lvlText w:val="%1.%2.%3"/>
      <w:lvlJc w:val="left"/>
      <w:pPr>
        <w:ind w:left="294" w:hanging="720"/>
      </w:pPr>
      <w:rPr>
        <w:rFonts w:hint="default"/>
        <w:lang w:val="ro-MD"/>
      </w:rPr>
    </w:lvl>
    <w:lvl w:ilvl="3">
      <w:start w:val="1"/>
      <w:numFmt w:val="decimal"/>
      <w:lvlText w:val="%1.%2.%3.%4"/>
      <w:lvlJc w:val="left"/>
      <w:pPr>
        <w:ind w:left="438" w:hanging="864"/>
      </w:pPr>
      <w:rPr>
        <w:rFonts w:hint="default"/>
      </w:rPr>
    </w:lvl>
    <w:lvl w:ilvl="4">
      <w:start w:val="1"/>
      <w:numFmt w:val="decimal"/>
      <w:pStyle w:val="5"/>
      <w:lvlText w:val="%1.%2.%3.%4.%5"/>
      <w:lvlJc w:val="left"/>
      <w:pPr>
        <w:ind w:left="582" w:hanging="1008"/>
      </w:pPr>
      <w:rPr>
        <w:rFonts w:hint="default"/>
      </w:rPr>
    </w:lvl>
    <w:lvl w:ilvl="5">
      <w:start w:val="1"/>
      <w:numFmt w:val="decimal"/>
      <w:pStyle w:val="6"/>
      <w:lvlText w:val="%1.%2.%3.%4.%5.%6"/>
      <w:lvlJc w:val="left"/>
      <w:pPr>
        <w:ind w:left="726" w:hanging="1152"/>
      </w:pPr>
      <w:rPr>
        <w:rFonts w:hint="default"/>
      </w:rPr>
    </w:lvl>
    <w:lvl w:ilvl="6">
      <w:start w:val="1"/>
      <w:numFmt w:val="decimal"/>
      <w:pStyle w:val="7"/>
      <w:lvlText w:val="%1.%2.%3.%4.%5.%6.%7"/>
      <w:lvlJc w:val="left"/>
      <w:pPr>
        <w:ind w:left="870" w:hanging="1296"/>
      </w:pPr>
      <w:rPr>
        <w:rFonts w:hint="default"/>
      </w:rPr>
    </w:lvl>
    <w:lvl w:ilvl="7">
      <w:start w:val="1"/>
      <w:numFmt w:val="decimal"/>
      <w:pStyle w:val="8"/>
      <w:lvlText w:val="%1.%2.%3.%4.%5.%6.%7.%8"/>
      <w:lvlJc w:val="left"/>
      <w:pPr>
        <w:ind w:left="1014" w:hanging="1440"/>
      </w:pPr>
      <w:rPr>
        <w:rFonts w:hint="default"/>
      </w:rPr>
    </w:lvl>
    <w:lvl w:ilvl="8">
      <w:start w:val="1"/>
      <w:numFmt w:val="decimal"/>
      <w:pStyle w:val="9"/>
      <w:lvlText w:val="%1.%2.%3.%4.%5.%6.%7.%8.%9"/>
      <w:lvlJc w:val="left"/>
      <w:pPr>
        <w:ind w:left="1158" w:hanging="1584"/>
      </w:pPr>
      <w:rPr>
        <w:rFonts w:hint="default"/>
      </w:rPr>
    </w:lvl>
  </w:abstractNum>
  <w:abstractNum w:abstractNumId="20" w15:restartNumberingAfterBreak="0">
    <w:nsid w:val="47833721"/>
    <w:multiLevelType w:val="multilevel"/>
    <w:tmpl w:val="40B85BF2"/>
    <w:lvl w:ilvl="0">
      <w:start w:val="1"/>
      <w:numFmt w:val="upperRoman"/>
      <w:lvlText w:val="%1."/>
      <w:lvlJc w:val="left"/>
      <w:pPr>
        <w:ind w:left="1080" w:hanging="720"/>
      </w:pPr>
      <w:rPr>
        <w:rFonts w:hint="default"/>
        <w:b/>
      </w:rPr>
    </w:lvl>
    <w:lvl w:ilvl="1">
      <w:start w:val="1"/>
      <w:numFmt w:val="decimal"/>
      <w:isLgl/>
      <w:lvlText w:val="%1.%2."/>
      <w:lvlJc w:val="left"/>
      <w:pPr>
        <w:ind w:left="396" w:hanging="396"/>
      </w:pPr>
      <w:rPr>
        <w:rFonts w:asciiTheme="majorHAnsi" w:hAnsiTheme="majorHAnsi" w:cstheme="majorHAnsi"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6C05F4"/>
    <w:multiLevelType w:val="hybridMultilevel"/>
    <w:tmpl w:val="156C46E6"/>
    <w:lvl w:ilvl="0" w:tplc="707A84A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06C03"/>
    <w:multiLevelType w:val="hybridMultilevel"/>
    <w:tmpl w:val="DA465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B07FF"/>
    <w:multiLevelType w:val="hybridMultilevel"/>
    <w:tmpl w:val="3642D536"/>
    <w:lvl w:ilvl="0" w:tplc="D7F68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00238"/>
    <w:multiLevelType w:val="hybridMultilevel"/>
    <w:tmpl w:val="973E9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E7ADA"/>
    <w:multiLevelType w:val="hybridMultilevel"/>
    <w:tmpl w:val="CAACA2D4"/>
    <w:lvl w:ilvl="0" w:tplc="0D40925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81312"/>
    <w:multiLevelType w:val="hybridMultilevel"/>
    <w:tmpl w:val="156C46E6"/>
    <w:lvl w:ilvl="0" w:tplc="707A84A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2953DE"/>
    <w:multiLevelType w:val="hybridMultilevel"/>
    <w:tmpl w:val="62F85AB6"/>
    <w:lvl w:ilvl="0" w:tplc="0409000B">
      <w:start w:val="1"/>
      <w:numFmt w:val="bullet"/>
      <w:lvlText w:val=""/>
      <w:lvlJc w:val="left"/>
      <w:pPr>
        <w:ind w:left="1338" w:hanging="360"/>
      </w:pPr>
      <w:rPr>
        <w:rFonts w:ascii="Wingdings" w:hAnsi="Wingdings" w:hint="default"/>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28" w15:restartNumberingAfterBreak="0">
    <w:nsid w:val="60902E9F"/>
    <w:multiLevelType w:val="hybridMultilevel"/>
    <w:tmpl w:val="A2A2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676F1"/>
    <w:multiLevelType w:val="hybridMultilevel"/>
    <w:tmpl w:val="78D27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F0335"/>
    <w:multiLevelType w:val="multilevel"/>
    <w:tmpl w:val="E6F2888A"/>
    <w:lvl w:ilvl="0">
      <w:start w:val="6"/>
      <w:numFmt w:val="decimal"/>
      <w:lvlText w:val="%1."/>
      <w:lvlJc w:val="left"/>
      <w:pPr>
        <w:ind w:left="396" w:hanging="396"/>
      </w:pPr>
      <w:rPr>
        <w:rFonts w:hint="default"/>
      </w:rPr>
    </w:lvl>
    <w:lvl w:ilvl="1">
      <w:start w:val="1"/>
      <w:numFmt w:val="decimal"/>
      <w:lvlText w:val="%1.%2."/>
      <w:lvlJc w:val="left"/>
      <w:pPr>
        <w:ind w:left="396" w:hanging="396"/>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FC76EC"/>
    <w:multiLevelType w:val="hybridMultilevel"/>
    <w:tmpl w:val="130E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04B57"/>
    <w:multiLevelType w:val="hybridMultilevel"/>
    <w:tmpl w:val="2C7CDEE2"/>
    <w:lvl w:ilvl="0" w:tplc="27D45BA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B7EFB"/>
    <w:multiLevelType w:val="hybridMultilevel"/>
    <w:tmpl w:val="766C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E3ED2"/>
    <w:multiLevelType w:val="hybridMultilevel"/>
    <w:tmpl w:val="CC2A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C10C3"/>
    <w:multiLevelType w:val="hybridMultilevel"/>
    <w:tmpl w:val="5A96B72E"/>
    <w:lvl w:ilvl="0" w:tplc="24AE9FD0">
      <w:start w:val="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6735C9"/>
    <w:multiLevelType w:val="hybridMultilevel"/>
    <w:tmpl w:val="47E46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31"/>
  </w:num>
  <w:num w:numId="4">
    <w:abstractNumId w:val="28"/>
  </w:num>
  <w:num w:numId="5">
    <w:abstractNumId w:val="36"/>
  </w:num>
  <w:num w:numId="6">
    <w:abstractNumId w:val="0"/>
  </w:num>
  <w:num w:numId="7">
    <w:abstractNumId w:val="4"/>
  </w:num>
  <w:num w:numId="8">
    <w:abstractNumId w:val="12"/>
  </w:num>
  <w:num w:numId="9">
    <w:abstractNumId w:val="22"/>
  </w:num>
  <w:num w:numId="10">
    <w:abstractNumId w:val="8"/>
  </w:num>
  <w:num w:numId="11">
    <w:abstractNumId w:val="2"/>
  </w:num>
  <w:num w:numId="12">
    <w:abstractNumId w:val="30"/>
  </w:num>
  <w:num w:numId="13">
    <w:abstractNumId w:val="20"/>
  </w:num>
  <w:num w:numId="14">
    <w:abstractNumId w:val="35"/>
  </w:num>
  <w:num w:numId="15">
    <w:abstractNumId w:val="3"/>
  </w:num>
  <w:num w:numId="16">
    <w:abstractNumId w:val="15"/>
  </w:num>
  <w:num w:numId="17">
    <w:abstractNumId w:val="14"/>
  </w:num>
  <w:num w:numId="18">
    <w:abstractNumId w:val="23"/>
  </w:num>
  <w:num w:numId="19">
    <w:abstractNumId w:val="33"/>
  </w:num>
  <w:num w:numId="20">
    <w:abstractNumId w:val="29"/>
  </w:num>
  <w:num w:numId="21">
    <w:abstractNumId w:val="13"/>
  </w:num>
  <w:num w:numId="22">
    <w:abstractNumId w:val="24"/>
  </w:num>
  <w:num w:numId="23">
    <w:abstractNumId w:val="27"/>
  </w:num>
  <w:num w:numId="24">
    <w:abstractNumId w:val="18"/>
  </w:num>
  <w:num w:numId="25">
    <w:abstractNumId w:val="9"/>
  </w:num>
  <w:num w:numId="26">
    <w:abstractNumId w:val="17"/>
  </w:num>
  <w:num w:numId="27">
    <w:abstractNumId w:val="25"/>
  </w:num>
  <w:num w:numId="28">
    <w:abstractNumId w:val="1"/>
  </w:num>
  <w:num w:numId="29">
    <w:abstractNumId w:val="5"/>
  </w:num>
  <w:num w:numId="30">
    <w:abstractNumId w:val="16"/>
  </w:num>
  <w:num w:numId="31">
    <w:abstractNumId w:val="10"/>
  </w:num>
  <w:num w:numId="32">
    <w:abstractNumId w:val="21"/>
  </w:num>
  <w:num w:numId="33">
    <w:abstractNumId w:val="26"/>
  </w:num>
  <w:num w:numId="34">
    <w:abstractNumId w:val="7"/>
  </w:num>
  <w:num w:numId="35">
    <w:abstractNumId w:val="32"/>
  </w:num>
  <w:num w:numId="36">
    <w:abstractNumId w:val="34"/>
  </w:num>
  <w:num w:numId="3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85"/>
    <w:rsid w:val="00001EE9"/>
    <w:rsid w:val="00002967"/>
    <w:rsid w:val="00004C4B"/>
    <w:rsid w:val="00004F79"/>
    <w:rsid w:val="00005327"/>
    <w:rsid w:val="00007224"/>
    <w:rsid w:val="000073F8"/>
    <w:rsid w:val="00010189"/>
    <w:rsid w:val="0001097D"/>
    <w:rsid w:val="00010D2A"/>
    <w:rsid w:val="00011B07"/>
    <w:rsid w:val="00011EF9"/>
    <w:rsid w:val="000122D2"/>
    <w:rsid w:val="00016F14"/>
    <w:rsid w:val="000202E7"/>
    <w:rsid w:val="000215A9"/>
    <w:rsid w:val="0002197A"/>
    <w:rsid w:val="00021F2B"/>
    <w:rsid w:val="000232E5"/>
    <w:rsid w:val="00023EFD"/>
    <w:rsid w:val="00024A31"/>
    <w:rsid w:val="00024D3D"/>
    <w:rsid w:val="00025B87"/>
    <w:rsid w:val="000269C8"/>
    <w:rsid w:val="00030364"/>
    <w:rsid w:val="0003120D"/>
    <w:rsid w:val="000322B0"/>
    <w:rsid w:val="00033B2D"/>
    <w:rsid w:val="0003408A"/>
    <w:rsid w:val="0003593F"/>
    <w:rsid w:val="00035ED1"/>
    <w:rsid w:val="00036355"/>
    <w:rsid w:val="00036557"/>
    <w:rsid w:val="00036CC4"/>
    <w:rsid w:val="000371DF"/>
    <w:rsid w:val="0004024F"/>
    <w:rsid w:val="00040AFA"/>
    <w:rsid w:val="00040D51"/>
    <w:rsid w:val="00043F06"/>
    <w:rsid w:val="00044CF8"/>
    <w:rsid w:val="00045E55"/>
    <w:rsid w:val="00046B6A"/>
    <w:rsid w:val="000501BC"/>
    <w:rsid w:val="000538B6"/>
    <w:rsid w:val="00053CBC"/>
    <w:rsid w:val="00053ECA"/>
    <w:rsid w:val="0005461A"/>
    <w:rsid w:val="00054E59"/>
    <w:rsid w:val="00054F45"/>
    <w:rsid w:val="0005509F"/>
    <w:rsid w:val="00055C2C"/>
    <w:rsid w:val="00056433"/>
    <w:rsid w:val="00061CCE"/>
    <w:rsid w:val="000648BE"/>
    <w:rsid w:val="000672D5"/>
    <w:rsid w:val="0007117C"/>
    <w:rsid w:val="00071D59"/>
    <w:rsid w:val="00072147"/>
    <w:rsid w:val="00073518"/>
    <w:rsid w:val="00073D63"/>
    <w:rsid w:val="00074BEC"/>
    <w:rsid w:val="00075020"/>
    <w:rsid w:val="00077B34"/>
    <w:rsid w:val="00082B9B"/>
    <w:rsid w:val="000831D4"/>
    <w:rsid w:val="0008377F"/>
    <w:rsid w:val="00084ECB"/>
    <w:rsid w:val="00084F75"/>
    <w:rsid w:val="000864DF"/>
    <w:rsid w:val="00090B08"/>
    <w:rsid w:val="00093750"/>
    <w:rsid w:val="0009393D"/>
    <w:rsid w:val="0009417A"/>
    <w:rsid w:val="000943C3"/>
    <w:rsid w:val="00097577"/>
    <w:rsid w:val="000975EC"/>
    <w:rsid w:val="000A1969"/>
    <w:rsid w:val="000A2191"/>
    <w:rsid w:val="000A2BD2"/>
    <w:rsid w:val="000A58E9"/>
    <w:rsid w:val="000A67BF"/>
    <w:rsid w:val="000A687C"/>
    <w:rsid w:val="000A7004"/>
    <w:rsid w:val="000A7357"/>
    <w:rsid w:val="000B4A03"/>
    <w:rsid w:val="000B4A9B"/>
    <w:rsid w:val="000B5911"/>
    <w:rsid w:val="000B645A"/>
    <w:rsid w:val="000B64C3"/>
    <w:rsid w:val="000B795F"/>
    <w:rsid w:val="000B7F8F"/>
    <w:rsid w:val="000C01CB"/>
    <w:rsid w:val="000C0F5D"/>
    <w:rsid w:val="000C0F9F"/>
    <w:rsid w:val="000C1411"/>
    <w:rsid w:val="000C1462"/>
    <w:rsid w:val="000C1876"/>
    <w:rsid w:val="000C223E"/>
    <w:rsid w:val="000C416F"/>
    <w:rsid w:val="000C59C7"/>
    <w:rsid w:val="000C70BE"/>
    <w:rsid w:val="000C781C"/>
    <w:rsid w:val="000C7D59"/>
    <w:rsid w:val="000D08CB"/>
    <w:rsid w:val="000D0A65"/>
    <w:rsid w:val="000D3AC7"/>
    <w:rsid w:val="000D4EA9"/>
    <w:rsid w:val="000D57E3"/>
    <w:rsid w:val="000E2626"/>
    <w:rsid w:val="000E339F"/>
    <w:rsid w:val="000E41FD"/>
    <w:rsid w:val="000E4234"/>
    <w:rsid w:val="000E5E4C"/>
    <w:rsid w:val="000E6510"/>
    <w:rsid w:val="000F0E02"/>
    <w:rsid w:val="000F0F7C"/>
    <w:rsid w:val="000F1F7B"/>
    <w:rsid w:val="000F2B92"/>
    <w:rsid w:val="000F2CC4"/>
    <w:rsid w:val="000F6BFE"/>
    <w:rsid w:val="0010099E"/>
    <w:rsid w:val="00100E04"/>
    <w:rsid w:val="0010219C"/>
    <w:rsid w:val="00104AD1"/>
    <w:rsid w:val="00104B47"/>
    <w:rsid w:val="00104C95"/>
    <w:rsid w:val="00104DE9"/>
    <w:rsid w:val="001060E4"/>
    <w:rsid w:val="00111ECB"/>
    <w:rsid w:val="00112CE7"/>
    <w:rsid w:val="001138A9"/>
    <w:rsid w:val="00113E19"/>
    <w:rsid w:val="001141B5"/>
    <w:rsid w:val="001156CB"/>
    <w:rsid w:val="00115AA0"/>
    <w:rsid w:val="0011670C"/>
    <w:rsid w:val="0011740B"/>
    <w:rsid w:val="00120841"/>
    <w:rsid w:val="001209B3"/>
    <w:rsid w:val="0012160B"/>
    <w:rsid w:val="00123715"/>
    <w:rsid w:val="0012409A"/>
    <w:rsid w:val="001251E5"/>
    <w:rsid w:val="00125D65"/>
    <w:rsid w:val="0013005B"/>
    <w:rsid w:val="0013227E"/>
    <w:rsid w:val="0013307C"/>
    <w:rsid w:val="00134188"/>
    <w:rsid w:val="0013567E"/>
    <w:rsid w:val="0013682A"/>
    <w:rsid w:val="00136935"/>
    <w:rsid w:val="00136F64"/>
    <w:rsid w:val="00137522"/>
    <w:rsid w:val="00137556"/>
    <w:rsid w:val="00137C53"/>
    <w:rsid w:val="00141BA2"/>
    <w:rsid w:val="00141D8C"/>
    <w:rsid w:val="00142567"/>
    <w:rsid w:val="00142826"/>
    <w:rsid w:val="00142BEE"/>
    <w:rsid w:val="00142FBD"/>
    <w:rsid w:val="00142FEC"/>
    <w:rsid w:val="00143761"/>
    <w:rsid w:val="00143ECE"/>
    <w:rsid w:val="00143F9A"/>
    <w:rsid w:val="00145E2D"/>
    <w:rsid w:val="00150254"/>
    <w:rsid w:val="00152FDB"/>
    <w:rsid w:val="00153694"/>
    <w:rsid w:val="001536F2"/>
    <w:rsid w:val="00153762"/>
    <w:rsid w:val="00155159"/>
    <w:rsid w:val="001556C2"/>
    <w:rsid w:val="00155DE4"/>
    <w:rsid w:val="00157A91"/>
    <w:rsid w:val="00160C57"/>
    <w:rsid w:val="00163075"/>
    <w:rsid w:val="00165463"/>
    <w:rsid w:val="00166E72"/>
    <w:rsid w:val="00170430"/>
    <w:rsid w:val="0017066D"/>
    <w:rsid w:val="00170C6B"/>
    <w:rsid w:val="00174A1F"/>
    <w:rsid w:val="00174E61"/>
    <w:rsid w:val="001751F1"/>
    <w:rsid w:val="00177C32"/>
    <w:rsid w:val="00180DDD"/>
    <w:rsid w:val="00181E2B"/>
    <w:rsid w:val="00181EA0"/>
    <w:rsid w:val="001820C5"/>
    <w:rsid w:val="00182680"/>
    <w:rsid w:val="001830E7"/>
    <w:rsid w:val="0018370A"/>
    <w:rsid w:val="00183D72"/>
    <w:rsid w:val="00183E38"/>
    <w:rsid w:val="00184168"/>
    <w:rsid w:val="00184FBE"/>
    <w:rsid w:val="0018623B"/>
    <w:rsid w:val="00186CDB"/>
    <w:rsid w:val="001871A3"/>
    <w:rsid w:val="00190B13"/>
    <w:rsid w:val="001919E5"/>
    <w:rsid w:val="0019289E"/>
    <w:rsid w:val="001939EF"/>
    <w:rsid w:val="00194D29"/>
    <w:rsid w:val="00194D58"/>
    <w:rsid w:val="00196B8C"/>
    <w:rsid w:val="001A0115"/>
    <w:rsid w:val="001A09CC"/>
    <w:rsid w:val="001A1B66"/>
    <w:rsid w:val="001A331D"/>
    <w:rsid w:val="001A3801"/>
    <w:rsid w:val="001A40FB"/>
    <w:rsid w:val="001A4780"/>
    <w:rsid w:val="001A66BB"/>
    <w:rsid w:val="001A7175"/>
    <w:rsid w:val="001A75C8"/>
    <w:rsid w:val="001A7707"/>
    <w:rsid w:val="001B2798"/>
    <w:rsid w:val="001B64D0"/>
    <w:rsid w:val="001B7D60"/>
    <w:rsid w:val="001C0B9F"/>
    <w:rsid w:val="001C1A48"/>
    <w:rsid w:val="001C1CE5"/>
    <w:rsid w:val="001C3607"/>
    <w:rsid w:val="001C5284"/>
    <w:rsid w:val="001C5AAB"/>
    <w:rsid w:val="001C61F8"/>
    <w:rsid w:val="001C634F"/>
    <w:rsid w:val="001C65C1"/>
    <w:rsid w:val="001C6D94"/>
    <w:rsid w:val="001C7155"/>
    <w:rsid w:val="001C7701"/>
    <w:rsid w:val="001D114D"/>
    <w:rsid w:val="001D2229"/>
    <w:rsid w:val="001D2280"/>
    <w:rsid w:val="001D49E1"/>
    <w:rsid w:val="001D5907"/>
    <w:rsid w:val="001D7A3A"/>
    <w:rsid w:val="001E085E"/>
    <w:rsid w:val="001E0956"/>
    <w:rsid w:val="001E09A5"/>
    <w:rsid w:val="001E25D0"/>
    <w:rsid w:val="001E45B4"/>
    <w:rsid w:val="001E46E7"/>
    <w:rsid w:val="001E4C69"/>
    <w:rsid w:val="001E4C86"/>
    <w:rsid w:val="001E6D54"/>
    <w:rsid w:val="001F0CB1"/>
    <w:rsid w:val="001F113B"/>
    <w:rsid w:val="001F24D6"/>
    <w:rsid w:val="001F2871"/>
    <w:rsid w:val="001F2D39"/>
    <w:rsid w:val="001F38D9"/>
    <w:rsid w:val="001F3B43"/>
    <w:rsid w:val="001F56F8"/>
    <w:rsid w:val="001F581C"/>
    <w:rsid w:val="001F606E"/>
    <w:rsid w:val="001F7B17"/>
    <w:rsid w:val="00202093"/>
    <w:rsid w:val="00205D36"/>
    <w:rsid w:val="00205FDE"/>
    <w:rsid w:val="00207D59"/>
    <w:rsid w:val="00207E1C"/>
    <w:rsid w:val="00207E44"/>
    <w:rsid w:val="00212E0D"/>
    <w:rsid w:val="00213EDF"/>
    <w:rsid w:val="002151C2"/>
    <w:rsid w:val="00216891"/>
    <w:rsid w:val="002172F0"/>
    <w:rsid w:val="0022011B"/>
    <w:rsid w:val="00220CC8"/>
    <w:rsid w:val="00223ACD"/>
    <w:rsid w:val="00223EAD"/>
    <w:rsid w:val="002256FC"/>
    <w:rsid w:val="00227D72"/>
    <w:rsid w:val="00230D58"/>
    <w:rsid w:val="002320D7"/>
    <w:rsid w:val="00232475"/>
    <w:rsid w:val="00232CA4"/>
    <w:rsid w:val="0023316D"/>
    <w:rsid w:val="00235602"/>
    <w:rsid w:val="002356E9"/>
    <w:rsid w:val="00235B65"/>
    <w:rsid w:val="00236162"/>
    <w:rsid w:val="00237794"/>
    <w:rsid w:val="00240665"/>
    <w:rsid w:val="00240E5A"/>
    <w:rsid w:val="002431C2"/>
    <w:rsid w:val="002436CD"/>
    <w:rsid w:val="0024423C"/>
    <w:rsid w:val="00244B17"/>
    <w:rsid w:val="00246B21"/>
    <w:rsid w:val="00250B37"/>
    <w:rsid w:val="00253ACD"/>
    <w:rsid w:val="00254978"/>
    <w:rsid w:val="00254B91"/>
    <w:rsid w:val="0025534C"/>
    <w:rsid w:val="00255384"/>
    <w:rsid w:val="00255C7A"/>
    <w:rsid w:val="00257B39"/>
    <w:rsid w:val="0026078C"/>
    <w:rsid w:val="00262F7E"/>
    <w:rsid w:val="00263671"/>
    <w:rsid w:val="002645CD"/>
    <w:rsid w:val="00264779"/>
    <w:rsid w:val="0026686C"/>
    <w:rsid w:val="002742D9"/>
    <w:rsid w:val="00275CED"/>
    <w:rsid w:val="0027651F"/>
    <w:rsid w:val="00276A33"/>
    <w:rsid w:val="002778B1"/>
    <w:rsid w:val="002803BA"/>
    <w:rsid w:val="00281F6D"/>
    <w:rsid w:val="00285267"/>
    <w:rsid w:val="00286CBF"/>
    <w:rsid w:val="0029070D"/>
    <w:rsid w:val="00290F61"/>
    <w:rsid w:val="00291DA4"/>
    <w:rsid w:val="00295B07"/>
    <w:rsid w:val="00296463"/>
    <w:rsid w:val="00296844"/>
    <w:rsid w:val="00296C7A"/>
    <w:rsid w:val="002A0CF0"/>
    <w:rsid w:val="002A0DCE"/>
    <w:rsid w:val="002A1C82"/>
    <w:rsid w:val="002A3735"/>
    <w:rsid w:val="002A6ADD"/>
    <w:rsid w:val="002A764D"/>
    <w:rsid w:val="002A7C93"/>
    <w:rsid w:val="002B00A3"/>
    <w:rsid w:val="002B043F"/>
    <w:rsid w:val="002B176F"/>
    <w:rsid w:val="002B259D"/>
    <w:rsid w:val="002B2680"/>
    <w:rsid w:val="002B42D1"/>
    <w:rsid w:val="002B5842"/>
    <w:rsid w:val="002B6D92"/>
    <w:rsid w:val="002C203D"/>
    <w:rsid w:val="002C3835"/>
    <w:rsid w:val="002C5215"/>
    <w:rsid w:val="002C5D5D"/>
    <w:rsid w:val="002C6F74"/>
    <w:rsid w:val="002C72EA"/>
    <w:rsid w:val="002D1D3C"/>
    <w:rsid w:val="002D2A2D"/>
    <w:rsid w:val="002D3EC3"/>
    <w:rsid w:val="002D42CA"/>
    <w:rsid w:val="002D4D22"/>
    <w:rsid w:val="002D4E5D"/>
    <w:rsid w:val="002D5273"/>
    <w:rsid w:val="002D6BF0"/>
    <w:rsid w:val="002E08DB"/>
    <w:rsid w:val="002E3A8E"/>
    <w:rsid w:val="002E538D"/>
    <w:rsid w:val="002E6004"/>
    <w:rsid w:val="002E6027"/>
    <w:rsid w:val="002F0648"/>
    <w:rsid w:val="002F1074"/>
    <w:rsid w:val="002F2582"/>
    <w:rsid w:val="002F3B96"/>
    <w:rsid w:val="002F48DF"/>
    <w:rsid w:val="002F4D18"/>
    <w:rsid w:val="002F4DB1"/>
    <w:rsid w:val="002F5E0F"/>
    <w:rsid w:val="002F6905"/>
    <w:rsid w:val="002F6EF5"/>
    <w:rsid w:val="00300773"/>
    <w:rsid w:val="0030097D"/>
    <w:rsid w:val="00301BA5"/>
    <w:rsid w:val="00301FE5"/>
    <w:rsid w:val="00302BD3"/>
    <w:rsid w:val="00303677"/>
    <w:rsid w:val="00304B66"/>
    <w:rsid w:val="00306DFB"/>
    <w:rsid w:val="003072C4"/>
    <w:rsid w:val="003112F3"/>
    <w:rsid w:val="00311E1F"/>
    <w:rsid w:val="0031257F"/>
    <w:rsid w:val="0031322C"/>
    <w:rsid w:val="00314E76"/>
    <w:rsid w:val="00315428"/>
    <w:rsid w:val="00315C58"/>
    <w:rsid w:val="00317165"/>
    <w:rsid w:val="00317870"/>
    <w:rsid w:val="0032004C"/>
    <w:rsid w:val="003201A3"/>
    <w:rsid w:val="00321434"/>
    <w:rsid w:val="003215FF"/>
    <w:rsid w:val="003220AC"/>
    <w:rsid w:val="003220CF"/>
    <w:rsid w:val="003235A9"/>
    <w:rsid w:val="00323C42"/>
    <w:rsid w:val="00323D9E"/>
    <w:rsid w:val="00324468"/>
    <w:rsid w:val="00325F2E"/>
    <w:rsid w:val="003312A8"/>
    <w:rsid w:val="00331A03"/>
    <w:rsid w:val="00333AC4"/>
    <w:rsid w:val="00334697"/>
    <w:rsid w:val="00336B57"/>
    <w:rsid w:val="00336C93"/>
    <w:rsid w:val="00336FEC"/>
    <w:rsid w:val="00341D3B"/>
    <w:rsid w:val="00342285"/>
    <w:rsid w:val="00342435"/>
    <w:rsid w:val="003424BC"/>
    <w:rsid w:val="00343137"/>
    <w:rsid w:val="003454B0"/>
    <w:rsid w:val="0034624F"/>
    <w:rsid w:val="00346A3E"/>
    <w:rsid w:val="0035091D"/>
    <w:rsid w:val="003515AA"/>
    <w:rsid w:val="0035287C"/>
    <w:rsid w:val="0035403D"/>
    <w:rsid w:val="00356494"/>
    <w:rsid w:val="0035687A"/>
    <w:rsid w:val="00361E98"/>
    <w:rsid w:val="00362056"/>
    <w:rsid w:val="00363530"/>
    <w:rsid w:val="00364C56"/>
    <w:rsid w:val="00365C48"/>
    <w:rsid w:val="003664F4"/>
    <w:rsid w:val="00367C59"/>
    <w:rsid w:val="00370E16"/>
    <w:rsid w:val="00371983"/>
    <w:rsid w:val="0037217C"/>
    <w:rsid w:val="00374340"/>
    <w:rsid w:val="00376110"/>
    <w:rsid w:val="0037711E"/>
    <w:rsid w:val="003772C0"/>
    <w:rsid w:val="0038217F"/>
    <w:rsid w:val="0038225D"/>
    <w:rsid w:val="003829FE"/>
    <w:rsid w:val="003839E7"/>
    <w:rsid w:val="00383B9E"/>
    <w:rsid w:val="003842FA"/>
    <w:rsid w:val="00385B90"/>
    <w:rsid w:val="00385CF2"/>
    <w:rsid w:val="00387E6D"/>
    <w:rsid w:val="00390909"/>
    <w:rsid w:val="00391D42"/>
    <w:rsid w:val="00391F45"/>
    <w:rsid w:val="00392D85"/>
    <w:rsid w:val="00393165"/>
    <w:rsid w:val="003936C3"/>
    <w:rsid w:val="00395389"/>
    <w:rsid w:val="003953D8"/>
    <w:rsid w:val="00395916"/>
    <w:rsid w:val="003962FC"/>
    <w:rsid w:val="003968C1"/>
    <w:rsid w:val="00396F30"/>
    <w:rsid w:val="00397428"/>
    <w:rsid w:val="00397AAD"/>
    <w:rsid w:val="003A16CA"/>
    <w:rsid w:val="003A4CA7"/>
    <w:rsid w:val="003A53E3"/>
    <w:rsid w:val="003A57A7"/>
    <w:rsid w:val="003A7CDE"/>
    <w:rsid w:val="003B0369"/>
    <w:rsid w:val="003B063E"/>
    <w:rsid w:val="003B164E"/>
    <w:rsid w:val="003B3AE8"/>
    <w:rsid w:val="003B3DFD"/>
    <w:rsid w:val="003B42BE"/>
    <w:rsid w:val="003B45E7"/>
    <w:rsid w:val="003B4994"/>
    <w:rsid w:val="003B57EA"/>
    <w:rsid w:val="003B63CA"/>
    <w:rsid w:val="003B7065"/>
    <w:rsid w:val="003C0B7C"/>
    <w:rsid w:val="003C0BC5"/>
    <w:rsid w:val="003C18CA"/>
    <w:rsid w:val="003C1B8A"/>
    <w:rsid w:val="003C2906"/>
    <w:rsid w:val="003C2BFD"/>
    <w:rsid w:val="003C508B"/>
    <w:rsid w:val="003C50FC"/>
    <w:rsid w:val="003C5557"/>
    <w:rsid w:val="003D0784"/>
    <w:rsid w:val="003D0B64"/>
    <w:rsid w:val="003D131F"/>
    <w:rsid w:val="003D3FFF"/>
    <w:rsid w:val="003D4449"/>
    <w:rsid w:val="003D57D5"/>
    <w:rsid w:val="003D5986"/>
    <w:rsid w:val="003D6D40"/>
    <w:rsid w:val="003D7AE8"/>
    <w:rsid w:val="003E13EF"/>
    <w:rsid w:val="003E195F"/>
    <w:rsid w:val="003E1F5D"/>
    <w:rsid w:val="003E1FC0"/>
    <w:rsid w:val="003E340B"/>
    <w:rsid w:val="003E3D9F"/>
    <w:rsid w:val="003E3E3F"/>
    <w:rsid w:val="003E5245"/>
    <w:rsid w:val="003E58D9"/>
    <w:rsid w:val="003E5E58"/>
    <w:rsid w:val="003E6612"/>
    <w:rsid w:val="003E7EC8"/>
    <w:rsid w:val="003F0F6C"/>
    <w:rsid w:val="003F1960"/>
    <w:rsid w:val="003F3073"/>
    <w:rsid w:val="003F32A7"/>
    <w:rsid w:val="003F51AF"/>
    <w:rsid w:val="003F736D"/>
    <w:rsid w:val="003F76FC"/>
    <w:rsid w:val="003F7860"/>
    <w:rsid w:val="004008B3"/>
    <w:rsid w:val="00403833"/>
    <w:rsid w:val="0040419B"/>
    <w:rsid w:val="004042BC"/>
    <w:rsid w:val="00405A83"/>
    <w:rsid w:val="00406720"/>
    <w:rsid w:val="0040684B"/>
    <w:rsid w:val="00406A29"/>
    <w:rsid w:val="00407360"/>
    <w:rsid w:val="00407F14"/>
    <w:rsid w:val="004102C5"/>
    <w:rsid w:val="004132A7"/>
    <w:rsid w:val="004132E1"/>
    <w:rsid w:val="004147B7"/>
    <w:rsid w:val="004149E7"/>
    <w:rsid w:val="00414BBD"/>
    <w:rsid w:val="004158A7"/>
    <w:rsid w:val="00415A0B"/>
    <w:rsid w:val="00416094"/>
    <w:rsid w:val="00416E06"/>
    <w:rsid w:val="00417541"/>
    <w:rsid w:val="00421643"/>
    <w:rsid w:val="0042463C"/>
    <w:rsid w:val="00424C42"/>
    <w:rsid w:val="00424EFE"/>
    <w:rsid w:val="00426C1F"/>
    <w:rsid w:val="004301C6"/>
    <w:rsid w:val="00430849"/>
    <w:rsid w:val="004308CC"/>
    <w:rsid w:val="0043090E"/>
    <w:rsid w:val="00431FDB"/>
    <w:rsid w:val="00434634"/>
    <w:rsid w:val="00437B23"/>
    <w:rsid w:val="004403B7"/>
    <w:rsid w:val="00440BF6"/>
    <w:rsid w:val="004428A8"/>
    <w:rsid w:val="00444516"/>
    <w:rsid w:val="00446B99"/>
    <w:rsid w:val="004470B3"/>
    <w:rsid w:val="00447B00"/>
    <w:rsid w:val="004524F0"/>
    <w:rsid w:val="00452578"/>
    <w:rsid w:val="0045297C"/>
    <w:rsid w:val="00453B65"/>
    <w:rsid w:val="00454614"/>
    <w:rsid w:val="00456E6A"/>
    <w:rsid w:val="00457471"/>
    <w:rsid w:val="00461064"/>
    <w:rsid w:val="00462491"/>
    <w:rsid w:val="00466338"/>
    <w:rsid w:val="00467182"/>
    <w:rsid w:val="004720C1"/>
    <w:rsid w:val="00472283"/>
    <w:rsid w:val="00475963"/>
    <w:rsid w:val="004764B4"/>
    <w:rsid w:val="00480493"/>
    <w:rsid w:val="0048103E"/>
    <w:rsid w:val="00481212"/>
    <w:rsid w:val="004819E2"/>
    <w:rsid w:val="004825E0"/>
    <w:rsid w:val="004836FF"/>
    <w:rsid w:val="004858DE"/>
    <w:rsid w:val="00485B16"/>
    <w:rsid w:val="004860A3"/>
    <w:rsid w:val="004863FE"/>
    <w:rsid w:val="00486664"/>
    <w:rsid w:val="0048795F"/>
    <w:rsid w:val="00490517"/>
    <w:rsid w:val="00491AFD"/>
    <w:rsid w:val="004934C8"/>
    <w:rsid w:val="00497B2D"/>
    <w:rsid w:val="004A35A3"/>
    <w:rsid w:val="004A561F"/>
    <w:rsid w:val="004A63BF"/>
    <w:rsid w:val="004A65C4"/>
    <w:rsid w:val="004B008D"/>
    <w:rsid w:val="004B00F3"/>
    <w:rsid w:val="004B068F"/>
    <w:rsid w:val="004B2138"/>
    <w:rsid w:val="004B26ED"/>
    <w:rsid w:val="004B649B"/>
    <w:rsid w:val="004B7155"/>
    <w:rsid w:val="004B740B"/>
    <w:rsid w:val="004C1199"/>
    <w:rsid w:val="004C1630"/>
    <w:rsid w:val="004C1F58"/>
    <w:rsid w:val="004C228A"/>
    <w:rsid w:val="004C270C"/>
    <w:rsid w:val="004C3308"/>
    <w:rsid w:val="004C3380"/>
    <w:rsid w:val="004C48E9"/>
    <w:rsid w:val="004C5D7E"/>
    <w:rsid w:val="004C5F9F"/>
    <w:rsid w:val="004D11F3"/>
    <w:rsid w:val="004D1FA7"/>
    <w:rsid w:val="004D2B9E"/>
    <w:rsid w:val="004D31AF"/>
    <w:rsid w:val="004D53FC"/>
    <w:rsid w:val="004D6499"/>
    <w:rsid w:val="004D6764"/>
    <w:rsid w:val="004D6A3C"/>
    <w:rsid w:val="004D7171"/>
    <w:rsid w:val="004D7379"/>
    <w:rsid w:val="004E0678"/>
    <w:rsid w:val="004E25A7"/>
    <w:rsid w:val="004E3DA7"/>
    <w:rsid w:val="004E42F2"/>
    <w:rsid w:val="004E51FB"/>
    <w:rsid w:val="004E794E"/>
    <w:rsid w:val="004F0BF6"/>
    <w:rsid w:val="004F15E4"/>
    <w:rsid w:val="004F4512"/>
    <w:rsid w:val="004F53CF"/>
    <w:rsid w:val="0050002D"/>
    <w:rsid w:val="00502141"/>
    <w:rsid w:val="00502E87"/>
    <w:rsid w:val="005032E4"/>
    <w:rsid w:val="0050344B"/>
    <w:rsid w:val="00503594"/>
    <w:rsid w:val="00503A10"/>
    <w:rsid w:val="00504112"/>
    <w:rsid w:val="00504985"/>
    <w:rsid w:val="00504EDB"/>
    <w:rsid w:val="0051095C"/>
    <w:rsid w:val="00511126"/>
    <w:rsid w:val="005127C1"/>
    <w:rsid w:val="00512A68"/>
    <w:rsid w:val="00514B2D"/>
    <w:rsid w:val="00514E6A"/>
    <w:rsid w:val="00515C61"/>
    <w:rsid w:val="00515EA5"/>
    <w:rsid w:val="005178B8"/>
    <w:rsid w:val="00521BA8"/>
    <w:rsid w:val="00521CA4"/>
    <w:rsid w:val="005224B9"/>
    <w:rsid w:val="00525005"/>
    <w:rsid w:val="00525630"/>
    <w:rsid w:val="00526473"/>
    <w:rsid w:val="00526CA8"/>
    <w:rsid w:val="00526D9A"/>
    <w:rsid w:val="005278A8"/>
    <w:rsid w:val="0053055F"/>
    <w:rsid w:val="005313F9"/>
    <w:rsid w:val="005314EF"/>
    <w:rsid w:val="00531BF7"/>
    <w:rsid w:val="0053231B"/>
    <w:rsid w:val="0053231E"/>
    <w:rsid w:val="0053271A"/>
    <w:rsid w:val="0053386B"/>
    <w:rsid w:val="00534E41"/>
    <w:rsid w:val="00535783"/>
    <w:rsid w:val="005372C1"/>
    <w:rsid w:val="00537BD4"/>
    <w:rsid w:val="005406C6"/>
    <w:rsid w:val="0054291A"/>
    <w:rsid w:val="00544C52"/>
    <w:rsid w:val="0054619C"/>
    <w:rsid w:val="005502DD"/>
    <w:rsid w:val="00550FA9"/>
    <w:rsid w:val="00551FB2"/>
    <w:rsid w:val="005532BE"/>
    <w:rsid w:val="00553CE7"/>
    <w:rsid w:val="005546F8"/>
    <w:rsid w:val="00554D39"/>
    <w:rsid w:val="00556456"/>
    <w:rsid w:val="0055675F"/>
    <w:rsid w:val="005567FD"/>
    <w:rsid w:val="00556D26"/>
    <w:rsid w:val="00561466"/>
    <w:rsid w:val="0056175F"/>
    <w:rsid w:val="00562362"/>
    <w:rsid w:val="00563E08"/>
    <w:rsid w:val="00566235"/>
    <w:rsid w:val="00567BB8"/>
    <w:rsid w:val="005714A2"/>
    <w:rsid w:val="00573460"/>
    <w:rsid w:val="00574C6B"/>
    <w:rsid w:val="00576D45"/>
    <w:rsid w:val="00581109"/>
    <w:rsid w:val="005811C9"/>
    <w:rsid w:val="005828EE"/>
    <w:rsid w:val="00585CB7"/>
    <w:rsid w:val="0058778D"/>
    <w:rsid w:val="00590DF4"/>
    <w:rsid w:val="0059239E"/>
    <w:rsid w:val="005930CD"/>
    <w:rsid w:val="00593612"/>
    <w:rsid w:val="00595611"/>
    <w:rsid w:val="0059674A"/>
    <w:rsid w:val="005968AC"/>
    <w:rsid w:val="005A0BE1"/>
    <w:rsid w:val="005A143B"/>
    <w:rsid w:val="005A2FAD"/>
    <w:rsid w:val="005A3FCA"/>
    <w:rsid w:val="005A44A2"/>
    <w:rsid w:val="005A653A"/>
    <w:rsid w:val="005A7FC1"/>
    <w:rsid w:val="005B0440"/>
    <w:rsid w:val="005B3A77"/>
    <w:rsid w:val="005B4110"/>
    <w:rsid w:val="005C2D79"/>
    <w:rsid w:val="005C3FD7"/>
    <w:rsid w:val="005C443B"/>
    <w:rsid w:val="005C4AA7"/>
    <w:rsid w:val="005C5DCE"/>
    <w:rsid w:val="005C5EAE"/>
    <w:rsid w:val="005D0865"/>
    <w:rsid w:val="005D118D"/>
    <w:rsid w:val="005D1599"/>
    <w:rsid w:val="005D2C2B"/>
    <w:rsid w:val="005D3B5C"/>
    <w:rsid w:val="005D3BCA"/>
    <w:rsid w:val="005D4BFA"/>
    <w:rsid w:val="005D770F"/>
    <w:rsid w:val="005D7B84"/>
    <w:rsid w:val="005E2255"/>
    <w:rsid w:val="005E7DC9"/>
    <w:rsid w:val="005F0AA5"/>
    <w:rsid w:val="005F0C90"/>
    <w:rsid w:val="005F13BE"/>
    <w:rsid w:val="005F2ED7"/>
    <w:rsid w:val="005F3B9D"/>
    <w:rsid w:val="005F45F2"/>
    <w:rsid w:val="005F6348"/>
    <w:rsid w:val="005F6C7B"/>
    <w:rsid w:val="006005CB"/>
    <w:rsid w:val="00601BDD"/>
    <w:rsid w:val="00602D8C"/>
    <w:rsid w:val="006057E4"/>
    <w:rsid w:val="00607BB7"/>
    <w:rsid w:val="00607CB2"/>
    <w:rsid w:val="00612786"/>
    <w:rsid w:val="00612B26"/>
    <w:rsid w:val="00614DB2"/>
    <w:rsid w:val="00614E7C"/>
    <w:rsid w:val="0061671B"/>
    <w:rsid w:val="006178CE"/>
    <w:rsid w:val="00617C10"/>
    <w:rsid w:val="00617E4A"/>
    <w:rsid w:val="006226D0"/>
    <w:rsid w:val="00622BCC"/>
    <w:rsid w:val="00625691"/>
    <w:rsid w:val="00625EA1"/>
    <w:rsid w:val="00625EBE"/>
    <w:rsid w:val="00626123"/>
    <w:rsid w:val="00626B68"/>
    <w:rsid w:val="0062708B"/>
    <w:rsid w:val="0062715E"/>
    <w:rsid w:val="006302F3"/>
    <w:rsid w:val="00630B74"/>
    <w:rsid w:val="006318A6"/>
    <w:rsid w:val="00632E44"/>
    <w:rsid w:val="00633450"/>
    <w:rsid w:val="0063346F"/>
    <w:rsid w:val="00634388"/>
    <w:rsid w:val="0063473D"/>
    <w:rsid w:val="006363C8"/>
    <w:rsid w:val="006378F5"/>
    <w:rsid w:val="00640ED0"/>
    <w:rsid w:val="00641A94"/>
    <w:rsid w:val="00643905"/>
    <w:rsid w:val="0064558F"/>
    <w:rsid w:val="006457D2"/>
    <w:rsid w:val="006518D7"/>
    <w:rsid w:val="00653E85"/>
    <w:rsid w:val="0065584B"/>
    <w:rsid w:val="00657C6A"/>
    <w:rsid w:val="00662090"/>
    <w:rsid w:val="006620FD"/>
    <w:rsid w:val="006625E5"/>
    <w:rsid w:val="00663736"/>
    <w:rsid w:val="00663ADA"/>
    <w:rsid w:val="00664147"/>
    <w:rsid w:val="0066535F"/>
    <w:rsid w:val="00665E0C"/>
    <w:rsid w:val="00665F37"/>
    <w:rsid w:val="00667142"/>
    <w:rsid w:val="00667257"/>
    <w:rsid w:val="006679A6"/>
    <w:rsid w:val="00670FD9"/>
    <w:rsid w:val="00671428"/>
    <w:rsid w:val="006714AC"/>
    <w:rsid w:val="00672F87"/>
    <w:rsid w:val="00673955"/>
    <w:rsid w:val="006751EC"/>
    <w:rsid w:val="00675372"/>
    <w:rsid w:val="00677800"/>
    <w:rsid w:val="00677F12"/>
    <w:rsid w:val="00680151"/>
    <w:rsid w:val="0068249D"/>
    <w:rsid w:val="0068377C"/>
    <w:rsid w:val="006838A4"/>
    <w:rsid w:val="00683C4B"/>
    <w:rsid w:val="00684268"/>
    <w:rsid w:val="0068434B"/>
    <w:rsid w:val="006852E2"/>
    <w:rsid w:val="006868F5"/>
    <w:rsid w:val="00686BBC"/>
    <w:rsid w:val="006916C3"/>
    <w:rsid w:val="006917E5"/>
    <w:rsid w:val="00693D2D"/>
    <w:rsid w:val="006946EA"/>
    <w:rsid w:val="00695A1A"/>
    <w:rsid w:val="00696565"/>
    <w:rsid w:val="00696CB2"/>
    <w:rsid w:val="00697015"/>
    <w:rsid w:val="00697E68"/>
    <w:rsid w:val="006A199B"/>
    <w:rsid w:val="006A1A4E"/>
    <w:rsid w:val="006A229C"/>
    <w:rsid w:val="006A2D9B"/>
    <w:rsid w:val="006A347F"/>
    <w:rsid w:val="006A3810"/>
    <w:rsid w:val="006A3B64"/>
    <w:rsid w:val="006A66F6"/>
    <w:rsid w:val="006B0446"/>
    <w:rsid w:val="006B146F"/>
    <w:rsid w:val="006B205A"/>
    <w:rsid w:val="006B2AAD"/>
    <w:rsid w:val="006B3173"/>
    <w:rsid w:val="006B31DE"/>
    <w:rsid w:val="006B33C9"/>
    <w:rsid w:val="006B3944"/>
    <w:rsid w:val="006B3F83"/>
    <w:rsid w:val="006B497E"/>
    <w:rsid w:val="006C002F"/>
    <w:rsid w:val="006C4854"/>
    <w:rsid w:val="006C4AA5"/>
    <w:rsid w:val="006C58EC"/>
    <w:rsid w:val="006C6326"/>
    <w:rsid w:val="006C75B2"/>
    <w:rsid w:val="006D05E9"/>
    <w:rsid w:val="006D2607"/>
    <w:rsid w:val="006D4285"/>
    <w:rsid w:val="006D4511"/>
    <w:rsid w:val="006D4780"/>
    <w:rsid w:val="006D4D9F"/>
    <w:rsid w:val="006D4E54"/>
    <w:rsid w:val="006D5028"/>
    <w:rsid w:val="006D5E91"/>
    <w:rsid w:val="006D5F3F"/>
    <w:rsid w:val="006D6100"/>
    <w:rsid w:val="006D6971"/>
    <w:rsid w:val="006D7922"/>
    <w:rsid w:val="006E36B0"/>
    <w:rsid w:val="006E7669"/>
    <w:rsid w:val="006E7940"/>
    <w:rsid w:val="006F0096"/>
    <w:rsid w:val="006F0332"/>
    <w:rsid w:val="006F38C4"/>
    <w:rsid w:val="006F55A0"/>
    <w:rsid w:val="006F7195"/>
    <w:rsid w:val="006F78CE"/>
    <w:rsid w:val="006F7D98"/>
    <w:rsid w:val="007013C7"/>
    <w:rsid w:val="00702B1A"/>
    <w:rsid w:val="00703636"/>
    <w:rsid w:val="00703B21"/>
    <w:rsid w:val="00704708"/>
    <w:rsid w:val="00704AE9"/>
    <w:rsid w:val="00707272"/>
    <w:rsid w:val="007073CE"/>
    <w:rsid w:val="00711BBF"/>
    <w:rsid w:val="00711DD9"/>
    <w:rsid w:val="007133DD"/>
    <w:rsid w:val="00714A35"/>
    <w:rsid w:val="0071520C"/>
    <w:rsid w:val="00715834"/>
    <w:rsid w:val="00717950"/>
    <w:rsid w:val="00717F7B"/>
    <w:rsid w:val="00721188"/>
    <w:rsid w:val="00721B8F"/>
    <w:rsid w:val="00722644"/>
    <w:rsid w:val="00722BB5"/>
    <w:rsid w:val="00722F62"/>
    <w:rsid w:val="00724091"/>
    <w:rsid w:val="007256B4"/>
    <w:rsid w:val="00727708"/>
    <w:rsid w:val="00727823"/>
    <w:rsid w:val="00727A3B"/>
    <w:rsid w:val="0073024A"/>
    <w:rsid w:val="0073048B"/>
    <w:rsid w:val="00730CB7"/>
    <w:rsid w:val="00730DC7"/>
    <w:rsid w:val="00730DF3"/>
    <w:rsid w:val="00732D62"/>
    <w:rsid w:val="00732E24"/>
    <w:rsid w:val="00736448"/>
    <w:rsid w:val="00737314"/>
    <w:rsid w:val="00737B55"/>
    <w:rsid w:val="00740CF4"/>
    <w:rsid w:val="00742144"/>
    <w:rsid w:val="0074433C"/>
    <w:rsid w:val="0074459E"/>
    <w:rsid w:val="0074469F"/>
    <w:rsid w:val="007459E2"/>
    <w:rsid w:val="00745C9C"/>
    <w:rsid w:val="00750677"/>
    <w:rsid w:val="007538B3"/>
    <w:rsid w:val="00753CBE"/>
    <w:rsid w:val="00756056"/>
    <w:rsid w:val="00756405"/>
    <w:rsid w:val="007568BB"/>
    <w:rsid w:val="00757017"/>
    <w:rsid w:val="00760197"/>
    <w:rsid w:val="007613BD"/>
    <w:rsid w:val="00765161"/>
    <w:rsid w:val="0077416B"/>
    <w:rsid w:val="0077439A"/>
    <w:rsid w:val="00774C0B"/>
    <w:rsid w:val="0077517F"/>
    <w:rsid w:val="007754D1"/>
    <w:rsid w:val="007757E6"/>
    <w:rsid w:val="007771AE"/>
    <w:rsid w:val="00777D34"/>
    <w:rsid w:val="00781A4A"/>
    <w:rsid w:val="00782913"/>
    <w:rsid w:val="00782C67"/>
    <w:rsid w:val="0078452D"/>
    <w:rsid w:val="00784F7C"/>
    <w:rsid w:val="007859A7"/>
    <w:rsid w:val="00785F9F"/>
    <w:rsid w:val="0078669F"/>
    <w:rsid w:val="007869E6"/>
    <w:rsid w:val="00787F4E"/>
    <w:rsid w:val="00787F7C"/>
    <w:rsid w:val="00790AFF"/>
    <w:rsid w:val="007911D4"/>
    <w:rsid w:val="0079132C"/>
    <w:rsid w:val="00791861"/>
    <w:rsid w:val="00792CF6"/>
    <w:rsid w:val="00793126"/>
    <w:rsid w:val="0079386C"/>
    <w:rsid w:val="00794BDD"/>
    <w:rsid w:val="00795267"/>
    <w:rsid w:val="0079581A"/>
    <w:rsid w:val="00795A7C"/>
    <w:rsid w:val="0079633B"/>
    <w:rsid w:val="007A1B6F"/>
    <w:rsid w:val="007A77CA"/>
    <w:rsid w:val="007A78F2"/>
    <w:rsid w:val="007B15CC"/>
    <w:rsid w:val="007B2622"/>
    <w:rsid w:val="007B3E87"/>
    <w:rsid w:val="007B51CB"/>
    <w:rsid w:val="007B7642"/>
    <w:rsid w:val="007C01B7"/>
    <w:rsid w:val="007C4924"/>
    <w:rsid w:val="007C496F"/>
    <w:rsid w:val="007C4F7D"/>
    <w:rsid w:val="007C55EC"/>
    <w:rsid w:val="007C5883"/>
    <w:rsid w:val="007C6047"/>
    <w:rsid w:val="007C62EA"/>
    <w:rsid w:val="007C651A"/>
    <w:rsid w:val="007D20AF"/>
    <w:rsid w:val="007D39E7"/>
    <w:rsid w:val="007D3CE0"/>
    <w:rsid w:val="007D4C32"/>
    <w:rsid w:val="007D5DA3"/>
    <w:rsid w:val="007D7239"/>
    <w:rsid w:val="007D7247"/>
    <w:rsid w:val="007D73CD"/>
    <w:rsid w:val="007E011F"/>
    <w:rsid w:val="007E030A"/>
    <w:rsid w:val="007E11CF"/>
    <w:rsid w:val="007E1626"/>
    <w:rsid w:val="007E19CC"/>
    <w:rsid w:val="007E2C1C"/>
    <w:rsid w:val="007E3CA1"/>
    <w:rsid w:val="007E444A"/>
    <w:rsid w:val="007E7362"/>
    <w:rsid w:val="007E7393"/>
    <w:rsid w:val="007F0E6B"/>
    <w:rsid w:val="007F315F"/>
    <w:rsid w:val="007F338C"/>
    <w:rsid w:val="007F4A81"/>
    <w:rsid w:val="007F4BEE"/>
    <w:rsid w:val="007F7FDD"/>
    <w:rsid w:val="008009AA"/>
    <w:rsid w:val="008014A3"/>
    <w:rsid w:val="00803E2C"/>
    <w:rsid w:val="008048F2"/>
    <w:rsid w:val="00812372"/>
    <w:rsid w:val="0081253A"/>
    <w:rsid w:val="00814A01"/>
    <w:rsid w:val="00815548"/>
    <w:rsid w:val="00815BF5"/>
    <w:rsid w:val="0081673F"/>
    <w:rsid w:val="00817114"/>
    <w:rsid w:val="00820F22"/>
    <w:rsid w:val="0082127C"/>
    <w:rsid w:val="00822015"/>
    <w:rsid w:val="00822C3C"/>
    <w:rsid w:val="00823594"/>
    <w:rsid w:val="00825378"/>
    <w:rsid w:val="00825FBE"/>
    <w:rsid w:val="00827D11"/>
    <w:rsid w:val="00831257"/>
    <w:rsid w:val="00831D54"/>
    <w:rsid w:val="00832BCC"/>
    <w:rsid w:val="00835290"/>
    <w:rsid w:val="008352F4"/>
    <w:rsid w:val="008353BB"/>
    <w:rsid w:val="008362B9"/>
    <w:rsid w:val="0083780C"/>
    <w:rsid w:val="008427C8"/>
    <w:rsid w:val="008431E0"/>
    <w:rsid w:val="00844127"/>
    <w:rsid w:val="008454DB"/>
    <w:rsid w:val="008469B7"/>
    <w:rsid w:val="00847BF1"/>
    <w:rsid w:val="00852CE4"/>
    <w:rsid w:val="0085337E"/>
    <w:rsid w:val="0085352B"/>
    <w:rsid w:val="008538DA"/>
    <w:rsid w:val="00854C95"/>
    <w:rsid w:val="00855127"/>
    <w:rsid w:val="00855FDB"/>
    <w:rsid w:val="00856C28"/>
    <w:rsid w:val="00856CF2"/>
    <w:rsid w:val="00857792"/>
    <w:rsid w:val="008578CB"/>
    <w:rsid w:val="00857F73"/>
    <w:rsid w:val="0086017F"/>
    <w:rsid w:val="00860800"/>
    <w:rsid w:val="00861563"/>
    <w:rsid w:val="008618AC"/>
    <w:rsid w:val="008626AF"/>
    <w:rsid w:val="00863CC5"/>
    <w:rsid w:val="00864330"/>
    <w:rsid w:val="0086605A"/>
    <w:rsid w:val="00866B53"/>
    <w:rsid w:val="00867887"/>
    <w:rsid w:val="0087092D"/>
    <w:rsid w:val="00871817"/>
    <w:rsid w:val="00872E93"/>
    <w:rsid w:val="00873226"/>
    <w:rsid w:val="008735DE"/>
    <w:rsid w:val="00876DAB"/>
    <w:rsid w:val="008803A4"/>
    <w:rsid w:val="00880D1C"/>
    <w:rsid w:val="00880EF6"/>
    <w:rsid w:val="008830FF"/>
    <w:rsid w:val="00883E08"/>
    <w:rsid w:val="00883F48"/>
    <w:rsid w:val="008852D3"/>
    <w:rsid w:val="008860F8"/>
    <w:rsid w:val="00886613"/>
    <w:rsid w:val="0089196C"/>
    <w:rsid w:val="0089261E"/>
    <w:rsid w:val="0089343C"/>
    <w:rsid w:val="008944FF"/>
    <w:rsid w:val="008947B7"/>
    <w:rsid w:val="0089565C"/>
    <w:rsid w:val="00895753"/>
    <w:rsid w:val="008962F2"/>
    <w:rsid w:val="0089654A"/>
    <w:rsid w:val="008967EB"/>
    <w:rsid w:val="00896C4D"/>
    <w:rsid w:val="00897588"/>
    <w:rsid w:val="008A30DB"/>
    <w:rsid w:val="008A3C26"/>
    <w:rsid w:val="008A45AF"/>
    <w:rsid w:val="008A5E25"/>
    <w:rsid w:val="008A68D9"/>
    <w:rsid w:val="008A6B05"/>
    <w:rsid w:val="008B108E"/>
    <w:rsid w:val="008B27D2"/>
    <w:rsid w:val="008B2D00"/>
    <w:rsid w:val="008B31AB"/>
    <w:rsid w:val="008B3B27"/>
    <w:rsid w:val="008B54EA"/>
    <w:rsid w:val="008B5906"/>
    <w:rsid w:val="008B5EDB"/>
    <w:rsid w:val="008B6BA6"/>
    <w:rsid w:val="008B7031"/>
    <w:rsid w:val="008B7CD2"/>
    <w:rsid w:val="008C08DA"/>
    <w:rsid w:val="008C1355"/>
    <w:rsid w:val="008C25BC"/>
    <w:rsid w:val="008C38EB"/>
    <w:rsid w:val="008C4C8E"/>
    <w:rsid w:val="008C63E3"/>
    <w:rsid w:val="008C67C8"/>
    <w:rsid w:val="008C7F4E"/>
    <w:rsid w:val="008D0C4F"/>
    <w:rsid w:val="008D0D88"/>
    <w:rsid w:val="008D1DF2"/>
    <w:rsid w:val="008D25C8"/>
    <w:rsid w:val="008D4E9B"/>
    <w:rsid w:val="008D58DD"/>
    <w:rsid w:val="008D692F"/>
    <w:rsid w:val="008D6CDB"/>
    <w:rsid w:val="008D7137"/>
    <w:rsid w:val="008E0C6B"/>
    <w:rsid w:val="008E2937"/>
    <w:rsid w:val="008E5242"/>
    <w:rsid w:val="008E730D"/>
    <w:rsid w:val="008F0132"/>
    <w:rsid w:val="008F1D5E"/>
    <w:rsid w:val="008F3612"/>
    <w:rsid w:val="008F4F1A"/>
    <w:rsid w:val="008F5C77"/>
    <w:rsid w:val="008F6B6E"/>
    <w:rsid w:val="008F764B"/>
    <w:rsid w:val="009011D3"/>
    <w:rsid w:val="00901B5B"/>
    <w:rsid w:val="009026AA"/>
    <w:rsid w:val="00902A0E"/>
    <w:rsid w:val="009030C4"/>
    <w:rsid w:val="009040C7"/>
    <w:rsid w:val="009055D9"/>
    <w:rsid w:val="009060B4"/>
    <w:rsid w:val="00906A56"/>
    <w:rsid w:val="00906AD1"/>
    <w:rsid w:val="009101E4"/>
    <w:rsid w:val="00910351"/>
    <w:rsid w:val="00911B93"/>
    <w:rsid w:val="00912462"/>
    <w:rsid w:val="00912DB2"/>
    <w:rsid w:val="00913159"/>
    <w:rsid w:val="00914758"/>
    <w:rsid w:val="00915D92"/>
    <w:rsid w:val="0091680F"/>
    <w:rsid w:val="00916ADF"/>
    <w:rsid w:val="00917A1A"/>
    <w:rsid w:val="00920D31"/>
    <w:rsid w:val="009216A1"/>
    <w:rsid w:val="00921C5D"/>
    <w:rsid w:val="00923C6D"/>
    <w:rsid w:val="00925B5B"/>
    <w:rsid w:val="009322BB"/>
    <w:rsid w:val="00933172"/>
    <w:rsid w:val="009338F7"/>
    <w:rsid w:val="00933CC8"/>
    <w:rsid w:val="00934D70"/>
    <w:rsid w:val="009351E2"/>
    <w:rsid w:val="009366BF"/>
    <w:rsid w:val="009379B3"/>
    <w:rsid w:val="0094034D"/>
    <w:rsid w:val="00941295"/>
    <w:rsid w:val="00941A43"/>
    <w:rsid w:val="009434E7"/>
    <w:rsid w:val="00943D52"/>
    <w:rsid w:val="00944238"/>
    <w:rsid w:val="00946669"/>
    <w:rsid w:val="00946F3E"/>
    <w:rsid w:val="00950CF7"/>
    <w:rsid w:val="00952AFA"/>
    <w:rsid w:val="00954124"/>
    <w:rsid w:val="0095623A"/>
    <w:rsid w:val="009604E6"/>
    <w:rsid w:val="00962592"/>
    <w:rsid w:val="00963621"/>
    <w:rsid w:val="00972F65"/>
    <w:rsid w:val="009734D8"/>
    <w:rsid w:val="00973AFD"/>
    <w:rsid w:val="0097451F"/>
    <w:rsid w:val="00974801"/>
    <w:rsid w:val="00975296"/>
    <w:rsid w:val="0097546D"/>
    <w:rsid w:val="00975D07"/>
    <w:rsid w:val="009766E3"/>
    <w:rsid w:val="00976EC4"/>
    <w:rsid w:val="00976EF4"/>
    <w:rsid w:val="00981AF2"/>
    <w:rsid w:val="00983329"/>
    <w:rsid w:val="00984466"/>
    <w:rsid w:val="00984AAA"/>
    <w:rsid w:val="00984D5C"/>
    <w:rsid w:val="00985E58"/>
    <w:rsid w:val="009872B1"/>
    <w:rsid w:val="00987351"/>
    <w:rsid w:val="00990BC4"/>
    <w:rsid w:val="009923F5"/>
    <w:rsid w:val="00992BC7"/>
    <w:rsid w:val="0099363D"/>
    <w:rsid w:val="00993AE1"/>
    <w:rsid w:val="00993CDF"/>
    <w:rsid w:val="00995BD6"/>
    <w:rsid w:val="009973AF"/>
    <w:rsid w:val="009974C0"/>
    <w:rsid w:val="009A17DA"/>
    <w:rsid w:val="009A2CB3"/>
    <w:rsid w:val="009A33AB"/>
    <w:rsid w:val="009A66FB"/>
    <w:rsid w:val="009B0B3C"/>
    <w:rsid w:val="009B0BEC"/>
    <w:rsid w:val="009B0EE6"/>
    <w:rsid w:val="009B355A"/>
    <w:rsid w:val="009B3C85"/>
    <w:rsid w:val="009B5B1B"/>
    <w:rsid w:val="009B62BE"/>
    <w:rsid w:val="009B661F"/>
    <w:rsid w:val="009C122B"/>
    <w:rsid w:val="009C2D7D"/>
    <w:rsid w:val="009C33B8"/>
    <w:rsid w:val="009C3BAA"/>
    <w:rsid w:val="009C3E9B"/>
    <w:rsid w:val="009C45AD"/>
    <w:rsid w:val="009C7CAE"/>
    <w:rsid w:val="009D0C54"/>
    <w:rsid w:val="009D1D53"/>
    <w:rsid w:val="009D4055"/>
    <w:rsid w:val="009D4057"/>
    <w:rsid w:val="009D4B22"/>
    <w:rsid w:val="009D5BB1"/>
    <w:rsid w:val="009D5D00"/>
    <w:rsid w:val="009D64C3"/>
    <w:rsid w:val="009E1FA0"/>
    <w:rsid w:val="009E223F"/>
    <w:rsid w:val="009E29F2"/>
    <w:rsid w:val="009E50A5"/>
    <w:rsid w:val="009F0401"/>
    <w:rsid w:val="009F0DDE"/>
    <w:rsid w:val="009F15BE"/>
    <w:rsid w:val="009F1FC2"/>
    <w:rsid w:val="009F3AEA"/>
    <w:rsid w:val="009F50C0"/>
    <w:rsid w:val="009F6852"/>
    <w:rsid w:val="009F722D"/>
    <w:rsid w:val="009F7A79"/>
    <w:rsid w:val="00A02B0C"/>
    <w:rsid w:val="00A02BAC"/>
    <w:rsid w:val="00A04490"/>
    <w:rsid w:val="00A05222"/>
    <w:rsid w:val="00A0537E"/>
    <w:rsid w:val="00A05FD5"/>
    <w:rsid w:val="00A078A4"/>
    <w:rsid w:val="00A137D6"/>
    <w:rsid w:val="00A15C52"/>
    <w:rsid w:val="00A165E0"/>
    <w:rsid w:val="00A17338"/>
    <w:rsid w:val="00A21521"/>
    <w:rsid w:val="00A2242E"/>
    <w:rsid w:val="00A224D3"/>
    <w:rsid w:val="00A24C46"/>
    <w:rsid w:val="00A24C87"/>
    <w:rsid w:val="00A25BFF"/>
    <w:rsid w:val="00A26DFD"/>
    <w:rsid w:val="00A27990"/>
    <w:rsid w:val="00A27F84"/>
    <w:rsid w:val="00A304B2"/>
    <w:rsid w:val="00A32154"/>
    <w:rsid w:val="00A32714"/>
    <w:rsid w:val="00A32883"/>
    <w:rsid w:val="00A33CB8"/>
    <w:rsid w:val="00A356B8"/>
    <w:rsid w:val="00A375C3"/>
    <w:rsid w:val="00A40000"/>
    <w:rsid w:val="00A42D52"/>
    <w:rsid w:val="00A466D9"/>
    <w:rsid w:val="00A46F4B"/>
    <w:rsid w:val="00A474B5"/>
    <w:rsid w:val="00A479DA"/>
    <w:rsid w:val="00A501ED"/>
    <w:rsid w:val="00A5077B"/>
    <w:rsid w:val="00A5085A"/>
    <w:rsid w:val="00A51B77"/>
    <w:rsid w:val="00A51BD2"/>
    <w:rsid w:val="00A52C8C"/>
    <w:rsid w:val="00A53E85"/>
    <w:rsid w:val="00A55063"/>
    <w:rsid w:val="00A57E43"/>
    <w:rsid w:val="00A60270"/>
    <w:rsid w:val="00A60D5D"/>
    <w:rsid w:val="00A610B9"/>
    <w:rsid w:val="00A62AA2"/>
    <w:rsid w:val="00A63C25"/>
    <w:rsid w:val="00A63C6A"/>
    <w:rsid w:val="00A64CF3"/>
    <w:rsid w:val="00A67AF4"/>
    <w:rsid w:val="00A70562"/>
    <w:rsid w:val="00A70AC5"/>
    <w:rsid w:val="00A72850"/>
    <w:rsid w:val="00A72BEF"/>
    <w:rsid w:val="00A73FD1"/>
    <w:rsid w:val="00A742E9"/>
    <w:rsid w:val="00A744BB"/>
    <w:rsid w:val="00A744F8"/>
    <w:rsid w:val="00A76AE1"/>
    <w:rsid w:val="00A808ED"/>
    <w:rsid w:val="00A81C15"/>
    <w:rsid w:val="00A82E7C"/>
    <w:rsid w:val="00A838C1"/>
    <w:rsid w:val="00A83D8B"/>
    <w:rsid w:val="00A846C2"/>
    <w:rsid w:val="00A85BD0"/>
    <w:rsid w:val="00A876E6"/>
    <w:rsid w:val="00A913CB"/>
    <w:rsid w:val="00A92927"/>
    <w:rsid w:val="00A9341A"/>
    <w:rsid w:val="00A938EF"/>
    <w:rsid w:val="00A93C21"/>
    <w:rsid w:val="00A93CC4"/>
    <w:rsid w:val="00A9686D"/>
    <w:rsid w:val="00A97B24"/>
    <w:rsid w:val="00AA01FC"/>
    <w:rsid w:val="00AA0215"/>
    <w:rsid w:val="00AA09CF"/>
    <w:rsid w:val="00AA3DE2"/>
    <w:rsid w:val="00AA5B62"/>
    <w:rsid w:val="00AA6677"/>
    <w:rsid w:val="00AA6D17"/>
    <w:rsid w:val="00AA7233"/>
    <w:rsid w:val="00AB03FB"/>
    <w:rsid w:val="00AB15AF"/>
    <w:rsid w:val="00AB162B"/>
    <w:rsid w:val="00AB40C5"/>
    <w:rsid w:val="00AB48B2"/>
    <w:rsid w:val="00AB56C8"/>
    <w:rsid w:val="00AB5B18"/>
    <w:rsid w:val="00AB5C02"/>
    <w:rsid w:val="00AC1D67"/>
    <w:rsid w:val="00AC20C5"/>
    <w:rsid w:val="00AC21BC"/>
    <w:rsid w:val="00AC6724"/>
    <w:rsid w:val="00AC6A9E"/>
    <w:rsid w:val="00AC74CE"/>
    <w:rsid w:val="00AC7F8B"/>
    <w:rsid w:val="00AD014F"/>
    <w:rsid w:val="00AD042F"/>
    <w:rsid w:val="00AD0C41"/>
    <w:rsid w:val="00AD55E8"/>
    <w:rsid w:val="00AD662B"/>
    <w:rsid w:val="00AD7434"/>
    <w:rsid w:val="00AE0481"/>
    <w:rsid w:val="00AE07CE"/>
    <w:rsid w:val="00AE0A05"/>
    <w:rsid w:val="00AE4DDB"/>
    <w:rsid w:val="00AE5592"/>
    <w:rsid w:val="00AE67A8"/>
    <w:rsid w:val="00AF0A19"/>
    <w:rsid w:val="00AF1A5F"/>
    <w:rsid w:val="00AF1C6B"/>
    <w:rsid w:val="00AF73A1"/>
    <w:rsid w:val="00AF7489"/>
    <w:rsid w:val="00AF7843"/>
    <w:rsid w:val="00B010F4"/>
    <w:rsid w:val="00B019A5"/>
    <w:rsid w:val="00B01C83"/>
    <w:rsid w:val="00B01D62"/>
    <w:rsid w:val="00B01F3A"/>
    <w:rsid w:val="00B02631"/>
    <w:rsid w:val="00B03639"/>
    <w:rsid w:val="00B04791"/>
    <w:rsid w:val="00B050E3"/>
    <w:rsid w:val="00B067D5"/>
    <w:rsid w:val="00B07A3C"/>
    <w:rsid w:val="00B07ED2"/>
    <w:rsid w:val="00B11F43"/>
    <w:rsid w:val="00B13C6C"/>
    <w:rsid w:val="00B1468E"/>
    <w:rsid w:val="00B14AEE"/>
    <w:rsid w:val="00B15F14"/>
    <w:rsid w:val="00B16306"/>
    <w:rsid w:val="00B17ED6"/>
    <w:rsid w:val="00B20FA2"/>
    <w:rsid w:val="00B21A26"/>
    <w:rsid w:val="00B21CDF"/>
    <w:rsid w:val="00B2348F"/>
    <w:rsid w:val="00B23607"/>
    <w:rsid w:val="00B24374"/>
    <w:rsid w:val="00B2510F"/>
    <w:rsid w:val="00B263EC"/>
    <w:rsid w:val="00B268CD"/>
    <w:rsid w:val="00B270C8"/>
    <w:rsid w:val="00B27804"/>
    <w:rsid w:val="00B278F0"/>
    <w:rsid w:val="00B30B96"/>
    <w:rsid w:val="00B31EEA"/>
    <w:rsid w:val="00B32E97"/>
    <w:rsid w:val="00B34A5B"/>
    <w:rsid w:val="00B34D23"/>
    <w:rsid w:val="00B360D4"/>
    <w:rsid w:val="00B372C7"/>
    <w:rsid w:val="00B43CA0"/>
    <w:rsid w:val="00B43E4D"/>
    <w:rsid w:val="00B478AE"/>
    <w:rsid w:val="00B5045B"/>
    <w:rsid w:val="00B50F98"/>
    <w:rsid w:val="00B516F2"/>
    <w:rsid w:val="00B529A6"/>
    <w:rsid w:val="00B540E2"/>
    <w:rsid w:val="00B54B71"/>
    <w:rsid w:val="00B567F5"/>
    <w:rsid w:val="00B61DF4"/>
    <w:rsid w:val="00B6239C"/>
    <w:rsid w:val="00B6255F"/>
    <w:rsid w:val="00B62A6B"/>
    <w:rsid w:val="00B62DE4"/>
    <w:rsid w:val="00B62DF9"/>
    <w:rsid w:val="00B63012"/>
    <w:rsid w:val="00B658A4"/>
    <w:rsid w:val="00B720F4"/>
    <w:rsid w:val="00B72665"/>
    <w:rsid w:val="00B7373E"/>
    <w:rsid w:val="00B73807"/>
    <w:rsid w:val="00B73F86"/>
    <w:rsid w:val="00B749E7"/>
    <w:rsid w:val="00B7562C"/>
    <w:rsid w:val="00B75D57"/>
    <w:rsid w:val="00B7675F"/>
    <w:rsid w:val="00B8004A"/>
    <w:rsid w:val="00B80FC2"/>
    <w:rsid w:val="00B8287B"/>
    <w:rsid w:val="00B83DB7"/>
    <w:rsid w:val="00B85592"/>
    <w:rsid w:val="00B856B5"/>
    <w:rsid w:val="00B861AC"/>
    <w:rsid w:val="00B86FD3"/>
    <w:rsid w:val="00B87A25"/>
    <w:rsid w:val="00B87B44"/>
    <w:rsid w:val="00B913EB"/>
    <w:rsid w:val="00B925FE"/>
    <w:rsid w:val="00B9300C"/>
    <w:rsid w:val="00B94212"/>
    <w:rsid w:val="00B94C80"/>
    <w:rsid w:val="00B94D89"/>
    <w:rsid w:val="00B95403"/>
    <w:rsid w:val="00B9582F"/>
    <w:rsid w:val="00B95C1D"/>
    <w:rsid w:val="00B96086"/>
    <w:rsid w:val="00B96D45"/>
    <w:rsid w:val="00BA29E5"/>
    <w:rsid w:val="00BA43AE"/>
    <w:rsid w:val="00BA4F33"/>
    <w:rsid w:val="00BA514A"/>
    <w:rsid w:val="00BA754F"/>
    <w:rsid w:val="00BA760B"/>
    <w:rsid w:val="00BB0111"/>
    <w:rsid w:val="00BB11D8"/>
    <w:rsid w:val="00BB2EE9"/>
    <w:rsid w:val="00BB557B"/>
    <w:rsid w:val="00BB55E2"/>
    <w:rsid w:val="00BB565F"/>
    <w:rsid w:val="00BB5682"/>
    <w:rsid w:val="00BB6F7C"/>
    <w:rsid w:val="00BC0112"/>
    <w:rsid w:val="00BC0894"/>
    <w:rsid w:val="00BC59E7"/>
    <w:rsid w:val="00BD004A"/>
    <w:rsid w:val="00BD0264"/>
    <w:rsid w:val="00BD2386"/>
    <w:rsid w:val="00BD479A"/>
    <w:rsid w:val="00BD67AB"/>
    <w:rsid w:val="00BD7D68"/>
    <w:rsid w:val="00BE0139"/>
    <w:rsid w:val="00BE1992"/>
    <w:rsid w:val="00BE19EB"/>
    <w:rsid w:val="00BE2C83"/>
    <w:rsid w:val="00BE5D31"/>
    <w:rsid w:val="00BE6D4E"/>
    <w:rsid w:val="00BE7CA8"/>
    <w:rsid w:val="00BF122F"/>
    <w:rsid w:val="00BF23D9"/>
    <w:rsid w:val="00BF35C9"/>
    <w:rsid w:val="00BF3C58"/>
    <w:rsid w:val="00BF49C3"/>
    <w:rsid w:val="00BF5DC5"/>
    <w:rsid w:val="00BF6472"/>
    <w:rsid w:val="00BF6F5C"/>
    <w:rsid w:val="00BF7B04"/>
    <w:rsid w:val="00C00BBC"/>
    <w:rsid w:val="00C0319C"/>
    <w:rsid w:val="00C03D36"/>
    <w:rsid w:val="00C04D60"/>
    <w:rsid w:val="00C0563D"/>
    <w:rsid w:val="00C06635"/>
    <w:rsid w:val="00C0704A"/>
    <w:rsid w:val="00C070A5"/>
    <w:rsid w:val="00C070F9"/>
    <w:rsid w:val="00C10267"/>
    <w:rsid w:val="00C106DF"/>
    <w:rsid w:val="00C11144"/>
    <w:rsid w:val="00C12743"/>
    <w:rsid w:val="00C13672"/>
    <w:rsid w:val="00C138C9"/>
    <w:rsid w:val="00C140A8"/>
    <w:rsid w:val="00C140E8"/>
    <w:rsid w:val="00C21ED6"/>
    <w:rsid w:val="00C2361F"/>
    <w:rsid w:val="00C238DE"/>
    <w:rsid w:val="00C24D73"/>
    <w:rsid w:val="00C254F5"/>
    <w:rsid w:val="00C27089"/>
    <w:rsid w:val="00C273E8"/>
    <w:rsid w:val="00C27E65"/>
    <w:rsid w:val="00C31EC7"/>
    <w:rsid w:val="00C322EA"/>
    <w:rsid w:val="00C32871"/>
    <w:rsid w:val="00C33874"/>
    <w:rsid w:val="00C33E25"/>
    <w:rsid w:val="00C3494A"/>
    <w:rsid w:val="00C34BC2"/>
    <w:rsid w:val="00C366B9"/>
    <w:rsid w:val="00C367AB"/>
    <w:rsid w:val="00C36B24"/>
    <w:rsid w:val="00C40133"/>
    <w:rsid w:val="00C4141F"/>
    <w:rsid w:val="00C42045"/>
    <w:rsid w:val="00C42051"/>
    <w:rsid w:val="00C44EDB"/>
    <w:rsid w:val="00C457E3"/>
    <w:rsid w:val="00C45ABC"/>
    <w:rsid w:val="00C45D9D"/>
    <w:rsid w:val="00C45E37"/>
    <w:rsid w:val="00C45E69"/>
    <w:rsid w:val="00C4693F"/>
    <w:rsid w:val="00C515BF"/>
    <w:rsid w:val="00C51718"/>
    <w:rsid w:val="00C523F7"/>
    <w:rsid w:val="00C54849"/>
    <w:rsid w:val="00C54ACB"/>
    <w:rsid w:val="00C5725F"/>
    <w:rsid w:val="00C5751A"/>
    <w:rsid w:val="00C57ECC"/>
    <w:rsid w:val="00C61FFF"/>
    <w:rsid w:val="00C6213B"/>
    <w:rsid w:val="00C634F5"/>
    <w:rsid w:val="00C63D72"/>
    <w:rsid w:val="00C648FB"/>
    <w:rsid w:val="00C6598C"/>
    <w:rsid w:val="00C66A6E"/>
    <w:rsid w:val="00C66D1B"/>
    <w:rsid w:val="00C6728E"/>
    <w:rsid w:val="00C67851"/>
    <w:rsid w:val="00C7006E"/>
    <w:rsid w:val="00C710D1"/>
    <w:rsid w:val="00C74D54"/>
    <w:rsid w:val="00C74FFB"/>
    <w:rsid w:val="00C754F9"/>
    <w:rsid w:val="00C7722B"/>
    <w:rsid w:val="00C777E7"/>
    <w:rsid w:val="00C80E00"/>
    <w:rsid w:val="00C83972"/>
    <w:rsid w:val="00C83A35"/>
    <w:rsid w:val="00C83C1F"/>
    <w:rsid w:val="00C87873"/>
    <w:rsid w:val="00C87A3D"/>
    <w:rsid w:val="00C912AD"/>
    <w:rsid w:val="00C93885"/>
    <w:rsid w:val="00C95B59"/>
    <w:rsid w:val="00CA1024"/>
    <w:rsid w:val="00CA158F"/>
    <w:rsid w:val="00CA1DD1"/>
    <w:rsid w:val="00CA6B98"/>
    <w:rsid w:val="00CA7E11"/>
    <w:rsid w:val="00CB0604"/>
    <w:rsid w:val="00CB0994"/>
    <w:rsid w:val="00CB0E9B"/>
    <w:rsid w:val="00CB1390"/>
    <w:rsid w:val="00CB3995"/>
    <w:rsid w:val="00CB3AFB"/>
    <w:rsid w:val="00CB556C"/>
    <w:rsid w:val="00CB5ABF"/>
    <w:rsid w:val="00CB5B19"/>
    <w:rsid w:val="00CB6D62"/>
    <w:rsid w:val="00CB7C38"/>
    <w:rsid w:val="00CC15B3"/>
    <w:rsid w:val="00CC170C"/>
    <w:rsid w:val="00CC1994"/>
    <w:rsid w:val="00CC250F"/>
    <w:rsid w:val="00CC326A"/>
    <w:rsid w:val="00CC5F40"/>
    <w:rsid w:val="00CC66E0"/>
    <w:rsid w:val="00CD0F0A"/>
    <w:rsid w:val="00CD172F"/>
    <w:rsid w:val="00CD1E1E"/>
    <w:rsid w:val="00CD1F3F"/>
    <w:rsid w:val="00CD1F4E"/>
    <w:rsid w:val="00CD2A08"/>
    <w:rsid w:val="00CD4541"/>
    <w:rsid w:val="00CD6F5F"/>
    <w:rsid w:val="00CE0E19"/>
    <w:rsid w:val="00CE1151"/>
    <w:rsid w:val="00CE15F6"/>
    <w:rsid w:val="00CE15F8"/>
    <w:rsid w:val="00CE2BA3"/>
    <w:rsid w:val="00CE3B7F"/>
    <w:rsid w:val="00CE6602"/>
    <w:rsid w:val="00CE6865"/>
    <w:rsid w:val="00CE703D"/>
    <w:rsid w:val="00CF0CA3"/>
    <w:rsid w:val="00CF1EDA"/>
    <w:rsid w:val="00CF2727"/>
    <w:rsid w:val="00CF28A2"/>
    <w:rsid w:val="00CF4909"/>
    <w:rsid w:val="00CF5CC8"/>
    <w:rsid w:val="00CF64BE"/>
    <w:rsid w:val="00CF6892"/>
    <w:rsid w:val="00CF76C2"/>
    <w:rsid w:val="00D01939"/>
    <w:rsid w:val="00D01BCF"/>
    <w:rsid w:val="00D0244A"/>
    <w:rsid w:val="00D04FA4"/>
    <w:rsid w:val="00D06DEE"/>
    <w:rsid w:val="00D07A40"/>
    <w:rsid w:val="00D10740"/>
    <w:rsid w:val="00D10FB8"/>
    <w:rsid w:val="00D168EA"/>
    <w:rsid w:val="00D20FA4"/>
    <w:rsid w:val="00D213A1"/>
    <w:rsid w:val="00D21915"/>
    <w:rsid w:val="00D2265E"/>
    <w:rsid w:val="00D24673"/>
    <w:rsid w:val="00D2581B"/>
    <w:rsid w:val="00D27D66"/>
    <w:rsid w:val="00D30122"/>
    <w:rsid w:val="00D30FC7"/>
    <w:rsid w:val="00D30FF8"/>
    <w:rsid w:val="00D31515"/>
    <w:rsid w:val="00D3178C"/>
    <w:rsid w:val="00D32B9E"/>
    <w:rsid w:val="00D341FE"/>
    <w:rsid w:val="00D35194"/>
    <w:rsid w:val="00D3659E"/>
    <w:rsid w:val="00D36C3C"/>
    <w:rsid w:val="00D36CC5"/>
    <w:rsid w:val="00D36F24"/>
    <w:rsid w:val="00D3743D"/>
    <w:rsid w:val="00D40DBD"/>
    <w:rsid w:val="00D41213"/>
    <w:rsid w:val="00D415C9"/>
    <w:rsid w:val="00D41606"/>
    <w:rsid w:val="00D420DA"/>
    <w:rsid w:val="00D4300E"/>
    <w:rsid w:val="00D43F46"/>
    <w:rsid w:val="00D46168"/>
    <w:rsid w:val="00D470AF"/>
    <w:rsid w:val="00D4724B"/>
    <w:rsid w:val="00D4784A"/>
    <w:rsid w:val="00D47FB6"/>
    <w:rsid w:val="00D50C79"/>
    <w:rsid w:val="00D516CB"/>
    <w:rsid w:val="00D53B21"/>
    <w:rsid w:val="00D55BFC"/>
    <w:rsid w:val="00D60A74"/>
    <w:rsid w:val="00D61E86"/>
    <w:rsid w:val="00D65E5D"/>
    <w:rsid w:val="00D662BD"/>
    <w:rsid w:val="00D66928"/>
    <w:rsid w:val="00D722D1"/>
    <w:rsid w:val="00D72DA5"/>
    <w:rsid w:val="00D72EA9"/>
    <w:rsid w:val="00D7316E"/>
    <w:rsid w:val="00D755FA"/>
    <w:rsid w:val="00D77CF0"/>
    <w:rsid w:val="00D80D78"/>
    <w:rsid w:val="00D81A80"/>
    <w:rsid w:val="00D8299D"/>
    <w:rsid w:val="00D82B7E"/>
    <w:rsid w:val="00D835B3"/>
    <w:rsid w:val="00D83778"/>
    <w:rsid w:val="00D837CE"/>
    <w:rsid w:val="00D85A40"/>
    <w:rsid w:val="00D85D04"/>
    <w:rsid w:val="00D861BA"/>
    <w:rsid w:val="00D861E6"/>
    <w:rsid w:val="00D868E6"/>
    <w:rsid w:val="00D874AE"/>
    <w:rsid w:val="00D90A74"/>
    <w:rsid w:val="00D91126"/>
    <w:rsid w:val="00D96147"/>
    <w:rsid w:val="00D9641A"/>
    <w:rsid w:val="00D968E1"/>
    <w:rsid w:val="00D97B98"/>
    <w:rsid w:val="00DA0904"/>
    <w:rsid w:val="00DA27A0"/>
    <w:rsid w:val="00DA3442"/>
    <w:rsid w:val="00DA4B42"/>
    <w:rsid w:val="00DA562C"/>
    <w:rsid w:val="00DA60DD"/>
    <w:rsid w:val="00DA66AD"/>
    <w:rsid w:val="00DA74E9"/>
    <w:rsid w:val="00DB03E0"/>
    <w:rsid w:val="00DB08FD"/>
    <w:rsid w:val="00DB54E9"/>
    <w:rsid w:val="00DB6B8E"/>
    <w:rsid w:val="00DB70CA"/>
    <w:rsid w:val="00DC09A1"/>
    <w:rsid w:val="00DC186F"/>
    <w:rsid w:val="00DC25E0"/>
    <w:rsid w:val="00DC3C15"/>
    <w:rsid w:val="00DC4BB4"/>
    <w:rsid w:val="00DC532B"/>
    <w:rsid w:val="00DC7634"/>
    <w:rsid w:val="00DC7C79"/>
    <w:rsid w:val="00DC7E48"/>
    <w:rsid w:val="00DD1841"/>
    <w:rsid w:val="00DD3C9B"/>
    <w:rsid w:val="00DD42C6"/>
    <w:rsid w:val="00DD463B"/>
    <w:rsid w:val="00DD5678"/>
    <w:rsid w:val="00DD5D97"/>
    <w:rsid w:val="00DD619F"/>
    <w:rsid w:val="00DD79D4"/>
    <w:rsid w:val="00DE0308"/>
    <w:rsid w:val="00DE0571"/>
    <w:rsid w:val="00DE074E"/>
    <w:rsid w:val="00DE11F2"/>
    <w:rsid w:val="00DE27FA"/>
    <w:rsid w:val="00DE2D44"/>
    <w:rsid w:val="00DE3A62"/>
    <w:rsid w:val="00DE3FFC"/>
    <w:rsid w:val="00DE6713"/>
    <w:rsid w:val="00DE6CF0"/>
    <w:rsid w:val="00DF0331"/>
    <w:rsid w:val="00DF1F14"/>
    <w:rsid w:val="00DF2034"/>
    <w:rsid w:val="00DF22B7"/>
    <w:rsid w:val="00DF3043"/>
    <w:rsid w:val="00DF3DC2"/>
    <w:rsid w:val="00DF5AFF"/>
    <w:rsid w:val="00DF67F0"/>
    <w:rsid w:val="00DF6879"/>
    <w:rsid w:val="00DF73E9"/>
    <w:rsid w:val="00DF7436"/>
    <w:rsid w:val="00DF74D8"/>
    <w:rsid w:val="00E009B9"/>
    <w:rsid w:val="00E0262F"/>
    <w:rsid w:val="00E028A6"/>
    <w:rsid w:val="00E036CA"/>
    <w:rsid w:val="00E03E91"/>
    <w:rsid w:val="00E0448B"/>
    <w:rsid w:val="00E060C7"/>
    <w:rsid w:val="00E063E5"/>
    <w:rsid w:val="00E0707F"/>
    <w:rsid w:val="00E07588"/>
    <w:rsid w:val="00E075F2"/>
    <w:rsid w:val="00E079EC"/>
    <w:rsid w:val="00E10174"/>
    <w:rsid w:val="00E10A94"/>
    <w:rsid w:val="00E12037"/>
    <w:rsid w:val="00E14326"/>
    <w:rsid w:val="00E15346"/>
    <w:rsid w:val="00E15350"/>
    <w:rsid w:val="00E15964"/>
    <w:rsid w:val="00E1762E"/>
    <w:rsid w:val="00E17CB4"/>
    <w:rsid w:val="00E22464"/>
    <w:rsid w:val="00E23E70"/>
    <w:rsid w:val="00E23F87"/>
    <w:rsid w:val="00E24E34"/>
    <w:rsid w:val="00E27217"/>
    <w:rsid w:val="00E27C9B"/>
    <w:rsid w:val="00E305E7"/>
    <w:rsid w:val="00E318A2"/>
    <w:rsid w:val="00E32085"/>
    <w:rsid w:val="00E34CA6"/>
    <w:rsid w:val="00E35E2B"/>
    <w:rsid w:val="00E36669"/>
    <w:rsid w:val="00E3689E"/>
    <w:rsid w:val="00E4042E"/>
    <w:rsid w:val="00E41155"/>
    <w:rsid w:val="00E4281A"/>
    <w:rsid w:val="00E44D56"/>
    <w:rsid w:val="00E46FC8"/>
    <w:rsid w:val="00E50FC4"/>
    <w:rsid w:val="00E5101E"/>
    <w:rsid w:val="00E51996"/>
    <w:rsid w:val="00E52459"/>
    <w:rsid w:val="00E54DF8"/>
    <w:rsid w:val="00E60BAF"/>
    <w:rsid w:val="00E61C02"/>
    <w:rsid w:val="00E624C3"/>
    <w:rsid w:val="00E658AC"/>
    <w:rsid w:val="00E65C9C"/>
    <w:rsid w:val="00E663A0"/>
    <w:rsid w:val="00E66E5E"/>
    <w:rsid w:val="00E66FFA"/>
    <w:rsid w:val="00E711B8"/>
    <w:rsid w:val="00E71BF1"/>
    <w:rsid w:val="00E732AD"/>
    <w:rsid w:val="00E740D3"/>
    <w:rsid w:val="00E7431C"/>
    <w:rsid w:val="00E7491A"/>
    <w:rsid w:val="00E74C5C"/>
    <w:rsid w:val="00E74FB3"/>
    <w:rsid w:val="00E7506F"/>
    <w:rsid w:val="00E76BA8"/>
    <w:rsid w:val="00E773DB"/>
    <w:rsid w:val="00E80690"/>
    <w:rsid w:val="00E82CC1"/>
    <w:rsid w:val="00E8305D"/>
    <w:rsid w:val="00E847A6"/>
    <w:rsid w:val="00E84B43"/>
    <w:rsid w:val="00E86E20"/>
    <w:rsid w:val="00E9037D"/>
    <w:rsid w:val="00E907FF"/>
    <w:rsid w:val="00E90AFD"/>
    <w:rsid w:val="00E939D7"/>
    <w:rsid w:val="00E948EA"/>
    <w:rsid w:val="00E95BC8"/>
    <w:rsid w:val="00E96DD0"/>
    <w:rsid w:val="00E97AD4"/>
    <w:rsid w:val="00E97DC7"/>
    <w:rsid w:val="00EA1490"/>
    <w:rsid w:val="00EA1657"/>
    <w:rsid w:val="00EA1E5F"/>
    <w:rsid w:val="00EA2953"/>
    <w:rsid w:val="00EA2984"/>
    <w:rsid w:val="00EA35C9"/>
    <w:rsid w:val="00EA382B"/>
    <w:rsid w:val="00EA42D8"/>
    <w:rsid w:val="00EA5359"/>
    <w:rsid w:val="00EA5FC8"/>
    <w:rsid w:val="00EA6F56"/>
    <w:rsid w:val="00EA7642"/>
    <w:rsid w:val="00EA7BC7"/>
    <w:rsid w:val="00EB188D"/>
    <w:rsid w:val="00EB2832"/>
    <w:rsid w:val="00EB38E0"/>
    <w:rsid w:val="00EB3F85"/>
    <w:rsid w:val="00EB4451"/>
    <w:rsid w:val="00EB555D"/>
    <w:rsid w:val="00EB56AE"/>
    <w:rsid w:val="00EB5B81"/>
    <w:rsid w:val="00EB62C0"/>
    <w:rsid w:val="00EC0F73"/>
    <w:rsid w:val="00EC20B0"/>
    <w:rsid w:val="00EC24DF"/>
    <w:rsid w:val="00EC3591"/>
    <w:rsid w:val="00EC43F0"/>
    <w:rsid w:val="00EC45E5"/>
    <w:rsid w:val="00EC7995"/>
    <w:rsid w:val="00ED0F29"/>
    <w:rsid w:val="00ED3A72"/>
    <w:rsid w:val="00ED467E"/>
    <w:rsid w:val="00ED691E"/>
    <w:rsid w:val="00EE080F"/>
    <w:rsid w:val="00EE1579"/>
    <w:rsid w:val="00EE164A"/>
    <w:rsid w:val="00EE1EC5"/>
    <w:rsid w:val="00EE2070"/>
    <w:rsid w:val="00EE48A7"/>
    <w:rsid w:val="00EE4E5A"/>
    <w:rsid w:val="00EE52B0"/>
    <w:rsid w:val="00EE5B2A"/>
    <w:rsid w:val="00EE6541"/>
    <w:rsid w:val="00EE65C6"/>
    <w:rsid w:val="00EE6CAD"/>
    <w:rsid w:val="00EF0247"/>
    <w:rsid w:val="00EF11A5"/>
    <w:rsid w:val="00EF49E8"/>
    <w:rsid w:val="00EF4A05"/>
    <w:rsid w:val="00EF53D8"/>
    <w:rsid w:val="00EF5A50"/>
    <w:rsid w:val="00EF6159"/>
    <w:rsid w:val="00EF6195"/>
    <w:rsid w:val="00EF6323"/>
    <w:rsid w:val="00EF6813"/>
    <w:rsid w:val="00F03022"/>
    <w:rsid w:val="00F034E7"/>
    <w:rsid w:val="00F042B6"/>
    <w:rsid w:val="00F05057"/>
    <w:rsid w:val="00F0530B"/>
    <w:rsid w:val="00F12F22"/>
    <w:rsid w:val="00F13DFF"/>
    <w:rsid w:val="00F15070"/>
    <w:rsid w:val="00F15D10"/>
    <w:rsid w:val="00F169BE"/>
    <w:rsid w:val="00F20623"/>
    <w:rsid w:val="00F235D3"/>
    <w:rsid w:val="00F23787"/>
    <w:rsid w:val="00F24882"/>
    <w:rsid w:val="00F27155"/>
    <w:rsid w:val="00F27269"/>
    <w:rsid w:val="00F3195F"/>
    <w:rsid w:val="00F329A2"/>
    <w:rsid w:val="00F32CAA"/>
    <w:rsid w:val="00F32CB1"/>
    <w:rsid w:val="00F3310A"/>
    <w:rsid w:val="00F3559C"/>
    <w:rsid w:val="00F35FD4"/>
    <w:rsid w:val="00F36CD7"/>
    <w:rsid w:val="00F40B40"/>
    <w:rsid w:val="00F4320A"/>
    <w:rsid w:val="00F43A3C"/>
    <w:rsid w:val="00F44A34"/>
    <w:rsid w:val="00F4765D"/>
    <w:rsid w:val="00F5036B"/>
    <w:rsid w:val="00F50730"/>
    <w:rsid w:val="00F51091"/>
    <w:rsid w:val="00F52231"/>
    <w:rsid w:val="00F5387A"/>
    <w:rsid w:val="00F548B7"/>
    <w:rsid w:val="00F54A26"/>
    <w:rsid w:val="00F54B01"/>
    <w:rsid w:val="00F55EDE"/>
    <w:rsid w:val="00F5660D"/>
    <w:rsid w:val="00F56CDD"/>
    <w:rsid w:val="00F5726D"/>
    <w:rsid w:val="00F6011F"/>
    <w:rsid w:val="00F608BE"/>
    <w:rsid w:val="00F6469F"/>
    <w:rsid w:val="00F65571"/>
    <w:rsid w:val="00F670DD"/>
    <w:rsid w:val="00F6758C"/>
    <w:rsid w:val="00F747F0"/>
    <w:rsid w:val="00F7511C"/>
    <w:rsid w:val="00F7643A"/>
    <w:rsid w:val="00F77379"/>
    <w:rsid w:val="00F77382"/>
    <w:rsid w:val="00F8002F"/>
    <w:rsid w:val="00F80827"/>
    <w:rsid w:val="00F811F8"/>
    <w:rsid w:val="00F83900"/>
    <w:rsid w:val="00F84A00"/>
    <w:rsid w:val="00F84AE5"/>
    <w:rsid w:val="00F85144"/>
    <w:rsid w:val="00F8695F"/>
    <w:rsid w:val="00F87A91"/>
    <w:rsid w:val="00F904D9"/>
    <w:rsid w:val="00F909DB"/>
    <w:rsid w:val="00F9109E"/>
    <w:rsid w:val="00F9146F"/>
    <w:rsid w:val="00F94289"/>
    <w:rsid w:val="00F95C8F"/>
    <w:rsid w:val="00F9753E"/>
    <w:rsid w:val="00F97F7D"/>
    <w:rsid w:val="00FA085D"/>
    <w:rsid w:val="00FA1B2A"/>
    <w:rsid w:val="00FA31C8"/>
    <w:rsid w:val="00FA4451"/>
    <w:rsid w:val="00FA55AD"/>
    <w:rsid w:val="00FA56F9"/>
    <w:rsid w:val="00FA677A"/>
    <w:rsid w:val="00FA7524"/>
    <w:rsid w:val="00FA7FB2"/>
    <w:rsid w:val="00FB1059"/>
    <w:rsid w:val="00FB328F"/>
    <w:rsid w:val="00FB6FD7"/>
    <w:rsid w:val="00FB7074"/>
    <w:rsid w:val="00FB7FE4"/>
    <w:rsid w:val="00FC1141"/>
    <w:rsid w:val="00FC1761"/>
    <w:rsid w:val="00FC252E"/>
    <w:rsid w:val="00FC38E1"/>
    <w:rsid w:val="00FC451F"/>
    <w:rsid w:val="00FC4FF2"/>
    <w:rsid w:val="00FC573A"/>
    <w:rsid w:val="00FC5C2B"/>
    <w:rsid w:val="00FC62B3"/>
    <w:rsid w:val="00FC77D1"/>
    <w:rsid w:val="00FD0E76"/>
    <w:rsid w:val="00FD0E96"/>
    <w:rsid w:val="00FD2A21"/>
    <w:rsid w:val="00FD4CF8"/>
    <w:rsid w:val="00FD5670"/>
    <w:rsid w:val="00FD5F15"/>
    <w:rsid w:val="00FD6B02"/>
    <w:rsid w:val="00FD764E"/>
    <w:rsid w:val="00FE1814"/>
    <w:rsid w:val="00FE54EB"/>
    <w:rsid w:val="00FE5781"/>
    <w:rsid w:val="00FE60EC"/>
    <w:rsid w:val="00FE6977"/>
    <w:rsid w:val="00FE6B4B"/>
    <w:rsid w:val="00FE6D61"/>
    <w:rsid w:val="00FE7AEA"/>
    <w:rsid w:val="00FF1AF1"/>
    <w:rsid w:val="00FF1CEB"/>
    <w:rsid w:val="00FF23BF"/>
    <w:rsid w:val="00FF2496"/>
    <w:rsid w:val="00FF3AE0"/>
    <w:rsid w:val="00FF40B9"/>
    <w:rsid w:val="00FF428A"/>
    <w:rsid w:val="00FF4777"/>
    <w:rsid w:val="00FF4898"/>
    <w:rsid w:val="00FF5C33"/>
    <w:rsid w:val="00FF6049"/>
    <w:rsid w:val="00FF636E"/>
    <w:rsid w:val="00FF656F"/>
    <w:rsid w:val="00FF673A"/>
    <w:rsid w:val="00FF7443"/>
    <w:rsid w:val="00FF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20CCA"/>
  <w15:chartTrackingRefBased/>
  <w15:docId w15:val="{94B86C34-818A-4432-88E6-3AAA9E7E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1E2"/>
  </w:style>
  <w:style w:type="paragraph" w:styleId="1">
    <w:name w:val="heading 1"/>
    <w:aliases w:val="Capitole"/>
    <w:basedOn w:val="a"/>
    <w:next w:val="a"/>
    <w:link w:val="10"/>
    <w:uiPriority w:val="9"/>
    <w:qFormat/>
    <w:rsid w:val="009351E2"/>
    <w:pPr>
      <w:keepNext/>
      <w:keepLines/>
      <w:numPr>
        <w:numId w:val="1"/>
      </w:numPr>
      <w:spacing w:before="240" w:after="0" w:line="276" w:lineRule="auto"/>
      <w:jc w:val="center"/>
      <w:outlineLvl w:val="0"/>
    </w:pPr>
    <w:rPr>
      <w:rFonts w:ascii="Times New Roman" w:eastAsiaTheme="majorEastAsia" w:hAnsi="Times New Roman" w:cstheme="majorBidi"/>
      <w:b/>
      <w:sz w:val="32"/>
      <w:szCs w:val="32"/>
      <w:lang w:val="ro-MD"/>
    </w:rPr>
  </w:style>
  <w:style w:type="paragraph" w:styleId="2">
    <w:name w:val="heading 2"/>
    <w:aliases w:val="Subcapitole"/>
    <w:basedOn w:val="a"/>
    <w:next w:val="a"/>
    <w:link w:val="20"/>
    <w:uiPriority w:val="9"/>
    <w:unhideWhenUsed/>
    <w:qFormat/>
    <w:rsid w:val="00F13D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F67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autoRedefine/>
    <w:uiPriority w:val="9"/>
    <w:unhideWhenUsed/>
    <w:qFormat/>
    <w:rsid w:val="00FB6FD7"/>
    <w:pPr>
      <w:keepNext/>
      <w:keepLines/>
      <w:shd w:val="clear" w:color="auto" w:fill="FFFFFF"/>
      <w:tabs>
        <w:tab w:val="left" w:pos="284"/>
      </w:tabs>
      <w:spacing w:after="0" w:line="276" w:lineRule="auto"/>
      <w:ind w:left="180" w:hanging="180"/>
      <w:contextualSpacing/>
      <w:jc w:val="both"/>
      <w:outlineLvl w:val="3"/>
    </w:pPr>
    <w:rPr>
      <w:rFonts w:asciiTheme="majorHAnsi" w:hAnsiTheme="majorHAnsi" w:cstheme="majorHAnsi"/>
      <w:iCs/>
      <w:sz w:val="20"/>
      <w:szCs w:val="20"/>
      <w:lang w:val="ru-MD"/>
    </w:rPr>
  </w:style>
  <w:style w:type="paragraph" w:styleId="5">
    <w:name w:val="heading 5"/>
    <w:basedOn w:val="a"/>
    <w:next w:val="a"/>
    <w:link w:val="50"/>
    <w:uiPriority w:val="9"/>
    <w:semiHidden/>
    <w:unhideWhenUsed/>
    <w:qFormat/>
    <w:rsid w:val="009351E2"/>
    <w:pPr>
      <w:keepNext/>
      <w:keepLines/>
      <w:numPr>
        <w:ilvl w:val="4"/>
        <w:numId w:val="1"/>
      </w:numPr>
      <w:spacing w:before="40" w:after="0" w:line="276" w:lineRule="auto"/>
      <w:jc w:val="both"/>
      <w:outlineLvl w:val="4"/>
    </w:pPr>
    <w:rPr>
      <w:rFonts w:asciiTheme="majorHAnsi" w:eastAsiaTheme="majorEastAsia" w:hAnsiTheme="majorHAnsi" w:cstheme="majorBidi"/>
      <w:color w:val="2E74B5" w:themeColor="accent1" w:themeShade="BF"/>
      <w:sz w:val="28"/>
      <w:lang w:val="ro-MD"/>
    </w:rPr>
  </w:style>
  <w:style w:type="paragraph" w:styleId="6">
    <w:name w:val="heading 6"/>
    <w:basedOn w:val="a"/>
    <w:next w:val="a"/>
    <w:link w:val="60"/>
    <w:uiPriority w:val="9"/>
    <w:semiHidden/>
    <w:unhideWhenUsed/>
    <w:qFormat/>
    <w:rsid w:val="009351E2"/>
    <w:pPr>
      <w:keepNext/>
      <w:keepLines/>
      <w:numPr>
        <w:ilvl w:val="5"/>
        <w:numId w:val="1"/>
      </w:numPr>
      <w:spacing w:before="40" w:after="0" w:line="276" w:lineRule="auto"/>
      <w:jc w:val="both"/>
      <w:outlineLvl w:val="5"/>
    </w:pPr>
    <w:rPr>
      <w:rFonts w:asciiTheme="majorHAnsi" w:eastAsiaTheme="majorEastAsia" w:hAnsiTheme="majorHAnsi" w:cstheme="majorBidi"/>
      <w:color w:val="1F4D78" w:themeColor="accent1" w:themeShade="7F"/>
      <w:sz w:val="28"/>
      <w:lang w:val="ro-MD"/>
    </w:rPr>
  </w:style>
  <w:style w:type="paragraph" w:styleId="7">
    <w:name w:val="heading 7"/>
    <w:basedOn w:val="a"/>
    <w:next w:val="a"/>
    <w:link w:val="70"/>
    <w:uiPriority w:val="9"/>
    <w:semiHidden/>
    <w:unhideWhenUsed/>
    <w:qFormat/>
    <w:rsid w:val="009351E2"/>
    <w:pPr>
      <w:keepNext/>
      <w:keepLines/>
      <w:numPr>
        <w:ilvl w:val="6"/>
        <w:numId w:val="1"/>
      </w:numPr>
      <w:spacing w:before="40" w:after="0" w:line="276" w:lineRule="auto"/>
      <w:jc w:val="both"/>
      <w:outlineLvl w:val="6"/>
    </w:pPr>
    <w:rPr>
      <w:rFonts w:asciiTheme="majorHAnsi" w:eastAsiaTheme="majorEastAsia" w:hAnsiTheme="majorHAnsi" w:cstheme="majorBidi"/>
      <w:i/>
      <w:iCs/>
      <w:color w:val="1F4D78" w:themeColor="accent1" w:themeShade="7F"/>
      <w:sz w:val="28"/>
      <w:lang w:val="ro-MD"/>
    </w:rPr>
  </w:style>
  <w:style w:type="paragraph" w:styleId="8">
    <w:name w:val="heading 8"/>
    <w:basedOn w:val="a"/>
    <w:next w:val="a"/>
    <w:link w:val="80"/>
    <w:uiPriority w:val="9"/>
    <w:semiHidden/>
    <w:unhideWhenUsed/>
    <w:qFormat/>
    <w:rsid w:val="009351E2"/>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lang w:val="ro-MD"/>
    </w:rPr>
  </w:style>
  <w:style w:type="paragraph" w:styleId="9">
    <w:name w:val="heading 9"/>
    <w:basedOn w:val="a"/>
    <w:next w:val="a"/>
    <w:link w:val="90"/>
    <w:uiPriority w:val="9"/>
    <w:semiHidden/>
    <w:unhideWhenUsed/>
    <w:qFormat/>
    <w:rsid w:val="009351E2"/>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pitole Знак"/>
    <w:basedOn w:val="a0"/>
    <w:link w:val="1"/>
    <w:uiPriority w:val="9"/>
    <w:rsid w:val="009351E2"/>
    <w:rPr>
      <w:rFonts w:ascii="Times New Roman" w:eastAsiaTheme="majorEastAsia" w:hAnsi="Times New Roman" w:cstheme="majorBidi"/>
      <w:b/>
      <w:sz w:val="32"/>
      <w:szCs w:val="32"/>
      <w:lang w:val="ro-MD"/>
    </w:rPr>
  </w:style>
  <w:style w:type="character" w:customStyle="1" w:styleId="40">
    <w:name w:val="Заголовок 4 Знак"/>
    <w:basedOn w:val="a0"/>
    <w:link w:val="4"/>
    <w:uiPriority w:val="9"/>
    <w:rsid w:val="00FB6FD7"/>
    <w:rPr>
      <w:rFonts w:asciiTheme="majorHAnsi" w:hAnsiTheme="majorHAnsi" w:cstheme="majorHAnsi"/>
      <w:iCs/>
      <w:sz w:val="20"/>
      <w:szCs w:val="20"/>
      <w:shd w:val="clear" w:color="auto" w:fill="FFFFFF"/>
      <w:lang w:val="ru-MD"/>
    </w:rPr>
  </w:style>
  <w:style w:type="character" w:customStyle="1" w:styleId="50">
    <w:name w:val="Заголовок 5 Знак"/>
    <w:basedOn w:val="a0"/>
    <w:link w:val="5"/>
    <w:uiPriority w:val="9"/>
    <w:semiHidden/>
    <w:rsid w:val="009351E2"/>
    <w:rPr>
      <w:rFonts w:asciiTheme="majorHAnsi" w:eastAsiaTheme="majorEastAsia" w:hAnsiTheme="majorHAnsi" w:cstheme="majorBidi"/>
      <w:color w:val="2E74B5" w:themeColor="accent1" w:themeShade="BF"/>
      <w:sz w:val="28"/>
      <w:lang w:val="ro-MD"/>
    </w:rPr>
  </w:style>
  <w:style w:type="character" w:customStyle="1" w:styleId="60">
    <w:name w:val="Заголовок 6 Знак"/>
    <w:basedOn w:val="a0"/>
    <w:link w:val="6"/>
    <w:uiPriority w:val="9"/>
    <w:semiHidden/>
    <w:rsid w:val="009351E2"/>
    <w:rPr>
      <w:rFonts w:asciiTheme="majorHAnsi" w:eastAsiaTheme="majorEastAsia" w:hAnsiTheme="majorHAnsi" w:cstheme="majorBidi"/>
      <w:color w:val="1F4D78" w:themeColor="accent1" w:themeShade="7F"/>
      <w:sz w:val="28"/>
      <w:lang w:val="ro-MD"/>
    </w:rPr>
  </w:style>
  <w:style w:type="character" w:customStyle="1" w:styleId="70">
    <w:name w:val="Заголовок 7 Знак"/>
    <w:basedOn w:val="a0"/>
    <w:link w:val="7"/>
    <w:uiPriority w:val="9"/>
    <w:semiHidden/>
    <w:rsid w:val="009351E2"/>
    <w:rPr>
      <w:rFonts w:asciiTheme="majorHAnsi" w:eastAsiaTheme="majorEastAsia" w:hAnsiTheme="majorHAnsi" w:cstheme="majorBidi"/>
      <w:i/>
      <w:iCs/>
      <w:color w:val="1F4D78" w:themeColor="accent1" w:themeShade="7F"/>
      <w:sz w:val="28"/>
      <w:lang w:val="ro-MD"/>
    </w:rPr>
  </w:style>
  <w:style w:type="character" w:customStyle="1" w:styleId="80">
    <w:name w:val="Заголовок 8 Знак"/>
    <w:basedOn w:val="a0"/>
    <w:link w:val="8"/>
    <w:uiPriority w:val="9"/>
    <w:semiHidden/>
    <w:rsid w:val="009351E2"/>
    <w:rPr>
      <w:rFonts w:asciiTheme="majorHAnsi" w:eastAsiaTheme="majorEastAsia" w:hAnsiTheme="majorHAnsi" w:cstheme="majorBidi"/>
      <w:color w:val="272727" w:themeColor="text1" w:themeTint="D8"/>
      <w:sz w:val="21"/>
      <w:szCs w:val="21"/>
      <w:lang w:val="ro-MD"/>
    </w:rPr>
  </w:style>
  <w:style w:type="character" w:customStyle="1" w:styleId="90">
    <w:name w:val="Заголовок 9 Знак"/>
    <w:basedOn w:val="a0"/>
    <w:link w:val="9"/>
    <w:uiPriority w:val="9"/>
    <w:semiHidden/>
    <w:rsid w:val="009351E2"/>
    <w:rPr>
      <w:rFonts w:asciiTheme="majorHAnsi" w:eastAsiaTheme="majorEastAsia" w:hAnsiTheme="majorHAnsi" w:cstheme="majorBidi"/>
      <w:i/>
      <w:iCs/>
      <w:color w:val="272727" w:themeColor="text1" w:themeTint="D8"/>
      <w:sz w:val="21"/>
      <w:szCs w:val="21"/>
      <w:lang w:val="ro-MD"/>
    </w:rPr>
  </w:style>
  <w:style w:type="paragraph" w:styleId="a3">
    <w:name w:val="footnote text"/>
    <w:aliases w:val="Fußnote Char Char,Fußnote Char,Fußnote Char Car Char Char,Fußnote Char Car Char Char Char Char Char Char Char Char Char Char,Fußnote Char Car Char Char Char Char Char Char Char Char Char Char Char Char Char Char,single space,fn,FOOTNOTES,A"/>
    <w:basedOn w:val="a"/>
    <w:link w:val="a4"/>
    <w:uiPriority w:val="99"/>
    <w:unhideWhenUsed/>
    <w:qFormat/>
    <w:rsid w:val="009351E2"/>
    <w:pPr>
      <w:spacing w:after="0" w:line="240" w:lineRule="auto"/>
    </w:pPr>
    <w:rPr>
      <w:sz w:val="20"/>
      <w:szCs w:val="20"/>
    </w:rPr>
  </w:style>
  <w:style w:type="character" w:customStyle="1" w:styleId="a4">
    <w:name w:val="Текст сноски Знак"/>
    <w:aliases w:val="Fußnote Char Char Знак,Fußnote Char Знак,Fußnote Char Car Char Char Знак,Fußnote Char Car Char Char Char Char Char Char Char Char Char Char Знак,single space Знак,fn Знак,FOOTNOTES Знак,A Знак"/>
    <w:basedOn w:val="a0"/>
    <w:link w:val="a3"/>
    <w:uiPriority w:val="99"/>
    <w:rsid w:val="009351E2"/>
    <w:rPr>
      <w:sz w:val="20"/>
      <w:szCs w:val="20"/>
    </w:rPr>
  </w:style>
  <w:style w:type="character" w:styleId="a5">
    <w:name w:val="footnote reference"/>
    <w:aliases w:val="ftref,Times 10 Point,Exposant 3 Point,Footnote symbol,Footnote reference number,EN Footnote Reference,note TESI,16 Point,Superscript 6 Point,Footnote Text Char2,Char Char1,FOOTNOTES Char1,fn Char1,single space Char1,ft Char1,Ref,fr"/>
    <w:basedOn w:val="a0"/>
    <w:link w:val="FNRefeCharChar"/>
    <w:unhideWhenUsed/>
    <w:rsid w:val="009351E2"/>
    <w:rPr>
      <w:vertAlign w:val="superscript"/>
    </w:rPr>
  </w:style>
  <w:style w:type="paragraph" w:styleId="a6">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a"/>
    <w:link w:val="a7"/>
    <w:uiPriority w:val="99"/>
    <w:unhideWhenUsed/>
    <w:qFormat/>
    <w:rsid w:val="009351E2"/>
    <w:pPr>
      <w:spacing w:after="0" w:line="240" w:lineRule="auto"/>
      <w:ind w:firstLine="567"/>
      <w:jc w:val="both"/>
    </w:pPr>
    <w:rPr>
      <w:rFonts w:ascii="Times New Roman" w:eastAsia="Times New Roman" w:hAnsi="Times New Roman" w:cs="Times New Roman"/>
      <w:sz w:val="24"/>
      <w:szCs w:val="24"/>
    </w:rPr>
  </w:style>
  <w:style w:type="character" w:customStyle="1" w:styleId="a7">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basedOn w:val="a0"/>
    <w:link w:val="a6"/>
    <w:uiPriority w:val="99"/>
    <w:rsid w:val="009351E2"/>
    <w:rPr>
      <w:rFonts w:ascii="Times New Roman" w:eastAsia="Times New Roman" w:hAnsi="Times New Roman" w:cs="Times New Roman"/>
      <w:sz w:val="24"/>
      <w:szCs w:val="24"/>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qFormat/>
    <w:rsid w:val="009351E2"/>
    <w:pPr>
      <w:spacing w:line="240" w:lineRule="exact"/>
    </w:pPr>
    <w:rPr>
      <w:vertAlign w:val="superscript"/>
    </w:rPr>
  </w:style>
  <w:style w:type="paragraph" w:styleId="a8">
    <w:name w:val="No Spacing"/>
    <w:aliases w:val="Subsol,referinta"/>
    <w:link w:val="a9"/>
    <w:uiPriority w:val="1"/>
    <w:qFormat/>
    <w:rsid w:val="009351E2"/>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LegturInternet">
    <w:name w:val="Legătură Internet"/>
    <w:basedOn w:val="a0"/>
    <w:rsid w:val="009351E2"/>
    <w:rPr>
      <w:color w:val="0563C1"/>
      <w:u w:val="single"/>
    </w:rPr>
  </w:style>
  <w:style w:type="table" w:styleId="-1">
    <w:name w:val="Grid Table 1 Light"/>
    <w:basedOn w:val="a1"/>
    <w:uiPriority w:val="46"/>
    <w:rsid w:val="009351E2"/>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a">
    <w:name w:val="List Paragraph"/>
    <w:aliases w:val="List Paragraph 1,Scriptoria bullet points,strikethrough,Абзац списка1,standaard met opsomming,HotarirePunct1,Bullets,References,Liste 1,List Paragraph nowy,Numbered List Paragraph,List Paragraph (numbered (a)),Dot pt,Paragraphe de liste2"/>
    <w:basedOn w:val="a"/>
    <w:link w:val="ab"/>
    <w:uiPriority w:val="34"/>
    <w:qFormat/>
    <w:rsid w:val="00504112"/>
    <w:pPr>
      <w:ind w:left="720"/>
      <w:contextualSpacing/>
    </w:pPr>
  </w:style>
  <w:style w:type="character" w:customStyle="1" w:styleId="ab">
    <w:name w:val="Абзац списка Знак"/>
    <w:aliases w:val="List Paragraph 1 Знак,Scriptoria bullet points Знак,strikethrough Знак,Абзац списка1 Знак,standaard met opsomming Знак,HotarirePunct1 Знак,Bullets Знак,References Знак,Liste 1 Знак,List Paragraph nowy Знак,Numbered List Paragraph Знак"/>
    <w:link w:val="aa"/>
    <w:uiPriority w:val="34"/>
    <w:locked/>
    <w:rsid w:val="00504112"/>
  </w:style>
  <w:style w:type="paragraph" w:styleId="ac">
    <w:name w:val="header"/>
    <w:basedOn w:val="a"/>
    <w:link w:val="ad"/>
    <w:uiPriority w:val="99"/>
    <w:unhideWhenUsed/>
    <w:rsid w:val="00D861BA"/>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D861BA"/>
  </w:style>
  <w:style w:type="paragraph" w:styleId="ae">
    <w:name w:val="footer"/>
    <w:basedOn w:val="a"/>
    <w:link w:val="af"/>
    <w:uiPriority w:val="99"/>
    <w:unhideWhenUsed/>
    <w:rsid w:val="00D861B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861BA"/>
  </w:style>
  <w:style w:type="character" w:customStyle="1" w:styleId="20">
    <w:name w:val="Заголовок 2 Знак"/>
    <w:aliases w:val="Subcapitole Знак"/>
    <w:basedOn w:val="a0"/>
    <w:link w:val="2"/>
    <w:uiPriority w:val="9"/>
    <w:rsid w:val="00F13DFF"/>
    <w:rPr>
      <w:rFonts w:asciiTheme="majorHAnsi" w:eastAsiaTheme="majorEastAsia" w:hAnsiTheme="majorHAnsi" w:cstheme="majorBidi"/>
      <w:color w:val="2E74B5" w:themeColor="accent1" w:themeShade="BF"/>
      <w:sz w:val="26"/>
      <w:szCs w:val="26"/>
    </w:rPr>
  </w:style>
  <w:style w:type="character" w:styleId="af0">
    <w:name w:val="Strong"/>
    <w:basedOn w:val="a0"/>
    <w:uiPriority w:val="22"/>
    <w:qFormat/>
    <w:rsid w:val="00F77379"/>
    <w:rPr>
      <w:b/>
      <w:bCs/>
    </w:rPr>
  </w:style>
  <w:style w:type="paragraph" w:customStyle="1" w:styleId="Default">
    <w:name w:val="Default"/>
    <w:rsid w:val="00F773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t">
    <w:name w:val="tt"/>
    <w:basedOn w:val="a"/>
    <w:qFormat/>
    <w:rsid w:val="00C5751A"/>
    <w:pPr>
      <w:spacing w:after="0" w:line="240" w:lineRule="auto"/>
      <w:jc w:val="center"/>
    </w:pPr>
    <w:rPr>
      <w:rFonts w:ascii="Times New Roman" w:eastAsia="Times New Roman" w:hAnsi="Times New Roman" w:cs="Times New Roman"/>
      <w:b/>
      <w:bCs/>
      <w:sz w:val="24"/>
      <w:szCs w:val="24"/>
      <w:lang w:val="ro-MD" w:eastAsia="ro-RO"/>
    </w:rPr>
  </w:style>
  <w:style w:type="table" w:styleId="af1">
    <w:name w:val="Table Grid"/>
    <w:basedOn w:val="a1"/>
    <w:uiPriority w:val="39"/>
    <w:rsid w:val="000B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F9109E"/>
    <w:rPr>
      <w:color w:val="0563C1" w:themeColor="hyperlink"/>
      <w:u w:val="single"/>
    </w:rPr>
  </w:style>
  <w:style w:type="paragraph" w:styleId="af3">
    <w:name w:val="annotation text"/>
    <w:basedOn w:val="a"/>
    <w:link w:val="af4"/>
    <w:uiPriority w:val="99"/>
    <w:unhideWhenUsed/>
    <w:rsid w:val="00F9109E"/>
    <w:pPr>
      <w:spacing w:line="240" w:lineRule="auto"/>
    </w:pPr>
    <w:rPr>
      <w:sz w:val="20"/>
      <w:szCs w:val="20"/>
    </w:rPr>
  </w:style>
  <w:style w:type="character" w:customStyle="1" w:styleId="af4">
    <w:name w:val="Текст примечания Знак"/>
    <w:basedOn w:val="a0"/>
    <w:link w:val="af3"/>
    <w:uiPriority w:val="99"/>
    <w:rsid w:val="00F9109E"/>
    <w:rPr>
      <w:sz w:val="20"/>
      <w:szCs w:val="20"/>
    </w:rPr>
  </w:style>
  <w:style w:type="numbering" w:customStyle="1" w:styleId="NoList1">
    <w:name w:val="No List1"/>
    <w:next w:val="a2"/>
    <w:uiPriority w:val="99"/>
    <w:semiHidden/>
    <w:unhideWhenUsed/>
    <w:rsid w:val="00CD2A08"/>
  </w:style>
  <w:style w:type="character" w:customStyle="1" w:styleId="21">
    <w:name w:val="Основной текст (2)_"/>
    <w:basedOn w:val="a0"/>
    <w:link w:val="22"/>
    <w:rsid w:val="00CD2A08"/>
    <w:rPr>
      <w:rFonts w:ascii="Book Antiqua" w:eastAsia="Book Antiqua" w:hAnsi="Book Antiqua" w:cs="Book Antiqua"/>
      <w:sz w:val="18"/>
      <w:szCs w:val="18"/>
      <w:shd w:val="clear" w:color="auto" w:fill="FFFFFF"/>
    </w:rPr>
  </w:style>
  <w:style w:type="paragraph" w:customStyle="1" w:styleId="22">
    <w:name w:val="Основной текст (2)"/>
    <w:basedOn w:val="a"/>
    <w:link w:val="21"/>
    <w:rsid w:val="00CD2A08"/>
    <w:pPr>
      <w:widowControl w:val="0"/>
      <w:shd w:val="clear" w:color="auto" w:fill="FFFFFF"/>
      <w:spacing w:before="720" w:after="260" w:line="245" w:lineRule="exact"/>
    </w:pPr>
    <w:rPr>
      <w:rFonts w:ascii="Book Antiqua" w:eastAsia="Book Antiqua" w:hAnsi="Book Antiqua" w:cs="Book Antiqua"/>
      <w:sz w:val="18"/>
      <w:szCs w:val="18"/>
    </w:rPr>
  </w:style>
  <w:style w:type="character" w:customStyle="1" w:styleId="31">
    <w:name w:val="Основной текст (3)_"/>
    <w:basedOn w:val="a0"/>
    <w:link w:val="32"/>
    <w:rsid w:val="00CD2A08"/>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CD2A08"/>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paragraph" w:styleId="af5">
    <w:name w:val="endnote text"/>
    <w:basedOn w:val="a"/>
    <w:link w:val="af6"/>
    <w:uiPriority w:val="99"/>
    <w:semiHidden/>
    <w:unhideWhenUsed/>
    <w:rsid w:val="00B6239C"/>
    <w:pPr>
      <w:spacing w:after="0" w:line="240" w:lineRule="auto"/>
    </w:pPr>
    <w:rPr>
      <w:sz w:val="20"/>
      <w:szCs w:val="20"/>
    </w:rPr>
  </w:style>
  <w:style w:type="character" w:customStyle="1" w:styleId="af6">
    <w:name w:val="Текст концевой сноски Знак"/>
    <w:basedOn w:val="a0"/>
    <w:link w:val="af5"/>
    <w:uiPriority w:val="99"/>
    <w:semiHidden/>
    <w:rsid w:val="00B6239C"/>
    <w:rPr>
      <w:sz w:val="20"/>
      <w:szCs w:val="20"/>
    </w:rPr>
  </w:style>
  <w:style w:type="character" w:styleId="af7">
    <w:name w:val="endnote reference"/>
    <w:basedOn w:val="a0"/>
    <w:uiPriority w:val="99"/>
    <w:semiHidden/>
    <w:unhideWhenUsed/>
    <w:rsid w:val="00B6239C"/>
    <w:rPr>
      <w:vertAlign w:val="superscript"/>
    </w:rPr>
  </w:style>
  <w:style w:type="paragraph" w:customStyle="1" w:styleId="Normal1">
    <w:name w:val="Normal1"/>
    <w:basedOn w:val="a"/>
    <w:rsid w:val="00E44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E44D56"/>
  </w:style>
  <w:style w:type="paragraph" w:customStyle="1" w:styleId="list0020paragraph">
    <w:name w:val="list_0020paragraph"/>
    <w:basedOn w:val="a"/>
    <w:rsid w:val="00E44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E44D56"/>
  </w:style>
  <w:style w:type="paragraph" w:styleId="33">
    <w:name w:val="Body Text 3"/>
    <w:basedOn w:val="a"/>
    <w:link w:val="34"/>
    <w:uiPriority w:val="99"/>
    <w:unhideWhenUsed/>
    <w:rsid w:val="00C74FFB"/>
    <w:pPr>
      <w:spacing w:after="120"/>
    </w:pPr>
    <w:rPr>
      <w:sz w:val="16"/>
      <w:szCs w:val="16"/>
      <w:lang w:val="ru-RU"/>
    </w:rPr>
  </w:style>
  <w:style w:type="character" w:customStyle="1" w:styleId="34">
    <w:name w:val="Основной текст 3 Знак"/>
    <w:basedOn w:val="a0"/>
    <w:link w:val="33"/>
    <w:uiPriority w:val="99"/>
    <w:rsid w:val="00C74FFB"/>
    <w:rPr>
      <w:sz w:val="16"/>
      <w:szCs w:val="16"/>
      <w:lang w:val="ru-RU"/>
    </w:rPr>
  </w:style>
  <w:style w:type="character" w:styleId="af8">
    <w:name w:val="annotation reference"/>
    <w:basedOn w:val="a0"/>
    <w:uiPriority w:val="99"/>
    <w:semiHidden/>
    <w:unhideWhenUsed/>
    <w:rsid w:val="00D41213"/>
    <w:rPr>
      <w:sz w:val="16"/>
      <w:szCs w:val="16"/>
    </w:rPr>
  </w:style>
  <w:style w:type="paragraph" w:styleId="af9">
    <w:name w:val="annotation subject"/>
    <w:basedOn w:val="af3"/>
    <w:next w:val="af3"/>
    <w:link w:val="afa"/>
    <w:uiPriority w:val="99"/>
    <w:semiHidden/>
    <w:unhideWhenUsed/>
    <w:rsid w:val="00D41213"/>
    <w:rPr>
      <w:b/>
      <w:bCs/>
    </w:rPr>
  </w:style>
  <w:style w:type="character" w:customStyle="1" w:styleId="afa">
    <w:name w:val="Тема примечания Знак"/>
    <w:basedOn w:val="af4"/>
    <w:link w:val="af9"/>
    <w:uiPriority w:val="99"/>
    <w:semiHidden/>
    <w:rsid w:val="00D41213"/>
    <w:rPr>
      <w:b/>
      <w:bCs/>
      <w:sz w:val="20"/>
      <w:szCs w:val="20"/>
    </w:rPr>
  </w:style>
  <w:style w:type="paragraph" w:styleId="afb">
    <w:name w:val="Balloon Text"/>
    <w:basedOn w:val="a"/>
    <w:link w:val="afc"/>
    <w:uiPriority w:val="99"/>
    <w:semiHidden/>
    <w:unhideWhenUsed/>
    <w:rsid w:val="00D41213"/>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D41213"/>
    <w:rPr>
      <w:rFonts w:ascii="Segoe UI" w:hAnsi="Segoe UI" w:cs="Segoe UI"/>
      <w:sz w:val="18"/>
      <w:szCs w:val="18"/>
    </w:rPr>
  </w:style>
  <w:style w:type="paragraph" w:customStyle="1" w:styleId="Text">
    <w:name w:val="Text"/>
    <w:basedOn w:val="a"/>
    <w:link w:val="TextChar"/>
    <w:qFormat/>
    <w:rsid w:val="006838A4"/>
    <w:pPr>
      <w:spacing w:after="0" w:line="276" w:lineRule="auto"/>
      <w:ind w:firstLine="709"/>
      <w:jc w:val="both"/>
    </w:pPr>
    <w:rPr>
      <w:rFonts w:ascii="Times New Roman" w:hAnsi="Times New Roman" w:cs="Times New Roman"/>
      <w:sz w:val="28"/>
      <w:szCs w:val="28"/>
      <w:lang w:val="ro-MD"/>
    </w:rPr>
  </w:style>
  <w:style w:type="character" w:customStyle="1" w:styleId="TextChar">
    <w:name w:val="Text Char"/>
    <w:basedOn w:val="a0"/>
    <w:link w:val="Text"/>
    <w:rsid w:val="006838A4"/>
    <w:rPr>
      <w:rFonts w:ascii="Times New Roman" w:hAnsi="Times New Roman" w:cs="Times New Roman"/>
      <w:sz w:val="28"/>
      <w:szCs w:val="28"/>
      <w:lang w:val="ro-MD"/>
    </w:rPr>
  </w:style>
  <w:style w:type="character" w:styleId="afd">
    <w:name w:val="Emphasis"/>
    <w:basedOn w:val="a0"/>
    <w:uiPriority w:val="20"/>
    <w:qFormat/>
    <w:rsid w:val="00A82E7C"/>
    <w:rPr>
      <w:i/>
      <w:iCs/>
    </w:rPr>
  </w:style>
  <w:style w:type="paragraph" w:styleId="afe">
    <w:name w:val="Body Text"/>
    <w:basedOn w:val="a"/>
    <w:link w:val="aff"/>
    <w:uiPriority w:val="99"/>
    <w:semiHidden/>
    <w:unhideWhenUsed/>
    <w:rsid w:val="00793126"/>
    <w:pPr>
      <w:spacing w:after="120"/>
    </w:pPr>
  </w:style>
  <w:style w:type="character" w:customStyle="1" w:styleId="aff">
    <w:name w:val="Основной текст Знак"/>
    <w:basedOn w:val="a0"/>
    <w:link w:val="afe"/>
    <w:uiPriority w:val="99"/>
    <w:semiHidden/>
    <w:rsid w:val="00793126"/>
  </w:style>
  <w:style w:type="table" w:customStyle="1" w:styleId="TableGrid1">
    <w:name w:val="Table Grid1"/>
    <w:basedOn w:val="a1"/>
    <w:next w:val="af1"/>
    <w:uiPriority w:val="39"/>
    <w:rsid w:val="00A3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aliases w:val="Subsol Знак,referinta Знак"/>
    <w:link w:val="a8"/>
    <w:uiPriority w:val="1"/>
    <w:locked/>
    <w:rsid w:val="001141B5"/>
    <w:rPr>
      <w:rFonts w:ascii="Arial" w:eastAsiaTheme="minorEastAsia" w:hAnsi="Arial" w:cs="Arial"/>
      <w:sz w:val="20"/>
      <w:szCs w:val="20"/>
    </w:rPr>
  </w:style>
  <w:style w:type="character" w:customStyle="1" w:styleId="30">
    <w:name w:val="Заголовок 3 Знак"/>
    <w:basedOn w:val="a0"/>
    <w:link w:val="3"/>
    <w:uiPriority w:val="9"/>
    <w:semiHidden/>
    <w:rsid w:val="00DF67F0"/>
    <w:rPr>
      <w:rFonts w:asciiTheme="majorHAnsi" w:eastAsiaTheme="majorEastAsia" w:hAnsiTheme="majorHAnsi" w:cstheme="majorBidi"/>
      <w:color w:val="1F4D78" w:themeColor="accent1" w:themeShade="7F"/>
      <w:sz w:val="24"/>
      <w:szCs w:val="24"/>
    </w:rPr>
  </w:style>
  <w:style w:type="paragraph" w:styleId="HTML">
    <w:name w:val="HTML Preformatted"/>
    <w:basedOn w:val="a"/>
    <w:link w:val="HTML0"/>
    <w:uiPriority w:val="99"/>
    <w:semiHidden/>
    <w:unhideWhenUsed/>
    <w:rsid w:val="00B749E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749E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2501">
      <w:bodyDiv w:val="1"/>
      <w:marLeft w:val="0"/>
      <w:marRight w:val="0"/>
      <w:marTop w:val="0"/>
      <w:marBottom w:val="0"/>
      <w:divBdr>
        <w:top w:val="none" w:sz="0" w:space="0" w:color="auto"/>
        <w:left w:val="none" w:sz="0" w:space="0" w:color="auto"/>
        <w:bottom w:val="none" w:sz="0" w:space="0" w:color="auto"/>
        <w:right w:val="none" w:sz="0" w:space="0" w:color="auto"/>
      </w:divBdr>
    </w:div>
    <w:div w:id="68621487">
      <w:bodyDiv w:val="1"/>
      <w:marLeft w:val="0"/>
      <w:marRight w:val="0"/>
      <w:marTop w:val="0"/>
      <w:marBottom w:val="0"/>
      <w:divBdr>
        <w:top w:val="none" w:sz="0" w:space="0" w:color="auto"/>
        <w:left w:val="none" w:sz="0" w:space="0" w:color="auto"/>
        <w:bottom w:val="none" w:sz="0" w:space="0" w:color="auto"/>
        <w:right w:val="none" w:sz="0" w:space="0" w:color="auto"/>
      </w:divBdr>
    </w:div>
    <w:div w:id="108667688">
      <w:bodyDiv w:val="1"/>
      <w:marLeft w:val="0"/>
      <w:marRight w:val="0"/>
      <w:marTop w:val="0"/>
      <w:marBottom w:val="0"/>
      <w:divBdr>
        <w:top w:val="none" w:sz="0" w:space="0" w:color="auto"/>
        <w:left w:val="none" w:sz="0" w:space="0" w:color="auto"/>
        <w:bottom w:val="none" w:sz="0" w:space="0" w:color="auto"/>
        <w:right w:val="none" w:sz="0" w:space="0" w:color="auto"/>
      </w:divBdr>
    </w:div>
    <w:div w:id="119762659">
      <w:bodyDiv w:val="1"/>
      <w:marLeft w:val="0"/>
      <w:marRight w:val="0"/>
      <w:marTop w:val="0"/>
      <w:marBottom w:val="0"/>
      <w:divBdr>
        <w:top w:val="none" w:sz="0" w:space="0" w:color="auto"/>
        <w:left w:val="none" w:sz="0" w:space="0" w:color="auto"/>
        <w:bottom w:val="none" w:sz="0" w:space="0" w:color="auto"/>
        <w:right w:val="none" w:sz="0" w:space="0" w:color="auto"/>
      </w:divBdr>
    </w:div>
    <w:div w:id="228544755">
      <w:bodyDiv w:val="1"/>
      <w:marLeft w:val="0"/>
      <w:marRight w:val="0"/>
      <w:marTop w:val="0"/>
      <w:marBottom w:val="0"/>
      <w:divBdr>
        <w:top w:val="none" w:sz="0" w:space="0" w:color="auto"/>
        <w:left w:val="none" w:sz="0" w:space="0" w:color="auto"/>
        <w:bottom w:val="none" w:sz="0" w:space="0" w:color="auto"/>
        <w:right w:val="none" w:sz="0" w:space="0" w:color="auto"/>
      </w:divBdr>
    </w:div>
    <w:div w:id="271324767">
      <w:bodyDiv w:val="1"/>
      <w:marLeft w:val="0"/>
      <w:marRight w:val="0"/>
      <w:marTop w:val="0"/>
      <w:marBottom w:val="0"/>
      <w:divBdr>
        <w:top w:val="none" w:sz="0" w:space="0" w:color="auto"/>
        <w:left w:val="none" w:sz="0" w:space="0" w:color="auto"/>
        <w:bottom w:val="none" w:sz="0" w:space="0" w:color="auto"/>
        <w:right w:val="none" w:sz="0" w:space="0" w:color="auto"/>
      </w:divBdr>
    </w:div>
    <w:div w:id="294876284">
      <w:bodyDiv w:val="1"/>
      <w:marLeft w:val="0"/>
      <w:marRight w:val="0"/>
      <w:marTop w:val="0"/>
      <w:marBottom w:val="0"/>
      <w:divBdr>
        <w:top w:val="none" w:sz="0" w:space="0" w:color="auto"/>
        <w:left w:val="none" w:sz="0" w:space="0" w:color="auto"/>
        <w:bottom w:val="none" w:sz="0" w:space="0" w:color="auto"/>
        <w:right w:val="none" w:sz="0" w:space="0" w:color="auto"/>
      </w:divBdr>
    </w:div>
    <w:div w:id="348875838">
      <w:bodyDiv w:val="1"/>
      <w:marLeft w:val="0"/>
      <w:marRight w:val="0"/>
      <w:marTop w:val="0"/>
      <w:marBottom w:val="0"/>
      <w:divBdr>
        <w:top w:val="none" w:sz="0" w:space="0" w:color="auto"/>
        <w:left w:val="none" w:sz="0" w:space="0" w:color="auto"/>
        <w:bottom w:val="none" w:sz="0" w:space="0" w:color="auto"/>
        <w:right w:val="none" w:sz="0" w:space="0" w:color="auto"/>
      </w:divBdr>
    </w:div>
    <w:div w:id="372921545">
      <w:bodyDiv w:val="1"/>
      <w:marLeft w:val="0"/>
      <w:marRight w:val="0"/>
      <w:marTop w:val="0"/>
      <w:marBottom w:val="0"/>
      <w:divBdr>
        <w:top w:val="none" w:sz="0" w:space="0" w:color="auto"/>
        <w:left w:val="none" w:sz="0" w:space="0" w:color="auto"/>
        <w:bottom w:val="none" w:sz="0" w:space="0" w:color="auto"/>
        <w:right w:val="none" w:sz="0" w:space="0" w:color="auto"/>
      </w:divBdr>
    </w:div>
    <w:div w:id="377516698">
      <w:bodyDiv w:val="1"/>
      <w:marLeft w:val="0"/>
      <w:marRight w:val="0"/>
      <w:marTop w:val="0"/>
      <w:marBottom w:val="0"/>
      <w:divBdr>
        <w:top w:val="none" w:sz="0" w:space="0" w:color="auto"/>
        <w:left w:val="none" w:sz="0" w:space="0" w:color="auto"/>
        <w:bottom w:val="none" w:sz="0" w:space="0" w:color="auto"/>
        <w:right w:val="none" w:sz="0" w:space="0" w:color="auto"/>
      </w:divBdr>
    </w:div>
    <w:div w:id="381759663">
      <w:bodyDiv w:val="1"/>
      <w:marLeft w:val="0"/>
      <w:marRight w:val="0"/>
      <w:marTop w:val="0"/>
      <w:marBottom w:val="0"/>
      <w:divBdr>
        <w:top w:val="none" w:sz="0" w:space="0" w:color="auto"/>
        <w:left w:val="none" w:sz="0" w:space="0" w:color="auto"/>
        <w:bottom w:val="none" w:sz="0" w:space="0" w:color="auto"/>
        <w:right w:val="none" w:sz="0" w:space="0" w:color="auto"/>
      </w:divBdr>
    </w:div>
    <w:div w:id="389882744">
      <w:bodyDiv w:val="1"/>
      <w:marLeft w:val="0"/>
      <w:marRight w:val="0"/>
      <w:marTop w:val="0"/>
      <w:marBottom w:val="0"/>
      <w:divBdr>
        <w:top w:val="none" w:sz="0" w:space="0" w:color="auto"/>
        <w:left w:val="none" w:sz="0" w:space="0" w:color="auto"/>
        <w:bottom w:val="none" w:sz="0" w:space="0" w:color="auto"/>
        <w:right w:val="none" w:sz="0" w:space="0" w:color="auto"/>
      </w:divBdr>
    </w:div>
    <w:div w:id="489297888">
      <w:bodyDiv w:val="1"/>
      <w:marLeft w:val="0"/>
      <w:marRight w:val="0"/>
      <w:marTop w:val="0"/>
      <w:marBottom w:val="0"/>
      <w:divBdr>
        <w:top w:val="none" w:sz="0" w:space="0" w:color="auto"/>
        <w:left w:val="none" w:sz="0" w:space="0" w:color="auto"/>
        <w:bottom w:val="none" w:sz="0" w:space="0" w:color="auto"/>
        <w:right w:val="none" w:sz="0" w:space="0" w:color="auto"/>
      </w:divBdr>
    </w:div>
    <w:div w:id="501244691">
      <w:bodyDiv w:val="1"/>
      <w:marLeft w:val="0"/>
      <w:marRight w:val="0"/>
      <w:marTop w:val="0"/>
      <w:marBottom w:val="0"/>
      <w:divBdr>
        <w:top w:val="none" w:sz="0" w:space="0" w:color="auto"/>
        <w:left w:val="none" w:sz="0" w:space="0" w:color="auto"/>
        <w:bottom w:val="none" w:sz="0" w:space="0" w:color="auto"/>
        <w:right w:val="none" w:sz="0" w:space="0" w:color="auto"/>
      </w:divBdr>
    </w:div>
    <w:div w:id="552817505">
      <w:bodyDiv w:val="1"/>
      <w:marLeft w:val="0"/>
      <w:marRight w:val="0"/>
      <w:marTop w:val="0"/>
      <w:marBottom w:val="0"/>
      <w:divBdr>
        <w:top w:val="none" w:sz="0" w:space="0" w:color="auto"/>
        <w:left w:val="none" w:sz="0" w:space="0" w:color="auto"/>
        <w:bottom w:val="none" w:sz="0" w:space="0" w:color="auto"/>
        <w:right w:val="none" w:sz="0" w:space="0" w:color="auto"/>
      </w:divBdr>
    </w:div>
    <w:div w:id="574240090">
      <w:bodyDiv w:val="1"/>
      <w:marLeft w:val="0"/>
      <w:marRight w:val="0"/>
      <w:marTop w:val="0"/>
      <w:marBottom w:val="0"/>
      <w:divBdr>
        <w:top w:val="none" w:sz="0" w:space="0" w:color="auto"/>
        <w:left w:val="none" w:sz="0" w:space="0" w:color="auto"/>
        <w:bottom w:val="none" w:sz="0" w:space="0" w:color="auto"/>
        <w:right w:val="none" w:sz="0" w:space="0" w:color="auto"/>
      </w:divBdr>
    </w:div>
    <w:div w:id="645474720">
      <w:bodyDiv w:val="1"/>
      <w:marLeft w:val="0"/>
      <w:marRight w:val="0"/>
      <w:marTop w:val="0"/>
      <w:marBottom w:val="0"/>
      <w:divBdr>
        <w:top w:val="none" w:sz="0" w:space="0" w:color="auto"/>
        <w:left w:val="none" w:sz="0" w:space="0" w:color="auto"/>
        <w:bottom w:val="none" w:sz="0" w:space="0" w:color="auto"/>
        <w:right w:val="none" w:sz="0" w:space="0" w:color="auto"/>
      </w:divBdr>
    </w:div>
    <w:div w:id="670178421">
      <w:bodyDiv w:val="1"/>
      <w:marLeft w:val="0"/>
      <w:marRight w:val="0"/>
      <w:marTop w:val="0"/>
      <w:marBottom w:val="0"/>
      <w:divBdr>
        <w:top w:val="none" w:sz="0" w:space="0" w:color="auto"/>
        <w:left w:val="none" w:sz="0" w:space="0" w:color="auto"/>
        <w:bottom w:val="none" w:sz="0" w:space="0" w:color="auto"/>
        <w:right w:val="none" w:sz="0" w:space="0" w:color="auto"/>
      </w:divBdr>
    </w:div>
    <w:div w:id="766000210">
      <w:bodyDiv w:val="1"/>
      <w:marLeft w:val="0"/>
      <w:marRight w:val="0"/>
      <w:marTop w:val="0"/>
      <w:marBottom w:val="0"/>
      <w:divBdr>
        <w:top w:val="none" w:sz="0" w:space="0" w:color="auto"/>
        <w:left w:val="none" w:sz="0" w:space="0" w:color="auto"/>
        <w:bottom w:val="none" w:sz="0" w:space="0" w:color="auto"/>
        <w:right w:val="none" w:sz="0" w:space="0" w:color="auto"/>
      </w:divBdr>
    </w:div>
    <w:div w:id="828327000">
      <w:bodyDiv w:val="1"/>
      <w:marLeft w:val="0"/>
      <w:marRight w:val="0"/>
      <w:marTop w:val="0"/>
      <w:marBottom w:val="0"/>
      <w:divBdr>
        <w:top w:val="none" w:sz="0" w:space="0" w:color="auto"/>
        <w:left w:val="none" w:sz="0" w:space="0" w:color="auto"/>
        <w:bottom w:val="none" w:sz="0" w:space="0" w:color="auto"/>
        <w:right w:val="none" w:sz="0" w:space="0" w:color="auto"/>
      </w:divBdr>
    </w:div>
    <w:div w:id="837768195">
      <w:bodyDiv w:val="1"/>
      <w:marLeft w:val="0"/>
      <w:marRight w:val="0"/>
      <w:marTop w:val="0"/>
      <w:marBottom w:val="0"/>
      <w:divBdr>
        <w:top w:val="none" w:sz="0" w:space="0" w:color="auto"/>
        <w:left w:val="none" w:sz="0" w:space="0" w:color="auto"/>
        <w:bottom w:val="none" w:sz="0" w:space="0" w:color="auto"/>
        <w:right w:val="none" w:sz="0" w:space="0" w:color="auto"/>
      </w:divBdr>
    </w:div>
    <w:div w:id="874925777">
      <w:bodyDiv w:val="1"/>
      <w:marLeft w:val="0"/>
      <w:marRight w:val="0"/>
      <w:marTop w:val="0"/>
      <w:marBottom w:val="0"/>
      <w:divBdr>
        <w:top w:val="none" w:sz="0" w:space="0" w:color="auto"/>
        <w:left w:val="none" w:sz="0" w:space="0" w:color="auto"/>
        <w:bottom w:val="none" w:sz="0" w:space="0" w:color="auto"/>
        <w:right w:val="none" w:sz="0" w:space="0" w:color="auto"/>
      </w:divBdr>
    </w:div>
    <w:div w:id="940995140">
      <w:bodyDiv w:val="1"/>
      <w:marLeft w:val="0"/>
      <w:marRight w:val="0"/>
      <w:marTop w:val="0"/>
      <w:marBottom w:val="0"/>
      <w:divBdr>
        <w:top w:val="none" w:sz="0" w:space="0" w:color="auto"/>
        <w:left w:val="none" w:sz="0" w:space="0" w:color="auto"/>
        <w:bottom w:val="none" w:sz="0" w:space="0" w:color="auto"/>
        <w:right w:val="none" w:sz="0" w:space="0" w:color="auto"/>
      </w:divBdr>
    </w:div>
    <w:div w:id="947932352">
      <w:bodyDiv w:val="1"/>
      <w:marLeft w:val="0"/>
      <w:marRight w:val="0"/>
      <w:marTop w:val="0"/>
      <w:marBottom w:val="0"/>
      <w:divBdr>
        <w:top w:val="none" w:sz="0" w:space="0" w:color="auto"/>
        <w:left w:val="none" w:sz="0" w:space="0" w:color="auto"/>
        <w:bottom w:val="none" w:sz="0" w:space="0" w:color="auto"/>
        <w:right w:val="none" w:sz="0" w:space="0" w:color="auto"/>
      </w:divBdr>
    </w:div>
    <w:div w:id="965352537">
      <w:bodyDiv w:val="1"/>
      <w:marLeft w:val="0"/>
      <w:marRight w:val="0"/>
      <w:marTop w:val="0"/>
      <w:marBottom w:val="0"/>
      <w:divBdr>
        <w:top w:val="none" w:sz="0" w:space="0" w:color="auto"/>
        <w:left w:val="none" w:sz="0" w:space="0" w:color="auto"/>
        <w:bottom w:val="none" w:sz="0" w:space="0" w:color="auto"/>
        <w:right w:val="none" w:sz="0" w:space="0" w:color="auto"/>
      </w:divBdr>
    </w:div>
    <w:div w:id="1033193495">
      <w:bodyDiv w:val="1"/>
      <w:marLeft w:val="0"/>
      <w:marRight w:val="0"/>
      <w:marTop w:val="0"/>
      <w:marBottom w:val="0"/>
      <w:divBdr>
        <w:top w:val="none" w:sz="0" w:space="0" w:color="auto"/>
        <w:left w:val="none" w:sz="0" w:space="0" w:color="auto"/>
        <w:bottom w:val="none" w:sz="0" w:space="0" w:color="auto"/>
        <w:right w:val="none" w:sz="0" w:space="0" w:color="auto"/>
      </w:divBdr>
    </w:div>
    <w:div w:id="1035619055">
      <w:bodyDiv w:val="1"/>
      <w:marLeft w:val="0"/>
      <w:marRight w:val="0"/>
      <w:marTop w:val="0"/>
      <w:marBottom w:val="0"/>
      <w:divBdr>
        <w:top w:val="none" w:sz="0" w:space="0" w:color="auto"/>
        <w:left w:val="none" w:sz="0" w:space="0" w:color="auto"/>
        <w:bottom w:val="none" w:sz="0" w:space="0" w:color="auto"/>
        <w:right w:val="none" w:sz="0" w:space="0" w:color="auto"/>
      </w:divBdr>
    </w:div>
    <w:div w:id="1044250673">
      <w:bodyDiv w:val="1"/>
      <w:marLeft w:val="0"/>
      <w:marRight w:val="0"/>
      <w:marTop w:val="0"/>
      <w:marBottom w:val="0"/>
      <w:divBdr>
        <w:top w:val="none" w:sz="0" w:space="0" w:color="auto"/>
        <w:left w:val="none" w:sz="0" w:space="0" w:color="auto"/>
        <w:bottom w:val="none" w:sz="0" w:space="0" w:color="auto"/>
        <w:right w:val="none" w:sz="0" w:space="0" w:color="auto"/>
      </w:divBdr>
    </w:div>
    <w:div w:id="1044871604">
      <w:bodyDiv w:val="1"/>
      <w:marLeft w:val="0"/>
      <w:marRight w:val="0"/>
      <w:marTop w:val="0"/>
      <w:marBottom w:val="0"/>
      <w:divBdr>
        <w:top w:val="none" w:sz="0" w:space="0" w:color="auto"/>
        <w:left w:val="none" w:sz="0" w:space="0" w:color="auto"/>
        <w:bottom w:val="none" w:sz="0" w:space="0" w:color="auto"/>
        <w:right w:val="none" w:sz="0" w:space="0" w:color="auto"/>
      </w:divBdr>
    </w:div>
    <w:div w:id="1104613809">
      <w:bodyDiv w:val="1"/>
      <w:marLeft w:val="0"/>
      <w:marRight w:val="0"/>
      <w:marTop w:val="0"/>
      <w:marBottom w:val="0"/>
      <w:divBdr>
        <w:top w:val="none" w:sz="0" w:space="0" w:color="auto"/>
        <w:left w:val="none" w:sz="0" w:space="0" w:color="auto"/>
        <w:bottom w:val="none" w:sz="0" w:space="0" w:color="auto"/>
        <w:right w:val="none" w:sz="0" w:space="0" w:color="auto"/>
      </w:divBdr>
    </w:div>
    <w:div w:id="1113403590">
      <w:bodyDiv w:val="1"/>
      <w:marLeft w:val="0"/>
      <w:marRight w:val="0"/>
      <w:marTop w:val="0"/>
      <w:marBottom w:val="0"/>
      <w:divBdr>
        <w:top w:val="none" w:sz="0" w:space="0" w:color="auto"/>
        <w:left w:val="none" w:sz="0" w:space="0" w:color="auto"/>
        <w:bottom w:val="none" w:sz="0" w:space="0" w:color="auto"/>
        <w:right w:val="none" w:sz="0" w:space="0" w:color="auto"/>
      </w:divBdr>
    </w:div>
    <w:div w:id="1227761000">
      <w:bodyDiv w:val="1"/>
      <w:marLeft w:val="0"/>
      <w:marRight w:val="0"/>
      <w:marTop w:val="0"/>
      <w:marBottom w:val="0"/>
      <w:divBdr>
        <w:top w:val="none" w:sz="0" w:space="0" w:color="auto"/>
        <w:left w:val="none" w:sz="0" w:space="0" w:color="auto"/>
        <w:bottom w:val="none" w:sz="0" w:space="0" w:color="auto"/>
        <w:right w:val="none" w:sz="0" w:space="0" w:color="auto"/>
      </w:divBdr>
    </w:div>
    <w:div w:id="1261528599">
      <w:bodyDiv w:val="1"/>
      <w:marLeft w:val="0"/>
      <w:marRight w:val="0"/>
      <w:marTop w:val="0"/>
      <w:marBottom w:val="0"/>
      <w:divBdr>
        <w:top w:val="none" w:sz="0" w:space="0" w:color="auto"/>
        <w:left w:val="none" w:sz="0" w:space="0" w:color="auto"/>
        <w:bottom w:val="none" w:sz="0" w:space="0" w:color="auto"/>
        <w:right w:val="none" w:sz="0" w:space="0" w:color="auto"/>
      </w:divBdr>
    </w:div>
    <w:div w:id="1271082973">
      <w:bodyDiv w:val="1"/>
      <w:marLeft w:val="0"/>
      <w:marRight w:val="0"/>
      <w:marTop w:val="0"/>
      <w:marBottom w:val="0"/>
      <w:divBdr>
        <w:top w:val="none" w:sz="0" w:space="0" w:color="auto"/>
        <w:left w:val="none" w:sz="0" w:space="0" w:color="auto"/>
        <w:bottom w:val="none" w:sz="0" w:space="0" w:color="auto"/>
        <w:right w:val="none" w:sz="0" w:space="0" w:color="auto"/>
      </w:divBdr>
    </w:div>
    <w:div w:id="1271401061">
      <w:bodyDiv w:val="1"/>
      <w:marLeft w:val="0"/>
      <w:marRight w:val="0"/>
      <w:marTop w:val="0"/>
      <w:marBottom w:val="0"/>
      <w:divBdr>
        <w:top w:val="none" w:sz="0" w:space="0" w:color="auto"/>
        <w:left w:val="none" w:sz="0" w:space="0" w:color="auto"/>
        <w:bottom w:val="none" w:sz="0" w:space="0" w:color="auto"/>
        <w:right w:val="none" w:sz="0" w:space="0" w:color="auto"/>
      </w:divBdr>
    </w:div>
    <w:div w:id="1416517820">
      <w:bodyDiv w:val="1"/>
      <w:marLeft w:val="0"/>
      <w:marRight w:val="0"/>
      <w:marTop w:val="0"/>
      <w:marBottom w:val="0"/>
      <w:divBdr>
        <w:top w:val="none" w:sz="0" w:space="0" w:color="auto"/>
        <w:left w:val="none" w:sz="0" w:space="0" w:color="auto"/>
        <w:bottom w:val="none" w:sz="0" w:space="0" w:color="auto"/>
        <w:right w:val="none" w:sz="0" w:space="0" w:color="auto"/>
      </w:divBdr>
    </w:div>
    <w:div w:id="1421176093">
      <w:bodyDiv w:val="1"/>
      <w:marLeft w:val="0"/>
      <w:marRight w:val="0"/>
      <w:marTop w:val="0"/>
      <w:marBottom w:val="0"/>
      <w:divBdr>
        <w:top w:val="none" w:sz="0" w:space="0" w:color="auto"/>
        <w:left w:val="none" w:sz="0" w:space="0" w:color="auto"/>
        <w:bottom w:val="none" w:sz="0" w:space="0" w:color="auto"/>
        <w:right w:val="none" w:sz="0" w:space="0" w:color="auto"/>
      </w:divBdr>
    </w:div>
    <w:div w:id="1470172063">
      <w:bodyDiv w:val="1"/>
      <w:marLeft w:val="0"/>
      <w:marRight w:val="0"/>
      <w:marTop w:val="0"/>
      <w:marBottom w:val="0"/>
      <w:divBdr>
        <w:top w:val="none" w:sz="0" w:space="0" w:color="auto"/>
        <w:left w:val="none" w:sz="0" w:space="0" w:color="auto"/>
        <w:bottom w:val="none" w:sz="0" w:space="0" w:color="auto"/>
        <w:right w:val="none" w:sz="0" w:space="0" w:color="auto"/>
      </w:divBdr>
    </w:div>
    <w:div w:id="1500996140">
      <w:bodyDiv w:val="1"/>
      <w:marLeft w:val="0"/>
      <w:marRight w:val="0"/>
      <w:marTop w:val="0"/>
      <w:marBottom w:val="0"/>
      <w:divBdr>
        <w:top w:val="none" w:sz="0" w:space="0" w:color="auto"/>
        <w:left w:val="none" w:sz="0" w:space="0" w:color="auto"/>
        <w:bottom w:val="none" w:sz="0" w:space="0" w:color="auto"/>
        <w:right w:val="none" w:sz="0" w:space="0" w:color="auto"/>
      </w:divBdr>
    </w:div>
    <w:div w:id="1586184600">
      <w:bodyDiv w:val="1"/>
      <w:marLeft w:val="0"/>
      <w:marRight w:val="0"/>
      <w:marTop w:val="0"/>
      <w:marBottom w:val="0"/>
      <w:divBdr>
        <w:top w:val="none" w:sz="0" w:space="0" w:color="auto"/>
        <w:left w:val="none" w:sz="0" w:space="0" w:color="auto"/>
        <w:bottom w:val="none" w:sz="0" w:space="0" w:color="auto"/>
        <w:right w:val="none" w:sz="0" w:space="0" w:color="auto"/>
      </w:divBdr>
    </w:div>
    <w:div w:id="1650399855">
      <w:bodyDiv w:val="1"/>
      <w:marLeft w:val="0"/>
      <w:marRight w:val="0"/>
      <w:marTop w:val="0"/>
      <w:marBottom w:val="0"/>
      <w:divBdr>
        <w:top w:val="none" w:sz="0" w:space="0" w:color="auto"/>
        <w:left w:val="none" w:sz="0" w:space="0" w:color="auto"/>
        <w:bottom w:val="none" w:sz="0" w:space="0" w:color="auto"/>
        <w:right w:val="none" w:sz="0" w:space="0" w:color="auto"/>
      </w:divBdr>
    </w:div>
    <w:div w:id="1694765790">
      <w:bodyDiv w:val="1"/>
      <w:marLeft w:val="0"/>
      <w:marRight w:val="0"/>
      <w:marTop w:val="0"/>
      <w:marBottom w:val="0"/>
      <w:divBdr>
        <w:top w:val="none" w:sz="0" w:space="0" w:color="auto"/>
        <w:left w:val="none" w:sz="0" w:space="0" w:color="auto"/>
        <w:bottom w:val="none" w:sz="0" w:space="0" w:color="auto"/>
        <w:right w:val="none" w:sz="0" w:space="0" w:color="auto"/>
      </w:divBdr>
    </w:div>
    <w:div w:id="1709791079">
      <w:bodyDiv w:val="1"/>
      <w:marLeft w:val="0"/>
      <w:marRight w:val="0"/>
      <w:marTop w:val="0"/>
      <w:marBottom w:val="0"/>
      <w:divBdr>
        <w:top w:val="none" w:sz="0" w:space="0" w:color="auto"/>
        <w:left w:val="none" w:sz="0" w:space="0" w:color="auto"/>
        <w:bottom w:val="none" w:sz="0" w:space="0" w:color="auto"/>
        <w:right w:val="none" w:sz="0" w:space="0" w:color="auto"/>
      </w:divBdr>
    </w:div>
    <w:div w:id="1857571286">
      <w:bodyDiv w:val="1"/>
      <w:marLeft w:val="0"/>
      <w:marRight w:val="0"/>
      <w:marTop w:val="0"/>
      <w:marBottom w:val="0"/>
      <w:divBdr>
        <w:top w:val="none" w:sz="0" w:space="0" w:color="auto"/>
        <w:left w:val="none" w:sz="0" w:space="0" w:color="auto"/>
        <w:bottom w:val="none" w:sz="0" w:space="0" w:color="auto"/>
        <w:right w:val="none" w:sz="0" w:space="0" w:color="auto"/>
      </w:divBdr>
    </w:div>
    <w:div w:id="1863276329">
      <w:bodyDiv w:val="1"/>
      <w:marLeft w:val="0"/>
      <w:marRight w:val="0"/>
      <w:marTop w:val="0"/>
      <w:marBottom w:val="0"/>
      <w:divBdr>
        <w:top w:val="none" w:sz="0" w:space="0" w:color="auto"/>
        <w:left w:val="none" w:sz="0" w:space="0" w:color="auto"/>
        <w:bottom w:val="none" w:sz="0" w:space="0" w:color="auto"/>
        <w:right w:val="none" w:sz="0" w:space="0" w:color="auto"/>
      </w:divBdr>
    </w:div>
    <w:div w:id="1894153574">
      <w:bodyDiv w:val="1"/>
      <w:marLeft w:val="0"/>
      <w:marRight w:val="0"/>
      <w:marTop w:val="0"/>
      <w:marBottom w:val="0"/>
      <w:divBdr>
        <w:top w:val="none" w:sz="0" w:space="0" w:color="auto"/>
        <w:left w:val="none" w:sz="0" w:space="0" w:color="auto"/>
        <w:bottom w:val="none" w:sz="0" w:space="0" w:color="auto"/>
        <w:right w:val="none" w:sz="0" w:space="0" w:color="auto"/>
      </w:divBdr>
    </w:div>
    <w:div w:id="1913421642">
      <w:bodyDiv w:val="1"/>
      <w:marLeft w:val="0"/>
      <w:marRight w:val="0"/>
      <w:marTop w:val="0"/>
      <w:marBottom w:val="0"/>
      <w:divBdr>
        <w:top w:val="none" w:sz="0" w:space="0" w:color="auto"/>
        <w:left w:val="none" w:sz="0" w:space="0" w:color="auto"/>
        <w:bottom w:val="none" w:sz="0" w:space="0" w:color="auto"/>
        <w:right w:val="none" w:sz="0" w:space="0" w:color="auto"/>
      </w:divBdr>
    </w:div>
    <w:div w:id="1930960504">
      <w:bodyDiv w:val="1"/>
      <w:marLeft w:val="0"/>
      <w:marRight w:val="0"/>
      <w:marTop w:val="0"/>
      <w:marBottom w:val="0"/>
      <w:divBdr>
        <w:top w:val="none" w:sz="0" w:space="0" w:color="auto"/>
        <w:left w:val="none" w:sz="0" w:space="0" w:color="auto"/>
        <w:bottom w:val="none" w:sz="0" w:space="0" w:color="auto"/>
        <w:right w:val="none" w:sz="0" w:space="0" w:color="auto"/>
      </w:divBdr>
    </w:div>
    <w:div w:id="1949510373">
      <w:bodyDiv w:val="1"/>
      <w:marLeft w:val="0"/>
      <w:marRight w:val="0"/>
      <w:marTop w:val="0"/>
      <w:marBottom w:val="0"/>
      <w:divBdr>
        <w:top w:val="none" w:sz="0" w:space="0" w:color="auto"/>
        <w:left w:val="none" w:sz="0" w:space="0" w:color="auto"/>
        <w:bottom w:val="none" w:sz="0" w:space="0" w:color="auto"/>
        <w:right w:val="none" w:sz="0" w:space="0" w:color="auto"/>
      </w:divBdr>
    </w:div>
    <w:div w:id="2024670487">
      <w:bodyDiv w:val="1"/>
      <w:marLeft w:val="0"/>
      <w:marRight w:val="0"/>
      <w:marTop w:val="0"/>
      <w:marBottom w:val="0"/>
      <w:divBdr>
        <w:top w:val="none" w:sz="0" w:space="0" w:color="auto"/>
        <w:left w:val="none" w:sz="0" w:space="0" w:color="auto"/>
        <w:bottom w:val="none" w:sz="0" w:space="0" w:color="auto"/>
        <w:right w:val="none" w:sz="0" w:space="0" w:color="auto"/>
      </w:divBdr>
    </w:div>
    <w:div w:id="2043895681">
      <w:bodyDiv w:val="1"/>
      <w:marLeft w:val="0"/>
      <w:marRight w:val="0"/>
      <w:marTop w:val="0"/>
      <w:marBottom w:val="0"/>
      <w:divBdr>
        <w:top w:val="none" w:sz="0" w:space="0" w:color="auto"/>
        <w:left w:val="none" w:sz="0" w:space="0" w:color="auto"/>
        <w:bottom w:val="none" w:sz="0" w:space="0" w:color="auto"/>
        <w:right w:val="none" w:sz="0" w:space="0" w:color="auto"/>
      </w:divBdr>
    </w:div>
    <w:div w:id="2050254466">
      <w:bodyDiv w:val="1"/>
      <w:marLeft w:val="0"/>
      <w:marRight w:val="0"/>
      <w:marTop w:val="0"/>
      <w:marBottom w:val="0"/>
      <w:divBdr>
        <w:top w:val="none" w:sz="0" w:space="0" w:color="auto"/>
        <w:left w:val="none" w:sz="0" w:space="0" w:color="auto"/>
        <w:bottom w:val="none" w:sz="0" w:space="0" w:color="auto"/>
        <w:right w:val="none" w:sz="0" w:space="0" w:color="auto"/>
      </w:divBdr>
    </w:div>
    <w:div w:id="2091385842">
      <w:bodyDiv w:val="1"/>
      <w:marLeft w:val="0"/>
      <w:marRight w:val="0"/>
      <w:marTop w:val="0"/>
      <w:marBottom w:val="0"/>
      <w:divBdr>
        <w:top w:val="none" w:sz="0" w:space="0" w:color="auto"/>
        <w:left w:val="none" w:sz="0" w:space="0" w:color="auto"/>
        <w:bottom w:val="none" w:sz="0" w:space="0" w:color="auto"/>
        <w:right w:val="none" w:sz="0" w:space="0" w:color="auto"/>
      </w:divBdr>
    </w:div>
    <w:div w:id="21471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gov.md" TargetMode="External"/><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diagramQuickStyle" Target="diagrams/quickStyle2.xml"/><Relationship Id="rId34" Type="http://schemas.microsoft.com/office/2007/relationships/diagramDrawing" Target="diagrams/drawing4.xml"/><Relationship Id="rId42"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openxmlformats.org/officeDocument/2006/relationships/diagramColors" Target="diagrams/colors4.xml"/><Relationship Id="rId38"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hyperlink" Target="https://mitp.md/" TargetMode="External"/><Relationship Id="rId41"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ca.md" TargetMode="External"/><Relationship Id="rId24" Type="http://schemas.openxmlformats.org/officeDocument/2006/relationships/diagramData" Target="diagrams/data3.xml"/><Relationship Id="rId32" Type="http://schemas.openxmlformats.org/officeDocument/2006/relationships/diagramQuickStyle" Target="diagrams/quickStyle4.xml"/><Relationship Id="rId37" Type="http://schemas.openxmlformats.org/officeDocument/2006/relationships/chart" Target="charts/chart2.xml"/><Relationship Id="rId40"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footer" Target="footer1.xml"/><Relationship Id="rId10" Type="http://schemas.openxmlformats.org/officeDocument/2006/relationships/hyperlink" Target="mailto:ccrm@ccrm.md" TargetMode="External"/><Relationship Id="rId19" Type="http://schemas.openxmlformats.org/officeDocument/2006/relationships/diagramData" Target="diagrams/data2.xml"/><Relationship Id="rId31" Type="http://schemas.openxmlformats.org/officeDocument/2006/relationships/diagramLayout" Target="diagrams/layout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Data" Target="diagrams/data4.xml"/><Relationship Id="rId35" Type="http://schemas.openxmlformats.org/officeDocument/2006/relationships/hyperlink" Target="https://www.ccrm.md/ro/responsabilitati-in-auditul-financiar-3596.htm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itp.md/" TargetMode="External"/><Relationship Id="rId1" Type="http://schemas.openxmlformats.org/officeDocument/2006/relationships/hyperlink" Target="http://www.statistica.m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crm\Misiuni%20de%20audit\CNAS%202021\executare\rogaciov\transferur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320" b="1" i="0" u="none" strike="noStrike" kern="1200" spc="0" baseline="0">
                <a:solidFill>
                  <a:sysClr val="windowText" lastClr="000000"/>
                </a:solidFill>
                <a:latin typeface="+mj-lt"/>
                <a:ea typeface="+mn-ea"/>
                <a:cs typeface="+mn-cs"/>
              </a:defRPr>
            </a:pPr>
            <a:r>
              <a:rPr lang="ru-RU" sz="1320" b="1" i="0" baseline="0">
                <a:effectLst/>
                <a:latin typeface="+mj-lt"/>
              </a:rPr>
              <a:t>Сумма </a:t>
            </a:r>
            <a:r>
              <a:rPr lang="ro-RO" sz="1320" b="1" i="0" baseline="0">
                <a:effectLst/>
                <a:latin typeface="+mj-lt"/>
              </a:rPr>
              <a:t>трансферт</a:t>
            </a:r>
            <a:r>
              <a:rPr lang="ru-RU" sz="1320" b="1" i="0" baseline="0">
                <a:effectLst/>
                <a:latin typeface="+mj-lt"/>
              </a:rPr>
              <a:t>ов</a:t>
            </a:r>
            <a:r>
              <a:rPr lang="ro-RO" sz="1320" b="1" i="0" baseline="0">
                <a:effectLst/>
                <a:latin typeface="+mj-lt"/>
              </a:rPr>
              <a:t> общего назначения</a:t>
            </a:r>
            <a:r>
              <a:rPr lang="ro-MD" sz="1320" b="1" i="0" baseline="0">
                <a:effectLst/>
                <a:latin typeface="+mj-lt"/>
              </a:rPr>
              <a:t>, </a:t>
            </a:r>
            <a:r>
              <a:rPr lang="ru-RU" sz="1320" b="1" i="0" baseline="0">
                <a:effectLst/>
                <a:latin typeface="+mj-lt"/>
              </a:rPr>
              <a:t>млн. леев</a:t>
            </a:r>
            <a:endParaRPr lang="ru-RU" sz="1320">
              <a:effectLst/>
              <a:latin typeface="+mj-l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320" b="1" i="0" u="none" strike="noStrike" kern="1200" spc="0" baseline="0">
              <a:solidFill>
                <a:sysClr val="windowText" lastClr="000000"/>
              </a:solidFill>
              <a:latin typeface="+mj-lt"/>
              <a:ea typeface="+mn-ea"/>
              <a:cs typeface="+mn-cs"/>
            </a:defRPr>
          </a:pPr>
          <a:endParaRPr lang="ru-RU"/>
        </a:p>
      </c:txPr>
    </c:title>
    <c:autoTitleDeleted val="0"/>
    <c:plotArea>
      <c:layout/>
      <c:barChart>
        <c:barDir val="col"/>
        <c:grouping val="clustered"/>
        <c:varyColors val="0"/>
        <c:ser>
          <c:idx val="0"/>
          <c:order val="0"/>
          <c:tx>
            <c:strRef>
              <c:f>Sheet2!$G$5</c:f>
              <c:strCache>
                <c:ptCount val="1"/>
                <c:pt idx="0">
                  <c:v>Dinamica transferurilor de la bugetul de stat pentru acoperirea
Dinamica transferurilor de la bugetul de stat pentru acoperirea deficitului bugetului asigurărilor sociale de stat în anii 2017-2021</c:v>
                </c:pt>
              </c:strCache>
            </c:strRef>
          </c:tx>
          <c:spPr>
            <a:solidFill>
              <a:schemeClr val="accent3"/>
            </a:solidFill>
            <a:ln>
              <a:noFill/>
            </a:ln>
            <a:effectLst>
              <a:outerShdw blurRad="50800" dist="38100" dir="2700000" algn="tl" rotWithShape="0">
                <a:prstClr val="black">
                  <a:alpha val="40000"/>
                </a:prstClr>
              </a:outerShdw>
            </a:effectLst>
          </c:spPr>
          <c:invertIfNegative val="0"/>
          <c:dLbls>
            <c:dLbl>
              <c:idx val="3"/>
              <c:tx>
                <c:rich>
                  <a:bodyPr/>
                  <a:lstStyle/>
                  <a:p>
                    <a:fld id="{2E49391F-971C-43D2-896B-B081D0093B3B}" type="VALUE">
                      <a:rPr lang="en-US"/>
                      <a:pPr/>
                      <a:t>[ЗНАЧЕНИЕ]</a:t>
                    </a:fld>
                    <a:endParaRPr lang="ru-RU"/>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2B1-4711-92B9-CE8FD9E19677}"/>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anchor="ctr" anchorCtr="1"/>
              <a:lstStyle/>
              <a:p>
                <a:pPr>
                  <a:defRPr sz="1200" b="1" i="0" u="none" strike="noStrike" kern="1200" baseline="0">
                    <a:solidFill>
                      <a:schemeClr val="dk1"/>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Sheet2!$F$6:$F$10</c:f>
              <c:numCache>
                <c:formatCode>General</c:formatCode>
                <c:ptCount val="5"/>
                <c:pt idx="0">
                  <c:v>2018</c:v>
                </c:pt>
                <c:pt idx="1">
                  <c:v>2019</c:v>
                </c:pt>
                <c:pt idx="2">
                  <c:v>2020</c:v>
                </c:pt>
                <c:pt idx="3">
                  <c:v>2021</c:v>
                </c:pt>
                <c:pt idx="4">
                  <c:v>2022</c:v>
                </c:pt>
              </c:numCache>
            </c:numRef>
          </c:cat>
          <c:val>
            <c:numRef>
              <c:f>Sheet2!$G$6:$G$10</c:f>
              <c:numCache>
                <c:formatCode>General</c:formatCode>
                <c:ptCount val="5"/>
                <c:pt idx="0">
                  <c:v>1113.9000000000001</c:v>
                </c:pt>
                <c:pt idx="1">
                  <c:v>1987.7</c:v>
                </c:pt>
                <c:pt idx="2">
                  <c:v>2554.6</c:v>
                </c:pt>
                <c:pt idx="3" formatCode="0.0">
                  <c:v>2840</c:v>
                </c:pt>
                <c:pt idx="4">
                  <c:v>4434.1000000000004</c:v>
                </c:pt>
              </c:numCache>
            </c:numRef>
          </c:val>
          <c:extLst xmlns:c16r2="http://schemas.microsoft.com/office/drawing/2015/06/chart">
            <c:ext xmlns:c16="http://schemas.microsoft.com/office/drawing/2014/chart" uri="{C3380CC4-5D6E-409C-BE32-E72D297353CC}">
              <c16:uniqueId val="{00000001-62B1-4711-92B9-CE8FD9E19677}"/>
            </c:ext>
          </c:extLst>
        </c:ser>
        <c:dLbls>
          <c:showLegendKey val="0"/>
          <c:showVal val="0"/>
          <c:showCatName val="0"/>
          <c:showSerName val="0"/>
          <c:showPercent val="0"/>
          <c:showBubbleSize val="0"/>
        </c:dLbls>
        <c:gapWidth val="219"/>
        <c:overlap val="-27"/>
        <c:axId val="202157464"/>
        <c:axId val="296484096"/>
      </c:barChart>
      <c:catAx>
        <c:axId val="202157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dk1"/>
                </a:solidFill>
                <a:latin typeface="+mj-lt"/>
                <a:ea typeface="+mn-ea"/>
                <a:cs typeface="+mn-cs"/>
              </a:defRPr>
            </a:pPr>
            <a:endParaRPr lang="ru-RU"/>
          </a:p>
        </c:txPr>
        <c:crossAx val="296484096"/>
        <c:crosses val="autoZero"/>
        <c:auto val="1"/>
        <c:lblAlgn val="ctr"/>
        <c:lblOffset val="100"/>
        <c:noMultiLvlLbl val="0"/>
      </c:catAx>
      <c:valAx>
        <c:axId val="296484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dk1"/>
                </a:solidFill>
                <a:latin typeface="+mj-lt"/>
                <a:ea typeface="+mn-ea"/>
                <a:cs typeface="+mn-cs"/>
              </a:defRPr>
            </a:pPr>
            <a:endParaRPr lang="ru-RU"/>
          </a:p>
        </c:txPr>
        <c:crossAx val="202157464"/>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accent6"/>
      </a:solidFill>
      <a:prstDash val="solid"/>
      <a:miter lim="800000"/>
    </a:ln>
    <a:effectLst/>
  </c:spPr>
  <c:txPr>
    <a:bodyPr/>
    <a:lstStyle/>
    <a:p>
      <a:pPr>
        <a:defRPr sz="1100" b="1">
          <a:solidFill>
            <a:schemeClr val="dk1"/>
          </a:solidFill>
          <a:latin typeface="+mj-lt"/>
          <a:ea typeface="+mn-ea"/>
          <a:cs typeface="+mn-cs"/>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159047827354911E-2"/>
          <c:y val="7.032639065278129E-2"/>
          <c:w val="0.5702229148439778"/>
          <c:h val="0.92967360934721865"/>
        </c:manualLayout>
      </c:layout>
      <c:pie3DChart>
        <c:varyColors val="1"/>
        <c:ser>
          <c:idx val="0"/>
          <c:order val="0"/>
          <c:tx>
            <c:strRef>
              <c:f>Sheet1!$B$1</c:f>
              <c:strCache>
                <c:ptCount val="1"/>
                <c:pt idx="0">
                  <c:v>Series 1</c:v>
                </c:pt>
              </c:strCache>
            </c:strRef>
          </c:tx>
          <c:dPt>
            <c:idx val="0"/>
            <c:bubble3D val="0"/>
            <c:spPr>
              <a:gradFill>
                <a:gsLst>
                  <a:gs pos="100000">
                    <a:schemeClr val="accent3">
                      <a:shade val="53000"/>
                      <a:lumMod val="60000"/>
                      <a:lumOff val="40000"/>
                    </a:schemeClr>
                  </a:gs>
                  <a:gs pos="0">
                    <a:schemeClr val="accent3">
                      <a:shade val="53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1-FB5C-43C6-8B2B-BE2951343A6B}"/>
              </c:ext>
            </c:extLst>
          </c:dPt>
          <c:dPt>
            <c:idx val="1"/>
            <c:bubble3D val="0"/>
            <c:spPr>
              <a:gradFill>
                <a:gsLst>
                  <a:gs pos="100000">
                    <a:schemeClr val="accent3">
                      <a:shade val="76000"/>
                      <a:lumMod val="60000"/>
                      <a:lumOff val="40000"/>
                    </a:schemeClr>
                  </a:gs>
                  <a:gs pos="0">
                    <a:schemeClr val="accent3">
                      <a:shade val="76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3-FB5C-43C6-8B2B-BE2951343A6B}"/>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5-FB5C-43C6-8B2B-BE2951343A6B}"/>
              </c:ext>
            </c:extLst>
          </c:dPt>
          <c:dPt>
            <c:idx val="3"/>
            <c:bubble3D val="0"/>
            <c:spPr>
              <a:gradFill>
                <a:gsLst>
                  <a:gs pos="100000">
                    <a:schemeClr val="accent3">
                      <a:tint val="77000"/>
                      <a:lumMod val="60000"/>
                      <a:lumOff val="40000"/>
                    </a:schemeClr>
                  </a:gs>
                  <a:gs pos="0">
                    <a:schemeClr val="accent3">
                      <a:tint val="77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7-FB5C-43C6-8B2B-BE2951343A6B}"/>
              </c:ext>
            </c:extLst>
          </c:dPt>
          <c:dPt>
            <c:idx val="4"/>
            <c:bubble3D val="0"/>
            <c:explosion val="8"/>
            <c:spPr>
              <a:gradFill>
                <a:gsLst>
                  <a:gs pos="100000">
                    <a:schemeClr val="accent3">
                      <a:tint val="54000"/>
                      <a:lumMod val="60000"/>
                      <a:lumOff val="40000"/>
                    </a:schemeClr>
                  </a:gs>
                  <a:gs pos="0">
                    <a:schemeClr val="accent3">
                      <a:tint val="54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9-FB5C-43C6-8B2B-BE2951343A6B}"/>
              </c:ext>
            </c:extLst>
          </c:dPt>
          <c:dLbls>
            <c:dLbl>
              <c:idx val="0"/>
              <c:layout>
                <c:manualLayout>
                  <c:x val="-3.6725357247010787E-2"/>
                  <c:y val="-0.22829107047102984"/>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j-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B5C-43C6-8B2B-BE2951343A6B}"/>
                </c:ext>
                <c:ext xmlns:c15="http://schemas.microsoft.com/office/drawing/2012/chart" uri="{CE6537A1-D6FC-4f65-9D91-7224C49458BB}"/>
              </c:extLst>
            </c:dLbl>
            <c:dLbl>
              <c:idx val="1"/>
              <c:layout>
                <c:manualLayout>
                  <c:x val="0.11884587343248761"/>
                  <c:y val="3.0022154488753422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j-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B5C-43C6-8B2B-BE2951343A6B}"/>
                </c:ext>
                <c:ext xmlns:c15="http://schemas.microsoft.com/office/drawing/2012/chart" uri="{CE6537A1-D6FC-4f65-9D91-7224C49458BB}"/>
              </c:extLst>
            </c:dLbl>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j-lt"/>
                      <a:ea typeface="+mn-ea"/>
                      <a:cs typeface="+mn-cs"/>
                    </a:defRPr>
                  </a:pPr>
                  <a:endParaRPr lang="ru-RU"/>
                </a:p>
              </c:txPr>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j-lt"/>
                      <a:ea typeface="+mn-ea"/>
                      <a:cs typeface="+mn-cs"/>
                    </a:defRPr>
                  </a:pPr>
                  <a:endParaRPr lang="ru-RU"/>
                </a:p>
              </c:txPr>
              <c:showLegendKey val="0"/>
              <c:showVal val="1"/>
              <c:showCatName val="0"/>
              <c:showSerName val="0"/>
              <c:showPercent val="0"/>
              <c:showBubbleSize val="0"/>
            </c:dLbl>
            <c:dLbl>
              <c:idx val="4"/>
              <c:layout>
                <c:manualLayout>
                  <c:x val="4.0862222951297753E-2"/>
                  <c:y val="-0.12014753196173059"/>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j-lt"/>
                        <a:ea typeface="+mn-ea"/>
                        <a:cs typeface="+mn-cs"/>
                      </a:defRPr>
                    </a:pPr>
                    <a:fld id="{DCDCAB9F-104E-4547-AC53-FA9F7CDD510B}" type="VALUE">
                      <a:rPr lang="en-US" b="1">
                        <a:latin typeface="+mj-lt"/>
                      </a:rPr>
                      <a:pPr>
                        <a:defRPr>
                          <a:latin typeface="+mj-lt"/>
                        </a:defRPr>
                      </a:pPr>
                      <a:t>[ЗНАЧЕНИЕ]</a:t>
                    </a:fld>
                    <a:endParaRPr lang="ru-RU"/>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j-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B5C-43C6-8B2B-BE2951343A6B}"/>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ОБЯЗАТЕЛЬНЫЕ ВЗНОСЫ ГОСУДАРСТВЕННОГО СОЦИАЛЬНОГО СТРАХОВАНИЯ (18573.33 млн. леев)</c:v>
                </c:pt>
                <c:pt idx="1">
                  <c:v>ДОХОДЫ ОТ СОБСТВЕННОСТИ (6.01 млн. леев)</c:v>
                </c:pt>
                <c:pt idx="2">
                  <c:v>ШТРАФЫ И САНКЦИИ (1.0 млн. леев)</c:v>
                </c:pt>
                <c:pt idx="3">
                  <c:v>ДРУГИЕ ДОХОДЫ И НЕВЫЯСНЕННЫЕ ДОХОДЫ (421.7 млн. леев)</c:v>
                </c:pt>
                <c:pt idx="4">
                  <c:v>ТРАНСФЕРТЫ, ПОЛУЧЕННЫЕ В РАМКАХ НАЦИОНАЛЬНОГО ПУБЛИЧНОГО БЮДЖЕТА              (14794.03 млн. леев)</c:v>
                </c:pt>
              </c:strCache>
            </c:strRef>
          </c:cat>
          <c:val>
            <c:numRef>
              <c:f>Sheet1!$B$2:$B$6</c:f>
              <c:numCache>
                <c:formatCode>0.00%</c:formatCode>
                <c:ptCount val="5"/>
                <c:pt idx="0">
                  <c:v>0.54959999999999998</c:v>
                </c:pt>
                <c:pt idx="1">
                  <c:v>2.0000000000000001E-4</c:v>
                </c:pt>
                <c:pt idx="2">
                  <c:v>0</c:v>
                </c:pt>
                <c:pt idx="3">
                  <c:v>1.2500000000000001E-2</c:v>
                </c:pt>
                <c:pt idx="4">
                  <c:v>0.43769999999999998</c:v>
                </c:pt>
              </c:numCache>
            </c:numRef>
          </c:val>
          <c:extLst xmlns:c16r2="http://schemas.microsoft.com/office/drawing/2015/06/chart">
            <c:ext xmlns:c16="http://schemas.microsoft.com/office/drawing/2014/chart" uri="{C3380CC4-5D6E-409C-BE32-E72D297353CC}">
              <c16:uniqueId val="{0000000A-FB5C-43C6-8B2B-BE2951343A6B}"/>
            </c:ext>
          </c:extLst>
        </c:ser>
        <c:ser>
          <c:idx val="1"/>
          <c:order val="1"/>
          <c:tx>
            <c:strRef>
              <c:f>Sheet1!$C$1</c:f>
              <c:strCache>
                <c:ptCount val="1"/>
                <c:pt idx="0">
                  <c:v>Series 2</c:v>
                </c:pt>
              </c:strCache>
            </c:strRef>
          </c:tx>
          <c:dPt>
            <c:idx val="0"/>
            <c:bubble3D val="0"/>
            <c:spPr>
              <a:gradFill>
                <a:gsLst>
                  <a:gs pos="100000">
                    <a:schemeClr val="accent3">
                      <a:shade val="53000"/>
                      <a:lumMod val="60000"/>
                      <a:lumOff val="40000"/>
                    </a:schemeClr>
                  </a:gs>
                  <a:gs pos="0">
                    <a:schemeClr val="accent3">
                      <a:shade val="53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C-FB5C-43C6-8B2B-BE2951343A6B}"/>
              </c:ext>
            </c:extLst>
          </c:dPt>
          <c:dPt>
            <c:idx val="1"/>
            <c:bubble3D val="0"/>
            <c:spPr>
              <a:gradFill>
                <a:gsLst>
                  <a:gs pos="100000">
                    <a:schemeClr val="accent3">
                      <a:shade val="76000"/>
                      <a:lumMod val="60000"/>
                      <a:lumOff val="40000"/>
                    </a:schemeClr>
                  </a:gs>
                  <a:gs pos="0">
                    <a:schemeClr val="accent3">
                      <a:shade val="76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E-FB5C-43C6-8B2B-BE2951343A6B}"/>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0-FB5C-43C6-8B2B-BE2951343A6B}"/>
              </c:ext>
            </c:extLst>
          </c:dPt>
          <c:dPt>
            <c:idx val="3"/>
            <c:bubble3D val="0"/>
            <c:spPr>
              <a:gradFill>
                <a:gsLst>
                  <a:gs pos="100000">
                    <a:schemeClr val="accent3">
                      <a:tint val="77000"/>
                      <a:lumMod val="60000"/>
                      <a:lumOff val="40000"/>
                    </a:schemeClr>
                  </a:gs>
                  <a:gs pos="0">
                    <a:schemeClr val="accent3">
                      <a:tint val="77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2-FB5C-43C6-8B2B-BE2951343A6B}"/>
              </c:ext>
            </c:extLst>
          </c:dPt>
          <c:dPt>
            <c:idx val="4"/>
            <c:bubble3D val="0"/>
            <c:spPr>
              <a:gradFill>
                <a:gsLst>
                  <a:gs pos="100000">
                    <a:schemeClr val="accent3">
                      <a:tint val="54000"/>
                      <a:lumMod val="60000"/>
                      <a:lumOff val="40000"/>
                    </a:schemeClr>
                  </a:gs>
                  <a:gs pos="0">
                    <a:schemeClr val="accent3">
                      <a:tint val="54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4-FB5C-43C6-8B2B-BE2951343A6B}"/>
              </c:ext>
            </c:extLst>
          </c:dPt>
          <c:cat>
            <c:strRef>
              <c:f>Sheet1!$A$2:$A$6</c:f>
              <c:strCache>
                <c:ptCount val="5"/>
                <c:pt idx="0">
                  <c:v>ОБЯЗАТЕЛЬНЫЕ ВЗНОСЫ ГОСУДАРСТВЕННОГО СОЦИАЛЬНОГО СТРАХОВАНИЯ (18573.33 млн. леев)</c:v>
                </c:pt>
                <c:pt idx="1">
                  <c:v>ДОХОДЫ ОТ СОБСТВЕННОСТИ (6.01 млн. леев)</c:v>
                </c:pt>
                <c:pt idx="2">
                  <c:v>ШТРАФЫ И САНКЦИИ (1.0 млн. леев)</c:v>
                </c:pt>
                <c:pt idx="3">
                  <c:v>ДРУГИЕ ДОХОДЫ И НЕВЫЯСНЕННЫЕ ДОХОДЫ (421.7 млн. леев)</c:v>
                </c:pt>
                <c:pt idx="4">
                  <c:v>ТРАНСФЕРТЫ, ПОЛУЧЕННЫЕ В РАМКАХ НАЦИОНАЛЬНОГО ПУБЛИЧНОГО БЮДЖЕТА              (14794.03 млн. леев)</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15-FB5C-43C6-8B2B-BE2951343A6B}"/>
            </c:ext>
          </c:extLst>
        </c:ser>
        <c:ser>
          <c:idx val="2"/>
          <c:order val="2"/>
          <c:tx>
            <c:strRef>
              <c:f>Sheet1!$D$1</c:f>
              <c:strCache>
                <c:ptCount val="1"/>
                <c:pt idx="0">
                  <c:v>Series 3</c:v>
                </c:pt>
              </c:strCache>
            </c:strRef>
          </c:tx>
          <c:dPt>
            <c:idx val="0"/>
            <c:bubble3D val="0"/>
            <c:spPr>
              <a:gradFill>
                <a:gsLst>
                  <a:gs pos="100000">
                    <a:schemeClr val="accent3">
                      <a:shade val="53000"/>
                      <a:lumMod val="60000"/>
                      <a:lumOff val="40000"/>
                    </a:schemeClr>
                  </a:gs>
                  <a:gs pos="0">
                    <a:schemeClr val="accent3">
                      <a:shade val="53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7-FB5C-43C6-8B2B-BE2951343A6B}"/>
              </c:ext>
            </c:extLst>
          </c:dPt>
          <c:dPt>
            <c:idx val="1"/>
            <c:bubble3D val="0"/>
            <c:spPr>
              <a:gradFill>
                <a:gsLst>
                  <a:gs pos="100000">
                    <a:schemeClr val="accent3">
                      <a:shade val="76000"/>
                      <a:lumMod val="60000"/>
                      <a:lumOff val="40000"/>
                    </a:schemeClr>
                  </a:gs>
                  <a:gs pos="0">
                    <a:schemeClr val="accent3">
                      <a:shade val="76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9-FB5C-43C6-8B2B-BE2951343A6B}"/>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B-FB5C-43C6-8B2B-BE2951343A6B}"/>
              </c:ext>
            </c:extLst>
          </c:dPt>
          <c:dPt>
            <c:idx val="3"/>
            <c:bubble3D val="0"/>
            <c:spPr>
              <a:gradFill>
                <a:gsLst>
                  <a:gs pos="100000">
                    <a:schemeClr val="accent3">
                      <a:tint val="77000"/>
                      <a:lumMod val="60000"/>
                      <a:lumOff val="40000"/>
                    </a:schemeClr>
                  </a:gs>
                  <a:gs pos="0">
                    <a:schemeClr val="accent3">
                      <a:tint val="77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D-FB5C-43C6-8B2B-BE2951343A6B}"/>
              </c:ext>
            </c:extLst>
          </c:dPt>
          <c:dPt>
            <c:idx val="4"/>
            <c:bubble3D val="0"/>
            <c:spPr>
              <a:gradFill>
                <a:gsLst>
                  <a:gs pos="100000">
                    <a:schemeClr val="accent3">
                      <a:tint val="54000"/>
                      <a:lumMod val="60000"/>
                      <a:lumOff val="40000"/>
                    </a:schemeClr>
                  </a:gs>
                  <a:gs pos="0">
                    <a:schemeClr val="accent3">
                      <a:tint val="54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F-FB5C-43C6-8B2B-BE2951343A6B}"/>
              </c:ext>
            </c:extLst>
          </c:dPt>
          <c:cat>
            <c:strRef>
              <c:f>Sheet1!$A$2:$A$6</c:f>
              <c:strCache>
                <c:ptCount val="5"/>
                <c:pt idx="0">
                  <c:v>ОБЯЗАТЕЛЬНЫЕ ВЗНОСЫ ГОСУДАРСТВЕННОГО СОЦИАЛЬНОГО СТРАХОВАНИЯ (18573.33 млн. леев)</c:v>
                </c:pt>
                <c:pt idx="1">
                  <c:v>ДОХОДЫ ОТ СОБСТВЕННОСТИ (6.01 млн. леев)</c:v>
                </c:pt>
                <c:pt idx="2">
                  <c:v>ШТРАФЫ И САНКЦИИ (1.0 млн. леев)</c:v>
                </c:pt>
                <c:pt idx="3">
                  <c:v>ДРУГИЕ ДОХОДЫ И НЕВЫЯСНЕННЫЕ ДОХОДЫ (421.7 млн. леев)</c:v>
                </c:pt>
                <c:pt idx="4">
                  <c:v>ТРАНСФЕРТЫ, ПОЛУЧЕННЫЕ В РАМКАХ НАЦИОНАЛЬНОГО ПУБЛИЧНОГО БЮДЖЕТА              (14794.03 млн. леев)</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20-FB5C-43C6-8B2B-BE2951343A6B}"/>
            </c:ext>
          </c:extLst>
        </c:ser>
        <c:dLbls>
          <c:showLegendKey val="0"/>
          <c:showVal val="0"/>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900" b="1" i="0" u="none" strike="noStrike" kern="1200" baseline="0">
                <a:solidFill>
                  <a:schemeClr val="dk1">
                    <a:lumMod val="65000"/>
                    <a:lumOff val="35000"/>
                  </a:schemeClr>
                </a:solidFill>
                <a:latin typeface="+mj-lt"/>
                <a:ea typeface="+mn-ea"/>
                <a:cs typeface="+mn-cs"/>
              </a:defRPr>
            </a:pPr>
            <a:endParaRPr lang="ru-RU"/>
          </a:p>
        </c:txPr>
      </c:legendEntry>
      <c:legendEntry>
        <c:idx val="1"/>
        <c:txPr>
          <a:bodyPr rot="0" spcFirstLastPara="1" vertOverflow="ellipsis" vert="horz" wrap="square" anchor="ctr" anchorCtr="1"/>
          <a:lstStyle/>
          <a:p>
            <a:pPr>
              <a:defRPr sz="900" b="1" i="0" u="none" strike="noStrike" kern="1200" baseline="0">
                <a:solidFill>
                  <a:schemeClr val="dk1">
                    <a:lumMod val="65000"/>
                    <a:lumOff val="35000"/>
                  </a:schemeClr>
                </a:solidFill>
                <a:latin typeface="+mj-lt"/>
                <a:ea typeface="+mn-ea"/>
                <a:cs typeface="+mn-cs"/>
              </a:defRPr>
            </a:pPr>
            <a:endParaRPr lang="ru-RU"/>
          </a:p>
        </c:txPr>
      </c:legendEntry>
      <c:legendEntry>
        <c:idx val="2"/>
        <c:txPr>
          <a:bodyPr rot="0" spcFirstLastPara="1" vertOverflow="ellipsis" vert="horz" wrap="square" anchor="ctr" anchorCtr="1"/>
          <a:lstStyle/>
          <a:p>
            <a:pPr>
              <a:defRPr sz="900" b="1" i="0" u="none" strike="noStrike" kern="1200" baseline="0">
                <a:solidFill>
                  <a:schemeClr val="dk1">
                    <a:lumMod val="65000"/>
                    <a:lumOff val="35000"/>
                  </a:schemeClr>
                </a:solidFill>
                <a:latin typeface="+mj-lt"/>
                <a:ea typeface="+mn-ea"/>
                <a:cs typeface="+mn-cs"/>
              </a:defRPr>
            </a:pPr>
            <a:endParaRPr lang="ru-RU"/>
          </a:p>
        </c:txPr>
      </c:legendEntry>
      <c:legendEntry>
        <c:idx val="3"/>
        <c:txPr>
          <a:bodyPr rot="0" spcFirstLastPara="1" vertOverflow="ellipsis" vert="horz" wrap="square" anchor="ctr" anchorCtr="1"/>
          <a:lstStyle/>
          <a:p>
            <a:pPr>
              <a:defRPr sz="900" b="1" i="0" u="none" strike="noStrike" kern="1200" baseline="0">
                <a:solidFill>
                  <a:schemeClr val="dk1">
                    <a:lumMod val="65000"/>
                    <a:lumOff val="35000"/>
                  </a:schemeClr>
                </a:solidFill>
                <a:latin typeface="+mj-lt"/>
                <a:ea typeface="+mn-ea"/>
                <a:cs typeface="+mn-cs"/>
              </a:defRPr>
            </a:pPr>
            <a:endParaRPr lang="ru-RU"/>
          </a:p>
        </c:txPr>
      </c:legendEntry>
      <c:legendEntry>
        <c:idx val="4"/>
        <c:txPr>
          <a:bodyPr rot="0" spcFirstLastPara="1" vertOverflow="ellipsis" vert="horz" wrap="square" anchor="ctr" anchorCtr="1"/>
          <a:lstStyle/>
          <a:p>
            <a:pPr>
              <a:defRPr sz="900" b="1" i="0" u="none" strike="noStrike" kern="1200" baseline="0">
                <a:solidFill>
                  <a:schemeClr val="dk1">
                    <a:lumMod val="65000"/>
                    <a:lumOff val="35000"/>
                  </a:schemeClr>
                </a:solidFill>
                <a:latin typeface="+mj-lt"/>
                <a:ea typeface="+mn-ea"/>
                <a:cs typeface="+mn-cs"/>
              </a:defRPr>
            </a:pPr>
            <a:endParaRPr lang="ru-RU"/>
          </a:p>
        </c:txPr>
      </c:legendEntry>
      <c:layout>
        <c:manualLayout>
          <c:xMode val="edge"/>
          <c:yMode val="edge"/>
          <c:x val="0.65883730679498398"/>
          <c:y val="0.13268034036068072"/>
          <c:w val="0.32727380431612713"/>
          <c:h val="0.8310995399768577"/>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Sheet1!$B$1</c:f>
              <c:strCache>
                <c:ptCount val="1"/>
                <c:pt idx="0">
                  <c:v>Собственные доходы БГСС</c:v>
                </c:pt>
              </c:strCache>
            </c:strRef>
          </c:tx>
          <c:spPr>
            <a:solidFill>
              <a:schemeClr val="accent3">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2018 год</c:v>
                </c:pt>
                <c:pt idx="1">
                  <c:v>2019 год</c:v>
                </c:pt>
                <c:pt idx="2">
                  <c:v>2020 год</c:v>
                </c:pt>
                <c:pt idx="3">
                  <c:v>2021 год</c:v>
                </c:pt>
                <c:pt idx="4">
                  <c:v>2022 год</c:v>
                </c:pt>
              </c:strCache>
            </c:strRef>
          </c:cat>
          <c:val>
            <c:numRef>
              <c:f>Sheet1!$B$2:$B$6</c:f>
              <c:numCache>
                <c:formatCode>General</c:formatCode>
                <c:ptCount val="5"/>
                <c:pt idx="0">
                  <c:v>13037.9</c:v>
                </c:pt>
                <c:pt idx="1">
                  <c:v>13635.7</c:v>
                </c:pt>
                <c:pt idx="2">
                  <c:v>14295.4</c:v>
                </c:pt>
                <c:pt idx="3">
                  <c:v>16223.9</c:v>
                </c:pt>
                <c:pt idx="4">
                  <c:v>19002</c:v>
                </c:pt>
              </c:numCache>
            </c:numRef>
          </c:val>
          <c:extLst xmlns:c16r2="http://schemas.microsoft.com/office/drawing/2015/06/chart">
            <c:ext xmlns:c16="http://schemas.microsoft.com/office/drawing/2014/chart" uri="{C3380CC4-5D6E-409C-BE32-E72D297353CC}">
              <c16:uniqueId val="{00000000-5799-4014-813B-D0A9AA7B7C53}"/>
            </c:ext>
          </c:extLst>
        </c:ser>
        <c:ser>
          <c:idx val="1"/>
          <c:order val="1"/>
          <c:tx>
            <c:strRef>
              <c:f>Sheet1!$C$1</c:f>
              <c:strCache>
                <c:ptCount val="1"/>
                <c:pt idx="0">
                  <c:v>Трансферты, полученные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2018 год</c:v>
                </c:pt>
                <c:pt idx="1">
                  <c:v>2019 год</c:v>
                </c:pt>
                <c:pt idx="2">
                  <c:v>2020 год</c:v>
                </c:pt>
                <c:pt idx="3">
                  <c:v>2021 год</c:v>
                </c:pt>
                <c:pt idx="4">
                  <c:v>2022 год</c:v>
                </c:pt>
              </c:strCache>
            </c:strRef>
          </c:cat>
          <c:val>
            <c:numRef>
              <c:f>Sheet1!$C$2:$C$6</c:f>
              <c:numCache>
                <c:formatCode>General</c:formatCode>
                <c:ptCount val="5"/>
                <c:pt idx="0">
                  <c:v>6670.2</c:v>
                </c:pt>
                <c:pt idx="1">
                  <c:v>7957</c:v>
                </c:pt>
                <c:pt idx="2">
                  <c:v>9769.4</c:v>
                </c:pt>
                <c:pt idx="3">
                  <c:v>10724.7</c:v>
                </c:pt>
                <c:pt idx="4">
                  <c:v>14794</c:v>
                </c:pt>
              </c:numCache>
            </c:numRef>
          </c:val>
          <c:extLst xmlns:c16r2="http://schemas.microsoft.com/office/drawing/2015/06/chart">
            <c:ext xmlns:c16="http://schemas.microsoft.com/office/drawing/2014/chart" uri="{C3380CC4-5D6E-409C-BE32-E72D297353CC}">
              <c16:uniqueId val="{00000001-5799-4014-813B-D0A9AA7B7C53}"/>
            </c:ext>
          </c:extLst>
        </c:ser>
        <c:ser>
          <c:idx val="2"/>
          <c:order val="2"/>
          <c:tx>
            <c:strRef>
              <c:f>Sheet1!$D$1</c:f>
              <c:strCache>
                <c:ptCount val="1"/>
                <c:pt idx="0">
                  <c:v>Всего доходов</c:v>
                </c:pt>
              </c:strCache>
            </c:strRef>
          </c:tx>
          <c:spPr>
            <a:solidFill>
              <a:schemeClr val="accent3">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2018 год</c:v>
                </c:pt>
                <c:pt idx="1">
                  <c:v>2019 год</c:v>
                </c:pt>
                <c:pt idx="2">
                  <c:v>2020 год</c:v>
                </c:pt>
                <c:pt idx="3">
                  <c:v>2021 год</c:v>
                </c:pt>
                <c:pt idx="4">
                  <c:v>2022 год</c:v>
                </c:pt>
              </c:strCache>
            </c:strRef>
          </c:cat>
          <c:val>
            <c:numRef>
              <c:f>Sheet1!$D$2:$D$6</c:f>
              <c:numCache>
                <c:formatCode>General</c:formatCode>
                <c:ptCount val="5"/>
                <c:pt idx="0">
                  <c:v>19790.3</c:v>
                </c:pt>
                <c:pt idx="1">
                  <c:v>21748.3</c:v>
                </c:pt>
                <c:pt idx="2">
                  <c:v>24285.5</c:v>
                </c:pt>
                <c:pt idx="3">
                  <c:v>27246.5</c:v>
                </c:pt>
                <c:pt idx="4">
                  <c:v>33796</c:v>
                </c:pt>
              </c:numCache>
            </c:numRef>
          </c:val>
          <c:extLst xmlns:c16r2="http://schemas.microsoft.com/office/drawing/2015/06/chart">
            <c:ext xmlns:c16="http://schemas.microsoft.com/office/drawing/2014/chart" uri="{C3380CC4-5D6E-409C-BE32-E72D297353CC}">
              <c16:uniqueId val="{00000002-5799-4014-813B-D0A9AA7B7C53}"/>
            </c:ext>
          </c:extLst>
        </c:ser>
        <c:dLbls>
          <c:showLegendKey val="0"/>
          <c:showVal val="1"/>
          <c:showCatName val="0"/>
          <c:showSerName val="0"/>
          <c:showPercent val="0"/>
          <c:showBubbleSize val="0"/>
        </c:dLbls>
        <c:gapWidth val="75"/>
        <c:axId val="298976576"/>
        <c:axId val="298976968"/>
      </c:barChart>
      <c:catAx>
        <c:axId val="29897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ru-RU"/>
          </a:p>
        </c:txPr>
        <c:crossAx val="298976968"/>
        <c:crosses val="autoZero"/>
        <c:auto val="1"/>
        <c:lblAlgn val="ctr"/>
        <c:lblOffset val="100"/>
        <c:noMultiLvlLbl val="0"/>
      </c:catAx>
      <c:valAx>
        <c:axId val="2989769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8976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Sheet1!$B$1</c:f>
              <c:strCache>
                <c:ptCount val="1"/>
                <c:pt idx="0">
                  <c:v>Удельный вес обязательных страховых взносов и премий в общих доходах</c:v>
                </c:pt>
              </c:strCache>
            </c:strRef>
          </c:tx>
          <c:spPr>
            <a:solidFill>
              <a:schemeClr val="accent3">
                <a:shade val="6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j-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 2019 год</c:v>
                </c:pt>
                <c:pt idx="1">
                  <c:v>2020 год</c:v>
                </c:pt>
                <c:pt idx="2">
                  <c:v>2021 год</c:v>
                </c:pt>
                <c:pt idx="3">
                  <c:v>2022 год</c:v>
                </c:pt>
              </c:strCache>
            </c:strRef>
          </c:cat>
          <c:val>
            <c:numRef>
              <c:f>Sheet1!$B$2:$B$5</c:f>
              <c:numCache>
                <c:formatCode>0.00%</c:formatCode>
                <c:ptCount val="4"/>
                <c:pt idx="0">
                  <c:v>0.627</c:v>
                </c:pt>
                <c:pt idx="1">
                  <c:v>0.58860000000000001</c:v>
                </c:pt>
                <c:pt idx="2">
                  <c:v>0.59540000000000004</c:v>
                </c:pt>
                <c:pt idx="3">
                  <c:v>0.56200000000000006</c:v>
                </c:pt>
              </c:numCache>
            </c:numRef>
          </c:val>
          <c:extLst xmlns:c16r2="http://schemas.microsoft.com/office/drawing/2015/06/chart">
            <c:ext xmlns:c16="http://schemas.microsoft.com/office/drawing/2014/chart" uri="{C3380CC4-5D6E-409C-BE32-E72D297353CC}">
              <c16:uniqueId val="{00000000-DEC6-44A9-AF08-6A003EC69E4C}"/>
            </c:ext>
          </c:extLst>
        </c:ser>
        <c:ser>
          <c:idx val="1"/>
          <c:order val="1"/>
          <c:tx>
            <c:strRef>
              <c:f>Sheet1!$C$1</c:f>
              <c:strCache>
                <c:ptCount val="1"/>
                <c:pt idx="0">
                  <c:v>Удельный вес трансфертов общих доходах</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j-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 2019 год</c:v>
                </c:pt>
                <c:pt idx="1">
                  <c:v>2020 год</c:v>
                </c:pt>
                <c:pt idx="2">
                  <c:v>2021 год</c:v>
                </c:pt>
                <c:pt idx="3">
                  <c:v>2022 год</c:v>
                </c:pt>
              </c:strCache>
            </c:strRef>
          </c:cat>
          <c:val>
            <c:numRef>
              <c:f>Sheet1!$C$2:$C$5</c:f>
              <c:numCache>
                <c:formatCode>0.00%</c:formatCode>
                <c:ptCount val="4"/>
                <c:pt idx="0">
                  <c:v>0.3659</c:v>
                </c:pt>
                <c:pt idx="1">
                  <c:v>0.40229999999999999</c:v>
                </c:pt>
                <c:pt idx="2">
                  <c:v>0.39360000000000001</c:v>
                </c:pt>
                <c:pt idx="3">
                  <c:v>0.438</c:v>
                </c:pt>
              </c:numCache>
            </c:numRef>
          </c:val>
          <c:extLst xmlns:c16r2="http://schemas.microsoft.com/office/drawing/2015/06/chart">
            <c:ext xmlns:c16="http://schemas.microsoft.com/office/drawing/2014/chart" uri="{C3380CC4-5D6E-409C-BE32-E72D297353CC}">
              <c16:uniqueId val="{00000001-DEC6-44A9-AF08-6A003EC69E4C}"/>
            </c:ext>
          </c:extLst>
        </c:ser>
        <c:dLbls>
          <c:dLblPos val="ctr"/>
          <c:showLegendKey val="0"/>
          <c:showVal val="1"/>
          <c:showCatName val="0"/>
          <c:showSerName val="0"/>
          <c:showPercent val="0"/>
          <c:showBubbleSize val="0"/>
        </c:dLbls>
        <c:gapWidth val="150"/>
        <c:axId val="298977752"/>
        <c:axId val="300370192"/>
      </c:barChart>
      <c:lineChart>
        <c:grouping val="standard"/>
        <c:varyColors val="0"/>
        <c:ser>
          <c:idx val="2"/>
          <c:order val="2"/>
          <c:tx>
            <c:strRef>
              <c:f>Sheet1!$D$1</c:f>
              <c:strCache>
                <c:ptCount val="1"/>
                <c:pt idx="0">
                  <c:v>Всего доходов</c:v>
                </c:pt>
              </c:strCache>
            </c:strRef>
          </c:tx>
          <c:spPr>
            <a:ln w="31750" cap="rnd">
              <a:solidFill>
                <a:schemeClr val="accent3">
                  <a:tint val="65000"/>
                  <a:alpha val="8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j-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 2019 год</c:v>
                </c:pt>
                <c:pt idx="1">
                  <c:v>2020 год</c:v>
                </c:pt>
                <c:pt idx="2">
                  <c:v>2021 год</c:v>
                </c:pt>
                <c:pt idx="3">
                  <c:v>2022 год</c:v>
                </c:pt>
              </c:strCache>
            </c:strRef>
          </c:cat>
          <c:val>
            <c:numRef>
              <c:f>Sheet1!$D$2:$D$5</c:f>
              <c:numCache>
                <c:formatCode>0%</c:formatCode>
                <c:ptCount val="4"/>
                <c:pt idx="0">
                  <c:v>1</c:v>
                </c:pt>
                <c:pt idx="1">
                  <c:v>1</c:v>
                </c:pt>
                <c:pt idx="2">
                  <c:v>1</c:v>
                </c:pt>
                <c:pt idx="3">
                  <c:v>1</c:v>
                </c:pt>
              </c:numCache>
            </c:numRef>
          </c:val>
          <c:smooth val="0"/>
          <c:extLst xmlns:c16r2="http://schemas.microsoft.com/office/drawing/2015/06/chart">
            <c:ext xmlns:c16="http://schemas.microsoft.com/office/drawing/2014/chart" uri="{C3380CC4-5D6E-409C-BE32-E72D297353CC}">
              <c16:uniqueId val="{00000002-DEC6-44A9-AF08-6A003EC69E4C}"/>
            </c:ext>
          </c:extLst>
        </c:ser>
        <c:dLbls>
          <c:showLegendKey val="0"/>
          <c:showVal val="0"/>
          <c:showCatName val="0"/>
          <c:showSerName val="0"/>
          <c:showPercent val="0"/>
          <c:showBubbleSize val="0"/>
        </c:dLbls>
        <c:marker val="1"/>
        <c:smooth val="0"/>
        <c:axId val="300370976"/>
        <c:axId val="300370584"/>
      </c:lineChart>
      <c:catAx>
        <c:axId val="2989777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mj-lt"/>
                <a:ea typeface="+mn-ea"/>
                <a:cs typeface="+mn-cs"/>
              </a:defRPr>
            </a:pPr>
            <a:endParaRPr lang="ru-RU"/>
          </a:p>
        </c:txPr>
        <c:crossAx val="300370192"/>
        <c:crosses val="autoZero"/>
        <c:auto val="1"/>
        <c:lblAlgn val="ctr"/>
        <c:lblOffset val="100"/>
        <c:noMultiLvlLbl val="0"/>
      </c:catAx>
      <c:valAx>
        <c:axId val="3003701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298977752"/>
        <c:crosses val="autoZero"/>
        <c:crossBetween val="between"/>
      </c:valAx>
      <c:valAx>
        <c:axId val="300370584"/>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crossAx val="300370976"/>
        <c:crosses val="max"/>
        <c:crossBetween val="between"/>
      </c:valAx>
      <c:catAx>
        <c:axId val="300370976"/>
        <c:scaling>
          <c:orientation val="minMax"/>
        </c:scaling>
        <c:delete val="1"/>
        <c:axPos val="b"/>
        <c:numFmt formatCode="General" sourceLinked="1"/>
        <c:majorTickMark val="out"/>
        <c:minorTickMark val="none"/>
        <c:tickLblPos val="nextTo"/>
        <c:crossAx val="300370584"/>
        <c:crosses val="autoZero"/>
        <c:auto val="1"/>
        <c:lblAlgn val="ctr"/>
        <c:lblOffset val="100"/>
        <c:noMultiLvlLbl val="0"/>
      </c:cat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j-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solidFill>
            <a:sysClr val="windowText" lastClr="000000"/>
          </a:solidFill>
          <a:latin typeface="+mj-lt"/>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Sheet1!$B$1</c:f>
              <c:strCache>
                <c:ptCount val="1"/>
                <c:pt idx="0">
                  <c:v>Column1</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2018 год</c:v>
                </c:pt>
                <c:pt idx="1">
                  <c:v>2019 год</c:v>
                </c:pt>
                <c:pt idx="2">
                  <c:v>2020 год</c:v>
                </c:pt>
                <c:pt idx="3">
                  <c:v> 2021 год</c:v>
                </c:pt>
                <c:pt idx="4">
                  <c:v>2022 год</c:v>
                </c:pt>
              </c:strCache>
            </c:strRef>
          </c:cat>
          <c:val>
            <c:numRef>
              <c:f>Sheet1!$B$2:$B$6</c:f>
              <c:numCache>
                <c:formatCode>General</c:formatCode>
                <c:ptCount val="5"/>
                <c:pt idx="0">
                  <c:v>19473</c:v>
                </c:pt>
                <c:pt idx="1">
                  <c:v>21681.8</c:v>
                </c:pt>
                <c:pt idx="2">
                  <c:v>24300.6</c:v>
                </c:pt>
                <c:pt idx="3">
                  <c:v>27149.3</c:v>
                </c:pt>
                <c:pt idx="4">
                  <c:v>33773.300000000003</c:v>
                </c:pt>
              </c:numCache>
            </c:numRef>
          </c:val>
          <c:extLst xmlns:c16r2="http://schemas.microsoft.com/office/drawing/2015/06/chart">
            <c:ext xmlns:c16="http://schemas.microsoft.com/office/drawing/2014/chart" uri="{C3380CC4-5D6E-409C-BE32-E72D297353CC}">
              <c16:uniqueId val="{00000000-CE6D-45EB-A9D6-4AA274694B8C}"/>
            </c:ext>
          </c:extLst>
        </c:ser>
        <c:dLbls>
          <c:showLegendKey val="0"/>
          <c:showVal val="0"/>
          <c:showCatName val="0"/>
          <c:showSerName val="0"/>
          <c:showPercent val="1"/>
          <c:showBubbleSize val="0"/>
        </c:dLbls>
        <c:gapWidth val="79"/>
        <c:shape val="box"/>
        <c:axId val="300371760"/>
        <c:axId val="300372152"/>
        <c:axId val="0"/>
      </c:bar3DChart>
      <c:catAx>
        <c:axId val="30037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all" spc="120" normalizeH="0" baseline="0">
                <a:solidFill>
                  <a:schemeClr val="tx1">
                    <a:lumMod val="65000"/>
                    <a:lumOff val="35000"/>
                  </a:schemeClr>
                </a:solidFill>
                <a:latin typeface="+mj-lt"/>
                <a:ea typeface="+mn-ea"/>
                <a:cs typeface="+mn-cs"/>
              </a:defRPr>
            </a:pPr>
            <a:endParaRPr lang="ru-RU"/>
          </a:p>
        </c:txPr>
        <c:crossAx val="300372152"/>
        <c:crosses val="autoZero"/>
        <c:auto val="1"/>
        <c:lblAlgn val="ctr"/>
        <c:lblOffset val="100"/>
        <c:noMultiLvlLbl val="0"/>
      </c:catAx>
      <c:valAx>
        <c:axId val="300372152"/>
        <c:scaling>
          <c:orientation val="minMax"/>
        </c:scaling>
        <c:delete val="1"/>
        <c:axPos val="b"/>
        <c:numFmt formatCode="General" sourceLinked="1"/>
        <c:majorTickMark val="none"/>
        <c:minorTickMark val="none"/>
        <c:tickLblPos val="nextTo"/>
        <c:crossAx val="30037176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577996715927751E-2"/>
          <c:y val="4.3650793650793648E-2"/>
          <c:w val="0.62349711673971786"/>
          <c:h val="0.94047619047619047"/>
        </c:manualLayout>
      </c:layout>
      <c:pie3DChart>
        <c:varyColors val="1"/>
        <c:ser>
          <c:idx val="0"/>
          <c:order val="0"/>
          <c:tx>
            <c:strRef>
              <c:f>Sheet1!$B$1</c:f>
              <c:strCache>
                <c:ptCount val="1"/>
                <c:pt idx="0">
                  <c:v>Sales</c:v>
                </c:pt>
              </c:strCache>
            </c:strRef>
          </c:tx>
          <c:dPt>
            <c:idx val="0"/>
            <c:bubble3D val="0"/>
            <c:explosion val="8"/>
            <c:spPr>
              <a:gradFill>
                <a:gsLst>
                  <a:gs pos="100000">
                    <a:schemeClr val="accent3">
                      <a:shade val="42000"/>
                      <a:lumMod val="60000"/>
                      <a:lumOff val="40000"/>
                    </a:schemeClr>
                  </a:gs>
                  <a:gs pos="0">
                    <a:schemeClr val="accent3">
                      <a:shade val="42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1-61C7-4CF3-843F-FC0A552FB3BB}"/>
              </c:ext>
            </c:extLst>
          </c:dPt>
          <c:dPt>
            <c:idx val="1"/>
            <c:bubble3D val="0"/>
            <c:explosion val="6"/>
            <c:spPr>
              <a:gradFill>
                <a:gsLst>
                  <a:gs pos="100000">
                    <a:schemeClr val="accent3">
                      <a:shade val="55000"/>
                      <a:lumMod val="60000"/>
                      <a:lumOff val="40000"/>
                    </a:schemeClr>
                  </a:gs>
                  <a:gs pos="0">
                    <a:schemeClr val="accent3">
                      <a:shade val="55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3-61C7-4CF3-843F-FC0A552FB3BB}"/>
              </c:ext>
            </c:extLst>
          </c:dPt>
          <c:dPt>
            <c:idx val="2"/>
            <c:bubble3D val="0"/>
            <c:explosion val="3"/>
            <c:spPr>
              <a:gradFill>
                <a:gsLst>
                  <a:gs pos="100000">
                    <a:schemeClr val="accent3">
                      <a:shade val="68000"/>
                      <a:lumMod val="60000"/>
                      <a:lumOff val="40000"/>
                    </a:schemeClr>
                  </a:gs>
                  <a:gs pos="0">
                    <a:schemeClr val="accent3">
                      <a:shade val="68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5-61C7-4CF3-843F-FC0A552FB3BB}"/>
              </c:ext>
            </c:extLst>
          </c:dPt>
          <c:dPt>
            <c:idx val="3"/>
            <c:bubble3D val="0"/>
            <c:spPr>
              <a:gradFill>
                <a:gsLst>
                  <a:gs pos="100000">
                    <a:schemeClr val="accent3">
                      <a:shade val="80000"/>
                      <a:lumMod val="60000"/>
                      <a:lumOff val="40000"/>
                    </a:schemeClr>
                  </a:gs>
                  <a:gs pos="0">
                    <a:schemeClr val="accent3">
                      <a:shade val="80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7-61C7-4CF3-843F-FC0A552FB3BB}"/>
              </c:ext>
            </c:extLst>
          </c:dPt>
          <c:dPt>
            <c:idx val="4"/>
            <c:bubble3D val="0"/>
            <c:spPr>
              <a:gradFill>
                <a:gsLst>
                  <a:gs pos="100000">
                    <a:schemeClr val="accent3">
                      <a:shade val="93000"/>
                      <a:lumMod val="60000"/>
                      <a:lumOff val="40000"/>
                    </a:schemeClr>
                  </a:gs>
                  <a:gs pos="0">
                    <a:schemeClr val="accent3">
                      <a:shade val="93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9-61C7-4CF3-843F-FC0A552FB3BB}"/>
              </c:ext>
            </c:extLst>
          </c:dPt>
          <c:dPt>
            <c:idx val="5"/>
            <c:bubble3D val="0"/>
            <c:spPr>
              <a:gradFill>
                <a:gsLst>
                  <a:gs pos="100000">
                    <a:schemeClr val="accent3">
                      <a:tint val="94000"/>
                      <a:lumMod val="60000"/>
                      <a:lumOff val="40000"/>
                    </a:schemeClr>
                  </a:gs>
                  <a:gs pos="0">
                    <a:schemeClr val="accent3">
                      <a:tint val="94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B-61C7-4CF3-843F-FC0A552FB3BB}"/>
              </c:ext>
            </c:extLst>
          </c:dPt>
          <c:dPt>
            <c:idx val="6"/>
            <c:bubble3D val="0"/>
            <c:explosion val="4"/>
            <c:spPr>
              <a:gradFill>
                <a:gsLst>
                  <a:gs pos="100000">
                    <a:schemeClr val="accent3">
                      <a:tint val="81000"/>
                      <a:lumMod val="60000"/>
                      <a:lumOff val="40000"/>
                    </a:schemeClr>
                  </a:gs>
                  <a:gs pos="0">
                    <a:schemeClr val="accent3">
                      <a:tint val="81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D-61C7-4CF3-843F-FC0A552FB3BB}"/>
              </c:ext>
            </c:extLst>
          </c:dPt>
          <c:dPt>
            <c:idx val="7"/>
            <c:bubble3D val="0"/>
            <c:explosion val="5"/>
            <c:spPr>
              <a:gradFill>
                <a:gsLst>
                  <a:gs pos="100000">
                    <a:schemeClr val="accent3">
                      <a:tint val="69000"/>
                      <a:lumMod val="60000"/>
                      <a:lumOff val="40000"/>
                    </a:schemeClr>
                  </a:gs>
                  <a:gs pos="0">
                    <a:schemeClr val="accent3">
                      <a:tint val="69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F-61C7-4CF3-843F-FC0A552FB3BB}"/>
              </c:ext>
            </c:extLst>
          </c:dPt>
          <c:dPt>
            <c:idx val="8"/>
            <c:bubble3D val="0"/>
            <c:explosion val="9"/>
            <c:spPr>
              <a:gradFill>
                <a:gsLst>
                  <a:gs pos="100000">
                    <a:schemeClr val="accent3">
                      <a:tint val="56000"/>
                      <a:lumMod val="60000"/>
                      <a:lumOff val="40000"/>
                    </a:schemeClr>
                  </a:gs>
                  <a:gs pos="0">
                    <a:schemeClr val="accent3">
                      <a:tint val="56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1-61C7-4CF3-843F-FC0A552FB3BB}"/>
              </c:ext>
            </c:extLst>
          </c:dPt>
          <c:dPt>
            <c:idx val="9"/>
            <c:bubble3D val="0"/>
            <c:explosion val="8"/>
            <c:spPr>
              <a:gradFill>
                <a:gsLst>
                  <a:gs pos="100000">
                    <a:schemeClr val="accent3">
                      <a:tint val="43000"/>
                      <a:lumMod val="60000"/>
                      <a:lumOff val="40000"/>
                    </a:schemeClr>
                  </a:gs>
                  <a:gs pos="0">
                    <a:schemeClr val="accent3">
                      <a:tint val="43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3-61C7-4CF3-843F-FC0A552FB3BB}"/>
              </c:ext>
            </c:extLst>
          </c:dPt>
          <c:dLbls>
            <c:dLbl>
              <c:idx val="0"/>
              <c:layout>
                <c:manualLayout>
                  <c:x val="7.6370841575837123E-3"/>
                  <c:y val="-1.7514373203349601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61C7-4CF3-843F-FC0A552FB3BB}"/>
                </c:ext>
                <c:ext xmlns:c15="http://schemas.microsoft.com/office/drawing/2012/chart" uri="{CE6537A1-D6FC-4f65-9D91-7224C49458BB}"/>
              </c:extLst>
            </c:dLbl>
            <c:dLbl>
              <c:idx val="1"/>
              <c:layout>
                <c:manualLayout>
                  <c:x val="2.0723594895465654E-2"/>
                  <c:y val="-1.2888388951381077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61C7-4CF3-843F-FC0A552FB3BB}"/>
                </c:ext>
                <c:ext xmlns:c15="http://schemas.microsoft.com/office/drawing/2012/chart" uri="{CE6537A1-D6FC-4f65-9D91-7224C49458BB}"/>
              </c:extLst>
            </c:dLbl>
            <c:dLbl>
              <c:idx val="3"/>
              <c:layout>
                <c:manualLayout>
                  <c:x val="-2.9194626533752249E-3"/>
                  <c:y val="-2.8697350331208526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61C7-4CF3-843F-FC0A552FB3BB}"/>
                </c:ext>
                <c:ext xmlns:c15="http://schemas.microsoft.com/office/drawing/2012/chart" uri="{CE6537A1-D6FC-4f65-9D91-7224C49458BB}"/>
              </c:extLst>
            </c:dLbl>
            <c:dLbl>
              <c:idx val="4"/>
              <c:layout>
                <c:manualLayout>
                  <c:x val="-2.2250882432799362E-2"/>
                  <c:y val="-0.128153980752406"/>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61C7-4CF3-843F-FC0A552FB3BB}"/>
                </c:ext>
                <c:ext xmlns:c15="http://schemas.microsoft.com/office/drawing/2012/chart" uri="{CE6537A1-D6FC-4f65-9D91-7224C49458BB}"/>
              </c:extLst>
            </c:dLbl>
            <c:dLbl>
              <c:idx val="5"/>
              <c:layout>
                <c:manualLayout>
                  <c:x val="-6.9220873252914231E-4"/>
                  <c:y val="-4.5035933008373989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61C7-4CF3-843F-FC0A552FB3BB}"/>
                </c:ext>
                <c:ext xmlns:c15="http://schemas.microsoft.com/office/drawing/2012/chart" uri="{CE6537A1-D6FC-4f65-9D91-7224C49458BB}"/>
              </c:extLst>
            </c:dLbl>
            <c:dLbl>
              <c:idx val="6"/>
              <c:layout>
                <c:manualLayout>
                  <c:x val="4.2318794202448815E-2"/>
                  <c:y val="-5.0893325834270732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61C7-4CF3-843F-FC0A552FB3BB}"/>
                </c:ext>
                <c:ext xmlns:c15="http://schemas.microsoft.com/office/drawing/2012/chart" uri="{CE6537A1-D6FC-4f65-9D91-7224C49458BB}"/>
              </c:extLst>
            </c:dLbl>
            <c:dLbl>
              <c:idx val="7"/>
              <c:layout>
                <c:manualLayout>
                  <c:x val="-5.975977140788436E-3"/>
                  <c:y val="-1.388388951381081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61C7-4CF3-843F-FC0A552FB3BB}"/>
                </c:ext>
                <c:ext xmlns:c15="http://schemas.microsoft.com/office/drawing/2012/chart" uri="{CE6537A1-D6FC-4f65-9D91-7224C49458BB}"/>
              </c:extLst>
            </c:dLbl>
            <c:dLbl>
              <c:idx val="8"/>
              <c:layout>
                <c:manualLayout>
                  <c:x val="-1.119526007524959E-3"/>
                  <c:y val="-2.7090363704536952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1-61C7-4CF3-843F-FC0A552FB3BB}"/>
                </c:ext>
                <c:ext xmlns:c15="http://schemas.microsoft.com/office/drawing/2012/chart" uri="{CE6537A1-D6FC-4f65-9D91-7224C49458BB}"/>
              </c:extLst>
            </c:dLbl>
            <c:dLbl>
              <c:idx val="9"/>
              <c:layout>
                <c:manualLayout>
                  <c:x val="-2.0369005598438128E-2"/>
                  <c:y val="-1.7514373203349601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3-61C7-4CF3-843F-FC0A552FB3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j-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Sheet1!$A$2:$A$11</c:f>
              <c:strCache>
                <c:ptCount val="10"/>
                <c:pt idx="0">
                  <c:v>Администрирование государственной системы социального страхования (246.1 млн. леев)</c:v>
                </c:pt>
                <c:pt idx="1">
                  <c:v>Защита в случае временной нетрудоспособности (784.5 млн. леев)</c:v>
                </c:pt>
                <c:pt idx="2">
                  <c:v>Защита пожилых лиц (22012.5 млн. леев)</c:v>
                </c:pt>
                <c:pt idx="3">
                  <c:v>Защита в связи с потерей кормильца (466.3 млн. леев)</c:v>
                </c:pt>
                <c:pt idx="4">
                  <c:v>Защита семьи и ребенка (3090.8 млн. леев)</c:v>
                </c:pt>
                <c:pt idx="5">
                  <c:v>Защита безработных (43.3 млн. леев)</c:v>
                </c:pt>
                <c:pt idx="6">
                  <c:v>Социальная защита людей с ограниченными возможностями (3958.2 млн. леев)</c:v>
                </c:pt>
                <c:pt idx="7">
                  <c:v>Дополнительная поддержка некоторых категорий населения (1182.0 млн. леев)</c:v>
                </c:pt>
                <c:pt idx="8">
                  <c:v>Социальная защита в исключительных случаях (1329.1 млн. леев)</c:v>
                </c:pt>
                <c:pt idx="9">
                  <c:v>Социальная защита некоторых категорий граждан (632.2 млн. леев)</c:v>
                </c:pt>
              </c:strCache>
            </c:strRef>
          </c:cat>
          <c:val>
            <c:numRef>
              <c:f>Sheet1!$B$2:$B$11</c:f>
              <c:numCache>
                <c:formatCode>0.0</c:formatCode>
                <c:ptCount val="10"/>
                <c:pt idx="0">
                  <c:v>246139</c:v>
                </c:pt>
                <c:pt idx="1">
                  <c:v>784490.4</c:v>
                </c:pt>
                <c:pt idx="2">
                  <c:v>22012542</c:v>
                </c:pt>
                <c:pt idx="3">
                  <c:v>466344.8</c:v>
                </c:pt>
                <c:pt idx="4">
                  <c:v>3090804.5</c:v>
                </c:pt>
                <c:pt idx="5">
                  <c:v>43337.7</c:v>
                </c:pt>
                <c:pt idx="6">
                  <c:v>3958218.5</c:v>
                </c:pt>
                <c:pt idx="7">
                  <c:v>1182043.7</c:v>
                </c:pt>
                <c:pt idx="8">
                  <c:v>1329097.7</c:v>
                </c:pt>
                <c:pt idx="9">
                  <c:v>632242.80000000005</c:v>
                </c:pt>
              </c:numCache>
            </c:numRef>
          </c:val>
          <c:extLst xmlns:c16r2="http://schemas.microsoft.com/office/drawing/2015/06/chart">
            <c:ext xmlns:c16="http://schemas.microsoft.com/office/drawing/2014/chart" uri="{C3380CC4-5D6E-409C-BE32-E72D297353CC}">
              <c16:uniqueId val="{00000014-61C7-4CF3-843F-FC0A552FB3BB}"/>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5018020376763253"/>
          <c:y val="2.6071741032371288E-4"/>
          <c:w val="0.3375045252964069"/>
          <c:h val="0.99973928258967626"/>
        </c:manualLayout>
      </c:layout>
      <c:overlay val="0"/>
      <c:spPr>
        <a:solidFill>
          <a:schemeClr val="lt1">
            <a:alpha val="50000"/>
          </a:schemeClr>
        </a:solid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j-lt"/>
              <a:ea typeface="+mn-ea"/>
              <a:cs typeface="+mn-cs"/>
            </a:defRPr>
          </a:pPr>
          <a:endParaRPr lang="ru-RU"/>
        </a:p>
      </c:txPr>
    </c:legend>
    <c:plotVisOnly val="1"/>
    <c:dispBlanksAs val="gap"/>
    <c:showDLblsOverMax val="0"/>
  </c:chart>
  <c:spPr>
    <a:no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508250825082501E-3"/>
          <c:y val="0.17928951589384659"/>
          <c:w val="0.58309555364985322"/>
          <c:h val="0.76047572178477696"/>
        </c:manualLayout>
      </c:layout>
      <c:pie3DChart>
        <c:varyColors val="1"/>
        <c:ser>
          <c:idx val="0"/>
          <c:order val="0"/>
          <c:tx>
            <c:strRef>
              <c:f>Лист1!$B$1</c:f>
              <c:strCache>
                <c:ptCount val="1"/>
                <c:pt idx="0">
                  <c:v>Структура пособий социального страхования</c:v>
                </c:pt>
              </c:strCache>
            </c:strRef>
          </c:tx>
          <c:explosion val="20"/>
          <c:dPt>
            <c:idx val="0"/>
            <c:bubble3D val="0"/>
            <c:spPr>
              <a:solidFill>
                <a:schemeClr val="accent3">
                  <a:shade val="44000"/>
                </a:schemeClr>
              </a:solidFill>
              <a:ln>
                <a:noFill/>
              </a:ln>
              <a:effectLst/>
              <a:sp3d/>
            </c:spPr>
            <c:extLst xmlns:c16r2="http://schemas.microsoft.com/office/drawing/2015/06/chart">
              <c:ext xmlns:c16="http://schemas.microsoft.com/office/drawing/2014/chart" uri="{C3380CC4-5D6E-409C-BE32-E72D297353CC}">
                <c16:uniqueId val="{00000001-5576-4FEF-B26F-567891596C1C}"/>
              </c:ext>
            </c:extLst>
          </c:dPt>
          <c:dPt>
            <c:idx val="1"/>
            <c:bubble3D val="0"/>
            <c:spPr>
              <a:solidFill>
                <a:schemeClr val="accent3">
                  <a:shade val="58000"/>
                </a:schemeClr>
              </a:solidFill>
              <a:ln>
                <a:noFill/>
              </a:ln>
              <a:effectLst/>
              <a:sp3d/>
            </c:spPr>
            <c:extLst xmlns:c16r2="http://schemas.microsoft.com/office/drawing/2015/06/chart">
              <c:ext xmlns:c16="http://schemas.microsoft.com/office/drawing/2014/chart" uri="{C3380CC4-5D6E-409C-BE32-E72D297353CC}">
                <c16:uniqueId val="{00000003-5576-4FEF-B26F-567891596C1C}"/>
              </c:ext>
            </c:extLst>
          </c:dPt>
          <c:dPt>
            <c:idx val="2"/>
            <c:bubble3D val="0"/>
            <c:spPr>
              <a:solidFill>
                <a:schemeClr val="accent3">
                  <a:shade val="72000"/>
                </a:schemeClr>
              </a:solidFill>
              <a:ln>
                <a:noFill/>
              </a:ln>
              <a:effectLst/>
              <a:sp3d/>
            </c:spPr>
            <c:extLst xmlns:c16r2="http://schemas.microsoft.com/office/drawing/2015/06/chart">
              <c:ext xmlns:c16="http://schemas.microsoft.com/office/drawing/2014/chart" uri="{C3380CC4-5D6E-409C-BE32-E72D297353CC}">
                <c16:uniqueId val="{00000005-5576-4FEF-B26F-567891596C1C}"/>
              </c:ext>
            </c:extLst>
          </c:dPt>
          <c:dPt>
            <c:idx val="3"/>
            <c:bubble3D val="0"/>
            <c:spPr>
              <a:solidFill>
                <a:schemeClr val="accent3">
                  <a:shade val="86000"/>
                </a:schemeClr>
              </a:solidFill>
              <a:ln>
                <a:noFill/>
              </a:ln>
              <a:effectLst/>
              <a:sp3d/>
            </c:spPr>
            <c:extLst xmlns:c16r2="http://schemas.microsoft.com/office/drawing/2015/06/chart">
              <c:ext xmlns:c16="http://schemas.microsoft.com/office/drawing/2014/chart" uri="{C3380CC4-5D6E-409C-BE32-E72D297353CC}">
                <c16:uniqueId val="{00000007-5576-4FEF-B26F-567891596C1C}"/>
              </c:ext>
            </c:extLst>
          </c:dPt>
          <c:dPt>
            <c:idx val="4"/>
            <c:bubble3D val="0"/>
            <c:spPr>
              <a:solidFill>
                <a:schemeClr val="accent3"/>
              </a:solidFill>
              <a:ln>
                <a:noFill/>
              </a:ln>
              <a:effectLst/>
              <a:sp3d/>
            </c:spPr>
            <c:extLst xmlns:c16r2="http://schemas.microsoft.com/office/drawing/2015/06/chart">
              <c:ext xmlns:c16="http://schemas.microsoft.com/office/drawing/2014/chart" uri="{C3380CC4-5D6E-409C-BE32-E72D297353CC}">
                <c16:uniqueId val="{00000009-5576-4FEF-B26F-567891596C1C}"/>
              </c:ext>
            </c:extLst>
          </c:dPt>
          <c:dPt>
            <c:idx val="5"/>
            <c:bubble3D val="0"/>
            <c:spPr>
              <a:solidFill>
                <a:schemeClr val="accent3">
                  <a:tint val="86000"/>
                </a:schemeClr>
              </a:solidFill>
              <a:ln>
                <a:noFill/>
              </a:ln>
              <a:effectLst/>
              <a:sp3d/>
            </c:spPr>
            <c:extLst xmlns:c16r2="http://schemas.microsoft.com/office/drawing/2015/06/chart">
              <c:ext xmlns:c16="http://schemas.microsoft.com/office/drawing/2014/chart" uri="{C3380CC4-5D6E-409C-BE32-E72D297353CC}">
                <c16:uniqueId val="{0000000B-5576-4FEF-B26F-567891596C1C}"/>
              </c:ext>
            </c:extLst>
          </c:dPt>
          <c:dPt>
            <c:idx val="6"/>
            <c:bubble3D val="0"/>
            <c:spPr>
              <a:solidFill>
                <a:schemeClr val="accent3">
                  <a:tint val="72000"/>
                </a:schemeClr>
              </a:solidFill>
              <a:ln>
                <a:noFill/>
              </a:ln>
              <a:effectLst/>
              <a:sp3d/>
            </c:spPr>
            <c:extLst xmlns:c16r2="http://schemas.microsoft.com/office/drawing/2015/06/chart">
              <c:ext xmlns:c16="http://schemas.microsoft.com/office/drawing/2014/chart" uri="{C3380CC4-5D6E-409C-BE32-E72D297353CC}">
                <c16:uniqueId val="{0000000D-5576-4FEF-B26F-567891596C1C}"/>
              </c:ext>
            </c:extLst>
          </c:dPt>
          <c:dPt>
            <c:idx val="7"/>
            <c:bubble3D val="0"/>
            <c:spPr>
              <a:solidFill>
                <a:schemeClr val="accent3">
                  <a:tint val="58000"/>
                </a:schemeClr>
              </a:solidFill>
              <a:ln>
                <a:noFill/>
              </a:ln>
              <a:effectLst/>
              <a:sp3d/>
            </c:spPr>
            <c:extLst xmlns:c16r2="http://schemas.microsoft.com/office/drawing/2015/06/chart">
              <c:ext xmlns:c16="http://schemas.microsoft.com/office/drawing/2014/chart" uri="{C3380CC4-5D6E-409C-BE32-E72D297353CC}">
                <c16:uniqueId val="{0000000F-5576-4FEF-B26F-567891596C1C}"/>
              </c:ext>
            </c:extLst>
          </c:dPt>
          <c:dPt>
            <c:idx val="8"/>
            <c:bubble3D val="0"/>
            <c:spPr>
              <a:solidFill>
                <a:schemeClr val="accent3">
                  <a:tint val="44000"/>
                </a:schemeClr>
              </a:solidFill>
              <a:ln>
                <a:noFill/>
              </a:ln>
              <a:effectLst/>
              <a:sp3d/>
            </c:spPr>
            <c:extLst xmlns:c16r2="http://schemas.microsoft.com/office/drawing/2015/06/chart">
              <c:ext xmlns:c16="http://schemas.microsoft.com/office/drawing/2014/chart" uri="{C3380CC4-5D6E-409C-BE32-E72D297353CC}">
                <c16:uniqueId val="{00000011-5576-4FEF-B26F-567891596C1C}"/>
              </c:ext>
            </c:extLst>
          </c:dPt>
          <c:dLbls>
            <c:dLbl>
              <c:idx val="0"/>
              <c:layout>
                <c:manualLayout>
                  <c:x val="-8.2477553857748048E-2"/>
                  <c:y val="-0.29842300962379709"/>
                </c:manualLayout>
              </c:layout>
              <c:tx>
                <c:rich>
                  <a:bodyPr/>
                  <a:lstStyle/>
                  <a:p>
                    <a:r>
                      <a:rPr lang="en-US"/>
                      <a:t>83.63%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576-4FEF-B26F-567891596C1C}"/>
                </c:ext>
                <c:ext xmlns:c15="http://schemas.microsoft.com/office/drawing/2012/chart" uri="{CE6537A1-D6FC-4f65-9D91-7224C49458BB}"/>
              </c:extLst>
            </c:dLbl>
            <c:dLbl>
              <c:idx val="1"/>
              <c:layout>
                <c:manualLayout>
                  <c:x val="-9.4253657649229508E-2"/>
                  <c:y val="9.2295494313210852E-2"/>
                </c:manualLayout>
              </c:layout>
              <c:tx>
                <c:rich>
                  <a:bodyPr/>
                  <a:lstStyle/>
                  <a:p>
                    <a:r>
                      <a:rPr lang="en-US"/>
                      <a:t>11.34%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576-4FEF-B26F-567891596C1C}"/>
                </c:ext>
                <c:ext xmlns:c15="http://schemas.microsoft.com/office/drawing/2012/chart" uri="{CE6537A1-D6FC-4f65-9D91-7224C49458BB}"/>
              </c:extLst>
            </c:dLbl>
            <c:dLbl>
              <c:idx val="2"/>
              <c:layout>
                <c:manualLayout>
                  <c:x val="-9.1782145734258483E-2"/>
                  <c:y val="4.1105278506853096E-3"/>
                </c:manualLayout>
              </c:layout>
              <c:tx>
                <c:rich>
                  <a:bodyPr/>
                  <a:lstStyle/>
                  <a:p>
                    <a:r>
                      <a:rPr lang="en-US"/>
                      <a:t>0.22%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576-4FEF-B26F-567891596C1C}"/>
                </c:ext>
                <c:ext xmlns:c15="http://schemas.microsoft.com/office/drawing/2012/chart" uri="{CE6537A1-D6FC-4f65-9D91-7224C49458BB}"/>
              </c:extLst>
            </c:dLbl>
            <c:dLbl>
              <c:idx val="3"/>
              <c:layout>
                <c:manualLayout>
                  <c:x val="-7.8382757074920109E-2"/>
                  <c:y val="-6.5634295713035876E-2"/>
                </c:manualLayout>
              </c:layout>
              <c:tx>
                <c:rich>
                  <a:bodyPr/>
                  <a:lstStyle/>
                  <a:p>
                    <a:r>
                      <a:rPr lang="en-US"/>
                      <a:t>0.91%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576-4FEF-B26F-567891596C1C}"/>
                </c:ext>
                <c:ext xmlns:c15="http://schemas.microsoft.com/office/drawing/2012/chart" uri="{CE6537A1-D6FC-4f65-9D91-7224C49458BB}">
                  <c15:layout>
                    <c:manualLayout>
                      <c:w val="7.1163366336633657E-2"/>
                      <c:h val="9.7222222222222224E-2"/>
                    </c:manualLayout>
                  </c15:layout>
                </c:ext>
              </c:extLst>
            </c:dLbl>
            <c:dLbl>
              <c:idx val="4"/>
              <c:layout>
                <c:manualLayout>
                  <c:x val="-1.9951567007094412E-2"/>
                  <c:y val="-4.623177311169438E-2"/>
                </c:manualLayout>
              </c:layout>
              <c:tx>
                <c:rich>
                  <a:bodyPr/>
                  <a:lstStyle/>
                  <a:p>
                    <a:r>
                      <a:rPr lang="en-US"/>
                      <a:t>0,34%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576-4FEF-B26F-567891596C1C}"/>
                </c:ext>
                <c:ext xmlns:c15="http://schemas.microsoft.com/office/drawing/2012/chart" uri="{CE6537A1-D6FC-4f65-9D91-7224C49458BB}"/>
              </c:extLst>
            </c:dLbl>
            <c:dLbl>
              <c:idx val="5"/>
              <c:layout>
                <c:manualLayout>
                  <c:x val="-2.3888412463293571E-3"/>
                  <c:y val="-0.11914843977836104"/>
                </c:manualLayout>
              </c:layout>
              <c:tx>
                <c:rich>
                  <a:bodyPr/>
                  <a:lstStyle/>
                  <a:p>
                    <a:r>
                      <a:rPr lang="en-US"/>
                      <a:t>0,12%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5576-4FEF-B26F-567891596C1C}"/>
                </c:ext>
                <c:ext xmlns:c15="http://schemas.microsoft.com/office/drawing/2012/chart" uri="{CE6537A1-D6FC-4f65-9D91-7224C49458BB}"/>
              </c:extLst>
            </c:dLbl>
            <c:dLbl>
              <c:idx val="6"/>
              <c:layout>
                <c:manualLayout>
                  <c:x val="5.753456251136925E-2"/>
                  <c:y val="-0.10525955088947216"/>
                </c:manualLayout>
              </c:layout>
              <c:tx>
                <c:rich>
                  <a:bodyPr/>
                  <a:lstStyle/>
                  <a:p>
                    <a:r>
                      <a:rPr lang="en-US"/>
                      <a:t>0,22%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576-4FEF-B26F-567891596C1C}"/>
                </c:ext>
                <c:ext xmlns:c15="http://schemas.microsoft.com/office/drawing/2012/chart" uri="{CE6537A1-D6FC-4f65-9D91-7224C49458BB}"/>
              </c:extLst>
            </c:dLbl>
            <c:dLbl>
              <c:idx val="7"/>
              <c:layout>
                <c:manualLayout>
                  <c:x val="7.3785439567578728E-2"/>
                  <c:y val="-3.3500291630212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5576-4FEF-B26F-567891596C1C}"/>
                </c:ext>
                <c:ext xmlns:c15="http://schemas.microsoft.com/office/drawing/2012/chart" uri="{CE6537A1-D6FC-4f65-9D91-7224C49458BB}"/>
              </c:extLst>
            </c:dLbl>
            <c:dLbl>
              <c:idx val="8"/>
              <c:layout>
                <c:manualLayout>
                  <c:x val="3.7710980743743669E-2"/>
                  <c:y val="4.05223826188392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5576-4FEF-B26F-567891596C1C}"/>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j-lt"/>
                    <a:ea typeface="+mn-ea"/>
                    <a:cs typeface="+mn-cs"/>
                  </a:defRPr>
                </a:pPr>
                <a:endParaRPr lang="ru-RU"/>
              </a:p>
            </c:txPr>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Лист1!$A$2:$A$10</c:f>
              <c:strCache>
                <c:ptCount val="9"/>
                <c:pt idx="0">
                  <c:v>пенсия по возрасту 83.63%</c:v>
                </c:pt>
                <c:pt idx="1">
                  <c:v>пенсия по ограниченными возможностями 11.34%</c:v>
                </c:pt>
                <c:pt idx="2">
                  <c:v>досрочные пенсии по возрасту 0.22%</c:v>
                </c:pt>
                <c:pt idx="3">
                  <c:v>пенсия государственных служащих 0.91%</c:v>
                </c:pt>
                <c:pt idx="4">
                  <c:v>пенсии некоторых категорий работников гражданской авиации 0.34%</c:v>
                </c:pt>
                <c:pt idx="5">
                  <c:v>пенсии судей 0.22%</c:v>
                </c:pt>
                <c:pt idx="6">
                  <c:v>пенсии прокуроров 0.12%</c:v>
                </c:pt>
                <c:pt idx="7">
                  <c:v>досрочные пенсии за долгую карьеру 1.5%</c:v>
                </c:pt>
                <c:pt idx="8">
                  <c:v>Другие выплаты социального страхования 0.22% </c:v>
                </c:pt>
              </c:strCache>
            </c:strRef>
          </c:cat>
          <c:val>
            <c:numRef>
              <c:f>Лист1!$B$2:$B$10</c:f>
              <c:numCache>
                <c:formatCode>0.00%</c:formatCode>
                <c:ptCount val="9"/>
                <c:pt idx="0">
                  <c:v>0.83630000000000004</c:v>
                </c:pt>
                <c:pt idx="1">
                  <c:v>0.1134</c:v>
                </c:pt>
                <c:pt idx="2">
                  <c:v>2.2000000000000001E-3</c:v>
                </c:pt>
                <c:pt idx="3">
                  <c:v>9.1000000000000004E-3</c:v>
                </c:pt>
                <c:pt idx="4">
                  <c:v>3.3999999999999998E-3</c:v>
                </c:pt>
                <c:pt idx="5">
                  <c:v>2.2000000000000001E-3</c:v>
                </c:pt>
                <c:pt idx="6">
                  <c:v>1.1999999999999999E-3</c:v>
                </c:pt>
                <c:pt idx="7">
                  <c:v>1.4999999999999999E-2</c:v>
                </c:pt>
                <c:pt idx="8">
                  <c:v>2.2000000000000001E-3</c:v>
                </c:pt>
              </c:numCache>
            </c:numRef>
          </c:val>
          <c:extLst xmlns:c16r2="http://schemas.microsoft.com/office/drawing/2015/06/chart">
            <c:ext xmlns:c16="http://schemas.microsoft.com/office/drawing/2014/chart" uri="{C3380CC4-5D6E-409C-BE32-E72D297353CC}">
              <c16:uniqueId val="{00000012-5576-4FEF-B26F-567891596C1C}"/>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67626084951014798"/>
          <c:y val="2.6290828229804612E-2"/>
          <c:w val="0.32260206335594188"/>
          <c:h val="0.97370917177019545"/>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j-lt"/>
              <a:ea typeface="+mn-ea"/>
              <a:cs typeface="+mn-cs"/>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latin typeface="+mj-lt"/>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9F02E0-76EE-47F7-A635-4F57A0142FA3}" type="doc">
      <dgm:prSet loTypeId="urn:microsoft.com/office/officeart/2009/3/layout/IncreasingArrowsProcess" loCatId="process" qsTypeId="urn:microsoft.com/office/officeart/2005/8/quickstyle/simple1" qsCatId="simple" csTypeId="urn:microsoft.com/office/officeart/2005/8/colors/accent0_1" csCatId="mainScheme" phldr="1"/>
      <dgm:spPr/>
      <dgm:t>
        <a:bodyPr/>
        <a:lstStyle/>
        <a:p>
          <a:endParaRPr lang="en-US"/>
        </a:p>
      </dgm:t>
    </dgm:pt>
    <dgm:pt modelId="{95E8945C-1D76-492D-A2D8-17B4BB54173C}">
      <dgm:prSet phldrT="[Text]" custT="1"/>
      <dgm:spPr>
        <a:xfrm>
          <a:off x="1699" y="1056703"/>
          <a:ext cx="1342816" cy="1408938"/>
        </a:xfrm>
      </dgm:spPr>
      <dgm:t>
        <a:bodyPr/>
        <a:lstStyle/>
        <a:p>
          <a:r>
            <a:rPr lang="ru-RU" sz="1200" b="1">
              <a:latin typeface="Calibri Light" panose="020F0302020204030204"/>
              <a:ea typeface="+mn-ea"/>
              <a:cs typeface="+mn-cs"/>
            </a:rPr>
            <a:t>МТСЗ</a:t>
          </a:r>
          <a:endParaRPr lang="ro-RO" sz="1200">
            <a:latin typeface="Calibri Light" panose="020F0302020204030204"/>
            <a:ea typeface="+mn-ea"/>
            <a:cs typeface="+mn-cs"/>
          </a:endParaRPr>
        </a:p>
      </dgm:t>
    </dgm:pt>
    <dgm:pt modelId="{56A7895D-8B0E-417B-B005-3FEDF830BD4D}" type="parTrans" cxnId="{5247A5F8-B06F-418C-B794-948E1E3E33CB}">
      <dgm:prSet/>
      <dgm:spPr/>
      <dgm:t>
        <a:bodyPr/>
        <a:lstStyle/>
        <a:p>
          <a:endParaRPr lang="en-US" sz="1200"/>
        </a:p>
      </dgm:t>
    </dgm:pt>
    <dgm:pt modelId="{B9A4D7C8-69D6-4EFB-AE48-4461CF445BAD}" type="sibTrans" cxnId="{5247A5F8-B06F-418C-B794-948E1E3E33CB}">
      <dgm:prSet/>
      <dgm:spPr/>
      <dgm:t>
        <a:bodyPr/>
        <a:lstStyle/>
        <a:p>
          <a:endParaRPr lang="en-US" sz="1200"/>
        </a:p>
      </dgm:t>
    </dgm:pt>
    <dgm:pt modelId="{E3165CAE-1BA0-4642-BD5F-18FC09E91A45}">
      <dgm:prSet phldrT="[Text]" custT="1"/>
      <dgm:spPr>
        <a:xfrm>
          <a:off x="1699" y="1056703"/>
          <a:ext cx="1342816" cy="1408938"/>
        </a:xfrm>
      </dgm:spPr>
      <dgm:t>
        <a:bodyPr/>
        <a:lstStyle/>
        <a:p>
          <a:r>
            <a:rPr lang="ru-RU" sz="1200" b="1">
              <a:latin typeface="Calibri Light" panose="020F0302020204030204"/>
              <a:ea typeface="+mn-ea"/>
              <a:cs typeface="+mn-cs"/>
            </a:rPr>
            <a:t>Территориальные структуры социальной помощи</a:t>
          </a:r>
          <a:endParaRPr lang="en-US" sz="1200" b="1">
            <a:latin typeface="Calibri Light" panose="020F0302020204030204"/>
            <a:ea typeface="+mn-ea"/>
            <a:cs typeface="+mn-cs"/>
          </a:endParaRPr>
        </a:p>
      </dgm:t>
    </dgm:pt>
    <dgm:pt modelId="{4899FEC0-BCD8-42BC-99AD-8D49087A3E6C}" type="parTrans" cxnId="{404ACEBB-00A6-45EE-A6E6-55C7D64159F3}">
      <dgm:prSet/>
      <dgm:spPr/>
      <dgm:t>
        <a:bodyPr/>
        <a:lstStyle/>
        <a:p>
          <a:endParaRPr lang="en-US" sz="1200"/>
        </a:p>
      </dgm:t>
    </dgm:pt>
    <dgm:pt modelId="{4B7E05D3-65F6-42B1-A856-985574867768}" type="sibTrans" cxnId="{404ACEBB-00A6-45EE-A6E6-55C7D64159F3}">
      <dgm:prSet/>
      <dgm:spPr/>
      <dgm:t>
        <a:bodyPr/>
        <a:lstStyle/>
        <a:p>
          <a:endParaRPr lang="en-US" sz="1200"/>
        </a:p>
      </dgm:t>
    </dgm:pt>
    <dgm:pt modelId="{9AA3A3D2-3121-4525-BBD9-94BA688E4370}">
      <dgm:prSet phldrT="[Text]" custT="1"/>
      <dgm:spPr>
        <a:xfrm>
          <a:off x="1699" y="1056703"/>
          <a:ext cx="1342816" cy="1408938"/>
        </a:xfrm>
      </dgm:spPr>
      <dgm:t>
        <a:bodyPr/>
        <a:lstStyle/>
        <a:p>
          <a:pPr algn="ctr"/>
          <a:r>
            <a:rPr lang="ru-RU" sz="1200">
              <a:latin typeface="Calibri Light" panose="020F0302020204030204"/>
              <a:ea typeface="+mn-ea"/>
              <a:cs typeface="+mn-cs"/>
            </a:rPr>
            <a:t>обеспечивает разработку политик и мониторинг их реализации</a:t>
          </a:r>
          <a:endParaRPr lang="en-US" sz="1200"/>
        </a:p>
      </dgm:t>
    </dgm:pt>
    <dgm:pt modelId="{A163698F-52C2-4038-A9B9-07C1BCF88C55}" type="parTrans" cxnId="{789EA8B7-E366-4204-96FF-F4F11B40A713}">
      <dgm:prSet/>
      <dgm:spPr/>
      <dgm:t>
        <a:bodyPr/>
        <a:lstStyle/>
        <a:p>
          <a:endParaRPr lang="en-US" sz="1200"/>
        </a:p>
      </dgm:t>
    </dgm:pt>
    <dgm:pt modelId="{6D4F5B71-B1C9-41F0-96F6-FAF37E2AF51D}" type="sibTrans" cxnId="{789EA8B7-E366-4204-96FF-F4F11B40A713}">
      <dgm:prSet/>
      <dgm:spPr/>
      <dgm:t>
        <a:bodyPr/>
        <a:lstStyle/>
        <a:p>
          <a:endParaRPr lang="en-US" sz="1200"/>
        </a:p>
      </dgm:t>
    </dgm:pt>
    <dgm:pt modelId="{8DBD8061-7B61-4AF7-A61F-CC93B4C6BA8C}">
      <dgm:prSet phldrT="[Text]" custT="1"/>
      <dgm:spPr>
        <a:xfrm>
          <a:off x="1699" y="1056703"/>
          <a:ext cx="1342816" cy="1408938"/>
        </a:xfrm>
      </dgm:spPr>
      <dgm:t>
        <a:bodyPr/>
        <a:lstStyle/>
        <a:p>
          <a:pPr algn="ctr"/>
          <a:r>
            <a:rPr lang="ru-RU" sz="1200" b="1">
              <a:latin typeface="Calibri Light" panose="020F0302020204030204"/>
              <a:ea typeface="+mn-ea"/>
              <a:cs typeface="+mn-cs"/>
            </a:rPr>
            <a:t>НКСС</a:t>
          </a:r>
          <a:endParaRPr lang="ro-MD" sz="1200" b="1">
            <a:latin typeface="Calibri Light" panose="020F0302020204030204"/>
            <a:ea typeface="+mn-ea"/>
            <a:cs typeface="+mn-cs"/>
          </a:endParaRPr>
        </a:p>
      </dgm:t>
    </dgm:pt>
    <dgm:pt modelId="{7C807715-D085-49C4-8E7D-1B56625A7A31}" type="parTrans" cxnId="{CB5C6B1C-1711-4E78-A243-368E187B0F60}">
      <dgm:prSet/>
      <dgm:spPr/>
      <dgm:t>
        <a:bodyPr/>
        <a:lstStyle/>
        <a:p>
          <a:endParaRPr lang="en-US" sz="1200"/>
        </a:p>
      </dgm:t>
    </dgm:pt>
    <dgm:pt modelId="{B38C7EEF-D51B-4350-B324-DDC4CDF8F829}" type="sibTrans" cxnId="{CB5C6B1C-1711-4E78-A243-368E187B0F60}">
      <dgm:prSet/>
      <dgm:spPr/>
      <dgm:t>
        <a:bodyPr/>
        <a:lstStyle/>
        <a:p>
          <a:endParaRPr lang="en-US" sz="1200"/>
        </a:p>
      </dgm:t>
    </dgm:pt>
    <dgm:pt modelId="{B33BDA01-8B85-44FE-9E33-3159E150A07D}">
      <dgm:prSet phldrT="[Text]" custT="1"/>
      <dgm:spPr>
        <a:xfrm>
          <a:off x="1699" y="1056703"/>
          <a:ext cx="1342816" cy="1408938"/>
        </a:xfrm>
      </dgm:spPr>
      <dgm:t>
        <a:bodyPr/>
        <a:lstStyle/>
        <a:p>
          <a:pPr algn="ctr"/>
          <a:r>
            <a:rPr lang="ru-RU" sz="1200">
              <a:latin typeface="+mj-lt"/>
            </a:rPr>
            <a:t>предоставляет </a:t>
          </a:r>
          <a:r>
            <a:rPr lang="ro-MD" sz="1200">
              <a:latin typeface="+mj-lt"/>
            </a:rPr>
            <a:t>право на социальное пособие и/или пособие на холодный период года</a:t>
          </a:r>
          <a:endParaRPr lang="en-US" sz="1200">
            <a:latin typeface="+mj-lt"/>
          </a:endParaRPr>
        </a:p>
      </dgm:t>
    </dgm:pt>
    <dgm:pt modelId="{C5309C01-CA65-4FFF-8624-94124664983E}" type="parTrans" cxnId="{F33E405D-4825-4C9E-9CA9-BEFA5825CAF8}">
      <dgm:prSet/>
      <dgm:spPr/>
      <dgm:t>
        <a:bodyPr/>
        <a:lstStyle/>
        <a:p>
          <a:endParaRPr lang="en-US" sz="1200"/>
        </a:p>
      </dgm:t>
    </dgm:pt>
    <dgm:pt modelId="{C4D123D4-EE61-4DFF-93DB-A4A5BD5FD16C}" type="sibTrans" cxnId="{F33E405D-4825-4C9E-9CA9-BEFA5825CAF8}">
      <dgm:prSet/>
      <dgm:spPr/>
      <dgm:t>
        <a:bodyPr/>
        <a:lstStyle/>
        <a:p>
          <a:endParaRPr lang="en-US" sz="1200"/>
        </a:p>
      </dgm:t>
    </dgm:pt>
    <dgm:pt modelId="{10915DAC-9708-4BC9-B1C9-3AB4D5CC4BFF}">
      <dgm:prSet phldrT="[Text]" custT="1"/>
      <dgm:spPr>
        <a:xfrm>
          <a:off x="1699" y="1056703"/>
          <a:ext cx="1342816" cy="1408938"/>
        </a:xfrm>
      </dgm:spPr>
      <dgm:t>
        <a:bodyPr/>
        <a:lstStyle/>
        <a:p>
          <a:pPr algn="ctr"/>
          <a:r>
            <a:rPr lang="ru-RU" sz="1200" b="1">
              <a:latin typeface="Calibri Light" panose="020F0302020204030204"/>
              <a:ea typeface="+mn-ea"/>
              <a:cs typeface="+mn-cs"/>
            </a:rPr>
            <a:t>Социальная инспекция</a:t>
          </a:r>
          <a:endParaRPr lang="ro-MD" sz="1200" b="1">
            <a:latin typeface="Calibri Light" panose="020F0302020204030204"/>
            <a:ea typeface="+mn-ea"/>
            <a:cs typeface="+mn-cs"/>
          </a:endParaRPr>
        </a:p>
      </dgm:t>
    </dgm:pt>
    <dgm:pt modelId="{FCDDBC81-6EAA-48F9-831C-C5D989ABD0B4}" type="parTrans" cxnId="{4C461CDF-7CDC-4036-BA55-69E0BE1F5E6F}">
      <dgm:prSet/>
      <dgm:spPr/>
      <dgm:t>
        <a:bodyPr/>
        <a:lstStyle/>
        <a:p>
          <a:endParaRPr lang="en-US" sz="1200"/>
        </a:p>
      </dgm:t>
    </dgm:pt>
    <dgm:pt modelId="{4B63998D-8136-404F-93E8-60EE51AB11D0}" type="sibTrans" cxnId="{4C461CDF-7CDC-4036-BA55-69E0BE1F5E6F}">
      <dgm:prSet/>
      <dgm:spPr/>
      <dgm:t>
        <a:bodyPr/>
        <a:lstStyle/>
        <a:p>
          <a:endParaRPr lang="en-US" sz="1200"/>
        </a:p>
      </dgm:t>
    </dgm:pt>
    <dgm:pt modelId="{B9DA9B4C-327F-4645-B43A-1454DE2DB103}">
      <dgm:prSet phldrT="[Text]" custT="1"/>
      <dgm:spPr>
        <a:xfrm>
          <a:off x="1699" y="1056703"/>
          <a:ext cx="1342816" cy="1408938"/>
        </a:xfrm>
      </dgm:spPr>
      <dgm:t>
        <a:bodyPr/>
        <a:lstStyle/>
        <a:p>
          <a:pPr algn="ctr"/>
          <a:endParaRPr lang="ro-RO" sz="1200">
            <a:latin typeface="Calibri Light" panose="020F0302020204030204"/>
            <a:ea typeface="+mn-ea"/>
            <a:cs typeface="+mn-cs"/>
          </a:endParaRPr>
        </a:p>
        <a:p>
          <a:pPr algn="ctr"/>
          <a:r>
            <a:rPr lang="ru-RU" sz="1200">
              <a:latin typeface="Calibri Light" panose="020F0302020204030204"/>
              <a:ea typeface="+mn-ea"/>
              <a:cs typeface="+mn-cs"/>
            </a:rPr>
            <a:t>обеспечивает выплату через </a:t>
          </a:r>
          <a:r>
            <a:rPr lang="en-US" sz="1200">
              <a:latin typeface="Calibri Light" panose="020F0302020204030204"/>
              <a:ea typeface="+mn-ea"/>
              <a:cs typeface="+mn-cs"/>
            </a:rPr>
            <a:t>MPay</a:t>
          </a:r>
          <a:endParaRPr lang="en-US" sz="1200"/>
        </a:p>
      </dgm:t>
    </dgm:pt>
    <dgm:pt modelId="{57BA255F-7DE4-47E7-9229-D3CCCACAD1B4}" type="parTrans" cxnId="{CD05D3B7-E753-4E9B-BF79-CBD0D6A218C3}">
      <dgm:prSet/>
      <dgm:spPr/>
      <dgm:t>
        <a:bodyPr/>
        <a:lstStyle/>
        <a:p>
          <a:endParaRPr lang="en-US" sz="1200"/>
        </a:p>
      </dgm:t>
    </dgm:pt>
    <dgm:pt modelId="{BAC78532-3D75-4A76-B859-57085D9B1E1F}" type="sibTrans" cxnId="{CD05D3B7-E753-4E9B-BF79-CBD0D6A218C3}">
      <dgm:prSet/>
      <dgm:spPr/>
      <dgm:t>
        <a:bodyPr/>
        <a:lstStyle/>
        <a:p>
          <a:endParaRPr lang="en-US" sz="1200"/>
        </a:p>
      </dgm:t>
    </dgm:pt>
    <dgm:pt modelId="{DD7C2488-1747-4F46-93BD-19F28FC34EB8}">
      <dgm:prSet phldrT="[Text]" custT="1"/>
      <dgm:spPr>
        <a:xfrm>
          <a:off x="1699" y="1056703"/>
          <a:ext cx="1342816" cy="1408938"/>
        </a:xfrm>
      </dgm:spPr>
      <dgm:t>
        <a:bodyPr/>
        <a:lstStyle/>
        <a:p>
          <a:pPr algn="ctr"/>
          <a:r>
            <a:rPr lang="ru-RU" sz="1200">
              <a:latin typeface="Calibri Light" panose="020F0302020204030204"/>
              <a:ea typeface="+mn-ea"/>
              <a:cs typeface="+mn-cs"/>
            </a:rPr>
            <a:t>осуществляет </a:t>
          </a:r>
          <a:r>
            <a:rPr lang="ro-MD" sz="1200">
              <a:latin typeface="+mj-lt"/>
            </a:rPr>
            <a:t>проверк</a:t>
          </a:r>
          <a:r>
            <a:rPr lang="ru-RU" sz="1200">
              <a:latin typeface="+mj-lt"/>
            </a:rPr>
            <a:t>у</a:t>
          </a:r>
          <a:r>
            <a:rPr lang="ro-MD" sz="1200">
              <a:latin typeface="+mj-lt"/>
            </a:rPr>
            <a:t> правильности и единообразия применения нормативной базы</a:t>
          </a:r>
          <a:endParaRPr lang="en-US" sz="1200">
            <a:latin typeface="+mj-lt"/>
          </a:endParaRPr>
        </a:p>
      </dgm:t>
    </dgm:pt>
    <dgm:pt modelId="{0B77F2BB-BC1D-43F9-9B9E-C70F1100E9FE}" type="parTrans" cxnId="{C2C2C6CC-03E3-40F9-A8A3-6EB5A156B7E8}">
      <dgm:prSet/>
      <dgm:spPr/>
      <dgm:t>
        <a:bodyPr/>
        <a:lstStyle/>
        <a:p>
          <a:endParaRPr lang="en-US" sz="1200"/>
        </a:p>
      </dgm:t>
    </dgm:pt>
    <dgm:pt modelId="{6252AEBF-AACC-4322-BDC8-EA22E8402696}" type="sibTrans" cxnId="{C2C2C6CC-03E3-40F9-A8A3-6EB5A156B7E8}">
      <dgm:prSet/>
      <dgm:spPr/>
      <dgm:t>
        <a:bodyPr/>
        <a:lstStyle/>
        <a:p>
          <a:endParaRPr lang="en-US" sz="1200"/>
        </a:p>
      </dgm:t>
    </dgm:pt>
    <dgm:pt modelId="{DAE39ADA-57C1-4268-92FF-1069C589CC46}" type="pres">
      <dgm:prSet presAssocID="{9B9F02E0-76EE-47F7-A635-4F57A0142FA3}" presName="Name0" presStyleCnt="0">
        <dgm:presLayoutVars>
          <dgm:chMax val="5"/>
          <dgm:chPref val="5"/>
          <dgm:dir/>
          <dgm:animLvl val="lvl"/>
        </dgm:presLayoutVars>
      </dgm:prSet>
      <dgm:spPr/>
      <dgm:t>
        <a:bodyPr/>
        <a:lstStyle/>
        <a:p>
          <a:endParaRPr lang="en-US"/>
        </a:p>
      </dgm:t>
    </dgm:pt>
    <dgm:pt modelId="{1AA00545-41F7-4593-9372-45326E2DDCEE}" type="pres">
      <dgm:prSet presAssocID="{95E8945C-1D76-492D-A2D8-17B4BB54173C}" presName="parentText1" presStyleLbl="node1" presStyleIdx="0" presStyleCnt="4">
        <dgm:presLayoutVars>
          <dgm:chMax/>
          <dgm:chPref val="3"/>
          <dgm:bulletEnabled val="1"/>
        </dgm:presLayoutVars>
      </dgm:prSet>
      <dgm:spPr/>
      <dgm:t>
        <a:bodyPr/>
        <a:lstStyle/>
        <a:p>
          <a:endParaRPr lang="en-US"/>
        </a:p>
      </dgm:t>
    </dgm:pt>
    <dgm:pt modelId="{B01A5F28-BAAF-4886-8469-DA6D3574A2D3}" type="pres">
      <dgm:prSet presAssocID="{95E8945C-1D76-492D-A2D8-17B4BB54173C}" presName="childText1" presStyleLbl="solidAlignAcc1" presStyleIdx="0" presStyleCnt="4" custScaleY="61697" custLinFactNeighborX="1156" custLinFactNeighborY="-22265">
        <dgm:presLayoutVars>
          <dgm:chMax val="0"/>
          <dgm:chPref val="0"/>
          <dgm:bulletEnabled val="1"/>
        </dgm:presLayoutVars>
      </dgm:prSet>
      <dgm:spPr/>
      <dgm:t>
        <a:bodyPr/>
        <a:lstStyle/>
        <a:p>
          <a:endParaRPr lang="en-US"/>
        </a:p>
      </dgm:t>
    </dgm:pt>
    <dgm:pt modelId="{20622221-4A46-4D0F-8E2D-57BE92B782F5}" type="pres">
      <dgm:prSet presAssocID="{E3165CAE-1BA0-4642-BD5F-18FC09E91A45}" presName="parentText2" presStyleLbl="node1" presStyleIdx="1" presStyleCnt="4">
        <dgm:presLayoutVars>
          <dgm:chMax/>
          <dgm:chPref val="3"/>
          <dgm:bulletEnabled val="1"/>
        </dgm:presLayoutVars>
      </dgm:prSet>
      <dgm:spPr/>
      <dgm:t>
        <a:bodyPr/>
        <a:lstStyle/>
        <a:p>
          <a:endParaRPr lang="en-US"/>
        </a:p>
      </dgm:t>
    </dgm:pt>
    <dgm:pt modelId="{9FF0DBFA-0EDC-42E4-A280-9AAF68D27AC9}" type="pres">
      <dgm:prSet presAssocID="{E3165CAE-1BA0-4642-BD5F-18FC09E91A45}" presName="childText2" presStyleLbl="solidAlignAcc1" presStyleIdx="1" presStyleCnt="4" custScaleY="85570" custLinFactNeighborX="2312" custLinFactNeighborY="-16247">
        <dgm:presLayoutVars>
          <dgm:chMax val="0"/>
          <dgm:chPref val="0"/>
          <dgm:bulletEnabled val="1"/>
        </dgm:presLayoutVars>
      </dgm:prSet>
      <dgm:spPr/>
      <dgm:t>
        <a:bodyPr/>
        <a:lstStyle/>
        <a:p>
          <a:endParaRPr lang="en-US"/>
        </a:p>
      </dgm:t>
    </dgm:pt>
    <dgm:pt modelId="{FCB46132-532E-40FA-AF02-AB4574354C3F}" type="pres">
      <dgm:prSet presAssocID="{8DBD8061-7B61-4AF7-A61F-CC93B4C6BA8C}" presName="parentText3" presStyleLbl="node1" presStyleIdx="2" presStyleCnt="4">
        <dgm:presLayoutVars>
          <dgm:chMax/>
          <dgm:chPref val="3"/>
          <dgm:bulletEnabled val="1"/>
        </dgm:presLayoutVars>
      </dgm:prSet>
      <dgm:spPr/>
      <dgm:t>
        <a:bodyPr/>
        <a:lstStyle/>
        <a:p>
          <a:endParaRPr lang="en-US"/>
        </a:p>
      </dgm:t>
    </dgm:pt>
    <dgm:pt modelId="{C8EF9322-541C-410C-964E-34A511D87D5F}" type="pres">
      <dgm:prSet presAssocID="{8DBD8061-7B61-4AF7-A61F-CC93B4C6BA8C}" presName="childText3" presStyleLbl="solidAlignAcc1" presStyleIdx="2" presStyleCnt="4" custScaleY="74525" custLinFactNeighborX="1734" custLinFactNeighborY="-14625">
        <dgm:presLayoutVars>
          <dgm:chMax val="0"/>
          <dgm:chPref val="0"/>
          <dgm:bulletEnabled val="1"/>
        </dgm:presLayoutVars>
      </dgm:prSet>
      <dgm:spPr/>
      <dgm:t>
        <a:bodyPr/>
        <a:lstStyle/>
        <a:p>
          <a:endParaRPr lang="en-US"/>
        </a:p>
      </dgm:t>
    </dgm:pt>
    <dgm:pt modelId="{B301ACB3-4791-4AC6-9E50-119E7BFF2A2C}" type="pres">
      <dgm:prSet presAssocID="{10915DAC-9708-4BC9-B1C9-3AB4D5CC4BFF}" presName="parentText4" presStyleLbl="node1" presStyleIdx="3" presStyleCnt="4">
        <dgm:presLayoutVars>
          <dgm:chMax/>
          <dgm:chPref val="3"/>
          <dgm:bulletEnabled val="1"/>
        </dgm:presLayoutVars>
      </dgm:prSet>
      <dgm:spPr/>
      <dgm:t>
        <a:bodyPr/>
        <a:lstStyle/>
        <a:p>
          <a:endParaRPr lang="en-US"/>
        </a:p>
      </dgm:t>
    </dgm:pt>
    <dgm:pt modelId="{637361B5-CC21-4B82-98D0-41254F571A0C}" type="pres">
      <dgm:prSet presAssocID="{10915DAC-9708-4BC9-B1C9-3AB4D5CC4BFF}" presName="childText4" presStyleLbl="solidAlignAcc1" presStyleIdx="3" presStyleCnt="4" custScaleY="80117" custLinFactNeighborX="1719" custLinFactNeighborY="-14455">
        <dgm:presLayoutVars>
          <dgm:chMax val="0"/>
          <dgm:chPref val="0"/>
          <dgm:bulletEnabled val="1"/>
        </dgm:presLayoutVars>
      </dgm:prSet>
      <dgm:spPr/>
      <dgm:t>
        <a:bodyPr/>
        <a:lstStyle/>
        <a:p>
          <a:endParaRPr lang="en-US"/>
        </a:p>
      </dgm:t>
    </dgm:pt>
  </dgm:ptLst>
  <dgm:cxnLst>
    <dgm:cxn modelId="{C620EF03-B795-444C-92E6-254DA7301CB3}" type="presOf" srcId="{9AA3A3D2-3121-4525-BBD9-94BA688E4370}" destId="{B01A5F28-BAAF-4886-8469-DA6D3574A2D3}" srcOrd="0" destOrd="0" presId="urn:microsoft.com/office/officeart/2009/3/layout/IncreasingArrowsProcess"/>
    <dgm:cxn modelId="{DFB071EF-FC15-4589-8E95-45B801FC1957}" type="presOf" srcId="{95E8945C-1D76-492D-A2D8-17B4BB54173C}" destId="{1AA00545-41F7-4593-9372-45326E2DDCEE}" srcOrd="0" destOrd="0" presId="urn:microsoft.com/office/officeart/2009/3/layout/IncreasingArrowsProcess"/>
    <dgm:cxn modelId="{4C461CDF-7CDC-4036-BA55-69E0BE1F5E6F}" srcId="{9B9F02E0-76EE-47F7-A635-4F57A0142FA3}" destId="{10915DAC-9708-4BC9-B1C9-3AB4D5CC4BFF}" srcOrd="3" destOrd="0" parTransId="{FCDDBC81-6EAA-48F9-831C-C5D989ABD0B4}" sibTransId="{4B63998D-8136-404F-93E8-60EE51AB11D0}"/>
    <dgm:cxn modelId="{A19DA9F2-EFC5-4CC4-A4A6-AEB5CBD45D69}" type="presOf" srcId="{E3165CAE-1BA0-4642-BD5F-18FC09E91A45}" destId="{20622221-4A46-4D0F-8E2D-57BE92B782F5}" srcOrd="0" destOrd="0" presId="urn:microsoft.com/office/officeart/2009/3/layout/IncreasingArrowsProcess"/>
    <dgm:cxn modelId="{1ED57E2D-C3C2-4219-A113-962E8A59582F}" type="presOf" srcId="{9B9F02E0-76EE-47F7-A635-4F57A0142FA3}" destId="{DAE39ADA-57C1-4268-92FF-1069C589CC46}" srcOrd="0" destOrd="0" presId="urn:microsoft.com/office/officeart/2009/3/layout/IncreasingArrowsProcess"/>
    <dgm:cxn modelId="{5247A5F8-B06F-418C-B794-948E1E3E33CB}" srcId="{9B9F02E0-76EE-47F7-A635-4F57A0142FA3}" destId="{95E8945C-1D76-492D-A2D8-17B4BB54173C}" srcOrd="0" destOrd="0" parTransId="{56A7895D-8B0E-417B-B005-3FEDF830BD4D}" sibTransId="{B9A4D7C8-69D6-4EFB-AE48-4461CF445BAD}"/>
    <dgm:cxn modelId="{CB5C6B1C-1711-4E78-A243-368E187B0F60}" srcId="{9B9F02E0-76EE-47F7-A635-4F57A0142FA3}" destId="{8DBD8061-7B61-4AF7-A61F-CC93B4C6BA8C}" srcOrd="2" destOrd="0" parTransId="{7C807715-D085-49C4-8E7D-1B56625A7A31}" sibTransId="{B38C7EEF-D51B-4350-B324-DDC4CDF8F829}"/>
    <dgm:cxn modelId="{C2C2C6CC-03E3-40F9-A8A3-6EB5A156B7E8}" srcId="{10915DAC-9708-4BC9-B1C9-3AB4D5CC4BFF}" destId="{DD7C2488-1747-4F46-93BD-19F28FC34EB8}" srcOrd="0" destOrd="0" parTransId="{0B77F2BB-BC1D-43F9-9B9E-C70F1100E9FE}" sibTransId="{6252AEBF-AACC-4322-BDC8-EA22E8402696}"/>
    <dgm:cxn modelId="{55D74497-5D03-4434-94DA-38BF17A94C37}" type="presOf" srcId="{8DBD8061-7B61-4AF7-A61F-CC93B4C6BA8C}" destId="{FCB46132-532E-40FA-AF02-AB4574354C3F}" srcOrd="0" destOrd="0" presId="urn:microsoft.com/office/officeart/2009/3/layout/IncreasingArrowsProcess"/>
    <dgm:cxn modelId="{F33E405D-4825-4C9E-9CA9-BEFA5825CAF8}" srcId="{E3165CAE-1BA0-4642-BD5F-18FC09E91A45}" destId="{B33BDA01-8B85-44FE-9E33-3159E150A07D}" srcOrd="0" destOrd="0" parTransId="{C5309C01-CA65-4FFF-8624-94124664983E}" sibTransId="{C4D123D4-EE61-4DFF-93DB-A4A5BD5FD16C}"/>
    <dgm:cxn modelId="{404ACEBB-00A6-45EE-A6E6-55C7D64159F3}" srcId="{9B9F02E0-76EE-47F7-A635-4F57A0142FA3}" destId="{E3165CAE-1BA0-4642-BD5F-18FC09E91A45}" srcOrd="1" destOrd="0" parTransId="{4899FEC0-BCD8-42BC-99AD-8D49087A3E6C}" sibTransId="{4B7E05D3-65F6-42B1-A856-985574867768}"/>
    <dgm:cxn modelId="{CD05D3B7-E753-4E9B-BF79-CBD0D6A218C3}" srcId="{8DBD8061-7B61-4AF7-A61F-CC93B4C6BA8C}" destId="{B9DA9B4C-327F-4645-B43A-1454DE2DB103}" srcOrd="0" destOrd="0" parTransId="{57BA255F-7DE4-47E7-9229-D3CCCACAD1B4}" sibTransId="{BAC78532-3D75-4A76-B859-57085D9B1E1F}"/>
    <dgm:cxn modelId="{AA490A03-238B-4B29-9193-3831B2AFDEAB}" type="presOf" srcId="{B33BDA01-8B85-44FE-9E33-3159E150A07D}" destId="{9FF0DBFA-0EDC-42E4-A280-9AAF68D27AC9}" srcOrd="0" destOrd="0" presId="urn:microsoft.com/office/officeart/2009/3/layout/IncreasingArrowsProcess"/>
    <dgm:cxn modelId="{789EA8B7-E366-4204-96FF-F4F11B40A713}" srcId="{95E8945C-1D76-492D-A2D8-17B4BB54173C}" destId="{9AA3A3D2-3121-4525-BBD9-94BA688E4370}" srcOrd="0" destOrd="0" parTransId="{A163698F-52C2-4038-A9B9-07C1BCF88C55}" sibTransId="{6D4F5B71-B1C9-41F0-96F6-FAF37E2AF51D}"/>
    <dgm:cxn modelId="{F5414CA7-41B1-4FF1-80B7-D27C7E77D2EA}" type="presOf" srcId="{DD7C2488-1747-4F46-93BD-19F28FC34EB8}" destId="{637361B5-CC21-4B82-98D0-41254F571A0C}" srcOrd="0" destOrd="0" presId="urn:microsoft.com/office/officeart/2009/3/layout/IncreasingArrowsProcess"/>
    <dgm:cxn modelId="{E5A5073C-2CE9-4C65-9016-9897AABBC8D1}" type="presOf" srcId="{B9DA9B4C-327F-4645-B43A-1454DE2DB103}" destId="{C8EF9322-541C-410C-964E-34A511D87D5F}" srcOrd="0" destOrd="0" presId="urn:microsoft.com/office/officeart/2009/3/layout/IncreasingArrowsProcess"/>
    <dgm:cxn modelId="{EB40E1DF-301F-4B5F-AB1F-0DB2DFD7A294}" type="presOf" srcId="{10915DAC-9708-4BC9-B1C9-3AB4D5CC4BFF}" destId="{B301ACB3-4791-4AC6-9E50-119E7BFF2A2C}" srcOrd="0" destOrd="0" presId="urn:microsoft.com/office/officeart/2009/3/layout/IncreasingArrowsProcess"/>
    <dgm:cxn modelId="{9D00E8A6-DF00-41D5-921C-4B47C64DE77A}" type="presParOf" srcId="{DAE39ADA-57C1-4268-92FF-1069C589CC46}" destId="{1AA00545-41F7-4593-9372-45326E2DDCEE}" srcOrd="0" destOrd="0" presId="urn:microsoft.com/office/officeart/2009/3/layout/IncreasingArrowsProcess"/>
    <dgm:cxn modelId="{EB237907-8E60-4242-ABDA-3F7129A3A085}" type="presParOf" srcId="{DAE39ADA-57C1-4268-92FF-1069C589CC46}" destId="{B01A5F28-BAAF-4886-8469-DA6D3574A2D3}" srcOrd="1" destOrd="0" presId="urn:microsoft.com/office/officeart/2009/3/layout/IncreasingArrowsProcess"/>
    <dgm:cxn modelId="{81F0FDAD-8125-4534-8DF2-62E772B2C271}" type="presParOf" srcId="{DAE39ADA-57C1-4268-92FF-1069C589CC46}" destId="{20622221-4A46-4D0F-8E2D-57BE92B782F5}" srcOrd="2" destOrd="0" presId="urn:microsoft.com/office/officeart/2009/3/layout/IncreasingArrowsProcess"/>
    <dgm:cxn modelId="{D88D45ED-9F2F-418D-878C-D78276AF7587}" type="presParOf" srcId="{DAE39ADA-57C1-4268-92FF-1069C589CC46}" destId="{9FF0DBFA-0EDC-42E4-A280-9AAF68D27AC9}" srcOrd="3" destOrd="0" presId="urn:microsoft.com/office/officeart/2009/3/layout/IncreasingArrowsProcess"/>
    <dgm:cxn modelId="{D1B9C37C-B07E-4413-B2C7-0FA0D2C3103C}" type="presParOf" srcId="{DAE39ADA-57C1-4268-92FF-1069C589CC46}" destId="{FCB46132-532E-40FA-AF02-AB4574354C3F}" srcOrd="4" destOrd="0" presId="urn:microsoft.com/office/officeart/2009/3/layout/IncreasingArrowsProcess"/>
    <dgm:cxn modelId="{E78E10C4-D02E-4CBF-B0B4-8F2CD9094D27}" type="presParOf" srcId="{DAE39ADA-57C1-4268-92FF-1069C589CC46}" destId="{C8EF9322-541C-410C-964E-34A511D87D5F}" srcOrd="5" destOrd="0" presId="urn:microsoft.com/office/officeart/2009/3/layout/IncreasingArrowsProcess"/>
    <dgm:cxn modelId="{1E6DBFDB-DD34-421E-A090-9D924DF73306}" type="presParOf" srcId="{DAE39ADA-57C1-4268-92FF-1069C589CC46}" destId="{B301ACB3-4791-4AC6-9E50-119E7BFF2A2C}" srcOrd="6" destOrd="0" presId="urn:microsoft.com/office/officeart/2009/3/layout/IncreasingArrowsProcess"/>
    <dgm:cxn modelId="{051F777F-3252-468D-B7A9-A4E4CD114D5E}" type="presParOf" srcId="{DAE39ADA-57C1-4268-92FF-1069C589CC46}" destId="{637361B5-CC21-4B82-98D0-41254F571A0C}" srcOrd="7" destOrd="0" presId="urn:microsoft.com/office/officeart/2009/3/layout/IncreasingArrows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E204B3-4756-49F7-A2BC-C3148B8A5C62}" type="doc">
      <dgm:prSet loTypeId="urn:microsoft.com/office/officeart/2005/8/layout/chevronAccent+Icon" loCatId="process" qsTypeId="urn:microsoft.com/office/officeart/2005/8/quickstyle/simple1" qsCatId="simple" csTypeId="urn:microsoft.com/office/officeart/2005/8/colors/accent3_5" csCatId="accent3" phldr="1"/>
      <dgm:spPr/>
    </dgm:pt>
    <dgm:pt modelId="{931FA7F6-B354-45CC-BD17-4786E796D9A5}">
      <dgm:prSet phldrT="[Text]" custT="1"/>
      <dgm:spPr/>
      <dgm:t>
        <a:bodyPr/>
        <a:lstStyle/>
        <a:p>
          <a:r>
            <a:rPr lang="ru-RU" sz="1200" b="1">
              <a:latin typeface="+mj-lt"/>
              <a:cs typeface="Times New Roman" panose="02020603050405020304" pitchFamily="18" charset="0"/>
            </a:rPr>
            <a:t>Агентство публичных услуг</a:t>
          </a:r>
          <a:r>
            <a:rPr lang="ro-MD" sz="1200" b="1">
              <a:latin typeface="+mj-lt"/>
              <a:cs typeface="Times New Roman" panose="02020603050405020304" pitchFamily="18" charset="0"/>
            </a:rPr>
            <a:t> </a:t>
          </a:r>
        </a:p>
        <a:p>
          <a:r>
            <a:rPr lang="ru-RU" sz="1200" b="1">
              <a:latin typeface="+mj-lt"/>
              <a:cs typeface="Times New Roman" panose="02020603050405020304" pitchFamily="18" charset="0"/>
            </a:rPr>
            <a:t>Государственный регистр населения</a:t>
          </a:r>
          <a:endParaRPr lang="en-US" sz="1200" b="1">
            <a:latin typeface="+mj-lt"/>
            <a:cs typeface="Times New Roman" panose="02020603050405020304" pitchFamily="18" charset="0"/>
          </a:endParaRPr>
        </a:p>
      </dgm:t>
    </dgm:pt>
    <dgm:pt modelId="{64A573B2-1A63-48B8-B92C-EC6D21FF54F6}" type="parTrans" cxnId="{509D877B-1B76-41B8-A1DB-E662025C5DE0}">
      <dgm:prSet/>
      <dgm:spPr/>
      <dgm:t>
        <a:bodyPr/>
        <a:lstStyle/>
        <a:p>
          <a:endParaRPr lang="en-US">
            <a:latin typeface="+mj-lt"/>
          </a:endParaRPr>
        </a:p>
      </dgm:t>
    </dgm:pt>
    <dgm:pt modelId="{7E9AC65F-5E70-4D81-B660-B193983BAFE9}" type="sibTrans" cxnId="{509D877B-1B76-41B8-A1DB-E662025C5DE0}">
      <dgm:prSet/>
      <dgm:spPr/>
      <dgm:t>
        <a:bodyPr/>
        <a:lstStyle/>
        <a:p>
          <a:endParaRPr lang="en-US">
            <a:latin typeface="+mj-lt"/>
          </a:endParaRPr>
        </a:p>
      </dgm:t>
    </dgm:pt>
    <dgm:pt modelId="{99022D32-7501-40B3-8101-2D4D2B935563}">
      <dgm:prSet phldrT="[Text]" custT="1"/>
      <dgm:spPr/>
      <dgm:t>
        <a:bodyPr/>
        <a:lstStyle/>
        <a:p>
          <a:r>
            <a:rPr lang="ru-RU" sz="1200" b="1" u="none">
              <a:latin typeface="+mj-lt"/>
              <a:cs typeface="Times New Roman" panose="02020603050405020304" pitchFamily="18" charset="0"/>
            </a:rPr>
            <a:t>Агентство электронного управления</a:t>
          </a:r>
          <a:endParaRPr lang="en-US" sz="1200" b="1" u="none">
            <a:latin typeface="+mj-lt"/>
            <a:cs typeface="Times New Roman" panose="02020603050405020304" pitchFamily="18" charset="0"/>
          </a:endParaRPr>
        </a:p>
      </dgm:t>
    </dgm:pt>
    <dgm:pt modelId="{E71DF112-4C2F-4529-A97A-157E4FF12636}" type="parTrans" cxnId="{9D211D3F-C19E-4A7B-9447-F99B64F7DC98}">
      <dgm:prSet/>
      <dgm:spPr/>
      <dgm:t>
        <a:bodyPr/>
        <a:lstStyle/>
        <a:p>
          <a:endParaRPr lang="en-US">
            <a:latin typeface="+mj-lt"/>
          </a:endParaRPr>
        </a:p>
      </dgm:t>
    </dgm:pt>
    <dgm:pt modelId="{670676AF-298F-4444-BB2E-A4746402C796}" type="sibTrans" cxnId="{9D211D3F-C19E-4A7B-9447-F99B64F7DC98}">
      <dgm:prSet/>
      <dgm:spPr/>
      <dgm:t>
        <a:bodyPr/>
        <a:lstStyle/>
        <a:p>
          <a:endParaRPr lang="en-US">
            <a:latin typeface="+mj-lt"/>
          </a:endParaRPr>
        </a:p>
      </dgm:t>
    </dgm:pt>
    <dgm:pt modelId="{B4EC95A8-3BCE-46BC-94C0-ADB4D216ACFA}">
      <dgm:prSet phldrT="[Text]" custT="1"/>
      <dgm:spPr/>
      <dgm:t>
        <a:bodyPr/>
        <a:lstStyle/>
        <a:p>
          <a:r>
            <a:rPr lang="ru-RU" sz="1200" b="1" u="none">
              <a:latin typeface="+mj-lt"/>
              <a:cs typeface="Times New Roman" panose="02020603050405020304" pitchFamily="18" charset="0"/>
            </a:rPr>
            <a:t>Национальная касса социального страхования</a:t>
          </a:r>
          <a:endParaRPr lang="en-US" sz="1200" b="1" u="none">
            <a:latin typeface="+mj-lt"/>
            <a:cs typeface="Times New Roman" panose="02020603050405020304" pitchFamily="18" charset="0"/>
          </a:endParaRPr>
        </a:p>
      </dgm:t>
    </dgm:pt>
    <dgm:pt modelId="{01FCB5DD-32D7-4D75-8600-5BB20D50E804}" type="parTrans" cxnId="{39722360-B398-4A28-9CD5-E4DEA4887F64}">
      <dgm:prSet/>
      <dgm:spPr/>
      <dgm:t>
        <a:bodyPr/>
        <a:lstStyle/>
        <a:p>
          <a:endParaRPr lang="en-US">
            <a:latin typeface="+mj-lt"/>
          </a:endParaRPr>
        </a:p>
      </dgm:t>
    </dgm:pt>
    <dgm:pt modelId="{4BAA3234-50F1-4713-AE0E-FDB33F6AFF6D}" type="sibTrans" cxnId="{39722360-B398-4A28-9CD5-E4DEA4887F64}">
      <dgm:prSet/>
      <dgm:spPr/>
      <dgm:t>
        <a:bodyPr/>
        <a:lstStyle/>
        <a:p>
          <a:endParaRPr lang="en-US">
            <a:latin typeface="+mj-lt"/>
          </a:endParaRPr>
        </a:p>
      </dgm:t>
    </dgm:pt>
    <dgm:pt modelId="{89B2C1CD-9DC3-4946-9C13-82FB10024096}" type="pres">
      <dgm:prSet presAssocID="{06E204B3-4756-49F7-A2BC-C3148B8A5C62}" presName="Name0" presStyleCnt="0">
        <dgm:presLayoutVars>
          <dgm:dir/>
          <dgm:resizeHandles val="exact"/>
        </dgm:presLayoutVars>
      </dgm:prSet>
      <dgm:spPr/>
    </dgm:pt>
    <dgm:pt modelId="{6EDFC7A6-356B-492F-8859-AF5AC335F507}" type="pres">
      <dgm:prSet presAssocID="{931FA7F6-B354-45CC-BD17-4786E796D9A5}" presName="composite" presStyleCnt="0"/>
      <dgm:spPr/>
    </dgm:pt>
    <dgm:pt modelId="{C18AF976-C5C1-434D-A731-F4D7CFA41E8D}" type="pres">
      <dgm:prSet presAssocID="{931FA7F6-B354-45CC-BD17-4786E796D9A5}" presName="bgChev" presStyleLbl="node1" presStyleIdx="0" presStyleCnt="3"/>
      <dgm:spPr/>
    </dgm:pt>
    <dgm:pt modelId="{FB6DC6D2-0371-4F8F-AED4-66B576637885}" type="pres">
      <dgm:prSet presAssocID="{931FA7F6-B354-45CC-BD17-4786E796D9A5}" presName="txNode" presStyleLbl="fgAcc1" presStyleIdx="0" presStyleCnt="3" custScaleY="113929">
        <dgm:presLayoutVars>
          <dgm:bulletEnabled val="1"/>
        </dgm:presLayoutVars>
      </dgm:prSet>
      <dgm:spPr/>
      <dgm:t>
        <a:bodyPr/>
        <a:lstStyle/>
        <a:p>
          <a:endParaRPr lang="en-US"/>
        </a:p>
      </dgm:t>
    </dgm:pt>
    <dgm:pt modelId="{16D34264-BC9D-4357-A82C-6AE3514D36B7}" type="pres">
      <dgm:prSet presAssocID="{7E9AC65F-5E70-4D81-B660-B193983BAFE9}" presName="compositeSpace" presStyleCnt="0"/>
      <dgm:spPr/>
    </dgm:pt>
    <dgm:pt modelId="{382DB2C3-5750-4554-81CB-B249D66A52A1}" type="pres">
      <dgm:prSet presAssocID="{99022D32-7501-40B3-8101-2D4D2B935563}" presName="composite" presStyleCnt="0"/>
      <dgm:spPr/>
    </dgm:pt>
    <dgm:pt modelId="{FBDC80B0-9ACB-426C-AC95-C09845C7C3CA}" type="pres">
      <dgm:prSet presAssocID="{99022D32-7501-40B3-8101-2D4D2B935563}" presName="bgChev" presStyleLbl="node1" presStyleIdx="1" presStyleCnt="3"/>
      <dgm:spPr/>
    </dgm:pt>
    <dgm:pt modelId="{758F2EE3-2BDA-4CD8-B480-13C6FE39E335}" type="pres">
      <dgm:prSet presAssocID="{99022D32-7501-40B3-8101-2D4D2B935563}" presName="txNode" presStyleLbl="fgAcc1" presStyleIdx="1" presStyleCnt="3">
        <dgm:presLayoutVars>
          <dgm:bulletEnabled val="1"/>
        </dgm:presLayoutVars>
      </dgm:prSet>
      <dgm:spPr/>
      <dgm:t>
        <a:bodyPr/>
        <a:lstStyle/>
        <a:p>
          <a:endParaRPr lang="en-US"/>
        </a:p>
      </dgm:t>
    </dgm:pt>
    <dgm:pt modelId="{3676340B-062B-4CDC-ACBA-959D403ADB33}" type="pres">
      <dgm:prSet presAssocID="{670676AF-298F-4444-BB2E-A4746402C796}" presName="compositeSpace" presStyleCnt="0"/>
      <dgm:spPr/>
    </dgm:pt>
    <dgm:pt modelId="{1D054D51-2898-47CA-A6B6-0DF48CDEE966}" type="pres">
      <dgm:prSet presAssocID="{B4EC95A8-3BCE-46BC-94C0-ADB4D216ACFA}" presName="composite" presStyleCnt="0"/>
      <dgm:spPr/>
    </dgm:pt>
    <dgm:pt modelId="{80810472-4F83-4D51-9B5A-673B9DC77DBB}" type="pres">
      <dgm:prSet presAssocID="{B4EC95A8-3BCE-46BC-94C0-ADB4D216ACFA}" presName="bgChev" presStyleLbl="node1" presStyleIdx="2" presStyleCnt="3"/>
      <dgm:spPr/>
    </dgm:pt>
    <dgm:pt modelId="{E0291C61-22B2-4116-A94D-F59DD858624D}" type="pres">
      <dgm:prSet presAssocID="{B4EC95A8-3BCE-46BC-94C0-ADB4D216ACFA}" presName="txNode" presStyleLbl="fgAcc1" presStyleIdx="2" presStyleCnt="3">
        <dgm:presLayoutVars>
          <dgm:bulletEnabled val="1"/>
        </dgm:presLayoutVars>
      </dgm:prSet>
      <dgm:spPr/>
      <dgm:t>
        <a:bodyPr/>
        <a:lstStyle/>
        <a:p>
          <a:endParaRPr lang="en-US"/>
        </a:p>
      </dgm:t>
    </dgm:pt>
  </dgm:ptLst>
  <dgm:cxnLst>
    <dgm:cxn modelId="{509D877B-1B76-41B8-A1DB-E662025C5DE0}" srcId="{06E204B3-4756-49F7-A2BC-C3148B8A5C62}" destId="{931FA7F6-B354-45CC-BD17-4786E796D9A5}" srcOrd="0" destOrd="0" parTransId="{64A573B2-1A63-48B8-B92C-EC6D21FF54F6}" sibTransId="{7E9AC65F-5E70-4D81-B660-B193983BAFE9}"/>
    <dgm:cxn modelId="{FB991700-D33B-4613-B9CF-68C97C23C288}" type="presOf" srcId="{99022D32-7501-40B3-8101-2D4D2B935563}" destId="{758F2EE3-2BDA-4CD8-B480-13C6FE39E335}" srcOrd="0" destOrd="0" presId="urn:microsoft.com/office/officeart/2005/8/layout/chevronAccent+Icon"/>
    <dgm:cxn modelId="{28DCEA90-AD50-4A25-B02C-4FE9F2883D80}" type="presOf" srcId="{B4EC95A8-3BCE-46BC-94C0-ADB4D216ACFA}" destId="{E0291C61-22B2-4116-A94D-F59DD858624D}" srcOrd="0" destOrd="0" presId="urn:microsoft.com/office/officeart/2005/8/layout/chevronAccent+Icon"/>
    <dgm:cxn modelId="{D7D13699-8A8B-4800-A992-7942A33288FA}" type="presOf" srcId="{06E204B3-4756-49F7-A2BC-C3148B8A5C62}" destId="{89B2C1CD-9DC3-4946-9C13-82FB10024096}" srcOrd="0" destOrd="0" presId="urn:microsoft.com/office/officeart/2005/8/layout/chevronAccent+Icon"/>
    <dgm:cxn modelId="{7D094487-3A42-4393-8D53-D32313F80D04}" type="presOf" srcId="{931FA7F6-B354-45CC-BD17-4786E796D9A5}" destId="{FB6DC6D2-0371-4F8F-AED4-66B576637885}" srcOrd="0" destOrd="0" presId="urn:microsoft.com/office/officeart/2005/8/layout/chevronAccent+Icon"/>
    <dgm:cxn modelId="{39722360-B398-4A28-9CD5-E4DEA4887F64}" srcId="{06E204B3-4756-49F7-A2BC-C3148B8A5C62}" destId="{B4EC95A8-3BCE-46BC-94C0-ADB4D216ACFA}" srcOrd="2" destOrd="0" parTransId="{01FCB5DD-32D7-4D75-8600-5BB20D50E804}" sibTransId="{4BAA3234-50F1-4713-AE0E-FDB33F6AFF6D}"/>
    <dgm:cxn modelId="{9D211D3F-C19E-4A7B-9447-F99B64F7DC98}" srcId="{06E204B3-4756-49F7-A2BC-C3148B8A5C62}" destId="{99022D32-7501-40B3-8101-2D4D2B935563}" srcOrd="1" destOrd="0" parTransId="{E71DF112-4C2F-4529-A97A-157E4FF12636}" sibTransId="{670676AF-298F-4444-BB2E-A4746402C796}"/>
    <dgm:cxn modelId="{EDC5DBB1-3423-4BC6-A10A-64DEB774549F}" type="presParOf" srcId="{89B2C1CD-9DC3-4946-9C13-82FB10024096}" destId="{6EDFC7A6-356B-492F-8859-AF5AC335F507}" srcOrd="0" destOrd="0" presId="urn:microsoft.com/office/officeart/2005/8/layout/chevronAccent+Icon"/>
    <dgm:cxn modelId="{51F52A7A-CD69-42D2-803E-A421C59A3CA5}" type="presParOf" srcId="{6EDFC7A6-356B-492F-8859-AF5AC335F507}" destId="{C18AF976-C5C1-434D-A731-F4D7CFA41E8D}" srcOrd="0" destOrd="0" presId="urn:microsoft.com/office/officeart/2005/8/layout/chevronAccent+Icon"/>
    <dgm:cxn modelId="{6B81FC36-8758-40AF-96DE-B3F6963311F6}" type="presParOf" srcId="{6EDFC7A6-356B-492F-8859-AF5AC335F507}" destId="{FB6DC6D2-0371-4F8F-AED4-66B576637885}" srcOrd="1" destOrd="0" presId="urn:microsoft.com/office/officeart/2005/8/layout/chevronAccent+Icon"/>
    <dgm:cxn modelId="{6A24EA19-E940-42B4-8186-A4CC188D7F85}" type="presParOf" srcId="{89B2C1CD-9DC3-4946-9C13-82FB10024096}" destId="{16D34264-BC9D-4357-A82C-6AE3514D36B7}" srcOrd="1" destOrd="0" presId="urn:microsoft.com/office/officeart/2005/8/layout/chevronAccent+Icon"/>
    <dgm:cxn modelId="{B5E12122-9AA9-4731-B89A-93C20614DCE8}" type="presParOf" srcId="{89B2C1CD-9DC3-4946-9C13-82FB10024096}" destId="{382DB2C3-5750-4554-81CB-B249D66A52A1}" srcOrd="2" destOrd="0" presId="urn:microsoft.com/office/officeart/2005/8/layout/chevronAccent+Icon"/>
    <dgm:cxn modelId="{5C7678C6-7953-4778-8447-651D5C8EFC3F}" type="presParOf" srcId="{382DB2C3-5750-4554-81CB-B249D66A52A1}" destId="{FBDC80B0-9ACB-426C-AC95-C09845C7C3CA}" srcOrd="0" destOrd="0" presId="urn:microsoft.com/office/officeart/2005/8/layout/chevronAccent+Icon"/>
    <dgm:cxn modelId="{1FB1940F-F98C-4E54-9352-C9B52B06B9C5}" type="presParOf" srcId="{382DB2C3-5750-4554-81CB-B249D66A52A1}" destId="{758F2EE3-2BDA-4CD8-B480-13C6FE39E335}" srcOrd="1" destOrd="0" presId="urn:microsoft.com/office/officeart/2005/8/layout/chevronAccent+Icon"/>
    <dgm:cxn modelId="{34883E48-A7E5-450F-839A-FCFFB234EF60}" type="presParOf" srcId="{89B2C1CD-9DC3-4946-9C13-82FB10024096}" destId="{3676340B-062B-4CDC-ACBA-959D403ADB33}" srcOrd="3" destOrd="0" presId="urn:microsoft.com/office/officeart/2005/8/layout/chevronAccent+Icon"/>
    <dgm:cxn modelId="{AC8FC5EC-2987-402B-A081-390576096B5B}" type="presParOf" srcId="{89B2C1CD-9DC3-4946-9C13-82FB10024096}" destId="{1D054D51-2898-47CA-A6B6-0DF48CDEE966}" srcOrd="4" destOrd="0" presId="urn:microsoft.com/office/officeart/2005/8/layout/chevronAccent+Icon"/>
    <dgm:cxn modelId="{39251D08-1585-427D-9A31-63D6F6737EE1}" type="presParOf" srcId="{1D054D51-2898-47CA-A6B6-0DF48CDEE966}" destId="{80810472-4F83-4D51-9B5A-673B9DC77DBB}" srcOrd="0" destOrd="0" presId="urn:microsoft.com/office/officeart/2005/8/layout/chevronAccent+Icon"/>
    <dgm:cxn modelId="{BA32F951-A928-48D2-8B57-3A6879A0CD28}" type="presParOf" srcId="{1D054D51-2898-47CA-A6B6-0DF48CDEE966}" destId="{E0291C61-22B2-4116-A94D-F59DD858624D}" srcOrd="1" destOrd="0" presId="urn:microsoft.com/office/officeart/2005/8/layout/chevronAccent+Icon"/>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07140D8-B4AC-47F5-AC09-3ECFD51D46C2}"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en-US"/>
        </a:p>
      </dgm:t>
    </dgm:pt>
    <dgm:pt modelId="{B11E14B8-AC84-43B8-9FFE-8AB5E6A2E0B9}">
      <dgm:prSet phldrT="[Text]"/>
      <dgm:spPr/>
      <dgm:t>
        <a:bodyPr/>
        <a:lstStyle/>
        <a:p>
          <a:r>
            <a:rPr lang="ru-RU" b="1">
              <a:latin typeface="+mj-lt"/>
            </a:rPr>
            <a:t>Министерство труда и социальной защиты</a:t>
          </a:r>
          <a:endParaRPr lang="en-US" b="1">
            <a:latin typeface="+mj-lt"/>
          </a:endParaRPr>
        </a:p>
      </dgm:t>
    </dgm:pt>
    <dgm:pt modelId="{9B24C339-08AE-4B48-A9DE-2A137FDA75F4}" type="parTrans" cxnId="{C6279952-94E1-482D-87C3-F74192BD8EFD}">
      <dgm:prSet/>
      <dgm:spPr/>
      <dgm:t>
        <a:bodyPr/>
        <a:lstStyle/>
        <a:p>
          <a:endParaRPr lang="en-US">
            <a:solidFill>
              <a:schemeClr val="tx1"/>
            </a:solidFill>
            <a:latin typeface="+mj-lt"/>
          </a:endParaRPr>
        </a:p>
      </dgm:t>
    </dgm:pt>
    <dgm:pt modelId="{FABE2A03-C0B8-4EC6-8598-64C90B79356F}" type="sibTrans" cxnId="{C6279952-94E1-482D-87C3-F74192BD8EFD}">
      <dgm:prSet/>
      <dgm:spPr/>
      <dgm:t>
        <a:bodyPr/>
        <a:lstStyle/>
        <a:p>
          <a:endParaRPr lang="en-US">
            <a:solidFill>
              <a:schemeClr val="tx1"/>
            </a:solidFill>
            <a:latin typeface="+mj-lt"/>
          </a:endParaRPr>
        </a:p>
      </dgm:t>
    </dgm:pt>
    <dgm:pt modelId="{C8FEAA9D-B701-40EE-8FA0-CFA45A051F1F}">
      <dgm:prSet phldrT="[Text]" custT="1"/>
      <dgm:spPr/>
      <dgm:t>
        <a:bodyPr/>
        <a:lstStyle/>
        <a:p>
          <a:pPr algn="just"/>
          <a:r>
            <a:rPr lang="ru-RU" sz="800" b="0" i="0">
              <a:latin typeface="+mj-lt"/>
            </a:rPr>
            <a:t>разрабатывает и утверждает бланк заявления на получение пособия из государственного бюджета, предоставляемого в соответствии </a:t>
          </a:r>
          <a:r>
            <a:rPr lang="ru-RU" sz="800" b="0" i="0"/>
            <a:t>с </a:t>
          </a:r>
          <a:r>
            <a:rPr lang="ru-RU" sz="800" b="0" i="0">
              <a:latin typeface="+mj-lt"/>
            </a:rPr>
            <a:t>положениями</a:t>
          </a:r>
          <a:endParaRPr lang="en-US" sz="800">
            <a:latin typeface="+mj-lt"/>
          </a:endParaRPr>
        </a:p>
      </dgm:t>
    </dgm:pt>
    <dgm:pt modelId="{71C65C58-C61D-4C90-AA2F-63965E7B8257}" type="parTrans" cxnId="{E23393DB-4FE9-44F8-AF43-BA0246B8DCDD}">
      <dgm:prSet/>
      <dgm:spPr/>
      <dgm:t>
        <a:bodyPr/>
        <a:lstStyle/>
        <a:p>
          <a:endParaRPr lang="en-US">
            <a:solidFill>
              <a:schemeClr val="tx1"/>
            </a:solidFill>
            <a:latin typeface="+mj-lt"/>
          </a:endParaRPr>
        </a:p>
      </dgm:t>
    </dgm:pt>
    <dgm:pt modelId="{91CF227E-B548-4E6E-9C0B-7606B264AC11}" type="sibTrans" cxnId="{E23393DB-4FE9-44F8-AF43-BA0246B8DCDD}">
      <dgm:prSet/>
      <dgm:spPr/>
      <dgm:t>
        <a:bodyPr/>
        <a:lstStyle/>
        <a:p>
          <a:endParaRPr lang="en-US">
            <a:solidFill>
              <a:schemeClr val="tx1"/>
            </a:solidFill>
            <a:latin typeface="+mj-lt"/>
          </a:endParaRPr>
        </a:p>
      </dgm:t>
    </dgm:pt>
    <dgm:pt modelId="{878EC512-B2A3-40B5-8CFC-7CFA75668CEF}">
      <dgm:prSet phldrT="[Text]"/>
      <dgm:spPr/>
      <dgm:t>
        <a:bodyPr/>
        <a:lstStyle/>
        <a:p>
          <a:r>
            <a:rPr lang="ru-RU" b="1">
              <a:latin typeface="+mj-lt"/>
            </a:rPr>
            <a:t>Центр информационных технологий в финансах</a:t>
          </a:r>
          <a:endParaRPr lang="en-US" b="1">
            <a:latin typeface="+mj-lt"/>
          </a:endParaRPr>
        </a:p>
      </dgm:t>
    </dgm:pt>
    <dgm:pt modelId="{320B9145-54AF-4877-BEF1-938265165762}" type="parTrans" cxnId="{D1AF4984-B22A-4FB3-9F47-9EB1F98154AF}">
      <dgm:prSet/>
      <dgm:spPr/>
      <dgm:t>
        <a:bodyPr/>
        <a:lstStyle/>
        <a:p>
          <a:endParaRPr lang="en-US">
            <a:solidFill>
              <a:schemeClr val="tx1"/>
            </a:solidFill>
            <a:latin typeface="+mj-lt"/>
          </a:endParaRPr>
        </a:p>
      </dgm:t>
    </dgm:pt>
    <dgm:pt modelId="{F14EF9DA-CC8E-4D2A-8E20-2592C63AD858}" type="sibTrans" cxnId="{D1AF4984-B22A-4FB3-9F47-9EB1F98154AF}">
      <dgm:prSet/>
      <dgm:spPr/>
      <dgm:t>
        <a:bodyPr/>
        <a:lstStyle/>
        <a:p>
          <a:endParaRPr lang="en-US">
            <a:solidFill>
              <a:schemeClr val="tx1"/>
            </a:solidFill>
            <a:latin typeface="+mj-lt"/>
          </a:endParaRPr>
        </a:p>
      </dgm:t>
    </dgm:pt>
    <dgm:pt modelId="{63557B85-30CB-42ED-BA5E-A687C1D7CDCF}">
      <dgm:prSet phldrT="[Text]" custT="1"/>
      <dgm:spPr/>
      <dgm:t>
        <a:bodyPr/>
        <a:lstStyle/>
        <a:p>
          <a:pPr algn="just"/>
          <a:r>
            <a:rPr lang="ru-RU" sz="800" b="0" i="0">
              <a:latin typeface="+mj-lt"/>
            </a:rPr>
            <a:t>разрабатывает предусмотренный бланк, который будет доступен через единое окно сдачи электронной отчетности</a:t>
          </a:r>
          <a:endParaRPr lang="en-US" sz="800">
            <a:latin typeface="+mj-lt"/>
          </a:endParaRPr>
        </a:p>
      </dgm:t>
    </dgm:pt>
    <dgm:pt modelId="{FEDF5D15-0B98-48BB-8D58-0BBDADFCABBB}" type="parTrans" cxnId="{68F15E2D-D408-4E3F-870D-27D40B2C506B}">
      <dgm:prSet/>
      <dgm:spPr/>
      <dgm:t>
        <a:bodyPr/>
        <a:lstStyle/>
        <a:p>
          <a:endParaRPr lang="en-US">
            <a:solidFill>
              <a:schemeClr val="tx1"/>
            </a:solidFill>
            <a:latin typeface="+mj-lt"/>
          </a:endParaRPr>
        </a:p>
      </dgm:t>
    </dgm:pt>
    <dgm:pt modelId="{8D89165A-8F55-4180-9C1D-CAE1ABA9FB31}" type="sibTrans" cxnId="{68F15E2D-D408-4E3F-870D-27D40B2C506B}">
      <dgm:prSet/>
      <dgm:spPr/>
      <dgm:t>
        <a:bodyPr/>
        <a:lstStyle/>
        <a:p>
          <a:endParaRPr lang="en-US">
            <a:solidFill>
              <a:schemeClr val="tx1"/>
            </a:solidFill>
            <a:latin typeface="+mj-lt"/>
          </a:endParaRPr>
        </a:p>
      </dgm:t>
    </dgm:pt>
    <dgm:pt modelId="{FAD8B74C-B16B-4D44-937A-9697EAF5926D}">
      <dgm:prSet phldrT="[Text]"/>
      <dgm:spPr/>
      <dgm:t>
        <a:bodyPr/>
        <a:lstStyle/>
        <a:p>
          <a:r>
            <a:rPr lang="ru-RU" b="1">
              <a:latin typeface="+mj-lt"/>
            </a:rPr>
            <a:t>Государственная налоговая служба</a:t>
          </a:r>
          <a:endParaRPr lang="en-US" b="1">
            <a:latin typeface="+mj-lt"/>
          </a:endParaRPr>
        </a:p>
      </dgm:t>
    </dgm:pt>
    <dgm:pt modelId="{CDB6A1DE-2A7A-415A-B356-196B0F84EA2A}" type="parTrans" cxnId="{A78DFF17-B4B8-4969-8E1C-8D298CB42FB8}">
      <dgm:prSet/>
      <dgm:spPr/>
      <dgm:t>
        <a:bodyPr/>
        <a:lstStyle/>
        <a:p>
          <a:endParaRPr lang="en-US">
            <a:solidFill>
              <a:schemeClr val="tx1"/>
            </a:solidFill>
            <a:latin typeface="+mj-lt"/>
          </a:endParaRPr>
        </a:p>
      </dgm:t>
    </dgm:pt>
    <dgm:pt modelId="{7F321D35-C5B6-4A37-9D99-378C813C9203}" type="sibTrans" cxnId="{A78DFF17-B4B8-4969-8E1C-8D298CB42FB8}">
      <dgm:prSet/>
      <dgm:spPr/>
      <dgm:t>
        <a:bodyPr/>
        <a:lstStyle/>
        <a:p>
          <a:endParaRPr lang="en-US">
            <a:solidFill>
              <a:schemeClr val="tx1"/>
            </a:solidFill>
            <a:latin typeface="+mj-lt"/>
          </a:endParaRPr>
        </a:p>
      </dgm:t>
    </dgm:pt>
    <dgm:pt modelId="{4A8E9E8B-1BA9-46A5-9643-3B0B1A04AD3D}">
      <dgm:prSet phldrT="[Text]" custT="1"/>
      <dgm:spPr/>
      <dgm:t>
        <a:bodyPr/>
        <a:lstStyle/>
        <a:p>
          <a:pPr algn="just"/>
          <a:r>
            <a:rPr lang="ru-RU" sz="800" b="0" i="0">
              <a:latin typeface="+mj-lt"/>
            </a:rPr>
            <a:t>обеспечивает в автоматизированном режиме предоставление данных из автоматизированной системы единого окна сдачи электронной отчетности  Национальной кассе социального страхования для осуществления выплаты пособия из государственного бюджета</a:t>
          </a:r>
          <a:endParaRPr lang="en-US" sz="800">
            <a:latin typeface="+mj-lt"/>
          </a:endParaRPr>
        </a:p>
      </dgm:t>
    </dgm:pt>
    <dgm:pt modelId="{62392CDE-8CA8-43EA-BB94-CE9A4A9DCB85}" type="parTrans" cxnId="{4AAF4789-5F48-48DB-8BC5-F837539AC23E}">
      <dgm:prSet/>
      <dgm:spPr/>
      <dgm:t>
        <a:bodyPr/>
        <a:lstStyle/>
        <a:p>
          <a:endParaRPr lang="en-US">
            <a:solidFill>
              <a:schemeClr val="tx1"/>
            </a:solidFill>
            <a:latin typeface="+mj-lt"/>
          </a:endParaRPr>
        </a:p>
      </dgm:t>
    </dgm:pt>
    <dgm:pt modelId="{9434E9FD-A2B2-45FA-A9DB-ABDC8ED1661C}" type="sibTrans" cxnId="{4AAF4789-5F48-48DB-8BC5-F837539AC23E}">
      <dgm:prSet/>
      <dgm:spPr/>
      <dgm:t>
        <a:bodyPr/>
        <a:lstStyle/>
        <a:p>
          <a:endParaRPr lang="en-US">
            <a:solidFill>
              <a:schemeClr val="tx1"/>
            </a:solidFill>
            <a:latin typeface="+mj-lt"/>
          </a:endParaRPr>
        </a:p>
      </dgm:t>
    </dgm:pt>
    <dgm:pt modelId="{A7681F26-8ACC-4B0D-A0F9-D7A24BECF5A8}">
      <dgm:prSet/>
      <dgm:spPr/>
      <dgm:t>
        <a:bodyPr/>
        <a:lstStyle/>
        <a:p>
          <a:r>
            <a:rPr lang="ru-RU" b="1">
              <a:latin typeface="+mj-lt"/>
            </a:rPr>
            <a:t>Агентство электронного управления</a:t>
          </a:r>
          <a:endParaRPr lang="en-US" b="1">
            <a:latin typeface="+mj-lt"/>
          </a:endParaRPr>
        </a:p>
      </dgm:t>
    </dgm:pt>
    <dgm:pt modelId="{5ABE8106-D867-487E-A782-7B4C0B4A3D1A}" type="parTrans" cxnId="{76F01A16-9725-4BE7-A078-8636B85C99CA}">
      <dgm:prSet/>
      <dgm:spPr/>
      <dgm:t>
        <a:bodyPr/>
        <a:lstStyle/>
        <a:p>
          <a:endParaRPr lang="en-US">
            <a:solidFill>
              <a:schemeClr val="tx1"/>
            </a:solidFill>
            <a:latin typeface="+mj-lt"/>
          </a:endParaRPr>
        </a:p>
      </dgm:t>
    </dgm:pt>
    <dgm:pt modelId="{546F5973-C945-413A-A198-CB8CCB2AF9DA}" type="sibTrans" cxnId="{76F01A16-9725-4BE7-A078-8636B85C99CA}">
      <dgm:prSet/>
      <dgm:spPr/>
      <dgm:t>
        <a:bodyPr/>
        <a:lstStyle/>
        <a:p>
          <a:endParaRPr lang="en-US">
            <a:solidFill>
              <a:schemeClr val="tx1"/>
            </a:solidFill>
            <a:latin typeface="+mj-lt"/>
          </a:endParaRPr>
        </a:p>
      </dgm:t>
    </dgm:pt>
    <dgm:pt modelId="{0A8D39BD-2C8E-49F6-BF97-558B193F2A22}">
      <dgm:prSet custT="1"/>
      <dgm:spPr/>
      <dgm:t>
        <a:bodyPr/>
        <a:lstStyle/>
        <a:p>
          <a:pPr algn="just"/>
          <a:r>
            <a:rPr lang="ru-RU" sz="800" b="0" i="0">
              <a:latin typeface="+mj-lt"/>
            </a:rPr>
            <a:t>предоставляет необходимую техническую поддержку для обеспечения взаимодействия информационных систем, участвующих в сборе, проверке и передаче заявления на предоставление пособия по технической безработице из государственного бюджета</a:t>
          </a:r>
          <a:endParaRPr lang="en-US" sz="800">
            <a:latin typeface="+mj-lt"/>
          </a:endParaRPr>
        </a:p>
      </dgm:t>
    </dgm:pt>
    <dgm:pt modelId="{3F4CCF0C-CE32-4CB1-8420-E604A3474AB1}" type="parTrans" cxnId="{1F2ECC63-1CA7-4D30-8240-DDC3473D1C7D}">
      <dgm:prSet/>
      <dgm:spPr/>
      <dgm:t>
        <a:bodyPr/>
        <a:lstStyle/>
        <a:p>
          <a:endParaRPr lang="en-US">
            <a:solidFill>
              <a:schemeClr val="tx1"/>
            </a:solidFill>
            <a:latin typeface="+mj-lt"/>
          </a:endParaRPr>
        </a:p>
      </dgm:t>
    </dgm:pt>
    <dgm:pt modelId="{A70C9EAE-8933-4BA6-B2A0-E001F93974D4}" type="sibTrans" cxnId="{1F2ECC63-1CA7-4D30-8240-DDC3473D1C7D}">
      <dgm:prSet/>
      <dgm:spPr/>
      <dgm:t>
        <a:bodyPr/>
        <a:lstStyle/>
        <a:p>
          <a:endParaRPr lang="en-US">
            <a:solidFill>
              <a:schemeClr val="tx1"/>
            </a:solidFill>
            <a:latin typeface="+mj-lt"/>
          </a:endParaRPr>
        </a:p>
      </dgm:t>
    </dgm:pt>
    <dgm:pt modelId="{74AEBAD9-1FA6-45DC-8CB4-CB971555C088}">
      <dgm:prSet/>
      <dgm:spPr/>
      <dgm:t>
        <a:bodyPr/>
        <a:lstStyle/>
        <a:p>
          <a:r>
            <a:rPr lang="ru-RU" b="1">
              <a:latin typeface="+mj-lt"/>
            </a:rPr>
            <a:t>Национальная касса социального страхования</a:t>
          </a:r>
          <a:endParaRPr lang="en-US" b="1">
            <a:latin typeface="+mj-lt"/>
          </a:endParaRPr>
        </a:p>
      </dgm:t>
    </dgm:pt>
    <dgm:pt modelId="{F6BA7C10-DA6B-4519-8000-D453F5BA00D3}" type="parTrans" cxnId="{B4EEA5BB-7B4E-409C-AB0B-B8B407287A7A}">
      <dgm:prSet/>
      <dgm:spPr/>
      <dgm:t>
        <a:bodyPr/>
        <a:lstStyle/>
        <a:p>
          <a:endParaRPr lang="en-US">
            <a:solidFill>
              <a:schemeClr val="tx1"/>
            </a:solidFill>
            <a:latin typeface="+mj-lt"/>
          </a:endParaRPr>
        </a:p>
      </dgm:t>
    </dgm:pt>
    <dgm:pt modelId="{FB19A50A-1A63-40F6-B152-58CE8ACAC138}" type="sibTrans" cxnId="{B4EEA5BB-7B4E-409C-AB0B-B8B407287A7A}">
      <dgm:prSet/>
      <dgm:spPr/>
      <dgm:t>
        <a:bodyPr/>
        <a:lstStyle/>
        <a:p>
          <a:endParaRPr lang="en-US">
            <a:solidFill>
              <a:schemeClr val="tx1"/>
            </a:solidFill>
            <a:latin typeface="+mj-lt"/>
          </a:endParaRPr>
        </a:p>
      </dgm:t>
    </dgm:pt>
    <dgm:pt modelId="{D74B6BD7-C2C9-4BE6-9F15-7B5A54C6426C}">
      <dgm:prSet custT="1"/>
      <dgm:spPr/>
      <dgm:t>
        <a:bodyPr/>
        <a:lstStyle/>
        <a:p>
          <a:pPr algn="just"/>
          <a:r>
            <a:rPr lang="ru-RU" sz="800" b="0" i="0">
              <a:latin typeface="+mj-lt"/>
            </a:rPr>
            <a:t>обеспечивает учет выплаты пособий по технической безработице и отчитывается перед Министерством финансов о выплаченных пособиях</a:t>
          </a:r>
          <a:endParaRPr lang="en-US" sz="800">
            <a:latin typeface="+mj-lt"/>
          </a:endParaRPr>
        </a:p>
      </dgm:t>
    </dgm:pt>
    <dgm:pt modelId="{15F32ABF-78DA-48DB-B02B-CDC417AAB4F1}" type="parTrans" cxnId="{632EACB0-85DF-457A-96F0-E82C27F6B414}">
      <dgm:prSet/>
      <dgm:spPr/>
      <dgm:t>
        <a:bodyPr/>
        <a:lstStyle/>
        <a:p>
          <a:endParaRPr lang="en-US">
            <a:solidFill>
              <a:schemeClr val="tx1"/>
            </a:solidFill>
            <a:latin typeface="+mj-lt"/>
          </a:endParaRPr>
        </a:p>
      </dgm:t>
    </dgm:pt>
    <dgm:pt modelId="{CFE6D250-43AC-49FF-97C4-1976027F0536}" type="sibTrans" cxnId="{632EACB0-85DF-457A-96F0-E82C27F6B414}">
      <dgm:prSet/>
      <dgm:spPr/>
      <dgm:t>
        <a:bodyPr/>
        <a:lstStyle/>
        <a:p>
          <a:endParaRPr lang="en-US">
            <a:solidFill>
              <a:schemeClr val="tx1"/>
            </a:solidFill>
            <a:latin typeface="+mj-lt"/>
          </a:endParaRPr>
        </a:p>
      </dgm:t>
    </dgm:pt>
    <dgm:pt modelId="{2A224213-345E-4463-9661-853ADD6DC79E}">
      <dgm:prSet custT="1"/>
      <dgm:spPr/>
      <dgm:t>
        <a:bodyPr/>
        <a:lstStyle/>
        <a:p>
          <a:pPr algn="just"/>
          <a:r>
            <a:rPr lang="ru-RU" sz="800" b="0" i="0">
              <a:latin typeface="+mj-lt"/>
            </a:rPr>
            <a:t>осуществляет контроль и установление корректности декларирования технической безработицы, размера основной заработной платы работников-получателей пособия по технической безработице, трудоустроенных на предприятии, запросившем пособие.</a:t>
          </a:r>
          <a:endParaRPr lang="en-US" sz="800">
            <a:latin typeface="+mj-lt"/>
          </a:endParaRPr>
        </a:p>
      </dgm:t>
    </dgm:pt>
    <dgm:pt modelId="{AB0848B2-4F7E-446F-9394-313FB329D085}" type="parTrans" cxnId="{4B356379-A974-474D-9B2B-6C9C45F15AEA}">
      <dgm:prSet/>
      <dgm:spPr/>
      <dgm:t>
        <a:bodyPr/>
        <a:lstStyle/>
        <a:p>
          <a:endParaRPr lang="en-US">
            <a:solidFill>
              <a:schemeClr val="tx1"/>
            </a:solidFill>
            <a:latin typeface="+mj-lt"/>
          </a:endParaRPr>
        </a:p>
      </dgm:t>
    </dgm:pt>
    <dgm:pt modelId="{6EC1D516-EBDD-4F90-B6C8-BC968ADF84D4}" type="sibTrans" cxnId="{4B356379-A974-474D-9B2B-6C9C45F15AEA}">
      <dgm:prSet/>
      <dgm:spPr/>
      <dgm:t>
        <a:bodyPr/>
        <a:lstStyle/>
        <a:p>
          <a:endParaRPr lang="en-US">
            <a:solidFill>
              <a:schemeClr val="tx1"/>
            </a:solidFill>
            <a:latin typeface="+mj-lt"/>
          </a:endParaRPr>
        </a:p>
      </dgm:t>
    </dgm:pt>
    <dgm:pt modelId="{E2D19847-25E2-40C0-87A6-3EA286575A70}">
      <dgm:prSet/>
      <dgm:spPr/>
      <dgm:t>
        <a:bodyPr/>
        <a:lstStyle/>
        <a:p>
          <a:r>
            <a:rPr lang="ru-RU" b="1" i="0">
              <a:latin typeface="+mj-lt"/>
            </a:rPr>
            <a:t>Государственная инспекция труда</a:t>
          </a:r>
          <a:endParaRPr lang="en-US" b="1">
            <a:latin typeface="+mj-lt"/>
          </a:endParaRPr>
        </a:p>
      </dgm:t>
    </dgm:pt>
    <dgm:pt modelId="{F9D8BBD4-2876-42CD-8E10-44DAE30B2534}" type="parTrans" cxnId="{B2F6C418-F1F3-4757-8201-339613CC8DCC}">
      <dgm:prSet/>
      <dgm:spPr/>
      <dgm:t>
        <a:bodyPr/>
        <a:lstStyle/>
        <a:p>
          <a:endParaRPr lang="en-US">
            <a:solidFill>
              <a:schemeClr val="tx1"/>
            </a:solidFill>
            <a:latin typeface="+mj-lt"/>
          </a:endParaRPr>
        </a:p>
      </dgm:t>
    </dgm:pt>
    <dgm:pt modelId="{ECF41E3B-71B7-4CEA-837F-2447250D4146}" type="sibTrans" cxnId="{B2F6C418-F1F3-4757-8201-339613CC8DCC}">
      <dgm:prSet/>
      <dgm:spPr/>
      <dgm:t>
        <a:bodyPr/>
        <a:lstStyle/>
        <a:p>
          <a:endParaRPr lang="en-US">
            <a:solidFill>
              <a:schemeClr val="tx1"/>
            </a:solidFill>
            <a:latin typeface="+mj-lt"/>
          </a:endParaRPr>
        </a:p>
      </dgm:t>
    </dgm:pt>
    <dgm:pt modelId="{26AB9F8A-C45B-4195-801B-C80436D94025}">
      <dgm:prSet phldrT="[Text]"/>
      <dgm:spPr/>
      <dgm:t>
        <a:bodyPr/>
        <a:lstStyle/>
        <a:p>
          <a:r>
            <a:rPr lang="ru-RU" b="1">
              <a:latin typeface="+mj-lt"/>
            </a:rPr>
            <a:t>Министерство Финансов</a:t>
          </a:r>
          <a:endParaRPr lang="en-US" b="1">
            <a:latin typeface="+mj-lt"/>
          </a:endParaRPr>
        </a:p>
      </dgm:t>
    </dgm:pt>
    <dgm:pt modelId="{5341A781-5C57-4AE7-BB30-FA408E3ED838}" type="parTrans" cxnId="{C325D3C8-94B5-4825-B832-D473C7F536DB}">
      <dgm:prSet/>
      <dgm:spPr/>
      <dgm:t>
        <a:bodyPr/>
        <a:lstStyle/>
        <a:p>
          <a:endParaRPr lang="en-US">
            <a:solidFill>
              <a:schemeClr val="tx1"/>
            </a:solidFill>
            <a:latin typeface="+mj-lt"/>
          </a:endParaRPr>
        </a:p>
      </dgm:t>
    </dgm:pt>
    <dgm:pt modelId="{D3BEEC7F-9F62-4AED-B6F1-9CE2DB2519CB}" type="sibTrans" cxnId="{C325D3C8-94B5-4825-B832-D473C7F536DB}">
      <dgm:prSet/>
      <dgm:spPr/>
      <dgm:t>
        <a:bodyPr/>
        <a:lstStyle/>
        <a:p>
          <a:endParaRPr lang="en-US">
            <a:solidFill>
              <a:schemeClr val="tx1"/>
            </a:solidFill>
            <a:latin typeface="+mj-lt"/>
          </a:endParaRPr>
        </a:p>
      </dgm:t>
    </dgm:pt>
    <dgm:pt modelId="{18C4C7A0-6506-4B5D-A8AF-F8EAA8106750}">
      <dgm:prSet phldrT="[Text]" custT="1"/>
      <dgm:spPr/>
      <dgm:t>
        <a:bodyPr/>
        <a:lstStyle/>
        <a:p>
          <a:pPr algn="just"/>
          <a:r>
            <a:rPr lang="ru-RU" sz="800" b="0" i="0">
              <a:latin typeface="+mj-lt"/>
            </a:rPr>
            <a:t>планирует и перечисляет ежемесячно в установленном порядке финансовые средства Национальной кассе социального страхования для выплаты пособий в пределах средств, предусмотренных в государственном бюджете для этих целей</a:t>
          </a:r>
          <a:endParaRPr lang="en-US" sz="800">
            <a:latin typeface="+mj-lt"/>
          </a:endParaRPr>
        </a:p>
      </dgm:t>
    </dgm:pt>
    <dgm:pt modelId="{289BCCB7-3D1C-408A-A5EF-D4AD125BA470}" type="parTrans" cxnId="{D82C1181-B98E-4114-A491-51C37811A789}">
      <dgm:prSet/>
      <dgm:spPr/>
      <dgm:t>
        <a:bodyPr/>
        <a:lstStyle/>
        <a:p>
          <a:endParaRPr lang="en-US">
            <a:solidFill>
              <a:schemeClr val="tx1"/>
            </a:solidFill>
            <a:latin typeface="+mj-lt"/>
          </a:endParaRPr>
        </a:p>
      </dgm:t>
    </dgm:pt>
    <dgm:pt modelId="{29EF96AA-B0AB-4B9F-9A61-242C50BB8647}" type="sibTrans" cxnId="{D82C1181-B98E-4114-A491-51C37811A789}">
      <dgm:prSet/>
      <dgm:spPr/>
      <dgm:t>
        <a:bodyPr/>
        <a:lstStyle/>
        <a:p>
          <a:endParaRPr lang="en-US">
            <a:solidFill>
              <a:schemeClr val="tx1"/>
            </a:solidFill>
            <a:latin typeface="+mj-lt"/>
          </a:endParaRPr>
        </a:p>
      </dgm:t>
    </dgm:pt>
    <dgm:pt modelId="{1AEB14FC-665D-4F22-B847-76B5921118F3}">
      <dgm:prSet phldrT="[Text]" custT="1"/>
      <dgm:spPr/>
      <dgm:t>
        <a:bodyPr/>
        <a:lstStyle/>
        <a:p>
          <a:pPr algn="just"/>
          <a:r>
            <a:rPr lang="ru-RU" sz="800" b="0" i="0">
              <a:latin typeface="+mj-lt"/>
            </a:rPr>
            <a:t>взыскивает с работодателя или работника пособия, предоставленные без законных оснований или на основании недостоверных данных, указанных работодателем в заявлении или работником в декларации под свою ответственность, по заключению Государственной инспекции труда </a:t>
          </a:r>
          <a:endParaRPr lang="en-US" sz="800">
            <a:latin typeface="+mj-lt"/>
          </a:endParaRPr>
        </a:p>
      </dgm:t>
    </dgm:pt>
    <dgm:pt modelId="{45D8985B-DE89-42BF-BC86-345BBC62A89C}" type="parTrans" cxnId="{C512A3C4-8F1D-45EB-B78D-98AD5D790B9B}">
      <dgm:prSet/>
      <dgm:spPr/>
      <dgm:t>
        <a:bodyPr/>
        <a:lstStyle/>
        <a:p>
          <a:endParaRPr lang="en-US"/>
        </a:p>
      </dgm:t>
    </dgm:pt>
    <dgm:pt modelId="{15C6A25C-23DC-4318-A2FC-E3C2F39AB620}" type="sibTrans" cxnId="{C512A3C4-8F1D-45EB-B78D-98AD5D790B9B}">
      <dgm:prSet/>
      <dgm:spPr/>
      <dgm:t>
        <a:bodyPr/>
        <a:lstStyle/>
        <a:p>
          <a:endParaRPr lang="en-US"/>
        </a:p>
      </dgm:t>
    </dgm:pt>
    <dgm:pt modelId="{E095527F-F10D-464C-AFFA-508D83E8DA1E}" type="pres">
      <dgm:prSet presAssocID="{007140D8-B4AC-47F5-AC09-3ECFD51D46C2}" presName="Name0" presStyleCnt="0">
        <dgm:presLayoutVars>
          <dgm:dir/>
          <dgm:animLvl val="lvl"/>
          <dgm:resizeHandles val="exact"/>
        </dgm:presLayoutVars>
      </dgm:prSet>
      <dgm:spPr/>
      <dgm:t>
        <a:bodyPr/>
        <a:lstStyle/>
        <a:p>
          <a:endParaRPr lang="en-US"/>
        </a:p>
      </dgm:t>
    </dgm:pt>
    <dgm:pt modelId="{9D13EEBD-ADB9-4AF8-A1FE-86BCF1033CBA}" type="pres">
      <dgm:prSet presAssocID="{B11E14B8-AC84-43B8-9FFE-8AB5E6A2E0B9}" presName="linNode" presStyleCnt="0"/>
      <dgm:spPr/>
      <dgm:t>
        <a:bodyPr/>
        <a:lstStyle/>
        <a:p>
          <a:endParaRPr lang="en-US"/>
        </a:p>
      </dgm:t>
    </dgm:pt>
    <dgm:pt modelId="{4DDC3D5A-88CD-4F47-B80F-45665784F74D}" type="pres">
      <dgm:prSet presAssocID="{B11E14B8-AC84-43B8-9FFE-8AB5E6A2E0B9}" presName="parentText" presStyleLbl="node1" presStyleIdx="0" presStyleCnt="7">
        <dgm:presLayoutVars>
          <dgm:chMax val="1"/>
          <dgm:bulletEnabled val="1"/>
        </dgm:presLayoutVars>
      </dgm:prSet>
      <dgm:spPr/>
      <dgm:t>
        <a:bodyPr/>
        <a:lstStyle/>
        <a:p>
          <a:endParaRPr lang="en-US"/>
        </a:p>
      </dgm:t>
    </dgm:pt>
    <dgm:pt modelId="{732A80C9-E4DC-4209-B59E-E3776A534615}" type="pres">
      <dgm:prSet presAssocID="{B11E14B8-AC84-43B8-9FFE-8AB5E6A2E0B9}" presName="descendantText" presStyleLbl="alignAccFollowNode1" presStyleIdx="0" presStyleCnt="7">
        <dgm:presLayoutVars>
          <dgm:bulletEnabled val="1"/>
        </dgm:presLayoutVars>
      </dgm:prSet>
      <dgm:spPr/>
      <dgm:t>
        <a:bodyPr/>
        <a:lstStyle/>
        <a:p>
          <a:endParaRPr lang="en-US"/>
        </a:p>
      </dgm:t>
    </dgm:pt>
    <dgm:pt modelId="{D22E6563-29F1-4047-8C31-4003C45EEB71}" type="pres">
      <dgm:prSet presAssocID="{FABE2A03-C0B8-4EC6-8598-64C90B79356F}" presName="sp" presStyleCnt="0"/>
      <dgm:spPr/>
      <dgm:t>
        <a:bodyPr/>
        <a:lstStyle/>
        <a:p>
          <a:endParaRPr lang="en-US"/>
        </a:p>
      </dgm:t>
    </dgm:pt>
    <dgm:pt modelId="{69B7EE66-29AE-4D7A-8B93-EC2583816364}" type="pres">
      <dgm:prSet presAssocID="{878EC512-B2A3-40B5-8CFC-7CFA75668CEF}" presName="linNode" presStyleCnt="0"/>
      <dgm:spPr/>
      <dgm:t>
        <a:bodyPr/>
        <a:lstStyle/>
        <a:p>
          <a:endParaRPr lang="en-US"/>
        </a:p>
      </dgm:t>
    </dgm:pt>
    <dgm:pt modelId="{B2F5DD24-B12E-4B5D-A84A-45F9256AFFB8}" type="pres">
      <dgm:prSet presAssocID="{878EC512-B2A3-40B5-8CFC-7CFA75668CEF}" presName="parentText" presStyleLbl="node1" presStyleIdx="1" presStyleCnt="7">
        <dgm:presLayoutVars>
          <dgm:chMax val="1"/>
          <dgm:bulletEnabled val="1"/>
        </dgm:presLayoutVars>
      </dgm:prSet>
      <dgm:spPr/>
      <dgm:t>
        <a:bodyPr/>
        <a:lstStyle/>
        <a:p>
          <a:endParaRPr lang="en-US"/>
        </a:p>
      </dgm:t>
    </dgm:pt>
    <dgm:pt modelId="{4F76F6C9-33E4-41AC-BC08-5629980E5FC6}" type="pres">
      <dgm:prSet presAssocID="{878EC512-B2A3-40B5-8CFC-7CFA75668CEF}" presName="descendantText" presStyleLbl="alignAccFollowNode1" presStyleIdx="1" presStyleCnt="7">
        <dgm:presLayoutVars>
          <dgm:bulletEnabled val="1"/>
        </dgm:presLayoutVars>
      </dgm:prSet>
      <dgm:spPr/>
      <dgm:t>
        <a:bodyPr/>
        <a:lstStyle/>
        <a:p>
          <a:endParaRPr lang="en-US"/>
        </a:p>
      </dgm:t>
    </dgm:pt>
    <dgm:pt modelId="{D3B6878B-66C3-411B-9282-769B77E0D3A4}" type="pres">
      <dgm:prSet presAssocID="{F14EF9DA-CC8E-4D2A-8E20-2592C63AD858}" presName="sp" presStyleCnt="0"/>
      <dgm:spPr/>
      <dgm:t>
        <a:bodyPr/>
        <a:lstStyle/>
        <a:p>
          <a:endParaRPr lang="en-US"/>
        </a:p>
      </dgm:t>
    </dgm:pt>
    <dgm:pt modelId="{A4725642-6540-4CD2-A72E-A4CC32A92877}" type="pres">
      <dgm:prSet presAssocID="{FAD8B74C-B16B-4D44-937A-9697EAF5926D}" presName="linNode" presStyleCnt="0"/>
      <dgm:spPr/>
      <dgm:t>
        <a:bodyPr/>
        <a:lstStyle/>
        <a:p>
          <a:endParaRPr lang="en-US"/>
        </a:p>
      </dgm:t>
    </dgm:pt>
    <dgm:pt modelId="{63128DFD-8B98-49C0-950D-EEC46220A3BF}" type="pres">
      <dgm:prSet presAssocID="{FAD8B74C-B16B-4D44-937A-9697EAF5926D}" presName="parentText" presStyleLbl="node1" presStyleIdx="2" presStyleCnt="7" custScaleY="153741">
        <dgm:presLayoutVars>
          <dgm:chMax val="1"/>
          <dgm:bulletEnabled val="1"/>
        </dgm:presLayoutVars>
      </dgm:prSet>
      <dgm:spPr/>
      <dgm:t>
        <a:bodyPr/>
        <a:lstStyle/>
        <a:p>
          <a:endParaRPr lang="en-US"/>
        </a:p>
      </dgm:t>
    </dgm:pt>
    <dgm:pt modelId="{77408A1E-EF96-415D-B0FC-7D3AE1405DEF}" type="pres">
      <dgm:prSet presAssocID="{FAD8B74C-B16B-4D44-937A-9697EAF5926D}" presName="descendantText" presStyleLbl="alignAccFollowNode1" presStyleIdx="2" presStyleCnt="7" custScaleY="225922">
        <dgm:presLayoutVars>
          <dgm:bulletEnabled val="1"/>
        </dgm:presLayoutVars>
      </dgm:prSet>
      <dgm:spPr/>
      <dgm:t>
        <a:bodyPr/>
        <a:lstStyle/>
        <a:p>
          <a:endParaRPr lang="en-US"/>
        </a:p>
      </dgm:t>
    </dgm:pt>
    <dgm:pt modelId="{AADB3655-523A-46A7-8BCC-F9EB3ED396D9}" type="pres">
      <dgm:prSet presAssocID="{7F321D35-C5B6-4A37-9D99-378C813C9203}" presName="sp" presStyleCnt="0"/>
      <dgm:spPr/>
      <dgm:t>
        <a:bodyPr/>
        <a:lstStyle/>
        <a:p>
          <a:endParaRPr lang="en-US"/>
        </a:p>
      </dgm:t>
    </dgm:pt>
    <dgm:pt modelId="{4A34D12A-7801-408F-856D-4050E3BB4055}" type="pres">
      <dgm:prSet presAssocID="{26AB9F8A-C45B-4195-801B-C80436D94025}" presName="linNode" presStyleCnt="0"/>
      <dgm:spPr/>
      <dgm:t>
        <a:bodyPr/>
        <a:lstStyle/>
        <a:p>
          <a:endParaRPr lang="en-US"/>
        </a:p>
      </dgm:t>
    </dgm:pt>
    <dgm:pt modelId="{85973676-02CB-40A4-864C-01EF05B59D04}" type="pres">
      <dgm:prSet presAssocID="{26AB9F8A-C45B-4195-801B-C80436D94025}" presName="parentText" presStyleLbl="node1" presStyleIdx="3" presStyleCnt="7">
        <dgm:presLayoutVars>
          <dgm:chMax val="1"/>
          <dgm:bulletEnabled val="1"/>
        </dgm:presLayoutVars>
      </dgm:prSet>
      <dgm:spPr/>
      <dgm:t>
        <a:bodyPr/>
        <a:lstStyle/>
        <a:p>
          <a:endParaRPr lang="en-US"/>
        </a:p>
      </dgm:t>
    </dgm:pt>
    <dgm:pt modelId="{5555D6DB-E4B2-49E2-9D50-543A897254E1}" type="pres">
      <dgm:prSet presAssocID="{26AB9F8A-C45B-4195-801B-C80436D94025}" presName="descendantText" presStyleLbl="alignAccFollowNode1" presStyleIdx="3" presStyleCnt="7">
        <dgm:presLayoutVars>
          <dgm:bulletEnabled val="1"/>
        </dgm:presLayoutVars>
      </dgm:prSet>
      <dgm:spPr/>
      <dgm:t>
        <a:bodyPr/>
        <a:lstStyle/>
        <a:p>
          <a:endParaRPr lang="en-US"/>
        </a:p>
      </dgm:t>
    </dgm:pt>
    <dgm:pt modelId="{B50BDF06-5D55-4C9B-841A-A8A14A1391C8}" type="pres">
      <dgm:prSet presAssocID="{D3BEEC7F-9F62-4AED-B6F1-9CE2DB2519CB}" presName="sp" presStyleCnt="0"/>
      <dgm:spPr/>
      <dgm:t>
        <a:bodyPr/>
        <a:lstStyle/>
        <a:p>
          <a:endParaRPr lang="en-US"/>
        </a:p>
      </dgm:t>
    </dgm:pt>
    <dgm:pt modelId="{D5955422-FB44-41CB-9806-5B42146A9129}" type="pres">
      <dgm:prSet presAssocID="{A7681F26-8ACC-4B0D-A0F9-D7A24BECF5A8}" presName="linNode" presStyleCnt="0"/>
      <dgm:spPr/>
      <dgm:t>
        <a:bodyPr/>
        <a:lstStyle/>
        <a:p>
          <a:endParaRPr lang="en-US"/>
        </a:p>
      </dgm:t>
    </dgm:pt>
    <dgm:pt modelId="{8F360256-2F91-4898-929F-E85295CD5F69}" type="pres">
      <dgm:prSet presAssocID="{A7681F26-8ACC-4B0D-A0F9-D7A24BECF5A8}" presName="parentText" presStyleLbl="node1" presStyleIdx="4" presStyleCnt="7">
        <dgm:presLayoutVars>
          <dgm:chMax val="1"/>
          <dgm:bulletEnabled val="1"/>
        </dgm:presLayoutVars>
      </dgm:prSet>
      <dgm:spPr/>
      <dgm:t>
        <a:bodyPr/>
        <a:lstStyle/>
        <a:p>
          <a:endParaRPr lang="en-US"/>
        </a:p>
      </dgm:t>
    </dgm:pt>
    <dgm:pt modelId="{EC45300A-71B2-436C-87A4-4DE48CFA93B3}" type="pres">
      <dgm:prSet presAssocID="{A7681F26-8ACC-4B0D-A0F9-D7A24BECF5A8}" presName="descendantText" presStyleLbl="alignAccFollowNode1" presStyleIdx="4" presStyleCnt="7">
        <dgm:presLayoutVars>
          <dgm:bulletEnabled val="1"/>
        </dgm:presLayoutVars>
      </dgm:prSet>
      <dgm:spPr/>
      <dgm:t>
        <a:bodyPr/>
        <a:lstStyle/>
        <a:p>
          <a:endParaRPr lang="en-US"/>
        </a:p>
      </dgm:t>
    </dgm:pt>
    <dgm:pt modelId="{8B0BB6CD-FE83-4776-85A9-FF728618243F}" type="pres">
      <dgm:prSet presAssocID="{546F5973-C945-413A-A198-CB8CCB2AF9DA}" presName="sp" presStyleCnt="0"/>
      <dgm:spPr/>
      <dgm:t>
        <a:bodyPr/>
        <a:lstStyle/>
        <a:p>
          <a:endParaRPr lang="en-US"/>
        </a:p>
      </dgm:t>
    </dgm:pt>
    <dgm:pt modelId="{78D8C4A0-EF37-4454-9915-35E829C22E63}" type="pres">
      <dgm:prSet presAssocID="{74AEBAD9-1FA6-45DC-8CB4-CB971555C088}" presName="linNode" presStyleCnt="0"/>
      <dgm:spPr/>
      <dgm:t>
        <a:bodyPr/>
        <a:lstStyle/>
        <a:p>
          <a:endParaRPr lang="en-US"/>
        </a:p>
      </dgm:t>
    </dgm:pt>
    <dgm:pt modelId="{5EA62AA1-2311-42F0-A5AD-7C1C8CFF50A1}" type="pres">
      <dgm:prSet presAssocID="{74AEBAD9-1FA6-45DC-8CB4-CB971555C088}" presName="parentText" presStyleLbl="node1" presStyleIdx="5" presStyleCnt="7">
        <dgm:presLayoutVars>
          <dgm:chMax val="1"/>
          <dgm:bulletEnabled val="1"/>
        </dgm:presLayoutVars>
      </dgm:prSet>
      <dgm:spPr/>
      <dgm:t>
        <a:bodyPr/>
        <a:lstStyle/>
        <a:p>
          <a:endParaRPr lang="en-US"/>
        </a:p>
      </dgm:t>
    </dgm:pt>
    <dgm:pt modelId="{5ED45ABF-6095-4ECA-B2C7-0A7EEB8922B3}" type="pres">
      <dgm:prSet presAssocID="{74AEBAD9-1FA6-45DC-8CB4-CB971555C088}" presName="descendantText" presStyleLbl="alignAccFollowNode1" presStyleIdx="5" presStyleCnt="7">
        <dgm:presLayoutVars>
          <dgm:bulletEnabled val="1"/>
        </dgm:presLayoutVars>
      </dgm:prSet>
      <dgm:spPr/>
      <dgm:t>
        <a:bodyPr/>
        <a:lstStyle/>
        <a:p>
          <a:endParaRPr lang="en-US"/>
        </a:p>
      </dgm:t>
    </dgm:pt>
    <dgm:pt modelId="{FA47AB04-4E47-428D-B5BC-F109600C0568}" type="pres">
      <dgm:prSet presAssocID="{FB19A50A-1A63-40F6-B152-58CE8ACAC138}" presName="sp" presStyleCnt="0"/>
      <dgm:spPr/>
      <dgm:t>
        <a:bodyPr/>
        <a:lstStyle/>
        <a:p>
          <a:endParaRPr lang="en-US"/>
        </a:p>
      </dgm:t>
    </dgm:pt>
    <dgm:pt modelId="{9468F473-BB6B-4E67-B566-2975784BF028}" type="pres">
      <dgm:prSet presAssocID="{E2D19847-25E2-40C0-87A6-3EA286575A70}" presName="linNode" presStyleCnt="0"/>
      <dgm:spPr/>
      <dgm:t>
        <a:bodyPr/>
        <a:lstStyle/>
        <a:p>
          <a:endParaRPr lang="en-US"/>
        </a:p>
      </dgm:t>
    </dgm:pt>
    <dgm:pt modelId="{84F3DFD5-75CD-437D-B70C-BF0A2F4E5DEE}" type="pres">
      <dgm:prSet presAssocID="{E2D19847-25E2-40C0-87A6-3EA286575A70}" presName="parentText" presStyleLbl="node1" presStyleIdx="6" presStyleCnt="7">
        <dgm:presLayoutVars>
          <dgm:chMax val="1"/>
          <dgm:bulletEnabled val="1"/>
        </dgm:presLayoutVars>
      </dgm:prSet>
      <dgm:spPr/>
      <dgm:t>
        <a:bodyPr/>
        <a:lstStyle/>
        <a:p>
          <a:endParaRPr lang="en-US"/>
        </a:p>
      </dgm:t>
    </dgm:pt>
    <dgm:pt modelId="{E045DC3C-9455-410D-BA03-10A8C8D8468C}" type="pres">
      <dgm:prSet presAssocID="{E2D19847-25E2-40C0-87A6-3EA286575A70}" presName="descendantText" presStyleLbl="alignAccFollowNode1" presStyleIdx="6" presStyleCnt="7" custScaleY="139859" custLinFactNeighborX="1226">
        <dgm:presLayoutVars>
          <dgm:bulletEnabled val="1"/>
        </dgm:presLayoutVars>
      </dgm:prSet>
      <dgm:spPr/>
      <dgm:t>
        <a:bodyPr/>
        <a:lstStyle/>
        <a:p>
          <a:endParaRPr lang="en-US"/>
        </a:p>
      </dgm:t>
    </dgm:pt>
  </dgm:ptLst>
  <dgm:cxnLst>
    <dgm:cxn modelId="{A78DFF17-B4B8-4969-8E1C-8D298CB42FB8}" srcId="{007140D8-B4AC-47F5-AC09-3ECFD51D46C2}" destId="{FAD8B74C-B16B-4D44-937A-9697EAF5926D}" srcOrd="2" destOrd="0" parTransId="{CDB6A1DE-2A7A-415A-B356-196B0F84EA2A}" sibTransId="{7F321D35-C5B6-4A37-9D99-378C813C9203}"/>
    <dgm:cxn modelId="{C512A3C4-8F1D-45EB-B78D-98AD5D790B9B}" srcId="{FAD8B74C-B16B-4D44-937A-9697EAF5926D}" destId="{1AEB14FC-665D-4F22-B847-76B5921118F3}" srcOrd="1" destOrd="0" parTransId="{45D8985B-DE89-42BF-BC86-345BBC62A89C}" sibTransId="{15C6A25C-23DC-4318-A2FC-E3C2F39AB620}"/>
    <dgm:cxn modelId="{4B356379-A974-474D-9B2B-6C9C45F15AEA}" srcId="{E2D19847-25E2-40C0-87A6-3EA286575A70}" destId="{2A224213-345E-4463-9661-853ADD6DC79E}" srcOrd="0" destOrd="0" parTransId="{AB0848B2-4F7E-446F-9394-313FB329D085}" sibTransId="{6EC1D516-EBDD-4F90-B6C8-BC968ADF84D4}"/>
    <dgm:cxn modelId="{D1AF4984-B22A-4FB3-9F47-9EB1F98154AF}" srcId="{007140D8-B4AC-47F5-AC09-3ECFD51D46C2}" destId="{878EC512-B2A3-40B5-8CFC-7CFA75668CEF}" srcOrd="1" destOrd="0" parTransId="{320B9145-54AF-4877-BEF1-938265165762}" sibTransId="{F14EF9DA-CC8E-4D2A-8E20-2592C63AD858}"/>
    <dgm:cxn modelId="{5D445422-4B3E-4032-B99E-CB8B2410ED61}" type="presOf" srcId="{1AEB14FC-665D-4F22-B847-76B5921118F3}" destId="{77408A1E-EF96-415D-B0FC-7D3AE1405DEF}" srcOrd="0" destOrd="1" presId="urn:microsoft.com/office/officeart/2005/8/layout/vList5"/>
    <dgm:cxn modelId="{EC80B5A9-D5FB-42BD-9F73-DAB0BD458000}" type="presOf" srcId="{FAD8B74C-B16B-4D44-937A-9697EAF5926D}" destId="{63128DFD-8B98-49C0-950D-EEC46220A3BF}" srcOrd="0" destOrd="0" presId="urn:microsoft.com/office/officeart/2005/8/layout/vList5"/>
    <dgm:cxn modelId="{FD424CC1-C4BB-4F0F-8AD1-22C51D78A5C4}" type="presOf" srcId="{4A8E9E8B-1BA9-46A5-9643-3B0B1A04AD3D}" destId="{77408A1E-EF96-415D-B0FC-7D3AE1405DEF}" srcOrd="0" destOrd="0" presId="urn:microsoft.com/office/officeart/2005/8/layout/vList5"/>
    <dgm:cxn modelId="{C6279952-94E1-482D-87C3-F74192BD8EFD}" srcId="{007140D8-B4AC-47F5-AC09-3ECFD51D46C2}" destId="{B11E14B8-AC84-43B8-9FFE-8AB5E6A2E0B9}" srcOrd="0" destOrd="0" parTransId="{9B24C339-08AE-4B48-A9DE-2A137FDA75F4}" sibTransId="{FABE2A03-C0B8-4EC6-8598-64C90B79356F}"/>
    <dgm:cxn modelId="{1F2ECC63-1CA7-4D30-8240-DDC3473D1C7D}" srcId="{A7681F26-8ACC-4B0D-A0F9-D7A24BECF5A8}" destId="{0A8D39BD-2C8E-49F6-BF97-558B193F2A22}" srcOrd="0" destOrd="0" parTransId="{3F4CCF0C-CE32-4CB1-8420-E604A3474AB1}" sibTransId="{A70C9EAE-8933-4BA6-B2A0-E001F93974D4}"/>
    <dgm:cxn modelId="{BEA9DF81-7265-43DA-A0EC-ED806450E631}" type="presOf" srcId="{26AB9F8A-C45B-4195-801B-C80436D94025}" destId="{85973676-02CB-40A4-864C-01EF05B59D04}" srcOrd="0" destOrd="0" presId="urn:microsoft.com/office/officeart/2005/8/layout/vList5"/>
    <dgm:cxn modelId="{A9997ACA-BFFA-419C-BE7C-288488F8DE5C}" type="presOf" srcId="{D74B6BD7-C2C9-4BE6-9F15-7B5A54C6426C}" destId="{5ED45ABF-6095-4ECA-B2C7-0A7EEB8922B3}" srcOrd="0" destOrd="0" presId="urn:microsoft.com/office/officeart/2005/8/layout/vList5"/>
    <dgm:cxn modelId="{2A2E8DBA-BBAD-414F-98A1-587A42921D5F}" type="presOf" srcId="{63557B85-30CB-42ED-BA5E-A687C1D7CDCF}" destId="{4F76F6C9-33E4-41AC-BC08-5629980E5FC6}" srcOrd="0" destOrd="0" presId="urn:microsoft.com/office/officeart/2005/8/layout/vList5"/>
    <dgm:cxn modelId="{D82C1181-B98E-4114-A491-51C37811A789}" srcId="{26AB9F8A-C45B-4195-801B-C80436D94025}" destId="{18C4C7A0-6506-4B5D-A8AF-F8EAA8106750}" srcOrd="0" destOrd="0" parTransId="{289BCCB7-3D1C-408A-A5EF-D4AD125BA470}" sibTransId="{29EF96AA-B0AB-4B9F-9A61-242C50BB8647}"/>
    <dgm:cxn modelId="{AC518F87-D3E5-4CAA-8938-31D3F921027D}" type="presOf" srcId="{74AEBAD9-1FA6-45DC-8CB4-CB971555C088}" destId="{5EA62AA1-2311-42F0-A5AD-7C1C8CFF50A1}" srcOrd="0" destOrd="0" presId="urn:microsoft.com/office/officeart/2005/8/layout/vList5"/>
    <dgm:cxn modelId="{C325D3C8-94B5-4825-B832-D473C7F536DB}" srcId="{007140D8-B4AC-47F5-AC09-3ECFD51D46C2}" destId="{26AB9F8A-C45B-4195-801B-C80436D94025}" srcOrd="3" destOrd="0" parTransId="{5341A781-5C57-4AE7-BB30-FA408E3ED838}" sibTransId="{D3BEEC7F-9F62-4AED-B6F1-9CE2DB2519CB}"/>
    <dgm:cxn modelId="{632EACB0-85DF-457A-96F0-E82C27F6B414}" srcId="{74AEBAD9-1FA6-45DC-8CB4-CB971555C088}" destId="{D74B6BD7-C2C9-4BE6-9F15-7B5A54C6426C}" srcOrd="0" destOrd="0" parTransId="{15F32ABF-78DA-48DB-B02B-CDC417AAB4F1}" sibTransId="{CFE6D250-43AC-49FF-97C4-1976027F0536}"/>
    <dgm:cxn modelId="{C2BEAAD6-36A9-4B86-AC19-8E2BE34C3E32}" type="presOf" srcId="{0A8D39BD-2C8E-49F6-BF97-558B193F2A22}" destId="{EC45300A-71B2-436C-87A4-4DE48CFA93B3}" srcOrd="0" destOrd="0" presId="urn:microsoft.com/office/officeart/2005/8/layout/vList5"/>
    <dgm:cxn modelId="{BD78AFDE-2CF5-4D05-9603-F288B6FE5B24}" type="presOf" srcId="{C8FEAA9D-B701-40EE-8FA0-CFA45A051F1F}" destId="{732A80C9-E4DC-4209-B59E-E3776A534615}" srcOrd="0" destOrd="0" presId="urn:microsoft.com/office/officeart/2005/8/layout/vList5"/>
    <dgm:cxn modelId="{3EB1F1F9-1C98-45C0-940B-865C4D57A908}" type="presOf" srcId="{18C4C7A0-6506-4B5D-A8AF-F8EAA8106750}" destId="{5555D6DB-E4B2-49E2-9D50-543A897254E1}" srcOrd="0" destOrd="0" presId="urn:microsoft.com/office/officeart/2005/8/layout/vList5"/>
    <dgm:cxn modelId="{76F01A16-9725-4BE7-A078-8636B85C99CA}" srcId="{007140D8-B4AC-47F5-AC09-3ECFD51D46C2}" destId="{A7681F26-8ACC-4B0D-A0F9-D7A24BECF5A8}" srcOrd="4" destOrd="0" parTransId="{5ABE8106-D867-487E-A782-7B4C0B4A3D1A}" sibTransId="{546F5973-C945-413A-A198-CB8CCB2AF9DA}"/>
    <dgm:cxn modelId="{8496ED42-95A2-4B52-AE69-BE79EBD8015C}" type="presOf" srcId="{E2D19847-25E2-40C0-87A6-3EA286575A70}" destId="{84F3DFD5-75CD-437D-B70C-BF0A2F4E5DEE}" srcOrd="0" destOrd="0" presId="urn:microsoft.com/office/officeart/2005/8/layout/vList5"/>
    <dgm:cxn modelId="{B4EEA5BB-7B4E-409C-AB0B-B8B407287A7A}" srcId="{007140D8-B4AC-47F5-AC09-3ECFD51D46C2}" destId="{74AEBAD9-1FA6-45DC-8CB4-CB971555C088}" srcOrd="5" destOrd="0" parTransId="{F6BA7C10-DA6B-4519-8000-D453F5BA00D3}" sibTransId="{FB19A50A-1A63-40F6-B152-58CE8ACAC138}"/>
    <dgm:cxn modelId="{68F15E2D-D408-4E3F-870D-27D40B2C506B}" srcId="{878EC512-B2A3-40B5-8CFC-7CFA75668CEF}" destId="{63557B85-30CB-42ED-BA5E-A687C1D7CDCF}" srcOrd="0" destOrd="0" parTransId="{FEDF5D15-0B98-48BB-8D58-0BBDADFCABBB}" sibTransId="{8D89165A-8F55-4180-9C1D-CAE1ABA9FB31}"/>
    <dgm:cxn modelId="{EA91CF06-AA6E-4BED-BF65-0F713605CC99}" type="presOf" srcId="{B11E14B8-AC84-43B8-9FFE-8AB5E6A2E0B9}" destId="{4DDC3D5A-88CD-4F47-B80F-45665784F74D}" srcOrd="0" destOrd="0" presId="urn:microsoft.com/office/officeart/2005/8/layout/vList5"/>
    <dgm:cxn modelId="{998B0FC8-2958-420F-A77C-8A1CA48576C7}" type="presOf" srcId="{A7681F26-8ACC-4B0D-A0F9-D7A24BECF5A8}" destId="{8F360256-2F91-4898-929F-E85295CD5F69}" srcOrd="0" destOrd="0" presId="urn:microsoft.com/office/officeart/2005/8/layout/vList5"/>
    <dgm:cxn modelId="{4AAF4789-5F48-48DB-8BC5-F837539AC23E}" srcId="{FAD8B74C-B16B-4D44-937A-9697EAF5926D}" destId="{4A8E9E8B-1BA9-46A5-9643-3B0B1A04AD3D}" srcOrd="0" destOrd="0" parTransId="{62392CDE-8CA8-43EA-BB94-CE9A4A9DCB85}" sibTransId="{9434E9FD-A2B2-45FA-A9DB-ABDC8ED1661C}"/>
    <dgm:cxn modelId="{B2F6C418-F1F3-4757-8201-339613CC8DCC}" srcId="{007140D8-B4AC-47F5-AC09-3ECFD51D46C2}" destId="{E2D19847-25E2-40C0-87A6-3EA286575A70}" srcOrd="6" destOrd="0" parTransId="{F9D8BBD4-2876-42CD-8E10-44DAE30B2534}" sibTransId="{ECF41E3B-71B7-4CEA-837F-2447250D4146}"/>
    <dgm:cxn modelId="{69E31729-ABEC-4DC9-9D46-ACE825118BC2}" type="presOf" srcId="{007140D8-B4AC-47F5-AC09-3ECFD51D46C2}" destId="{E095527F-F10D-464C-AFFA-508D83E8DA1E}" srcOrd="0" destOrd="0" presId="urn:microsoft.com/office/officeart/2005/8/layout/vList5"/>
    <dgm:cxn modelId="{E23393DB-4FE9-44F8-AF43-BA0246B8DCDD}" srcId="{B11E14B8-AC84-43B8-9FFE-8AB5E6A2E0B9}" destId="{C8FEAA9D-B701-40EE-8FA0-CFA45A051F1F}" srcOrd="0" destOrd="0" parTransId="{71C65C58-C61D-4C90-AA2F-63965E7B8257}" sibTransId="{91CF227E-B548-4E6E-9C0B-7606B264AC11}"/>
    <dgm:cxn modelId="{019FB463-1CB3-4C41-A0D5-CCCE4E325D22}" type="presOf" srcId="{2A224213-345E-4463-9661-853ADD6DC79E}" destId="{E045DC3C-9455-410D-BA03-10A8C8D8468C}" srcOrd="0" destOrd="0" presId="urn:microsoft.com/office/officeart/2005/8/layout/vList5"/>
    <dgm:cxn modelId="{B95B6A3A-E21E-408F-AFB5-94BBC2A079E1}" type="presOf" srcId="{878EC512-B2A3-40B5-8CFC-7CFA75668CEF}" destId="{B2F5DD24-B12E-4B5D-A84A-45F9256AFFB8}" srcOrd="0" destOrd="0" presId="urn:microsoft.com/office/officeart/2005/8/layout/vList5"/>
    <dgm:cxn modelId="{A0A3441D-FB14-4EC8-B3B4-E77375DA8793}" type="presParOf" srcId="{E095527F-F10D-464C-AFFA-508D83E8DA1E}" destId="{9D13EEBD-ADB9-4AF8-A1FE-86BCF1033CBA}" srcOrd="0" destOrd="0" presId="urn:microsoft.com/office/officeart/2005/8/layout/vList5"/>
    <dgm:cxn modelId="{DC0B2CC5-BA98-4491-8CF9-1CA61B8059A2}" type="presParOf" srcId="{9D13EEBD-ADB9-4AF8-A1FE-86BCF1033CBA}" destId="{4DDC3D5A-88CD-4F47-B80F-45665784F74D}" srcOrd="0" destOrd="0" presId="urn:microsoft.com/office/officeart/2005/8/layout/vList5"/>
    <dgm:cxn modelId="{0AA9474A-0C24-4053-B676-B2BE35F8CF3B}" type="presParOf" srcId="{9D13EEBD-ADB9-4AF8-A1FE-86BCF1033CBA}" destId="{732A80C9-E4DC-4209-B59E-E3776A534615}" srcOrd="1" destOrd="0" presId="urn:microsoft.com/office/officeart/2005/8/layout/vList5"/>
    <dgm:cxn modelId="{701B2373-43A6-49A6-8EBC-138766DC1458}" type="presParOf" srcId="{E095527F-F10D-464C-AFFA-508D83E8DA1E}" destId="{D22E6563-29F1-4047-8C31-4003C45EEB71}" srcOrd="1" destOrd="0" presId="urn:microsoft.com/office/officeart/2005/8/layout/vList5"/>
    <dgm:cxn modelId="{2D78D46B-5C76-4D38-BD63-A147A2A719A9}" type="presParOf" srcId="{E095527F-F10D-464C-AFFA-508D83E8DA1E}" destId="{69B7EE66-29AE-4D7A-8B93-EC2583816364}" srcOrd="2" destOrd="0" presId="urn:microsoft.com/office/officeart/2005/8/layout/vList5"/>
    <dgm:cxn modelId="{C6583363-7181-4DBF-B913-DF2DFAB393C2}" type="presParOf" srcId="{69B7EE66-29AE-4D7A-8B93-EC2583816364}" destId="{B2F5DD24-B12E-4B5D-A84A-45F9256AFFB8}" srcOrd="0" destOrd="0" presId="urn:microsoft.com/office/officeart/2005/8/layout/vList5"/>
    <dgm:cxn modelId="{1EE9C5C1-EC81-42CA-A707-E18D3E508519}" type="presParOf" srcId="{69B7EE66-29AE-4D7A-8B93-EC2583816364}" destId="{4F76F6C9-33E4-41AC-BC08-5629980E5FC6}" srcOrd="1" destOrd="0" presId="urn:microsoft.com/office/officeart/2005/8/layout/vList5"/>
    <dgm:cxn modelId="{E6F74376-0A5F-4C9E-8C96-9852EF6A23A8}" type="presParOf" srcId="{E095527F-F10D-464C-AFFA-508D83E8DA1E}" destId="{D3B6878B-66C3-411B-9282-769B77E0D3A4}" srcOrd="3" destOrd="0" presId="urn:microsoft.com/office/officeart/2005/8/layout/vList5"/>
    <dgm:cxn modelId="{56F99837-212E-470B-837B-147F5A51FAD7}" type="presParOf" srcId="{E095527F-F10D-464C-AFFA-508D83E8DA1E}" destId="{A4725642-6540-4CD2-A72E-A4CC32A92877}" srcOrd="4" destOrd="0" presId="urn:microsoft.com/office/officeart/2005/8/layout/vList5"/>
    <dgm:cxn modelId="{4B4D40FC-726B-4AE8-91C9-569A58EE47C2}" type="presParOf" srcId="{A4725642-6540-4CD2-A72E-A4CC32A92877}" destId="{63128DFD-8B98-49C0-950D-EEC46220A3BF}" srcOrd="0" destOrd="0" presId="urn:microsoft.com/office/officeart/2005/8/layout/vList5"/>
    <dgm:cxn modelId="{66B8F6F5-2338-47B6-B460-EDF4011345A4}" type="presParOf" srcId="{A4725642-6540-4CD2-A72E-A4CC32A92877}" destId="{77408A1E-EF96-415D-B0FC-7D3AE1405DEF}" srcOrd="1" destOrd="0" presId="urn:microsoft.com/office/officeart/2005/8/layout/vList5"/>
    <dgm:cxn modelId="{521FDC08-8CDA-4A75-9524-CF9BCF456C57}" type="presParOf" srcId="{E095527F-F10D-464C-AFFA-508D83E8DA1E}" destId="{AADB3655-523A-46A7-8BCC-F9EB3ED396D9}" srcOrd="5" destOrd="0" presId="urn:microsoft.com/office/officeart/2005/8/layout/vList5"/>
    <dgm:cxn modelId="{CA466460-265F-482E-B097-D9B3AA8B09DD}" type="presParOf" srcId="{E095527F-F10D-464C-AFFA-508D83E8DA1E}" destId="{4A34D12A-7801-408F-856D-4050E3BB4055}" srcOrd="6" destOrd="0" presId="urn:microsoft.com/office/officeart/2005/8/layout/vList5"/>
    <dgm:cxn modelId="{2297D078-B8D5-4954-A226-DCCBA61DB726}" type="presParOf" srcId="{4A34D12A-7801-408F-856D-4050E3BB4055}" destId="{85973676-02CB-40A4-864C-01EF05B59D04}" srcOrd="0" destOrd="0" presId="urn:microsoft.com/office/officeart/2005/8/layout/vList5"/>
    <dgm:cxn modelId="{0956FC51-046C-4248-ADC1-E789F7856AB0}" type="presParOf" srcId="{4A34D12A-7801-408F-856D-4050E3BB4055}" destId="{5555D6DB-E4B2-49E2-9D50-543A897254E1}" srcOrd="1" destOrd="0" presId="urn:microsoft.com/office/officeart/2005/8/layout/vList5"/>
    <dgm:cxn modelId="{5F932833-DD7F-4CC4-BDC2-61ED1900938E}" type="presParOf" srcId="{E095527F-F10D-464C-AFFA-508D83E8DA1E}" destId="{B50BDF06-5D55-4C9B-841A-A8A14A1391C8}" srcOrd="7" destOrd="0" presId="urn:microsoft.com/office/officeart/2005/8/layout/vList5"/>
    <dgm:cxn modelId="{EDDE6F42-F722-4A4A-9197-B9EC32213559}" type="presParOf" srcId="{E095527F-F10D-464C-AFFA-508D83E8DA1E}" destId="{D5955422-FB44-41CB-9806-5B42146A9129}" srcOrd="8" destOrd="0" presId="urn:microsoft.com/office/officeart/2005/8/layout/vList5"/>
    <dgm:cxn modelId="{07BB3DC3-2851-48B7-942D-77CB553D9D19}" type="presParOf" srcId="{D5955422-FB44-41CB-9806-5B42146A9129}" destId="{8F360256-2F91-4898-929F-E85295CD5F69}" srcOrd="0" destOrd="0" presId="urn:microsoft.com/office/officeart/2005/8/layout/vList5"/>
    <dgm:cxn modelId="{DAF00E55-AB95-4A24-A7C2-4971BC63998D}" type="presParOf" srcId="{D5955422-FB44-41CB-9806-5B42146A9129}" destId="{EC45300A-71B2-436C-87A4-4DE48CFA93B3}" srcOrd="1" destOrd="0" presId="urn:microsoft.com/office/officeart/2005/8/layout/vList5"/>
    <dgm:cxn modelId="{A627921B-F689-44D8-9A23-C9BBFB70B2DB}" type="presParOf" srcId="{E095527F-F10D-464C-AFFA-508D83E8DA1E}" destId="{8B0BB6CD-FE83-4776-85A9-FF728618243F}" srcOrd="9" destOrd="0" presId="urn:microsoft.com/office/officeart/2005/8/layout/vList5"/>
    <dgm:cxn modelId="{20C42C7B-F249-4F0A-BC13-C9C2B7ED668F}" type="presParOf" srcId="{E095527F-F10D-464C-AFFA-508D83E8DA1E}" destId="{78D8C4A0-EF37-4454-9915-35E829C22E63}" srcOrd="10" destOrd="0" presId="urn:microsoft.com/office/officeart/2005/8/layout/vList5"/>
    <dgm:cxn modelId="{268710D1-2DB5-4F77-AFF1-A12E5CA2610B}" type="presParOf" srcId="{78D8C4A0-EF37-4454-9915-35E829C22E63}" destId="{5EA62AA1-2311-42F0-A5AD-7C1C8CFF50A1}" srcOrd="0" destOrd="0" presId="urn:microsoft.com/office/officeart/2005/8/layout/vList5"/>
    <dgm:cxn modelId="{AFF582BD-1CCB-4DC0-ADDF-0EBC6E60B4DF}" type="presParOf" srcId="{78D8C4A0-EF37-4454-9915-35E829C22E63}" destId="{5ED45ABF-6095-4ECA-B2C7-0A7EEB8922B3}" srcOrd="1" destOrd="0" presId="urn:microsoft.com/office/officeart/2005/8/layout/vList5"/>
    <dgm:cxn modelId="{D3D277FC-3500-4859-BD8C-C11A150A90D9}" type="presParOf" srcId="{E095527F-F10D-464C-AFFA-508D83E8DA1E}" destId="{FA47AB04-4E47-428D-B5BC-F109600C0568}" srcOrd="11" destOrd="0" presId="urn:microsoft.com/office/officeart/2005/8/layout/vList5"/>
    <dgm:cxn modelId="{6AFC407C-1CA5-4DAD-BDE5-F92129E690D8}" type="presParOf" srcId="{E095527F-F10D-464C-AFFA-508D83E8DA1E}" destId="{9468F473-BB6B-4E67-B566-2975784BF028}" srcOrd="12" destOrd="0" presId="urn:microsoft.com/office/officeart/2005/8/layout/vList5"/>
    <dgm:cxn modelId="{C87B09B4-F6B5-4960-8C85-DB5453A362C3}" type="presParOf" srcId="{9468F473-BB6B-4E67-B566-2975784BF028}" destId="{84F3DFD5-75CD-437D-B70C-BF0A2F4E5DEE}" srcOrd="0" destOrd="0" presId="urn:microsoft.com/office/officeart/2005/8/layout/vList5"/>
    <dgm:cxn modelId="{F6AD904E-DA5F-4183-A1EC-09ADE09A2601}" type="presParOf" srcId="{9468F473-BB6B-4E67-B566-2975784BF028}" destId="{E045DC3C-9455-410D-BA03-10A8C8D8468C}" srcOrd="1" destOrd="0" presId="urn:microsoft.com/office/officeart/2005/8/layout/vList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1D4A962-3310-459E-9B1C-DC2A8AA98040}" type="doc">
      <dgm:prSet loTypeId="urn:microsoft.com/office/officeart/2005/8/layout/process4" loCatId="process" qsTypeId="urn:microsoft.com/office/officeart/2005/8/quickstyle/simple5" qsCatId="simple" csTypeId="urn:microsoft.com/office/officeart/2005/8/colors/accent0_1" csCatId="mainScheme" phldr="1"/>
      <dgm:spPr/>
      <dgm:t>
        <a:bodyPr/>
        <a:lstStyle/>
        <a:p>
          <a:endParaRPr lang="en-US"/>
        </a:p>
      </dgm:t>
    </dgm:pt>
    <dgm:pt modelId="{7F8612A2-0217-4C28-85A6-63AED5561BFF}">
      <dgm:prSet phldrT="[Text]" custT="1"/>
      <dgm:spPr>
        <a:xfrm>
          <a:off x="408212" y="1966614"/>
          <a:ext cx="1312022" cy="521748"/>
        </a:xfrm>
      </dgm:spPr>
      <dgm:t>
        <a:bodyPr/>
        <a:lstStyle/>
        <a:p>
          <a:pPr algn="ctr"/>
          <a:r>
            <a:rPr lang="ru-RU" sz="1000">
              <a:latin typeface="Calibri Light" panose="020F0302020204030204"/>
              <a:ea typeface="+mn-ea"/>
              <a:cs typeface="+mn-cs"/>
            </a:rPr>
            <a:t>ПМСУ</a:t>
          </a:r>
          <a:endParaRPr lang="en-US" sz="1000">
            <a:latin typeface="Calibri Light" panose="020F0302020204030204"/>
            <a:ea typeface="+mn-ea"/>
            <a:cs typeface="+mn-cs"/>
          </a:endParaRPr>
        </a:p>
      </dgm:t>
    </dgm:pt>
    <dgm:pt modelId="{EC70EE78-4D7C-40C6-8D87-FE8AF12AEBFA}" type="parTrans" cxnId="{D90B0FED-00EA-4049-A244-1CC67F613062}">
      <dgm:prSet/>
      <dgm:spPr/>
      <dgm:t>
        <a:bodyPr/>
        <a:lstStyle/>
        <a:p>
          <a:pPr algn="ctr"/>
          <a:endParaRPr lang="en-US">
            <a:latin typeface="+mj-lt"/>
          </a:endParaRPr>
        </a:p>
      </dgm:t>
    </dgm:pt>
    <dgm:pt modelId="{36608651-8738-47E0-9697-4C48DD378C6A}" type="sibTrans" cxnId="{D90B0FED-00EA-4049-A244-1CC67F613062}">
      <dgm:prSet/>
      <dgm:spPr>
        <a:xfrm>
          <a:off x="856379" y="1111629"/>
          <a:ext cx="1857130" cy="1857130"/>
        </a:xfrm>
      </dgm:spPr>
      <dgm:t>
        <a:bodyPr/>
        <a:lstStyle/>
        <a:p>
          <a:pPr algn="ctr"/>
          <a:endParaRPr lang="en-US">
            <a:latin typeface="+mj-lt"/>
          </a:endParaRPr>
        </a:p>
      </dgm:t>
    </dgm:pt>
    <dgm:pt modelId="{FACC9D71-A04C-4501-9356-EDD114D85278}">
      <dgm:prSet phldrT="[Text]" custT="1"/>
      <dgm:spPr>
        <a:xfrm>
          <a:off x="0" y="763750"/>
          <a:ext cx="1725916" cy="1414827"/>
        </a:xfrm>
      </dgm:spPr>
      <dgm:t>
        <a:bodyPr/>
        <a:lstStyle/>
        <a:p>
          <a:pPr algn="ctr"/>
          <a:r>
            <a:rPr lang="ru-RU" sz="1000">
              <a:latin typeface="+mj-lt"/>
            </a:rPr>
            <a:t>выдает больничный лист</a:t>
          </a:r>
          <a:endParaRPr lang="en-US" sz="1000">
            <a:latin typeface="Calibri Light" panose="020F0302020204030204"/>
            <a:ea typeface="+mn-ea"/>
            <a:cs typeface="+mn-cs"/>
          </a:endParaRPr>
        </a:p>
      </dgm:t>
    </dgm:pt>
    <dgm:pt modelId="{5959721C-8CFD-4B88-84FF-49D82FDBC342}" type="parTrans" cxnId="{11FAA97D-66B5-46B9-9043-60044A873C3A}">
      <dgm:prSet/>
      <dgm:spPr/>
      <dgm:t>
        <a:bodyPr/>
        <a:lstStyle/>
        <a:p>
          <a:pPr algn="ctr"/>
          <a:endParaRPr lang="en-US">
            <a:latin typeface="+mj-lt"/>
          </a:endParaRPr>
        </a:p>
      </dgm:t>
    </dgm:pt>
    <dgm:pt modelId="{1380F754-1A74-417E-B0C6-9B4DD6DFCC70}" type="sibTrans" cxnId="{11FAA97D-66B5-46B9-9043-60044A873C3A}">
      <dgm:prSet/>
      <dgm:spPr/>
      <dgm:t>
        <a:bodyPr/>
        <a:lstStyle/>
        <a:p>
          <a:pPr algn="ctr"/>
          <a:endParaRPr lang="en-US">
            <a:latin typeface="+mj-lt"/>
          </a:endParaRPr>
        </a:p>
      </dgm:t>
    </dgm:pt>
    <dgm:pt modelId="{7720C4E8-8227-4B40-86BE-A94F82D26F7D}">
      <dgm:prSet phldrT="[Text]" custT="1"/>
      <dgm:spPr>
        <a:xfrm>
          <a:off x="0" y="763750"/>
          <a:ext cx="1725916" cy="1414827"/>
        </a:xfrm>
      </dgm:spPr>
      <dgm:t>
        <a:bodyPr/>
        <a:lstStyle/>
        <a:p>
          <a:pPr algn="ctr"/>
          <a:r>
            <a:rPr lang="ru-RU" sz="1000">
              <a:latin typeface="+mj-lt"/>
            </a:rPr>
            <a:t>вводит данные из справки </a:t>
          </a:r>
          <a:r>
            <a:rPr lang="ru-RU" sz="1000" b="1">
              <a:latin typeface="+mj-lt"/>
            </a:rPr>
            <a:t>в течение 5 дней</a:t>
          </a:r>
          <a:r>
            <a:rPr lang="ru-RU" sz="1000">
              <a:latin typeface="+mj-lt"/>
            </a:rPr>
            <a:t> на Портале больничных листов</a:t>
          </a:r>
          <a:endParaRPr lang="en-US" sz="1000">
            <a:latin typeface="Calibri Light" panose="020F0302020204030204"/>
            <a:ea typeface="+mn-ea"/>
            <a:cs typeface="+mn-cs"/>
          </a:endParaRPr>
        </a:p>
      </dgm:t>
    </dgm:pt>
    <dgm:pt modelId="{417A5239-6D99-4691-BA5B-A270860CD84A}" type="parTrans" cxnId="{C49C2B9E-3846-44A4-BFD9-EC7113364ABD}">
      <dgm:prSet/>
      <dgm:spPr/>
      <dgm:t>
        <a:bodyPr/>
        <a:lstStyle/>
        <a:p>
          <a:pPr algn="ctr"/>
          <a:endParaRPr lang="en-US">
            <a:latin typeface="+mj-lt"/>
          </a:endParaRPr>
        </a:p>
      </dgm:t>
    </dgm:pt>
    <dgm:pt modelId="{CE2BF6EC-8619-4A2C-AE86-1C66BE1E98CF}" type="sibTrans" cxnId="{C49C2B9E-3846-44A4-BFD9-EC7113364ABD}">
      <dgm:prSet/>
      <dgm:spPr/>
      <dgm:t>
        <a:bodyPr/>
        <a:lstStyle/>
        <a:p>
          <a:pPr algn="ctr"/>
          <a:endParaRPr lang="en-US">
            <a:latin typeface="+mj-lt"/>
          </a:endParaRPr>
        </a:p>
      </dgm:t>
    </dgm:pt>
    <dgm:pt modelId="{CEBAD458-84EB-4708-AC0D-E62D9F3399F0}">
      <dgm:prSet phldrT="[Text]" custT="1"/>
      <dgm:spPr>
        <a:xfrm>
          <a:off x="2547787" y="641537"/>
          <a:ext cx="1312022" cy="521748"/>
        </a:xfrm>
      </dgm:spPr>
      <dgm:t>
        <a:bodyPr/>
        <a:lstStyle/>
        <a:p>
          <a:pPr algn="ctr"/>
          <a:r>
            <a:rPr lang="ru-RU" sz="1000">
              <a:latin typeface="Calibri Light" panose="020F0302020204030204"/>
              <a:ea typeface="+mn-ea"/>
              <a:cs typeface="+mn-cs"/>
            </a:rPr>
            <a:t>МЗ</a:t>
          </a:r>
          <a:r>
            <a:rPr lang="ro-MD" sz="1000">
              <a:latin typeface="Calibri Light" panose="020F0302020204030204"/>
              <a:ea typeface="+mn-ea"/>
              <a:cs typeface="+mn-cs"/>
            </a:rPr>
            <a:t>/</a:t>
          </a:r>
          <a:r>
            <a:rPr lang="ru-RU" sz="1000">
              <a:latin typeface="Calibri Light" panose="020F0302020204030204"/>
              <a:ea typeface="+mn-ea"/>
              <a:cs typeface="+mn-cs"/>
            </a:rPr>
            <a:t>НКСС</a:t>
          </a:r>
          <a:endParaRPr lang="en-US" sz="1000">
            <a:latin typeface="Calibri Light" panose="020F0302020204030204"/>
            <a:ea typeface="+mn-ea"/>
            <a:cs typeface="+mn-cs"/>
          </a:endParaRPr>
        </a:p>
      </dgm:t>
    </dgm:pt>
    <dgm:pt modelId="{85E60BF4-442B-473A-8A77-C91B2EE802B2}" type="parTrans" cxnId="{EA27CA21-B3E7-4BD1-BC37-1F1DD1175F45}">
      <dgm:prSet/>
      <dgm:spPr/>
      <dgm:t>
        <a:bodyPr/>
        <a:lstStyle/>
        <a:p>
          <a:pPr algn="ctr"/>
          <a:endParaRPr lang="en-US">
            <a:latin typeface="+mj-lt"/>
          </a:endParaRPr>
        </a:p>
      </dgm:t>
    </dgm:pt>
    <dgm:pt modelId="{1FDB4FF5-8A4D-4F67-BD3D-4B9008F808AA}" type="sibTrans" cxnId="{EA27CA21-B3E7-4BD1-BC37-1F1DD1175F45}">
      <dgm:prSet/>
      <dgm:spPr>
        <a:xfrm rot="209060">
          <a:off x="3060222" y="166450"/>
          <a:ext cx="1988053" cy="1988053"/>
        </a:xfrm>
      </dgm:spPr>
      <dgm:t>
        <a:bodyPr/>
        <a:lstStyle/>
        <a:p>
          <a:pPr algn="ctr"/>
          <a:endParaRPr lang="en-US">
            <a:latin typeface="+mj-lt"/>
          </a:endParaRPr>
        </a:p>
      </dgm:t>
    </dgm:pt>
    <dgm:pt modelId="{90FE83C3-8C93-4BF8-A1CA-BDF67F927C96}">
      <dgm:prSet phldrT="[Text]" custT="1"/>
      <dgm:spPr>
        <a:xfrm>
          <a:off x="1953056" y="753540"/>
          <a:ext cx="1897179" cy="1623966"/>
        </a:xfrm>
      </dgm:spPr>
      <dgm:t>
        <a:bodyPr/>
        <a:lstStyle/>
        <a:p>
          <a:pPr algn="ctr"/>
          <a:r>
            <a:rPr lang="ru-RU" sz="1000">
              <a:latin typeface="+mj-lt"/>
            </a:rPr>
            <a:t>получает на Портале данные из больничного листа</a:t>
          </a:r>
          <a:endParaRPr lang="en-US" sz="1000">
            <a:latin typeface="Calibri Light" panose="020F0302020204030204"/>
            <a:ea typeface="+mn-ea"/>
            <a:cs typeface="+mn-cs"/>
          </a:endParaRPr>
        </a:p>
      </dgm:t>
    </dgm:pt>
    <dgm:pt modelId="{E970A722-711E-45F3-856B-BE52C3F9BC5B}" type="parTrans" cxnId="{940A81FE-A28B-4379-AA18-ABD7CD455DE1}">
      <dgm:prSet/>
      <dgm:spPr/>
      <dgm:t>
        <a:bodyPr/>
        <a:lstStyle/>
        <a:p>
          <a:pPr algn="ctr"/>
          <a:endParaRPr lang="en-US">
            <a:latin typeface="+mj-lt"/>
          </a:endParaRPr>
        </a:p>
      </dgm:t>
    </dgm:pt>
    <dgm:pt modelId="{4228DE43-F1F0-417F-AD29-F2A3E308ED99}" type="sibTrans" cxnId="{940A81FE-A28B-4379-AA18-ABD7CD455DE1}">
      <dgm:prSet/>
      <dgm:spPr/>
      <dgm:t>
        <a:bodyPr/>
        <a:lstStyle/>
        <a:p>
          <a:pPr algn="ctr"/>
          <a:endParaRPr lang="en-US">
            <a:latin typeface="+mj-lt"/>
          </a:endParaRPr>
        </a:p>
      </dgm:t>
    </dgm:pt>
    <dgm:pt modelId="{30A0D28B-A946-4CE8-8DE2-E00EC33A7DC0}">
      <dgm:prSet phldrT="[Text]" custT="1"/>
      <dgm:spPr>
        <a:xfrm>
          <a:off x="1953056" y="753540"/>
          <a:ext cx="1897179" cy="1623966"/>
        </a:xfrm>
      </dgm:spPr>
      <dgm:t>
        <a:bodyPr/>
        <a:lstStyle/>
        <a:p>
          <a:pPr algn="ctr"/>
          <a:r>
            <a:rPr lang="ru-RU" sz="1000">
              <a:latin typeface="+mj-lt"/>
            </a:rPr>
            <a:t>автоматическая передача данных из больничного листа через Портал в НКСС</a:t>
          </a:r>
          <a:endParaRPr lang="en-US" sz="1000">
            <a:latin typeface="Calibri Light" panose="020F0302020204030204"/>
            <a:ea typeface="+mn-ea"/>
            <a:cs typeface="+mn-cs"/>
          </a:endParaRPr>
        </a:p>
      </dgm:t>
    </dgm:pt>
    <dgm:pt modelId="{D205ADA8-F575-496D-9F2A-1B1C9CF984A6}" type="parTrans" cxnId="{86C79055-5385-42CA-9381-DEBBA4E355BE}">
      <dgm:prSet/>
      <dgm:spPr/>
      <dgm:t>
        <a:bodyPr/>
        <a:lstStyle/>
        <a:p>
          <a:pPr algn="ctr"/>
          <a:endParaRPr lang="en-US">
            <a:latin typeface="+mj-lt"/>
          </a:endParaRPr>
        </a:p>
      </dgm:t>
    </dgm:pt>
    <dgm:pt modelId="{8EE6502F-8B53-4F35-9373-DF10B71EFC76}" type="sibTrans" cxnId="{86C79055-5385-42CA-9381-DEBBA4E355BE}">
      <dgm:prSet/>
      <dgm:spPr/>
      <dgm:t>
        <a:bodyPr/>
        <a:lstStyle/>
        <a:p>
          <a:pPr algn="ctr"/>
          <a:endParaRPr lang="en-US">
            <a:latin typeface="+mj-lt"/>
          </a:endParaRPr>
        </a:p>
      </dgm:t>
    </dgm:pt>
    <dgm:pt modelId="{19D86033-E314-4ECE-9A74-DC3E0B0417E8}">
      <dgm:prSet phldrT="[Text]" custT="1"/>
      <dgm:spPr>
        <a:xfrm>
          <a:off x="4623484" y="1860942"/>
          <a:ext cx="1312022" cy="521748"/>
        </a:xfrm>
      </dgm:spPr>
      <dgm:t>
        <a:bodyPr/>
        <a:lstStyle/>
        <a:p>
          <a:pPr algn="ctr"/>
          <a:r>
            <a:rPr lang="ru-RU" sz="1000">
              <a:latin typeface="Calibri Light" panose="020F0302020204030204"/>
              <a:ea typeface="+mn-ea"/>
              <a:cs typeface="+mn-cs"/>
            </a:rPr>
            <a:t>НКСС</a:t>
          </a:r>
          <a:endParaRPr lang="en-US" sz="1000">
            <a:latin typeface="Calibri Light" panose="020F0302020204030204"/>
            <a:ea typeface="+mn-ea"/>
            <a:cs typeface="+mn-cs"/>
          </a:endParaRPr>
        </a:p>
      </dgm:t>
    </dgm:pt>
    <dgm:pt modelId="{829F92D0-CDF8-4944-A4E4-BD45B163BAFF}" type="parTrans" cxnId="{BD6EF880-7FEF-42E4-952E-A17EC71A103B}">
      <dgm:prSet/>
      <dgm:spPr/>
      <dgm:t>
        <a:bodyPr/>
        <a:lstStyle/>
        <a:p>
          <a:pPr algn="ctr"/>
          <a:endParaRPr lang="en-US">
            <a:latin typeface="+mj-lt"/>
          </a:endParaRPr>
        </a:p>
      </dgm:t>
    </dgm:pt>
    <dgm:pt modelId="{A71CA882-B7A8-496B-8A72-9E424901B044}" type="sibTrans" cxnId="{BD6EF880-7FEF-42E4-952E-A17EC71A103B}">
      <dgm:prSet/>
      <dgm:spPr/>
      <dgm:t>
        <a:bodyPr/>
        <a:lstStyle/>
        <a:p>
          <a:pPr algn="ctr"/>
          <a:endParaRPr lang="en-US">
            <a:latin typeface="+mj-lt"/>
          </a:endParaRPr>
        </a:p>
      </dgm:t>
    </dgm:pt>
    <dgm:pt modelId="{CD9D501E-E951-486F-ABB2-D69066077102}">
      <dgm:prSet phldrT="[Text]" custT="1"/>
      <dgm:spPr>
        <a:xfrm>
          <a:off x="4108030" y="786638"/>
          <a:ext cx="1766698" cy="1368724"/>
        </a:xfrm>
      </dgm:spPr>
      <dgm:t>
        <a:bodyPr/>
        <a:lstStyle/>
        <a:p>
          <a:pPr algn="ctr"/>
          <a:r>
            <a:rPr lang="ru-RU" sz="1000" b="1" i="1">
              <a:latin typeface="Calibri Light" panose="020F0302020204030204"/>
              <a:ea typeface="+mn-ea"/>
              <a:cs typeface="+mn-cs"/>
            </a:rPr>
            <a:t>АЭУ</a:t>
          </a:r>
          <a:r>
            <a:rPr lang="ro-MD" sz="1000" b="1" i="1">
              <a:latin typeface="Calibri Light" panose="020F0302020204030204"/>
              <a:ea typeface="+mn-ea"/>
              <a:cs typeface="+mn-cs"/>
            </a:rPr>
            <a:t> (MPay)</a:t>
          </a:r>
          <a:endParaRPr lang="en-US" sz="1000" b="1">
            <a:latin typeface="Calibri Light" panose="020F0302020204030204"/>
            <a:ea typeface="+mn-ea"/>
            <a:cs typeface="+mn-cs"/>
          </a:endParaRPr>
        </a:p>
      </dgm:t>
    </dgm:pt>
    <dgm:pt modelId="{C33F6769-10D9-4E82-9E27-7592A2C2A16F}" type="parTrans" cxnId="{04188B06-EEEC-40C4-86F4-974FC624EB3B}">
      <dgm:prSet/>
      <dgm:spPr/>
      <dgm:t>
        <a:bodyPr/>
        <a:lstStyle/>
        <a:p>
          <a:pPr algn="ctr"/>
          <a:endParaRPr lang="en-US"/>
        </a:p>
      </dgm:t>
    </dgm:pt>
    <dgm:pt modelId="{7946BD21-D3BC-4AB6-8C82-36460363D9F7}" type="sibTrans" cxnId="{04188B06-EEEC-40C4-86F4-974FC624EB3B}">
      <dgm:prSet/>
      <dgm:spPr/>
      <dgm:t>
        <a:bodyPr/>
        <a:lstStyle/>
        <a:p>
          <a:pPr algn="ctr"/>
          <a:endParaRPr lang="en-US"/>
        </a:p>
      </dgm:t>
    </dgm:pt>
    <dgm:pt modelId="{5F0F079C-3BF1-48F6-8D45-8C3454F54F19}">
      <dgm:prSet phldrT="[Text]" custT="1"/>
      <dgm:spPr>
        <a:xfrm>
          <a:off x="4108030" y="786638"/>
          <a:ext cx="1766698" cy="1368724"/>
        </a:xfrm>
      </dgm:spPr>
      <dgm:t>
        <a:bodyPr/>
        <a:lstStyle/>
        <a:p>
          <a:pPr algn="ctr"/>
          <a:r>
            <a:rPr lang="ru-RU" sz="1000">
              <a:latin typeface="+mj-lt"/>
            </a:rPr>
            <a:t>получает данные с Портала больничных листов</a:t>
          </a:r>
          <a:endParaRPr lang="en-US" sz="1000">
            <a:latin typeface="Calibri Light" panose="020F0302020204030204"/>
            <a:ea typeface="+mn-ea"/>
            <a:cs typeface="+mn-cs"/>
          </a:endParaRPr>
        </a:p>
      </dgm:t>
    </dgm:pt>
    <dgm:pt modelId="{EA0AA15C-9149-4CF9-807F-939766E10CDB}" type="sibTrans" cxnId="{D82E8B8E-1F60-45E8-9857-9C2D38249032}">
      <dgm:prSet/>
      <dgm:spPr/>
      <dgm:t>
        <a:bodyPr/>
        <a:lstStyle/>
        <a:p>
          <a:pPr algn="ctr"/>
          <a:endParaRPr lang="en-US">
            <a:latin typeface="+mj-lt"/>
          </a:endParaRPr>
        </a:p>
      </dgm:t>
    </dgm:pt>
    <dgm:pt modelId="{7CA070C9-2FC5-477A-A218-5F427971A069}" type="parTrans" cxnId="{D82E8B8E-1F60-45E8-9857-9C2D38249032}">
      <dgm:prSet/>
      <dgm:spPr/>
      <dgm:t>
        <a:bodyPr/>
        <a:lstStyle/>
        <a:p>
          <a:pPr algn="ctr"/>
          <a:endParaRPr lang="en-US">
            <a:latin typeface="+mj-lt"/>
          </a:endParaRPr>
        </a:p>
      </dgm:t>
    </dgm:pt>
    <dgm:pt modelId="{B25FF4F5-C494-4A4B-B6B2-88C539140815}">
      <dgm:prSet phldrT="[Text]" custT="1"/>
      <dgm:spPr>
        <a:xfrm>
          <a:off x="4108030" y="786638"/>
          <a:ext cx="1766698" cy="1368724"/>
        </a:xfrm>
      </dgm:spPr>
      <dgm:t>
        <a:bodyPr/>
        <a:lstStyle/>
        <a:p>
          <a:pPr algn="ctr"/>
          <a:r>
            <a:rPr lang="ru-RU" sz="1000" i="1">
              <a:latin typeface="+mj-lt"/>
            </a:rPr>
            <a:t>установление пособия по временной нетрудоспособности </a:t>
          </a:r>
          <a:r>
            <a:rPr lang="ru-RU" sz="1000" b="1" i="1">
              <a:latin typeface="+mj-lt"/>
            </a:rPr>
            <a:t>в течение 15-30 дней</a:t>
          </a:r>
          <a:endParaRPr lang="en-US" sz="1000" b="1" i="1">
            <a:latin typeface="Calibri Light" panose="020F0302020204030204"/>
            <a:ea typeface="+mn-ea"/>
            <a:cs typeface="+mn-cs"/>
          </a:endParaRPr>
        </a:p>
      </dgm:t>
    </dgm:pt>
    <dgm:pt modelId="{8044E6B2-AD13-41B5-9864-836751C32AA4}" type="sibTrans" cxnId="{435D05F6-A2FD-4A37-9267-8AEB5140006C}">
      <dgm:prSet/>
      <dgm:spPr/>
      <dgm:t>
        <a:bodyPr/>
        <a:lstStyle/>
        <a:p>
          <a:pPr algn="ctr"/>
          <a:endParaRPr lang="en-US">
            <a:latin typeface="+mj-lt"/>
          </a:endParaRPr>
        </a:p>
      </dgm:t>
    </dgm:pt>
    <dgm:pt modelId="{BC262C7E-B2C0-4347-AC96-A06E11CE1C44}" type="parTrans" cxnId="{435D05F6-A2FD-4A37-9267-8AEB5140006C}">
      <dgm:prSet/>
      <dgm:spPr/>
      <dgm:t>
        <a:bodyPr/>
        <a:lstStyle/>
        <a:p>
          <a:pPr algn="ctr"/>
          <a:endParaRPr lang="en-US">
            <a:latin typeface="+mj-lt"/>
          </a:endParaRPr>
        </a:p>
      </dgm:t>
    </dgm:pt>
    <dgm:pt modelId="{E71130A3-BEC9-4C40-BC78-C6B22488DF3F}">
      <dgm:prSet phldrT="[Text]" custT="1"/>
      <dgm:spPr>
        <a:xfrm>
          <a:off x="4108030" y="786638"/>
          <a:ext cx="1766698" cy="1368724"/>
        </a:xfrm>
      </dgm:spPr>
      <dgm:t>
        <a:bodyPr/>
        <a:lstStyle/>
        <a:p>
          <a:pPr algn="ctr"/>
          <a:r>
            <a:rPr lang="ru-RU" sz="1000" b="0">
              <a:latin typeface="Calibri Light" panose="020F0302020204030204"/>
              <a:ea typeface="+mn-ea"/>
              <a:cs typeface="+mn-cs"/>
            </a:rPr>
            <a:t>с </a:t>
          </a:r>
          <a:r>
            <a:rPr lang="ro-MD" sz="1000" b="0">
              <a:latin typeface="Calibri Light" panose="020F0302020204030204"/>
              <a:ea typeface="+mn-ea"/>
              <a:cs typeface="+mn-cs"/>
            </a:rPr>
            <a:t>2021 </a:t>
          </a:r>
          <a:r>
            <a:rPr lang="ru-RU" sz="1000" b="0">
              <a:latin typeface="Calibri Light" panose="020F0302020204030204"/>
              <a:ea typeface="+mn-ea"/>
              <a:cs typeface="+mn-cs"/>
            </a:rPr>
            <a:t>года осуществляет выплату пособия </a:t>
          </a:r>
          <a:r>
            <a:rPr lang="ro-RO" sz="1000">
              <a:latin typeface="+mj-lt"/>
            </a:rPr>
            <a:t>через поставщиков платежных услуг</a:t>
          </a:r>
          <a:endParaRPr lang="en-US" sz="1000" b="0">
            <a:latin typeface="+mj-lt"/>
            <a:ea typeface="+mn-ea"/>
            <a:cs typeface="+mn-cs"/>
          </a:endParaRPr>
        </a:p>
      </dgm:t>
    </dgm:pt>
    <dgm:pt modelId="{2A90E5C9-87C0-4514-8C30-8E90F28CE571}" type="parTrans" cxnId="{6CACBFE4-491A-4582-BC78-87C1EAB7E767}">
      <dgm:prSet/>
      <dgm:spPr/>
      <dgm:t>
        <a:bodyPr/>
        <a:lstStyle/>
        <a:p>
          <a:pPr algn="ctr"/>
          <a:endParaRPr lang="en-US"/>
        </a:p>
      </dgm:t>
    </dgm:pt>
    <dgm:pt modelId="{5022BE26-27B3-49E8-9A67-60CB68C5DF2E}" type="sibTrans" cxnId="{6CACBFE4-491A-4582-BC78-87C1EAB7E767}">
      <dgm:prSet/>
      <dgm:spPr/>
      <dgm:t>
        <a:bodyPr/>
        <a:lstStyle/>
        <a:p>
          <a:pPr algn="ctr"/>
          <a:endParaRPr lang="en-US"/>
        </a:p>
      </dgm:t>
    </dgm:pt>
    <dgm:pt modelId="{256ABDD9-D660-473E-8FEF-7F83B553675C}" type="pres">
      <dgm:prSet presAssocID="{81D4A962-3310-459E-9B1C-DC2A8AA98040}" presName="Name0" presStyleCnt="0">
        <dgm:presLayoutVars>
          <dgm:dir/>
          <dgm:animLvl val="lvl"/>
          <dgm:resizeHandles val="exact"/>
        </dgm:presLayoutVars>
      </dgm:prSet>
      <dgm:spPr/>
      <dgm:t>
        <a:bodyPr/>
        <a:lstStyle/>
        <a:p>
          <a:endParaRPr lang="en-US"/>
        </a:p>
      </dgm:t>
    </dgm:pt>
    <dgm:pt modelId="{8D3C08E9-350B-4746-86BF-D8F600868452}" type="pres">
      <dgm:prSet presAssocID="{CD9D501E-E951-486F-ABB2-D69066077102}" presName="boxAndChildren" presStyleCnt="0"/>
      <dgm:spPr/>
      <dgm:t>
        <a:bodyPr/>
        <a:lstStyle/>
        <a:p>
          <a:endParaRPr lang="en-US"/>
        </a:p>
      </dgm:t>
    </dgm:pt>
    <dgm:pt modelId="{83C6751B-3D94-42FB-BD69-9A11F5FF6579}" type="pres">
      <dgm:prSet presAssocID="{CD9D501E-E951-486F-ABB2-D69066077102}" presName="parentTextBox" presStyleLbl="node1" presStyleIdx="0" presStyleCnt="4"/>
      <dgm:spPr/>
      <dgm:t>
        <a:bodyPr/>
        <a:lstStyle/>
        <a:p>
          <a:endParaRPr lang="en-US"/>
        </a:p>
      </dgm:t>
    </dgm:pt>
    <dgm:pt modelId="{0359A990-D324-44DE-AAC1-D8355ECC6FC2}" type="pres">
      <dgm:prSet presAssocID="{CD9D501E-E951-486F-ABB2-D69066077102}" presName="entireBox" presStyleLbl="node1" presStyleIdx="0" presStyleCnt="4"/>
      <dgm:spPr/>
      <dgm:t>
        <a:bodyPr/>
        <a:lstStyle/>
        <a:p>
          <a:endParaRPr lang="en-US"/>
        </a:p>
      </dgm:t>
    </dgm:pt>
    <dgm:pt modelId="{CF06DA5B-97AA-4EE1-A5E0-DC148090DF46}" type="pres">
      <dgm:prSet presAssocID="{CD9D501E-E951-486F-ABB2-D69066077102}" presName="descendantBox" presStyleCnt="0"/>
      <dgm:spPr/>
      <dgm:t>
        <a:bodyPr/>
        <a:lstStyle/>
        <a:p>
          <a:endParaRPr lang="en-US"/>
        </a:p>
      </dgm:t>
    </dgm:pt>
    <dgm:pt modelId="{750B1231-E3FA-4C62-BA59-EDE60C42E921}" type="pres">
      <dgm:prSet presAssocID="{E71130A3-BEC9-4C40-BC78-C6B22488DF3F}" presName="childTextBox" presStyleLbl="fgAccFollowNode1" presStyleIdx="0" presStyleCnt="7" custLinFactNeighborX="-2953" custLinFactNeighborY="4760">
        <dgm:presLayoutVars>
          <dgm:bulletEnabled val="1"/>
        </dgm:presLayoutVars>
      </dgm:prSet>
      <dgm:spPr/>
      <dgm:t>
        <a:bodyPr/>
        <a:lstStyle/>
        <a:p>
          <a:endParaRPr lang="en-US"/>
        </a:p>
      </dgm:t>
    </dgm:pt>
    <dgm:pt modelId="{74B1481A-2A23-48C8-BA5F-A554E5D8AE33}" type="pres">
      <dgm:prSet presAssocID="{A71CA882-B7A8-496B-8A72-9E424901B044}" presName="sp" presStyleCnt="0"/>
      <dgm:spPr/>
      <dgm:t>
        <a:bodyPr/>
        <a:lstStyle/>
        <a:p>
          <a:endParaRPr lang="en-US"/>
        </a:p>
      </dgm:t>
    </dgm:pt>
    <dgm:pt modelId="{B12D2C86-46BE-48AC-B25F-B790FC7EBD94}" type="pres">
      <dgm:prSet presAssocID="{19D86033-E314-4ECE-9A74-DC3E0B0417E8}" presName="arrowAndChildren" presStyleCnt="0"/>
      <dgm:spPr/>
      <dgm:t>
        <a:bodyPr/>
        <a:lstStyle/>
        <a:p>
          <a:endParaRPr lang="en-US"/>
        </a:p>
      </dgm:t>
    </dgm:pt>
    <dgm:pt modelId="{9E508069-1D06-486B-99E2-C37029692E16}" type="pres">
      <dgm:prSet presAssocID="{19D86033-E314-4ECE-9A74-DC3E0B0417E8}" presName="parentTextArrow" presStyleLbl="node1" presStyleIdx="0" presStyleCnt="4"/>
      <dgm:spPr/>
      <dgm:t>
        <a:bodyPr/>
        <a:lstStyle/>
        <a:p>
          <a:endParaRPr lang="en-US"/>
        </a:p>
      </dgm:t>
    </dgm:pt>
    <dgm:pt modelId="{9FC4B804-5F3C-4108-A2D0-EB66E561ED72}" type="pres">
      <dgm:prSet presAssocID="{19D86033-E314-4ECE-9A74-DC3E0B0417E8}" presName="arrow" presStyleLbl="node1" presStyleIdx="1" presStyleCnt="4"/>
      <dgm:spPr/>
      <dgm:t>
        <a:bodyPr/>
        <a:lstStyle/>
        <a:p>
          <a:endParaRPr lang="en-US"/>
        </a:p>
      </dgm:t>
    </dgm:pt>
    <dgm:pt modelId="{F71FA166-D5BB-4545-956E-CE803FF06ED6}" type="pres">
      <dgm:prSet presAssocID="{19D86033-E314-4ECE-9A74-DC3E0B0417E8}" presName="descendantArrow" presStyleCnt="0"/>
      <dgm:spPr/>
      <dgm:t>
        <a:bodyPr/>
        <a:lstStyle/>
        <a:p>
          <a:endParaRPr lang="en-US"/>
        </a:p>
      </dgm:t>
    </dgm:pt>
    <dgm:pt modelId="{39DBB761-3F1F-4A46-863B-09DE4353CEA6}" type="pres">
      <dgm:prSet presAssocID="{5F0F079C-3BF1-48F6-8D45-8C3454F54F19}" presName="childTextArrow" presStyleLbl="fgAccFollowNode1" presStyleIdx="1" presStyleCnt="7">
        <dgm:presLayoutVars>
          <dgm:bulletEnabled val="1"/>
        </dgm:presLayoutVars>
      </dgm:prSet>
      <dgm:spPr/>
      <dgm:t>
        <a:bodyPr/>
        <a:lstStyle/>
        <a:p>
          <a:endParaRPr lang="en-US"/>
        </a:p>
      </dgm:t>
    </dgm:pt>
    <dgm:pt modelId="{4D4F999B-03A1-4964-82F1-0EBD32100377}" type="pres">
      <dgm:prSet presAssocID="{B25FF4F5-C494-4A4B-B6B2-88C539140815}" presName="childTextArrow" presStyleLbl="fgAccFollowNode1" presStyleIdx="2" presStyleCnt="7">
        <dgm:presLayoutVars>
          <dgm:bulletEnabled val="1"/>
        </dgm:presLayoutVars>
      </dgm:prSet>
      <dgm:spPr/>
      <dgm:t>
        <a:bodyPr/>
        <a:lstStyle/>
        <a:p>
          <a:endParaRPr lang="en-US"/>
        </a:p>
      </dgm:t>
    </dgm:pt>
    <dgm:pt modelId="{5C470629-82AE-4B63-A220-FAFC7C6B67C3}" type="pres">
      <dgm:prSet presAssocID="{1FDB4FF5-8A4D-4F67-BD3D-4B9008F808AA}" presName="sp" presStyleCnt="0"/>
      <dgm:spPr/>
      <dgm:t>
        <a:bodyPr/>
        <a:lstStyle/>
        <a:p>
          <a:endParaRPr lang="en-US"/>
        </a:p>
      </dgm:t>
    </dgm:pt>
    <dgm:pt modelId="{B9A5B20A-8372-4571-9228-D37CB657C49B}" type="pres">
      <dgm:prSet presAssocID="{CEBAD458-84EB-4708-AC0D-E62D9F3399F0}" presName="arrowAndChildren" presStyleCnt="0"/>
      <dgm:spPr/>
      <dgm:t>
        <a:bodyPr/>
        <a:lstStyle/>
        <a:p>
          <a:endParaRPr lang="en-US"/>
        </a:p>
      </dgm:t>
    </dgm:pt>
    <dgm:pt modelId="{5F371C93-3441-4A55-B5E2-191C983B7E08}" type="pres">
      <dgm:prSet presAssocID="{CEBAD458-84EB-4708-AC0D-E62D9F3399F0}" presName="parentTextArrow" presStyleLbl="node1" presStyleIdx="1" presStyleCnt="4"/>
      <dgm:spPr/>
      <dgm:t>
        <a:bodyPr/>
        <a:lstStyle/>
        <a:p>
          <a:endParaRPr lang="en-US"/>
        </a:p>
      </dgm:t>
    </dgm:pt>
    <dgm:pt modelId="{15A20E17-C70F-42E7-A165-E1C923F02F5D}" type="pres">
      <dgm:prSet presAssocID="{CEBAD458-84EB-4708-AC0D-E62D9F3399F0}" presName="arrow" presStyleLbl="node1" presStyleIdx="2" presStyleCnt="4"/>
      <dgm:spPr/>
      <dgm:t>
        <a:bodyPr/>
        <a:lstStyle/>
        <a:p>
          <a:endParaRPr lang="en-US"/>
        </a:p>
      </dgm:t>
    </dgm:pt>
    <dgm:pt modelId="{FC80FE6C-6D14-4817-A23D-06C239D69CDE}" type="pres">
      <dgm:prSet presAssocID="{CEBAD458-84EB-4708-AC0D-E62D9F3399F0}" presName="descendantArrow" presStyleCnt="0"/>
      <dgm:spPr/>
      <dgm:t>
        <a:bodyPr/>
        <a:lstStyle/>
        <a:p>
          <a:endParaRPr lang="en-US"/>
        </a:p>
      </dgm:t>
    </dgm:pt>
    <dgm:pt modelId="{ACBA2889-4196-4908-BD48-4E85A9618CF3}" type="pres">
      <dgm:prSet presAssocID="{90FE83C3-8C93-4BF8-A1CA-BDF67F927C96}" presName="childTextArrow" presStyleLbl="fgAccFollowNode1" presStyleIdx="3" presStyleCnt="7">
        <dgm:presLayoutVars>
          <dgm:bulletEnabled val="1"/>
        </dgm:presLayoutVars>
      </dgm:prSet>
      <dgm:spPr/>
      <dgm:t>
        <a:bodyPr/>
        <a:lstStyle/>
        <a:p>
          <a:endParaRPr lang="en-US"/>
        </a:p>
      </dgm:t>
    </dgm:pt>
    <dgm:pt modelId="{704B6CEA-3CCA-4D17-AF1A-093D2600C174}" type="pres">
      <dgm:prSet presAssocID="{30A0D28B-A946-4CE8-8DE2-E00EC33A7DC0}" presName="childTextArrow" presStyleLbl="fgAccFollowNode1" presStyleIdx="4" presStyleCnt="7" custScaleY="184444">
        <dgm:presLayoutVars>
          <dgm:bulletEnabled val="1"/>
        </dgm:presLayoutVars>
      </dgm:prSet>
      <dgm:spPr/>
      <dgm:t>
        <a:bodyPr/>
        <a:lstStyle/>
        <a:p>
          <a:endParaRPr lang="en-US"/>
        </a:p>
      </dgm:t>
    </dgm:pt>
    <dgm:pt modelId="{552DC790-CF86-41E8-964D-4E9C21697B4A}" type="pres">
      <dgm:prSet presAssocID="{36608651-8738-47E0-9697-4C48DD378C6A}" presName="sp" presStyleCnt="0"/>
      <dgm:spPr/>
      <dgm:t>
        <a:bodyPr/>
        <a:lstStyle/>
        <a:p>
          <a:endParaRPr lang="en-US"/>
        </a:p>
      </dgm:t>
    </dgm:pt>
    <dgm:pt modelId="{F4E20CF1-338A-428B-9F61-5FDA94253E91}" type="pres">
      <dgm:prSet presAssocID="{7F8612A2-0217-4C28-85A6-63AED5561BFF}" presName="arrowAndChildren" presStyleCnt="0"/>
      <dgm:spPr/>
      <dgm:t>
        <a:bodyPr/>
        <a:lstStyle/>
        <a:p>
          <a:endParaRPr lang="en-US"/>
        </a:p>
      </dgm:t>
    </dgm:pt>
    <dgm:pt modelId="{78256F63-290E-430F-A2C1-141C1838AE73}" type="pres">
      <dgm:prSet presAssocID="{7F8612A2-0217-4C28-85A6-63AED5561BFF}" presName="parentTextArrow" presStyleLbl="node1" presStyleIdx="2" presStyleCnt="4"/>
      <dgm:spPr/>
      <dgm:t>
        <a:bodyPr/>
        <a:lstStyle/>
        <a:p>
          <a:endParaRPr lang="en-US"/>
        </a:p>
      </dgm:t>
    </dgm:pt>
    <dgm:pt modelId="{1A481332-A3DB-4F89-B272-65B3BE559FF9}" type="pres">
      <dgm:prSet presAssocID="{7F8612A2-0217-4C28-85A6-63AED5561BFF}" presName="arrow" presStyleLbl="node1" presStyleIdx="3" presStyleCnt="4"/>
      <dgm:spPr/>
      <dgm:t>
        <a:bodyPr/>
        <a:lstStyle/>
        <a:p>
          <a:endParaRPr lang="en-US"/>
        </a:p>
      </dgm:t>
    </dgm:pt>
    <dgm:pt modelId="{E9109CB6-C0C6-4591-8444-7DD252EB67E9}" type="pres">
      <dgm:prSet presAssocID="{7F8612A2-0217-4C28-85A6-63AED5561BFF}" presName="descendantArrow" presStyleCnt="0"/>
      <dgm:spPr/>
      <dgm:t>
        <a:bodyPr/>
        <a:lstStyle/>
        <a:p>
          <a:endParaRPr lang="en-US"/>
        </a:p>
      </dgm:t>
    </dgm:pt>
    <dgm:pt modelId="{EB4CA1F5-8B1F-4CB4-B295-850FC5A89C92}" type="pres">
      <dgm:prSet presAssocID="{FACC9D71-A04C-4501-9356-EDD114D85278}" presName="childTextArrow" presStyleLbl="fgAccFollowNode1" presStyleIdx="5" presStyleCnt="7">
        <dgm:presLayoutVars>
          <dgm:bulletEnabled val="1"/>
        </dgm:presLayoutVars>
      </dgm:prSet>
      <dgm:spPr/>
      <dgm:t>
        <a:bodyPr/>
        <a:lstStyle/>
        <a:p>
          <a:endParaRPr lang="en-US"/>
        </a:p>
      </dgm:t>
    </dgm:pt>
    <dgm:pt modelId="{5621F436-D218-4ADE-B84D-75A98AC25933}" type="pres">
      <dgm:prSet presAssocID="{7720C4E8-8227-4B40-86BE-A94F82D26F7D}" presName="childTextArrow" presStyleLbl="fgAccFollowNode1" presStyleIdx="6" presStyleCnt="7">
        <dgm:presLayoutVars>
          <dgm:bulletEnabled val="1"/>
        </dgm:presLayoutVars>
      </dgm:prSet>
      <dgm:spPr/>
      <dgm:t>
        <a:bodyPr/>
        <a:lstStyle/>
        <a:p>
          <a:endParaRPr lang="en-US"/>
        </a:p>
      </dgm:t>
    </dgm:pt>
  </dgm:ptLst>
  <dgm:cxnLst>
    <dgm:cxn modelId="{F0BE742F-4FAA-43B1-AF37-272D72B383E6}" type="presOf" srcId="{CD9D501E-E951-486F-ABB2-D69066077102}" destId="{0359A990-D324-44DE-AAC1-D8355ECC6FC2}" srcOrd="1" destOrd="0" presId="urn:microsoft.com/office/officeart/2005/8/layout/process4"/>
    <dgm:cxn modelId="{52A6D002-AB4C-4128-A8B7-DB425089B290}" type="presOf" srcId="{7F8612A2-0217-4C28-85A6-63AED5561BFF}" destId="{78256F63-290E-430F-A2C1-141C1838AE73}" srcOrd="0" destOrd="0" presId="urn:microsoft.com/office/officeart/2005/8/layout/process4"/>
    <dgm:cxn modelId="{940A81FE-A28B-4379-AA18-ABD7CD455DE1}" srcId="{CEBAD458-84EB-4708-AC0D-E62D9F3399F0}" destId="{90FE83C3-8C93-4BF8-A1CA-BDF67F927C96}" srcOrd="0" destOrd="0" parTransId="{E970A722-711E-45F3-856B-BE52C3F9BC5B}" sibTransId="{4228DE43-F1F0-417F-AD29-F2A3E308ED99}"/>
    <dgm:cxn modelId="{BD6EF880-7FEF-42E4-952E-A17EC71A103B}" srcId="{81D4A962-3310-459E-9B1C-DC2A8AA98040}" destId="{19D86033-E314-4ECE-9A74-DC3E0B0417E8}" srcOrd="2" destOrd="0" parTransId="{829F92D0-CDF8-4944-A4E4-BD45B163BAFF}" sibTransId="{A71CA882-B7A8-496B-8A72-9E424901B044}"/>
    <dgm:cxn modelId="{6C0FDDA9-59BB-48D0-9119-55C9B63435E8}" type="presOf" srcId="{90FE83C3-8C93-4BF8-A1CA-BDF67F927C96}" destId="{ACBA2889-4196-4908-BD48-4E85A9618CF3}" srcOrd="0" destOrd="0" presId="urn:microsoft.com/office/officeart/2005/8/layout/process4"/>
    <dgm:cxn modelId="{D90B0FED-00EA-4049-A244-1CC67F613062}" srcId="{81D4A962-3310-459E-9B1C-DC2A8AA98040}" destId="{7F8612A2-0217-4C28-85A6-63AED5561BFF}" srcOrd="0" destOrd="0" parTransId="{EC70EE78-4D7C-40C6-8D87-FE8AF12AEBFA}" sibTransId="{36608651-8738-47E0-9697-4C48DD378C6A}"/>
    <dgm:cxn modelId="{435D05F6-A2FD-4A37-9267-8AEB5140006C}" srcId="{19D86033-E314-4ECE-9A74-DC3E0B0417E8}" destId="{B25FF4F5-C494-4A4B-B6B2-88C539140815}" srcOrd="1" destOrd="0" parTransId="{BC262C7E-B2C0-4347-AC96-A06E11CE1C44}" sibTransId="{8044E6B2-AD13-41B5-9864-836751C32AA4}"/>
    <dgm:cxn modelId="{F895253E-44E7-42A8-86BD-C9D9EDE1501D}" type="presOf" srcId="{CD9D501E-E951-486F-ABB2-D69066077102}" destId="{83C6751B-3D94-42FB-BD69-9A11F5FF6579}" srcOrd="0" destOrd="0" presId="urn:microsoft.com/office/officeart/2005/8/layout/process4"/>
    <dgm:cxn modelId="{86C79055-5385-42CA-9381-DEBBA4E355BE}" srcId="{CEBAD458-84EB-4708-AC0D-E62D9F3399F0}" destId="{30A0D28B-A946-4CE8-8DE2-E00EC33A7DC0}" srcOrd="1" destOrd="0" parTransId="{D205ADA8-F575-496D-9F2A-1B1C9CF984A6}" sibTransId="{8EE6502F-8B53-4F35-9373-DF10B71EFC76}"/>
    <dgm:cxn modelId="{6CACBFE4-491A-4582-BC78-87C1EAB7E767}" srcId="{CD9D501E-E951-486F-ABB2-D69066077102}" destId="{E71130A3-BEC9-4C40-BC78-C6B22488DF3F}" srcOrd="0" destOrd="0" parTransId="{2A90E5C9-87C0-4514-8C30-8E90F28CE571}" sibTransId="{5022BE26-27B3-49E8-9A67-60CB68C5DF2E}"/>
    <dgm:cxn modelId="{403C056E-1B17-4BAD-9839-7DE8DFB2C6AA}" type="presOf" srcId="{FACC9D71-A04C-4501-9356-EDD114D85278}" destId="{EB4CA1F5-8B1F-4CB4-B295-850FC5A89C92}" srcOrd="0" destOrd="0" presId="urn:microsoft.com/office/officeart/2005/8/layout/process4"/>
    <dgm:cxn modelId="{F7A90E01-53FF-4C78-9D9C-47442CDC8BDD}" type="presOf" srcId="{E71130A3-BEC9-4C40-BC78-C6B22488DF3F}" destId="{750B1231-E3FA-4C62-BA59-EDE60C42E921}" srcOrd="0" destOrd="0" presId="urn:microsoft.com/office/officeart/2005/8/layout/process4"/>
    <dgm:cxn modelId="{3D59A587-15AB-42BB-89C0-839D802A18CD}" type="presOf" srcId="{7720C4E8-8227-4B40-86BE-A94F82D26F7D}" destId="{5621F436-D218-4ADE-B84D-75A98AC25933}" srcOrd="0" destOrd="0" presId="urn:microsoft.com/office/officeart/2005/8/layout/process4"/>
    <dgm:cxn modelId="{3AFA905D-0532-48BF-BA37-F1C541EBF055}" type="presOf" srcId="{B25FF4F5-C494-4A4B-B6B2-88C539140815}" destId="{4D4F999B-03A1-4964-82F1-0EBD32100377}" srcOrd="0" destOrd="0" presId="urn:microsoft.com/office/officeart/2005/8/layout/process4"/>
    <dgm:cxn modelId="{04188B06-EEEC-40C4-86F4-974FC624EB3B}" srcId="{81D4A962-3310-459E-9B1C-DC2A8AA98040}" destId="{CD9D501E-E951-486F-ABB2-D69066077102}" srcOrd="3" destOrd="0" parTransId="{C33F6769-10D9-4E82-9E27-7592A2C2A16F}" sibTransId="{7946BD21-D3BC-4AB6-8C82-36460363D9F7}"/>
    <dgm:cxn modelId="{11FAA97D-66B5-46B9-9043-60044A873C3A}" srcId="{7F8612A2-0217-4C28-85A6-63AED5561BFF}" destId="{FACC9D71-A04C-4501-9356-EDD114D85278}" srcOrd="0" destOrd="0" parTransId="{5959721C-8CFD-4B88-84FF-49D82FDBC342}" sibTransId="{1380F754-1A74-417E-B0C6-9B4DD6DFCC70}"/>
    <dgm:cxn modelId="{D82E8B8E-1F60-45E8-9857-9C2D38249032}" srcId="{19D86033-E314-4ECE-9A74-DC3E0B0417E8}" destId="{5F0F079C-3BF1-48F6-8D45-8C3454F54F19}" srcOrd="0" destOrd="0" parTransId="{7CA070C9-2FC5-477A-A218-5F427971A069}" sibTransId="{EA0AA15C-9149-4CF9-807F-939766E10CDB}"/>
    <dgm:cxn modelId="{00EBCA16-3D15-489C-BA0E-CCE5613F0F3E}" type="presOf" srcId="{19D86033-E314-4ECE-9A74-DC3E0B0417E8}" destId="{9E508069-1D06-486B-99E2-C37029692E16}" srcOrd="0" destOrd="0" presId="urn:microsoft.com/office/officeart/2005/8/layout/process4"/>
    <dgm:cxn modelId="{EA27CA21-B3E7-4BD1-BC37-1F1DD1175F45}" srcId="{81D4A962-3310-459E-9B1C-DC2A8AA98040}" destId="{CEBAD458-84EB-4708-AC0D-E62D9F3399F0}" srcOrd="1" destOrd="0" parTransId="{85E60BF4-442B-473A-8A77-C91B2EE802B2}" sibTransId="{1FDB4FF5-8A4D-4F67-BD3D-4B9008F808AA}"/>
    <dgm:cxn modelId="{4927DAEC-7602-437E-9E6C-D3C683B89543}" type="presOf" srcId="{5F0F079C-3BF1-48F6-8D45-8C3454F54F19}" destId="{39DBB761-3F1F-4A46-863B-09DE4353CEA6}" srcOrd="0" destOrd="0" presId="urn:microsoft.com/office/officeart/2005/8/layout/process4"/>
    <dgm:cxn modelId="{18463E75-2041-4D28-96F9-E69B8956B9C5}" type="presOf" srcId="{19D86033-E314-4ECE-9A74-DC3E0B0417E8}" destId="{9FC4B804-5F3C-4108-A2D0-EB66E561ED72}" srcOrd="1" destOrd="0" presId="urn:microsoft.com/office/officeart/2005/8/layout/process4"/>
    <dgm:cxn modelId="{A5EEF9DD-F843-45FB-BCE2-DAA0B8C2B485}" type="presOf" srcId="{7F8612A2-0217-4C28-85A6-63AED5561BFF}" destId="{1A481332-A3DB-4F89-B272-65B3BE559FF9}" srcOrd="1" destOrd="0" presId="urn:microsoft.com/office/officeart/2005/8/layout/process4"/>
    <dgm:cxn modelId="{4D5EFA24-B35E-4657-9398-6B616E7FAE59}" type="presOf" srcId="{CEBAD458-84EB-4708-AC0D-E62D9F3399F0}" destId="{15A20E17-C70F-42E7-A165-E1C923F02F5D}" srcOrd="1" destOrd="0" presId="urn:microsoft.com/office/officeart/2005/8/layout/process4"/>
    <dgm:cxn modelId="{4F912696-C253-4A68-9952-DBBF3D173DF6}" type="presOf" srcId="{81D4A962-3310-459E-9B1C-DC2A8AA98040}" destId="{256ABDD9-D660-473E-8FEF-7F83B553675C}" srcOrd="0" destOrd="0" presId="urn:microsoft.com/office/officeart/2005/8/layout/process4"/>
    <dgm:cxn modelId="{0B50D32F-C576-4FDD-9A6C-189583596CC8}" type="presOf" srcId="{CEBAD458-84EB-4708-AC0D-E62D9F3399F0}" destId="{5F371C93-3441-4A55-B5E2-191C983B7E08}" srcOrd="0" destOrd="0" presId="urn:microsoft.com/office/officeart/2005/8/layout/process4"/>
    <dgm:cxn modelId="{DB5678C4-DA27-4987-A45D-B764EC0D3145}" type="presOf" srcId="{30A0D28B-A946-4CE8-8DE2-E00EC33A7DC0}" destId="{704B6CEA-3CCA-4D17-AF1A-093D2600C174}" srcOrd="0" destOrd="0" presId="urn:microsoft.com/office/officeart/2005/8/layout/process4"/>
    <dgm:cxn modelId="{C49C2B9E-3846-44A4-BFD9-EC7113364ABD}" srcId="{7F8612A2-0217-4C28-85A6-63AED5561BFF}" destId="{7720C4E8-8227-4B40-86BE-A94F82D26F7D}" srcOrd="1" destOrd="0" parTransId="{417A5239-6D99-4691-BA5B-A270860CD84A}" sibTransId="{CE2BF6EC-8619-4A2C-AE86-1C66BE1E98CF}"/>
    <dgm:cxn modelId="{FD8A0944-F717-4C9F-8075-CE6ED827CC75}" type="presParOf" srcId="{256ABDD9-D660-473E-8FEF-7F83B553675C}" destId="{8D3C08E9-350B-4746-86BF-D8F600868452}" srcOrd="0" destOrd="0" presId="urn:microsoft.com/office/officeart/2005/8/layout/process4"/>
    <dgm:cxn modelId="{DC265950-8C0E-43F7-98F8-E51B5252C9F3}" type="presParOf" srcId="{8D3C08E9-350B-4746-86BF-D8F600868452}" destId="{83C6751B-3D94-42FB-BD69-9A11F5FF6579}" srcOrd="0" destOrd="0" presId="urn:microsoft.com/office/officeart/2005/8/layout/process4"/>
    <dgm:cxn modelId="{64DC14F0-5A4E-4D27-8B77-692FABF2D348}" type="presParOf" srcId="{8D3C08E9-350B-4746-86BF-D8F600868452}" destId="{0359A990-D324-44DE-AAC1-D8355ECC6FC2}" srcOrd="1" destOrd="0" presId="urn:microsoft.com/office/officeart/2005/8/layout/process4"/>
    <dgm:cxn modelId="{B4C25E41-5F30-4C83-9C0F-3514646A7218}" type="presParOf" srcId="{8D3C08E9-350B-4746-86BF-D8F600868452}" destId="{CF06DA5B-97AA-4EE1-A5E0-DC148090DF46}" srcOrd="2" destOrd="0" presId="urn:microsoft.com/office/officeart/2005/8/layout/process4"/>
    <dgm:cxn modelId="{78DD9D12-E4BA-40C7-8100-1DDAA956043C}" type="presParOf" srcId="{CF06DA5B-97AA-4EE1-A5E0-DC148090DF46}" destId="{750B1231-E3FA-4C62-BA59-EDE60C42E921}" srcOrd="0" destOrd="0" presId="urn:microsoft.com/office/officeart/2005/8/layout/process4"/>
    <dgm:cxn modelId="{667496CF-1C61-4401-8271-E001D22B3837}" type="presParOf" srcId="{256ABDD9-D660-473E-8FEF-7F83B553675C}" destId="{74B1481A-2A23-48C8-BA5F-A554E5D8AE33}" srcOrd="1" destOrd="0" presId="urn:microsoft.com/office/officeart/2005/8/layout/process4"/>
    <dgm:cxn modelId="{D74918CA-740A-4CE1-AB95-E38561F9BE42}" type="presParOf" srcId="{256ABDD9-D660-473E-8FEF-7F83B553675C}" destId="{B12D2C86-46BE-48AC-B25F-B790FC7EBD94}" srcOrd="2" destOrd="0" presId="urn:microsoft.com/office/officeart/2005/8/layout/process4"/>
    <dgm:cxn modelId="{EAED252E-F194-4638-BB5A-D86002CD1144}" type="presParOf" srcId="{B12D2C86-46BE-48AC-B25F-B790FC7EBD94}" destId="{9E508069-1D06-486B-99E2-C37029692E16}" srcOrd="0" destOrd="0" presId="urn:microsoft.com/office/officeart/2005/8/layout/process4"/>
    <dgm:cxn modelId="{F7AE29A2-C74A-4A97-887A-C6599F430536}" type="presParOf" srcId="{B12D2C86-46BE-48AC-B25F-B790FC7EBD94}" destId="{9FC4B804-5F3C-4108-A2D0-EB66E561ED72}" srcOrd="1" destOrd="0" presId="urn:microsoft.com/office/officeart/2005/8/layout/process4"/>
    <dgm:cxn modelId="{4BD839F9-1A40-4B6F-8693-07925437C777}" type="presParOf" srcId="{B12D2C86-46BE-48AC-B25F-B790FC7EBD94}" destId="{F71FA166-D5BB-4545-956E-CE803FF06ED6}" srcOrd="2" destOrd="0" presId="urn:microsoft.com/office/officeart/2005/8/layout/process4"/>
    <dgm:cxn modelId="{32A6C507-404E-4290-A161-2AE44045C400}" type="presParOf" srcId="{F71FA166-D5BB-4545-956E-CE803FF06ED6}" destId="{39DBB761-3F1F-4A46-863B-09DE4353CEA6}" srcOrd="0" destOrd="0" presId="urn:microsoft.com/office/officeart/2005/8/layout/process4"/>
    <dgm:cxn modelId="{B39EA387-C51B-4A3D-8398-949B4FB006C1}" type="presParOf" srcId="{F71FA166-D5BB-4545-956E-CE803FF06ED6}" destId="{4D4F999B-03A1-4964-82F1-0EBD32100377}" srcOrd="1" destOrd="0" presId="urn:microsoft.com/office/officeart/2005/8/layout/process4"/>
    <dgm:cxn modelId="{8BF97532-3C3F-42C6-902C-B3F11934510C}" type="presParOf" srcId="{256ABDD9-D660-473E-8FEF-7F83B553675C}" destId="{5C470629-82AE-4B63-A220-FAFC7C6B67C3}" srcOrd="3" destOrd="0" presId="urn:microsoft.com/office/officeart/2005/8/layout/process4"/>
    <dgm:cxn modelId="{32B1F31A-3E6D-42F6-9F17-5E72E4ED33DB}" type="presParOf" srcId="{256ABDD9-D660-473E-8FEF-7F83B553675C}" destId="{B9A5B20A-8372-4571-9228-D37CB657C49B}" srcOrd="4" destOrd="0" presId="urn:microsoft.com/office/officeart/2005/8/layout/process4"/>
    <dgm:cxn modelId="{A2053028-44C9-453E-AF9F-E0231C5D4B5C}" type="presParOf" srcId="{B9A5B20A-8372-4571-9228-D37CB657C49B}" destId="{5F371C93-3441-4A55-B5E2-191C983B7E08}" srcOrd="0" destOrd="0" presId="urn:microsoft.com/office/officeart/2005/8/layout/process4"/>
    <dgm:cxn modelId="{EE29262F-A7F9-4E52-B279-C64C91827CB3}" type="presParOf" srcId="{B9A5B20A-8372-4571-9228-D37CB657C49B}" destId="{15A20E17-C70F-42E7-A165-E1C923F02F5D}" srcOrd="1" destOrd="0" presId="urn:microsoft.com/office/officeart/2005/8/layout/process4"/>
    <dgm:cxn modelId="{60867E79-9D14-43AE-8C6E-952094D95F00}" type="presParOf" srcId="{B9A5B20A-8372-4571-9228-D37CB657C49B}" destId="{FC80FE6C-6D14-4817-A23D-06C239D69CDE}" srcOrd="2" destOrd="0" presId="urn:microsoft.com/office/officeart/2005/8/layout/process4"/>
    <dgm:cxn modelId="{BE420BE4-3C89-472C-977F-53F1606ADDE1}" type="presParOf" srcId="{FC80FE6C-6D14-4817-A23D-06C239D69CDE}" destId="{ACBA2889-4196-4908-BD48-4E85A9618CF3}" srcOrd="0" destOrd="0" presId="urn:microsoft.com/office/officeart/2005/8/layout/process4"/>
    <dgm:cxn modelId="{652C0783-C4B7-4F3B-8DEB-9567237AE6C2}" type="presParOf" srcId="{FC80FE6C-6D14-4817-A23D-06C239D69CDE}" destId="{704B6CEA-3CCA-4D17-AF1A-093D2600C174}" srcOrd="1" destOrd="0" presId="urn:microsoft.com/office/officeart/2005/8/layout/process4"/>
    <dgm:cxn modelId="{65815A52-8FA6-4BA3-81AD-C45E17762246}" type="presParOf" srcId="{256ABDD9-D660-473E-8FEF-7F83B553675C}" destId="{552DC790-CF86-41E8-964D-4E9C21697B4A}" srcOrd="5" destOrd="0" presId="urn:microsoft.com/office/officeart/2005/8/layout/process4"/>
    <dgm:cxn modelId="{987046EC-A3BE-4FDB-8E09-71E6D7129B79}" type="presParOf" srcId="{256ABDD9-D660-473E-8FEF-7F83B553675C}" destId="{F4E20CF1-338A-428B-9F61-5FDA94253E91}" srcOrd="6" destOrd="0" presId="urn:microsoft.com/office/officeart/2005/8/layout/process4"/>
    <dgm:cxn modelId="{811D3813-9840-4BD6-9EB0-CBAD881857C0}" type="presParOf" srcId="{F4E20CF1-338A-428B-9F61-5FDA94253E91}" destId="{78256F63-290E-430F-A2C1-141C1838AE73}" srcOrd="0" destOrd="0" presId="urn:microsoft.com/office/officeart/2005/8/layout/process4"/>
    <dgm:cxn modelId="{69B85046-6EAD-4912-B0A1-FD3F53B0E201}" type="presParOf" srcId="{F4E20CF1-338A-428B-9F61-5FDA94253E91}" destId="{1A481332-A3DB-4F89-B272-65B3BE559FF9}" srcOrd="1" destOrd="0" presId="urn:microsoft.com/office/officeart/2005/8/layout/process4"/>
    <dgm:cxn modelId="{208D329E-3645-446B-B454-8D9B03B16B84}" type="presParOf" srcId="{F4E20CF1-338A-428B-9F61-5FDA94253E91}" destId="{E9109CB6-C0C6-4591-8444-7DD252EB67E9}" srcOrd="2" destOrd="0" presId="urn:microsoft.com/office/officeart/2005/8/layout/process4"/>
    <dgm:cxn modelId="{54D641D5-57B8-40AA-B672-BD4A18840EC6}" type="presParOf" srcId="{E9109CB6-C0C6-4591-8444-7DD252EB67E9}" destId="{EB4CA1F5-8B1F-4CB4-B295-850FC5A89C92}" srcOrd="0" destOrd="0" presId="urn:microsoft.com/office/officeart/2005/8/layout/process4"/>
    <dgm:cxn modelId="{01C25DF2-FCCF-4ED0-9F06-615199E70F59}" type="presParOf" srcId="{E9109CB6-C0C6-4591-8444-7DD252EB67E9}" destId="{5621F436-D218-4ADE-B84D-75A98AC25933}" srcOrd="1" destOrd="0" presId="urn:microsoft.com/office/officeart/2005/8/layout/process4"/>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A00545-41F7-4593-9372-45326E2DDCEE}">
      <dsp:nvSpPr>
        <dsp:cNvPr id="0" name=""/>
        <dsp:cNvSpPr/>
      </dsp:nvSpPr>
      <dsp:spPr>
        <a:xfrm>
          <a:off x="228221" y="100941"/>
          <a:ext cx="5624317" cy="818816"/>
        </a:xfrm>
        <a:prstGeom prst="rightArrow">
          <a:avLst>
            <a:gd name="adj1" fmla="val 50000"/>
            <a:gd name="adj2" fmla="val 5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29987" numCol="1" spcCol="1270" anchor="ctr" anchorCtr="0">
          <a:noAutofit/>
        </a:bodyPr>
        <a:lstStyle/>
        <a:p>
          <a:pPr lvl="0" algn="l" defTabSz="533400">
            <a:lnSpc>
              <a:spcPct val="90000"/>
            </a:lnSpc>
            <a:spcBef>
              <a:spcPct val="0"/>
            </a:spcBef>
            <a:spcAft>
              <a:spcPct val="35000"/>
            </a:spcAft>
          </a:pPr>
          <a:r>
            <a:rPr lang="ru-RU" sz="1200" b="1" kern="1200">
              <a:latin typeface="Calibri Light" panose="020F0302020204030204"/>
              <a:ea typeface="+mn-ea"/>
              <a:cs typeface="+mn-cs"/>
            </a:rPr>
            <a:t>МТСЗ</a:t>
          </a:r>
          <a:endParaRPr lang="ro-RO" sz="1200" kern="1200">
            <a:latin typeface="Calibri Light" panose="020F0302020204030204"/>
            <a:ea typeface="+mn-ea"/>
            <a:cs typeface="+mn-cs"/>
          </a:endParaRPr>
        </a:p>
      </dsp:txBody>
      <dsp:txXfrm>
        <a:off x="228221" y="305645"/>
        <a:ext cx="5419613" cy="409408"/>
      </dsp:txXfrm>
    </dsp:sp>
    <dsp:sp modelId="{B01A5F28-BAAF-4886-8469-DA6D3574A2D3}">
      <dsp:nvSpPr>
        <dsp:cNvPr id="0" name=""/>
        <dsp:cNvSpPr/>
      </dsp:nvSpPr>
      <dsp:spPr>
        <a:xfrm>
          <a:off x="243207" y="686547"/>
          <a:ext cx="1296405" cy="934439"/>
        </a:xfrm>
        <a:prstGeom prst="rect">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ru-RU" sz="1200" kern="1200">
              <a:latin typeface="Calibri Light" panose="020F0302020204030204"/>
              <a:ea typeface="+mn-ea"/>
              <a:cs typeface="+mn-cs"/>
            </a:rPr>
            <a:t>обеспечивает разработку политик и мониторинг их реализации</a:t>
          </a:r>
          <a:endParaRPr lang="en-US" sz="1200" kern="1200"/>
        </a:p>
      </dsp:txBody>
      <dsp:txXfrm>
        <a:off x="243207" y="686547"/>
        <a:ext cx="1296405" cy="934439"/>
      </dsp:txXfrm>
    </dsp:sp>
    <dsp:sp modelId="{20622221-4A46-4D0F-8E2D-57BE92B782F5}">
      <dsp:nvSpPr>
        <dsp:cNvPr id="0" name=""/>
        <dsp:cNvSpPr/>
      </dsp:nvSpPr>
      <dsp:spPr>
        <a:xfrm>
          <a:off x="1524626" y="373783"/>
          <a:ext cx="4327912" cy="818816"/>
        </a:xfrm>
        <a:prstGeom prst="rightArrow">
          <a:avLst>
            <a:gd name="adj1" fmla="val 50000"/>
            <a:gd name="adj2" fmla="val 5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29987" numCol="1" spcCol="1270" anchor="ctr" anchorCtr="0">
          <a:noAutofit/>
        </a:bodyPr>
        <a:lstStyle/>
        <a:p>
          <a:pPr lvl="0" algn="l" defTabSz="533400">
            <a:lnSpc>
              <a:spcPct val="90000"/>
            </a:lnSpc>
            <a:spcBef>
              <a:spcPct val="0"/>
            </a:spcBef>
            <a:spcAft>
              <a:spcPct val="35000"/>
            </a:spcAft>
          </a:pPr>
          <a:r>
            <a:rPr lang="ru-RU" sz="1200" b="1" kern="1200">
              <a:latin typeface="Calibri Light" panose="020F0302020204030204"/>
              <a:ea typeface="+mn-ea"/>
              <a:cs typeface="+mn-cs"/>
            </a:rPr>
            <a:t>Территориальные структуры социальной помощи</a:t>
          </a:r>
          <a:endParaRPr lang="en-US" sz="1200" b="1" kern="1200">
            <a:latin typeface="Calibri Light" panose="020F0302020204030204"/>
            <a:ea typeface="+mn-ea"/>
            <a:cs typeface="+mn-cs"/>
          </a:endParaRPr>
        </a:p>
      </dsp:txBody>
      <dsp:txXfrm>
        <a:off x="1524626" y="578487"/>
        <a:ext cx="4123208" cy="409408"/>
      </dsp:txXfrm>
    </dsp:sp>
    <dsp:sp modelId="{9FF0DBFA-0EDC-42E4-A280-9AAF68D27AC9}">
      <dsp:nvSpPr>
        <dsp:cNvPr id="0" name=""/>
        <dsp:cNvSpPr/>
      </dsp:nvSpPr>
      <dsp:spPr>
        <a:xfrm>
          <a:off x="1554599" y="873236"/>
          <a:ext cx="1296405" cy="1262977"/>
        </a:xfrm>
        <a:prstGeom prst="rect">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ru-RU" sz="1200" kern="1200">
              <a:latin typeface="+mj-lt"/>
            </a:rPr>
            <a:t>предоставляет </a:t>
          </a:r>
          <a:r>
            <a:rPr lang="ro-MD" sz="1200" kern="1200">
              <a:latin typeface="+mj-lt"/>
            </a:rPr>
            <a:t>право на социальное пособие и/или пособие на холодный период года</a:t>
          </a:r>
          <a:endParaRPr lang="en-US" sz="1200" kern="1200">
            <a:latin typeface="+mj-lt"/>
          </a:endParaRPr>
        </a:p>
      </dsp:txBody>
      <dsp:txXfrm>
        <a:off x="1554599" y="873236"/>
        <a:ext cx="1296405" cy="1262977"/>
      </dsp:txXfrm>
    </dsp:sp>
    <dsp:sp modelId="{FCB46132-532E-40FA-AF02-AB4574354C3F}">
      <dsp:nvSpPr>
        <dsp:cNvPr id="0" name=""/>
        <dsp:cNvSpPr/>
      </dsp:nvSpPr>
      <dsp:spPr>
        <a:xfrm>
          <a:off x="2821031" y="646625"/>
          <a:ext cx="3031507" cy="818816"/>
        </a:xfrm>
        <a:prstGeom prst="rightArrow">
          <a:avLst>
            <a:gd name="adj1" fmla="val 50000"/>
            <a:gd name="adj2" fmla="val 5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29987" numCol="1" spcCol="1270" anchor="ctr" anchorCtr="0">
          <a:noAutofit/>
        </a:bodyPr>
        <a:lstStyle/>
        <a:p>
          <a:pPr lvl="0" algn="ctr" defTabSz="533400">
            <a:lnSpc>
              <a:spcPct val="90000"/>
            </a:lnSpc>
            <a:spcBef>
              <a:spcPct val="0"/>
            </a:spcBef>
            <a:spcAft>
              <a:spcPct val="35000"/>
            </a:spcAft>
          </a:pPr>
          <a:r>
            <a:rPr lang="ru-RU" sz="1200" b="1" kern="1200">
              <a:latin typeface="Calibri Light" panose="020F0302020204030204"/>
              <a:ea typeface="+mn-ea"/>
              <a:cs typeface="+mn-cs"/>
            </a:rPr>
            <a:t>НКСС</a:t>
          </a:r>
          <a:endParaRPr lang="ro-MD" sz="1200" b="1" kern="1200">
            <a:latin typeface="Calibri Light" panose="020F0302020204030204"/>
            <a:ea typeface="+mn-ea"/>
            <a:cs typeface="+mn-cs"/>
          </a:endParaRPr>
        </a:p>
      </dsp:txBody>
      <dsp:txXfrm>
        <a:off x="2821031" y="851329"/>
        <a:ext cx="2826803" cy="409408"/>
      </dsp:txXfrm>
    </dsp:sp>
    <dsp:sp modelId="{C8EF9322-541C-410C-964E-34A511D87D5F}">
      <dsp:nvSpPr>
        <dsp:cNvPr id="0" name=""/>
        <dsp:cNvSpPr/>
      </dsp:nvSpPr>
      <dsp:spPr>
        <a:xfrm>
          <a:off x="2843511" y="1251341"/>
          <a:ext cx="1296405" cy="1107312"/>
        </a:xfrm>
        <a:prstGeom prst="rect">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endParaRPr lang="ro-RO" sz="1200" kern="1200">
            <a:latin typeface="Calibri Light" panose="020F0302020204030204"/>
            <a:ea typeface="+mn-ea"/>
            <a:cs typeface="+mn-cs"/>
          </a:endParaRPr>
        </a:p>
        <a:p>
          <a:pPr lvl="0" algn="ctr" defTabSz="533400">
            <a:lnSpc>
              <a:spcPct val="90000"/>
            </a:lnSpc>
            <a:spcBef>
              <a:spcPct val="0"/>
            </a:spcBef>
            <a:spcAft>
              <a:spcPct val="35000"/>
            </a:spcAft>
          </a:pPr>
          <a:r>
            <a:rPr lang="ru-RU" sz="1200" kern="1200">
              <a:latin typeface="Calibri Light" panose="020F0302020204030204"/>
              <a:ea typeface="+mn-ea"/>
              <a:cs typeface="+mn-cs"/>
            </a:rPr>
            <a:t>обеспечивает выплату через </a:t>
          </a:r>
          <a:r>
            <a:rPr lang="en-US" sz="1200" kern="1200">
              <a:latin typeface="Calibri Light" panose="020F0302020204030204"/>
              <a:ea typeface="+mn-ea"/>
              <a:cs typeface="+mn-cs"/>
            </a:rPr>
            <a:t>MPay</a:t>
          </a:r>
          <a:endParaRPr lang="en-US" sz="1200" kern="1200"/>
        </a:p>
      </dsp:txBody>
      <dsp:txXfrm>
        <a:off x="2843511" y="1251341"/>
        <a:ext cx="1296405" cy="1107312"/>
      </dsp:txXfrm>
    </dsp:sp>
    <dsp:sp modelId="{B301ACB3-4791-4AC6-9E50-119E7BFF2A2C}">
      <dsp:nvSpPr>
        <dsp:cNvPr id="0" name=""/>
        <dsp:cNvSpPr/>
      </dsp:nvSpPr>
      <dsp:spPr>
        <a:xfrm>
          <a:off x="4117436" y="919467"/>
          <a:ext cx="1735101" cy="818816"/>
        </a:xfrm>
        <a:prstGeom prst="rightArrow">
          <a:avLst>
            <a:gd name="adj1" fmla="val 50000"/>
            <a:gd name="adj2" fmla="val 5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29987" numCol="1" spcCol="1270" anchor="ctr" anchorCtr="0">
          <a:noAutofit/>
        </a:bodyPr>
        <a:lstStyle/>
        <a:p>
          <a:pPr lvl="0" algn="ctr" defTabSz="533400">
            <a:lnSpc>
              <a:spcPct val="90000"/>
            </a:lnSpc>
            <a:spcBef>
              <a:spcPct val="0"/>
            </a:spcBef>
            <a:spcAft>
              <a:spcPct val="35000"/>
            </a:spcAft>
          </a:pPr>
          <a:r>
            <a:rPr lang="ru-RU" sz="1200" b="1" kern="1200">
              <a:latin typeface="Calibri Light" panose="020F0302020204030204"/>
              <a:ea typeface="+mn-ea"/>
              <a:cs typeface="+mn-cs"/>
            </a:rPr>
            <a:t>Социальная инспекция</a:t>
          </a:r>
          <a:endParaRPr lang="ro-MD" sz="1200" b="1" kern="1200">
            <a:latin typeface="Calibri Light" panose="020F0302020204030204"/>
            <a:ea typeface="+mn-ea"/>
            <a:cs typeface="+mn-cs"/>
          </a:endParaRPr>
        </a:p>
      </dsp:txBody>
      <dsp:txXfrm>
        <a:off x="4117436" y="1124171"/>
        <a:ext cx="1530397" cy="409408"/>
      </dsp:txXfrm>
    </dsp:sp>
    <dsp:sp modelId="{637361B5-CC21-4B82-98D0-41254F571A0C}">
      <dsp:nvSpPr>
        <dsp:cNvPr id="0" name=""/>
        <dsp:cNvSpPr/>
      </dsp:nvSpPr>
      <dsp:spPr>
        <a:xfrm>
          <a:off x="4139925" y="1484380"/>
          <a:ext cx="1308216" cy="1204353"/>
        </a:xfrm>
        <a:prstGeom prst="rect">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ru-RU" sz="1200" kern="1200">
              <a:latin typeface="Calibri Light" panose="020F0302020204030204"/>
              <a:ea typeface="+mn-ea"/>
              <a:cs typeface="+mn-cs"/>
            </a:rPr>
            <a:t>осуществляет </a:t>
          </a:r>
          <a:r>
            <a:rPr lang="ro-MD" sz="1200" kern="1200">
              <a:latin typeface="+mj-lt"/>
            </a:rPr>
            <a:t>проверк</a:t>
          </a:r>
          <a:r>
            <a:rPr lang="ru-RU" sz="1200" kern="1200">
              <a:latin typeface="+mj-lt"/>
            </a:rPr>
            <a:t>у</a:t>
          </a:r>
          <a:r>
            <a:rPr lang="ro-MD" sz="1200" kern="1200">
              <a:latin typeface="+mj-lt"/>
            </a:rPr>
            <a:t> правильности и единообразия применения нормативной базы</a:t>
          </a:r>
          <a:endParaRPr lang="en-US" sz="1200" kern="1200">
            <a:latin typeface="+mj-lt"/>
          </a:endParaRPr>
        </a:p>
      </dsp:txBody>
      <dsp:txXfrm>
        <a:off x="4139925" y="1484380"/>
        <a:ext cx="1308216" cy="12043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8AF976-C5C1-434D-A731-F4D7CFA41E8D}">
      <dsp:nvSpPr>
        <dsp:cNvPr id="0" name=""/>
        <dsp:cNvSpPr/>
      </dsp:nvSpPr>
      <dsp:spPr>
        <a:xfrm>
          <a:off x="695" y="233042"/>
          <a:ext cx="1747751" cy="674632"/>
        </a:xfrm>
        <a:prstGeom prst="chevron">
          <a:avLst>
            <a:gd name="adj" fmla="val 40000"/>
          </a:avLst>
        </a:prstGeom>
        <a:solidFill>
          <a:schemeClr val="accent3">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B6DC6D2-0371-4F8F-AED4-66B576637885}">
      <dsp:nvSpPr>
        <dsp:cNvPr id="0" name=""/>
        <dsp:cNvSpPr/>
      </dsp:nvSpPr>
      <dsp:spPr>
        <a:xfrm>
          <a:off x="466762" y="354715"/>
          <a:ext cx="1475879" cy="768601"/>
        </a:xfrm>
        <a:prstGeom prst="roundRect">
          <a:avLst>
            <a:gd name="adj" fmla="val 10000"/>
          </a:avLst>
        </a:prstGeom>
        <a:solidFill>
          <a:schemeClr val="lt1">
            <a:alpha val="9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kern="1200">
              <a:latin typeface="+mj-lt"/>
              <a:cs typeface="Times New Roman" panose="02020603050405020304" pitchFamily="18" charset="0"/>
            </a:rPr>
            <a:t>Агентство публичных услуг</a:t>
          </a:r>
          <a:r>
            <a:rPr lang="ro-MD" sz="1200" b="1" kern="1200">
              <a:latin typeface="+mj-lt"/>
              <a:cs typeface="Times New Roman" panose="02020603050405020304" pitchFamily="18" charset="0"/>
            </a:rPr>
            <a:t> </a:t>
          </a:r>
        </a:p>
        <a:p>
          <a:pPr lvl="0" algn="ctr" defTabSz="533400">
            <a:lnSpc>
              <a:spcPct val="90000"/>
            </a:lnSpc>
            <a:spcBef>
              <a:spcPct val="0"/>
            </a:spcBef>
            <a:spcAft>
              <a:spcPct val="35000"/>
            </a:spcAft>
          </a:pPr>
          <a:r>
            <a:rPr lang="ru-RU" sz="1200" b="1" kern="1200">
              <a:latin typeface="+mj-lt"/>
              <a:cs typeface="Times New Roman" panose="02020603050405020304" pitchFamily="18" charset="0"/>
            </a:rPr>
            <a:t>Государственный регистр населения</a:t>
          </a:r>
          <a:endParaRPr lang="en-US" sz="1200" b="1" kern="1200">
            <a:latin typeface="+mj-lt"/>
            <a:cs typeface="Times New Roman" panose="02020603050405020304" pitchFamily="18" charset="0"/>
          </a:endParaRPr>
        </a:p>
      </dsp:txBody>
      <dsp:txXfrm>
        <a:off x="489274" y="377227"/>
        <a:ext cx="1430855" cy="723577"/>
      </dsp:txXfrm>
    </dsp:sp>
    <dsp:sp modelId="{FBDC80B0-9ACB-426C-AC95-C09845C7C3CA}">
      <dsp:nvSpPr>
        <dsp:cNvPr id="0" name=""/>
        <dsp:cNvSpPr/>
      </dsp:nvSpPr>
      <dsp:spPr>
        <a:xfrm>
          <a:off x="1997016" y="256534"/>
          <a:ext cx="1747751" cy="674632"/>
        </a:xfrm>
        <a:prstGeom prst="chevron">
          <a:avLst>
            <a:gd name="adj" fmla="val 40000"/>
          </a:avLst>
        </a:prstGeom>
        <a:solidFill>
          <a:schemeClr val="accent3">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8F2EE3-2BDA-4CD8-B480-13C6FE39E335}">
      <dsp:nvSpPr>
        <dsp:cNvPr id="0" name=""/>
        <dsp:cNvSpPr/>
      </dsp:nvSpPr>
      <dsp:spPr>
        <a:xfrm>
          <a:off x="2463083" y="425192"/>
          <a:ext cx="1475879" cy="674632"/>
        </a:xfrm>
        <a:prstGeom prst="roundRect">
          <a:avLst>
            <a:gd name="adj" fmla="val 10000"/>
          </a:avLst>
        </a:prstGeom>
        <a:solidFill>
          <a:schemeClr val="lt1">
            <a:alpha val="90000"/>
            <a:hueOff val="0"/>
            <a:satOff val="0"/>
            <a:lumOff val="0"/>
            <a:alphaOff val="0"/>
          </a:schemeClr>
        </a:solidFill>
        <a:ln w="12700" cap="flat" cmpd="sng" algn="ctr">
          <a:solidFill>
            <a:schemeClr val="accent3">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u="none" kern="1200">
              <a:latin typeface="+mj-lt"/>
              <a:cs typeface="Times New Roman" panose="02020603050405020304" pitchFamily="18" charset="0"/>
            </a:rPr>
            <a:t>Агентство электронного управления</a:t>
          </a:r>
          <a:endParaRPr lang="en-US" sz="1200" b="1" u="none" kern="1200">
            <a:latin typeface="+mj-lt"/>
            <a:cs typeface="Times New Roman" panose="02020603050405020304" pitchFamily="18" charset="0"/>
          </a:endParaRPr>
        </a:p>
      </dsp:txBody>
      <dsp:txXfrm>
        <a:off x="2482842" y="444951"/>
        <a:ext cx="1436361" cy="635114"/>
      </dsp:txXfrm>
    </dsp:sp>
    <dsp:sp modelId="{80810472-4F83-4D51-9B5A-673B9DC77DBB}">
      <dsp:nvSpPr>
        <dsp:cNvPr id="0" name=""/>
        <dsp:cNvSpPr/>
      </dsp:nvSpPr>
      <dsp:spPr>
        <a:xfrm>
          <a:off x="3993337" y="256534"/>
          <a:ext cx="1747751" cy="674632"/>
        </a:xfrm>
        <a:prstGeom prst="chevron">
          <a:avLst>
            <a:gd name="adj" fmla="val 40000"/>
          </a:avLst>
        </a:prstGeom>
        <a:solidFill>
          <a:schemeClr val="accent3">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291C61-22B2-4116-A94D-F59DD858624D}">
      <dsp:nvSpPr>
        <dsp:cNvPr id="0" name=""/>
        <dsp:cNvSpPr/>
      </dsp:nvSpPr>
      <dsp:spPr>
        <a:xfrm>
          <a:off x="4459404" y="425192"/>
          <a:ext cx="1475879" cy="674632"/>
        </a:xfrm>
        <a:prstGeom prst="roundRect">
          <a:avLst>
            <a:gd name="adj" fmla="val 10000"/>
          </a:avLst>
        </a:prstGeom>
        <a:solidFill>
          <a:schemeClr val="lt1">
            <a:alpha val="90000"/>
            <a:hueOff val="0"/>
            <a:satOff val="0"/>
            <a:lumOff val="0"/>
            <a:alphaOff val="0"/>
          </a:schemeClr>
        </a:solidFill>
        <a:ln w="12700" cap="flat" cmpd="sng" algn="ctr">
          <a:solidFill>
            <a:schemeClr val="accent3">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u="none" kern="1200">
              <a:latin typeface="+mj-lt"/>
              <a:cs typeface="Times New Roman" panose="02020603050405020304" pitchFamily="18" charset="0"/>
            </a:rPr>
            <a:t>Национальная касса социального страхования</a:t>
          </a:r>
          <a:endParaRPr lang="en-US" sz="1200" b="1" u="none" kern="1200">
            <a:latin typeface="+mj-lt"/>
            <a:cs typeface="Times New Roman" panose="02020603050405020304" pitchFamily="18" charset="0"/>
          </a:endParaRPr>
        </a:p>
      </dsp:txBody>
      <dsp:txXfrm>
        <a:off x="4479163" y="444951"/>
        <a:ext cx="1436361" cy="6351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2A80C9-E4DC-4209-B59E-E3776A534615}">
      <dsp:nvSpPr>
        <dsp:cNvPr id="0" name=""/>
        <dsp:cNvSpPr/>
      </dsp:nvSpPr>
      <dsp:spPr>
        <a:xfrm rot="5400000">
          <a:off x="4322827" y="-1888351"/>
          <a:ext cx="370328" cy="424281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ru-RU" sz="800" b="0" i="0" kern="1200">
              <a:latin typeface="+mj-lt"/>
            </a:rPr>
            <a:t>разрабатывает и утверждает бланк заявления на получение пособия из государственного бюджета, предоставляемого в соответствии </a:t>
          </a:r>
          <a:r>
            <a:rPr lang="ru-RU" sz="800" b="0" i="0" kern="1200"/>
            <a:t>с </a:t>
          </a:r>
          <a:r>
            <a:rPr lang="ru-RU" sz="800" b="0" i="0" kern="1200">
              <a:latin typeface="+mj-lt"/>
            </a:rPr>
            <a:t>положениями</a:t>
          </a:r>
          <a:endParaRPr lang="en-US" sz="800" kern="1200">
            <a:latin typeface="+mj-lt"/>
          </a:endParaRPr>
        </a:p>
      </dsp:txBody>
      <dsp:txXfrm rot="-5400000">
        <a:off x="2386583" y="65971"/>
        <a:ext cx="4224738" cy="334172"/>
      </dsp:txXfrm>
    </dsp:sp>
    <dsp:sp modelId="{4DDC3D5A-88CD-4F47-B80F-45665784F74D}">
      <dsp:nvSpPr>
        <dsp:cNvPr id="0" name=""/>
        <dsp:cNvSpPr/>
      </dsp:nvSpPr>
      <dsp:spPr>
        <a:xfrm>
          <a:off x="0" y="1601"/>
          <a:ext cx="2386584" cy="46291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ru-RU" sz="1300" b="1" kern="1200">
              <a:latin typeface="+mj-lt"/>
            </a:rPr>
            <a:t>Министерство труда и социальной защиты</a:t>
          </a:r>
          <a:endParaRPr lang="en-US" sz="1300" b="1" kern="1200">
            <a:latin typeface="+mj-lt"/>
          </a:endParaRPr>
        </a:p>
      </dsp:txBody>
      <dsp:txXfrm>
        <a:off x="22597" y="24198"/>
        <a:ext cx="2341390" cy="417716"/>
      </dsp:txXfrm>
    </dsp:sp>
    <dsp:sp modelId="{4F76F6C9-33E4-41AC-BC08-5629980E5FC6}">
      <dsp:nvSpPr>
        <dsp:cNvPr id="0" name=""/>
        <dsp:cNvSpPr/>
      </dsp:nvSpPr>
      <dsp:spPr>
        <a:xfrm rot="5400000">
          <a:off x="4322827" y="-1402295"/>
          <a:ext cx="370328" cy="424281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ru-RU" sz="800" b="0" i="0" kern="1200">
              <a:latin typeface="+mj-lt"/>
            </a:rPr>
            <a:t>разрабатывает предусмотренный бланк, который будет доступен через единое окно сдачи электронной отчетности</a:t>
          </a:r>
          <a:endParaRPr lang="en-US" sz="800" kern="1200">
            <a:latin typeface="+mj-lt"/>
          </a:endParaRPr>
        </a:p>
      </dsp:txBody>
      <dsp:txXfrm rot="-5400000">
        <a:off x="2386583" y="552027"/>
        <a:ext cx="4224738" cy="334172"/>
      </dsp:txXfrm>
    </dsp:sp>
    <dsp:sp modelId="{B2F5DD24-B12E-4B5D-A84A-45F9256AFFB8}">
      <dsp:nvSpPr>
        <dsp:cNvPr id="0" name=""/>
        <dsp:cNvSpPr/>
      </dsp:nvSpPr>
      <dsp:spPr>
        <a:xfrm>
          <a:off x="0" y="487657"/>
          <a:ext cx="2386584" cy="46291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ru-RU" sz="1300" b="1" kern="1200">
              <a:latin typeface="+mj-lt"/>
            </a:rPr>
            <a:t>Центр информационных технологий в финансах</a:t>
          </a:r>
          <a:endParaRPr lang="en-US" sz="1300" b="1" kern="1200">
            <a:latin typeface="+mj-lt"/>
          </a:endParaRPr>
        </a:p>
      </dsp:txBody>
      <dsp:txXfrm>
        <a:off x="22597" y="510254"/>
        <a:ext cx="2341390" cy="417716"/>
      </dsp:txXfrm>
    </dsp:sp>
    <dsp:sp modelId="{77408A1E-EF96-415D-B0FC-7D3AE1405DEF}">
      <dsp:nvSpPr>
        <dsp:cNvPr id="0" name=""/>
        <dsp:cNvSpPr/>
      </dsp:nvSpPr>
      <dsp:spPr>
        <a:xfrm rot="5400000">
          <a:off x="4085262" y="-727296"/>
          <a:ext cx="836653" cy="4238672"/>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ru-RU" sz="800" b="0" i="0" kern="1200">
              <a:latin typeface="+mj-lt"/>
            </a:rPr>
            <a:t>обеспечивает в автоматизированном режиме предоставление данных из автоматизированной системы единого окна сдачи электронной отчетности  Национальной кассе социального страхования для осуществления выплаты пособия из государственного бюджета</a:t>
          </a:r>
          <a:endParaRPr lang="en-US" sz="800" kern="1200">
            <a:latin typeface="+mj-lt"/>
          </a:endParaRPr>
        </a:p>
        <a:p>
          <a:pPr marL="57150" lvl="1" indent="-57150" algn="just" defTabSz="355600">
            <a:lnSpc>
              <a:spcPct val="90000"/>
            </a:lnSpc>
            <a:spcBef>
              <a:spcPct val="0"/>
            </a:spcBef>
            <a:spcAft>
              <a:spcPct val="15000"/>
            </a:spcAft>
            <a:buChar char="••"/>
          </a:pPr>
          <a:r>
            <a:rPr lang="ru-RU" sz="800" b="0" i="0" kern="1200">
              <a:latin typeface="+mj-lt"/>
            </a:rPr>
            <a:t>взыскивает с работодателя или работника пособия, предоставленные без законных оснований или на основании недостоверных данных, указанных работодателем в заявлении или работником в декларации под свою ответственность, по заключению Государственной инспекции труда </a:t>
          </a:r>
          <a:endParaRPr lang="en-US" sz="800" kern="1200">
            <a:latin typeface="+mj-lt"/>
          </a:endParaRPr>
        </a:p>
      </dsp:txBody>
      <dsp:txXfrm rot="-5400000">
        <a:off x="2384253" y="1014555"/>
        <a:ext cx="4197830" cy="754969"/>
      </dsp:txXfrm>
    </dsp:sp>
    <dsp:sp modelId="{63128DFD-8B98-49C0-950D-EEC46220A3BF}">
      <dsp:nvSpPr>
        <dsp:cNvPr id="0" name=""/>
        <dsp:cNvSpPr/>
      </dsp:nvSpPr>
      <dsp:spPr>
        <a:xfrm>
          <a:off x="0" y="1036198"/>
          <a:ext cx="2384253" cy="71168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ru-RU" sz="1300" b="1" kern="1200">
              <a:latin typeface="+mj-lt"/>
            </a:rPr>
            <a:t>Государственная налоговая служба</a:t>
          </a:r>
          <a:endParaRPr lang="en-US" sz="1300" b="1" kern="1200">
            <a:latin typeface="+mj-lt"/>
          </a:endParaRPr>
        </a:p>
      </dsp:txBody>
      <dsp:txXfrm>
        <a:off x="34742" y="1070940"/>
        <a:ext cx="2314769" cy="642199"/>
      </dsp:txXfrm>
    </dsp:sp>
    <dsp:sp modelId="{5555D6DB-E4B2-49E2-9D50-543A897254E1}">
      <dsp:nvSpPr>
        <dsp:cNvPr id="0" name=""/>
        <dsp:cNvSpPr/>
      </dsp:nvSpPr>
      <dsp:spPr>
        <a:xfrm rot="5400000">
          <a:off x="4322827" y="-56440"/>
          <a:ext cx="370328" cy="424281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ru-RU" sz="800" b="0" i="0" kern="1200">
              <a:latin typeface="+mj-lt"/>
            </a:rPr>
            <a:t>планирует и перечисляет ежемесячно в установленном порядке финансовые средства Национальной кассе социального страхования для выплаты пособий в пределах средств, предусмотренных в государственном бюджете для этих целей</a:t>
          </a:r>
          <a:endParaRPr lang="en-US" sz="800" kern="1200">
            <a:latin typeface="+mj-lt"/>
          </a:endParaRPr>
        </a:p>
      </dsp:txBody>
      <dsp:txXfrm rot="-5400000">
        <a:off x="2386583" y="1897882"/>
        <a:ext cx="4224738" cy="334172"/>
      </dsp:txXfrm>
    </dsp:sp>
    <dsp:sp modelId="{85973676-02CB-40A4-864C-01EF05B59D04}">
      <dsp:nvSpPr>
        <dsp:cNvPr id="0" name=""/>
        <dsp:cNvSpPr/>
      </dsp:nvSpPr>
      <dsp:spPr>
        <a:xfrm>
          <a:off x="0" y="1833512"/>
          <a:ext cx="2386584" cy="46291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ru-RU" sz="1300" b="1" kern="1200">
              <a:latin typeface="+mj-lt"/>
            </a:rPr>
            <a:t>Министерство Финансов</a:t>
          </a:r>
          <a:endParaRPr lang="en-US" sz="1300" b="1" kern="1200">
            <a:latin typeface="+mj-lt"/>
          </a:endParaRPr>
        </a:p>
      </dsp:txBody>
      <dsp:txXfrm>
        <a:off x="22597" y="1856109"/>
        <a:ext cx="2341390" cy="417716"/>
      </dsp:txXfrm>
    </dsp:sp>
    <dsp:sp modelId="{EC45300A-71B2-436C-87A4-4DE48CFA93B3}">
      <dsp:nvSpPr>
        <dsp:cNvPr id="0" name=""/>
        <dsp:cNvSpPr/>
      </dsp:nvSpPr>
      <dsp:spPr>
        <a:xfrm rot="5400000">
          <a:off x="4322827" y="429615"/>
          <a:ext cx="370328" cy="424281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ru-RU" sz="800" b="0" i="0" kern="1200">
              <a:latin typeface="+mj-lt"/>
            </a:rPr>
            <a:t>предоставляет необходимую техническую поддержку для обеспечения взаимодействия информационных систем, участвующих в сборе, проверке и передаче заявления на предоставление пособия по технической безработице из государственного бюджета</a:t>
          </a:r>
          <a:endParaRPr lang="en-US" sz="800" kern="1200">
            <a:latin typeface="+mj-lt"/>
          </a:endParaRPr>
        </a:p>
      </dsp:txBody>
      <dsp:txXfrm rot="-5400000">
        <a:off x="2386583" y="2383937"/>
        <a:ext cx="4224738" cy="334172"/>
      </dsp:txXfrm>
    </dsp:sp>
    <dsp:sp modelId="{8F360256-2F91-4898-929F-E85295CD5F69}">
      <dsp:nvSpPr>
        <dsp:cNvPr id="0" name=""/>
        <dsp:cNvSpPr/>
      </dsp:nvSpPr>
      <dsp:spPr>
        <a:xfrm>
          <a:off x="0" y="2319568"/>
          <a:ext cx="2386584" cy="46291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ru-RU" sz="1300" b="1" kern="1200">
              <a:latin typeface="+mj-lt"/>
            </a:rPr>
            <a:t>Агентство электронного управления</a:t>
          </a:r>
          <a:endParaRPr lang="en-US" sz="1300" b="1" kern="1200">
            <a:latin typeface="+mj-lt"/>
          </a:endParaRPr>
        </a:p>
      </dsp:txBody>
      <dsp:txXfrm>
        <a:off x="22597" y="2342165"/>
        <a:ext cx="2341390" cy="417716"/>
      </dsp:txXfrm>
    </dsp:sp>
    <dsp:sp modelId="{5ED45ABF-6095-4ECA-B2C7-0A7EEB8922B3}">
      <dsp:nvSpPr>
        <dsp:cNvPr id="0" name=""/>
        <dsp:cNvSpPr/>
      </dsp:nvSpPr>
      <dsp:spPr>
        <a:xfrm rot="5400000">
          <a:off x="4322827" y="915671"/>
          <a:ext cx="370328" cy="424281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ru-RU" sz="800" b="0" i="0" kern="1200">
              <a:latin typeface="+mj-lt"/>
            </a:rPr>
            <a:t>обеспечивает учет выплаты пособий по технической безработице и отчитывается перед Министерством финансов о выплаченных пособиях</a:t>
          </a:r>
          <a:endParaRPr lang="en-US" sz="800" kern="1200">
            <a:latin typeface="+mj-lt"/>
          </a:endParaRPr>
        </a:p>
      </dsp:txBody>
      <dsp:txXfrm rot="-5400000">
        <a:off x="2386583" y="2869993"/>
        <a:ext cx="4224738" cy="334172"/>
      </dsp:txXfrm>
    </dsp:sp>
    <dsp:sp modelId="{5EA62AA1-2311-42F0-A5AD-7C1C8CFF50A1}">
      <dsp:nvSpPr>
        <dsp:cNvPr id="0" name=""/>
        <dsp:cNvSpPr/>
      </dsp:nvSpPr>
      <dsp:spPr>
        <a:xfrm>
          <a:off x="0" y="2805624"/>
          <a:ext cx="2386584" cy="46291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ru-RU" sz="1300" b="1" kern="1200">
              <a:latin typeface="+mj-lt"/>
            </a:rPr>
            <a:t>Национальная касса социального страхования</a:t>
          </a:r>
          <a:endParaRPr lang="en-US" sz="1300" b="1" kern="1200">
            <a:latin typeface="+mj-lt"/>
          </a:endParaRPr>
        </a:p>
      </dsp:txBody>
      <dsp:txXfrm>
        <a:off x="22597" y="2828221"/>
        <a:ext cx="2341390" cy="417716"/>
      </dsp:txXfrm>
    </dsp:sp>
    <dsp:sp modelId="{E045DC3C-9455-410D-BA03-10A8C8D8468C}">
      <dsp:nvSpPr>
        <dsp:cNvPr id="0" name=""/>
        <dsp:cNvSpPr/>
      </dsp:nvSpPr>
      <dsp:spPr>
        <a:xfrm rot="5400000">
          <a:off x="4251094" y="1431312"/>
          <a:ext cx="517937" cy="4238672"/>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ru-RU" sz="800" b="0" i="0" kern="1200">
              <a:latin typeface="+mj-lt"/>
            </a:rPr>
            <a:t>осуществляет контроль и установление корректности декларирования технической безработицы, размера основной заработной платы работников-получателей пособия по технической безработице, трудоустроенных на предприятии, запросившем пособие.</a:t>
          </a:r>
          <a:endParaRPr lang="en-US" sz="800" kern="1200">
            <a:latin typeface="+mj-lt"/>
          </a:endParaRPr>
        </a:p>
      </dsp:txBody>
      <dsp:txXfrm rot="-5400000">
        <a:off x="2390727" y="3316963"/>
        <a:ext cx="4213388" cy="467369"/>
      </dsp:txXfrm>
    </dsp:sp>
    <dsp:sp modelId="{84F3DFD5-75CD-437D-B70C-BF0A2F4E5DEE}">
      <dsp:nvSpPr>
        <dsp:cNvPr id="0" name=""/>
        <dsp:cNvSpPr/>
      </dsp:nvSpPr>
      <dsp:spPr>
        <a:xfrm>
          <a:off x="0" y="3319193"/>
          <a:ext cx="2384253" cy="46291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ru-RU" sz="1300" b="1" i="0" kern="1200">
              <a:latin typeface="+mj-lt"/>
            </a:rPr>
            <a:t>Государственная инспекция труда</a:t>
          </a:r>
          <a:endParaRPr lang="en-US" sz="1300" b="1" kern="1200">
            <a:latin typeface="+mj-lt"/>
          </a:endParaRPr>
        </a:p>
      </dsp:txBody>
      <dsp:txXfrm>
        <a:off x="22597" y="3341790"/>
        <a:ext cx="2339059" cy="4177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59A990-D324-44DE-AAC1-D8355ECC6FC2}">
      <dsp:nvSpPr>
        <dsp:cNvPr id="0" name=""/>
        <dsp:cNvSpPr/>
      </dsp:nvSpPr>
      <dsp:spPr>
        <a:xfrm>
          <a:off x="0" y="2639444"/>
          <a:ext cx="5861538" cy="57744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b="1" i="1" kern="1200">
              <a:latin typeface="Calibri Light" panose="020F0302020204030204"/>
              <a:ea typeface="+mn-ea"/>
              <a:cs typeface="+mn-cs"/>
            </a:rPr>
            <a:t>АЭУ</a:t>
          </a:r>
          <a:r>
            <a:rPr lang="ro-MD" sz="1000" b="1" i="1" kern="1200">
              <a:latin typeface="Calibri Light" panose="020F0302020204030204"/>
              <a:ea typeface="+mn-ea"/>
              <a:cs typeface="+mn-cs"/>
            </a:rPr>
            <a:t> (MPay)</a:t>
          </a:r>
          <a:endParaRPr lang="en-US" sz="1000" b="1" kern="1200">
            <a:latin typeface="Calibri Light" panose="020F0302020204030204"/>
            <a:ea typeface="+mn-ea"/>
            <a:cs typeface="+mn-cs"/>
          </a:endParaRPr>
        </a:p>
      </dsp:txBody>
      <dsp:txXfrm>
        <a:off x="0" y="2639444"/>
        <a:ext cx="5861538" cy="311820"/>
      </dsp:txXfrm>
    </dsp:sp>
    <dsp:sp modelId="{750B1231-E3FA-4C62-BA59-EDE60C42E921}">
      <dsp:nvSpPr>
        <dsp:cNvPr id="0" name=""/>
        <dsp:cNvSpPr/>
      </dsp:nvSpPr>
      <dsp:spPr>
        <a:xfrm>
          <a:off x="0" y="2952358"/>
          <a:ext cx="5861538" cy="265625"/>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b="0" kern="1200">
              <a:latin typeface="Calibri Light" panose="020F0302020204030204"/>
              <a:ea typeface="+mn-ea"/>
              <a:cs typeface="+mn-cs"/>
            </a:rPr>
            <a:t>с </a:t>
          </a:r>
          <a:r>
            <a:rPr lang="ro-MD" sz="1000" b="0" kern="1200">
              <a:latin typeface="Calibri Light" panose="020F0302020204030204"/>
              <a:ea typeface="+mn-ea"/>
              <a:cs typeface="+mn-cs"/>
            </a:rPr>
            <a:t>2021 </a:t>
          </a:r>
          <a:r>
            <a:rPr lang="ru-RU" sz="1000" b="0" kern="1200">
              <a:latin typeface="Calibri Light" panose="020F0302020204030204"/>
              <a:ea typeface="+mn-ea"/>
              <a:cs typeface="+mn-cs"/>
            </a:rPr>
            <a:t>года осуществляет выплату пособия </a:t>
          </a:r>
          <a:r>
            <a:rPr lang="ro-RO" sz="1000" kern="1200">
              <a:latin typeface="+mj-lt"/>
            </a:rPr>
            <a:t>через поставщиков платежных услуг</a:t>
          </a:r>
          <a:endParaRPr lang="en-US" sz="1000" b="0" kern="1200">
            <a:latin typeface="+mj-lt"/>
            <a:ea typeface="+mn-ea"/>
            <a:cs typeface="+mn-cs"/>
          </a:endParaRPr>
        </a:p>
      </dsp:txBody>
      <dsp:txXfrm>
        <a:off x="0" y="2952358"/>
        <a:ext cx="5861538" cy="265625"/>
      </dsp:txXfrm>
    </dsp:sp>
    <dsp:sp modelId="{9FC4B804-5F3C-4108-A2D0-EB66E561ED72}">
      <dsp:nvSpPr>
        <dsp:cNvPr id="0" name=""/>
        <dsp:cNvSpPr/>
      </dsp:nvSpPr>
      <dsp:spPr>
        <a:xfrm rot="10800000">
          <a:off x="0" y="1759994"/>
          <a:ext cx="5861538" cy="888111"/>
        </a:xfrm>
        <a:prstGeom prst="upArrowCallou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latin typeface="Calibri Light" panose="020F0302020204030204"/>
              <a:ea typeface="+mn-ea"/>
              <a:cs typeface="+mn-cs"/>
            </a:rPr>
            <a:t>НКСС</a:t>
          </a:r>
          <a:endParaRPr lang="en-US" sz="1000" kern="1200">
            <a:latin typeface="Calibri Light" panose="020F0302020204030204"/>
            <a:ea typeface="+mn-ea"/>
            <a:cs typeface="+mn-cs"/>
          </a:endParaRPr>
        </a:p>
      </dsp:txBody>
      <dsp:txXfrm rot="-10800000">
        <a:off x="0" y="1759994"/>
        <a:ext cx="5861538" cy="311727"/>
      </dsp:txXfrm>
    </dsp:sp>
    <dsp:sp modelId="{39DBB761-3F1F-4A46-863B-09DE4353CEA6}">
      <dsp:nvSpPr>
        <dsp:cNvPr id="0" name=""/>
        <dsp:cNvSpPr/>
      </dsp:nvSpPr>
      <dsp:spPr>
        <a:xfrm>
          <a:off x="0" y="2071721"/>
          <a:ext cx="2930769" cy="265545"/>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kern="1200">
              <a:latin typeface="+mj-lt"/>
            </a:rPr>
            <a:t>получает данные с Портала больничных листов</a:t>
          </a:r>
          <a:endParaRPr lang="en-US" sz="1000" kern="1200">
            <a:latin typeface="Calibri Light" panose="020F0302020204030204"/>
            <a:ea typeface="+mn-ea"/>
            <a:cs typeface="+mn-cs"/>
          </a:endParaRPr>
        </a:p>
      </dsp:txBody>
      <dsp:txXfrm>
        <a:off x="0" y="2071721"/>
        <a:ext cx="2930769" cy="265545"/>
      </dsp:txXfrm>
    </dsp:sp>
    <dsp:sp modelId="{4D4F999B-03A1-4964-82F1-0EBD32100377}">
      <dsp:nvSpPr>
        <dsp:cNvPr id="0" name=""/>
        <dsp:cNvSpPr/>
      </dsp:nvSpPr>
      <dsp:spPr>
        <a:xfrm>
          <a:off x="2930769" y="2071721"/>
          <a:ext cx="2930769" cy="265545"/>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i="1" kern="1200">
              <a:latin typeface="+mj-lt"/>
            </a:rPr>
            <a:t>установление пособия по временной нетрудоспособности </a:t>
          </a:r>
          <a:r>
            <a:rPr lang="ru-RU" sz="1000" b="1" i="1" kern="1200">
              <a:latin typeface="+mj-lt"/>
            </a:rPr>
            <a:t>в течение 15-30 дней</a:t>
          </a:r>
          <a:endParaRPr lang="en-US" sz="1000" b="1" i="1" kern="1200">
            <a:latin typeface="Calibri Light" panose="020F0302020204030204"/>
            <a:ea typeface="+mn-ea"/>
            <a:cs typeface="+mn-cs"/>
          </a:endParaRPr>
        </a:p>
      </dsp:txBody>
      <dsp:txXfrm>
        <a:off x="2930769" y="2071721"/>
        <a:ext cx="2930769" cy="265545"/>
      </dsp:txXfrm>
    </dsp:sp>
    <dsp:sp modelId="{15A20E17-C70F-42E7-A165-E1C923F02F5D}">
      <dsp:nvSpPr>
        <dsp:cNvPr id="0" name=""/>
        <dsp:cNvSpPr/>
      </dsp:nvSpPr>
      <dsp:spPr>
        <a:xfrm rot="10800000">
          <a:off x="0" y="880544"/>
          <a:ext cx="5861538" cy="888111"/>
        </a:xfrm>
        <a:prstGeom prst="upArrowCallou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latin typeface="Calibri Light" panose="020F0302020204030204"/>
              <a:ea typeface="+mn-ea"/>
              <a:cs typeface="+mn-cs"/>
            </a:rPr>
            <a:t>МЗ</a:t>
          </a:r>
          <a:r>
            <a:rPr lang="ro-MD" sz="1000" kern="1200">
              <a:latin typeface="Calibri Light" panose="020F0302020204030204"/>
              <a:ea typeface="+mn-ea"/>
              <a:cs typeface="+mn-cs"/>
            </a:rPr>
            <a:t>/</a:t>
          </a:r>
          <a:r>
            <a:rPr lang="ru-RU" sz="1000" kern="1200">
              <a:latin typeface="Calibri Light" panose="020F0302020204030204"/>
              <a:ea typeface="+mn-ea"/>
              <a:cs typeface="+mn-cs"/>
            </a:rPr>
            <a:t>НКСС</a:t>
          </a:r>
          <a:endParaRPr lang="en-US" sz="1000" kern="1200">
            <a:latin typeface="Calibri Light" panose="020F0302020204030204"/>
            <a:ea typeface="+mn-ea"/>
            <a:cs typeface="+mn-cs"/>
          </a:endParaRPr>
        </a:p>
      </dsp:txBody>
      <dsp:txXfrm rot="-10800000">
        <a:off x="0" y="880544"/>
        <a:ext cx="5861538" cy="311727"/>
      </dsp:txXfrm>
    </dsp:sp>
    <dsp:sp modelId="{ACBA2889-4196-4908-BD48-4E85A9618CF3}">
      <dsp:nvSpPr>
        <dsp:cNvPr id="0" name=""/>
        <dsp:cNvSpPr/>
      </dsp:nvSpPr>
      <dsp:spPr>
        <a:xfrm>
          <a:off x="0" y="1192271"/>
          <a:ext cx="2930769" cy="265545"/>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kern="1200">
              <a:latin typeface="+mj-lt"/>
            </a:rPr>
            <a:t>получает на Портале данные из больничного листа</a:t>
          </a:r>
          <a:endParaRPr lang="en-US" sz="1000" kern="1200">
            <a:latin typeface="Calibri Light" panose="020F0302020204030204"/>
            <a:ea typeface="+mn-ea"/>
            <a:cs typeface="+mn-cs"/>
          </a:endParaRPr>
        </a:p>
      </dsp:txBody>
      <dsp:txXfrm>
        <a:off x="0" y="1192271"/>
        <a:ext cx="2930769" cy="265545"/>
      </dsp:txXfrm>
    </dsp:sp>
    <dsp:sp modelId="{704B6CEA-3CCA-4D17-AF1A-093D2600C174}">
      <dsp:nvSpPr>
        <dsp:cNvPr id="0" name=""/>
        <dsp:cNvSpPr/>
      </dsp:nvSpPr>
      <dsp:spPr>
        <a:xfrm>
          <a:off x="2930769" y="1080152"/>
          <a:ext cx="2930769" cy="489782"/>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kern="1200">
              <a:latin typeface="+mj-lt"/>
            </a:rPr>
            <a:t>автоматическая передача данных из больничного листа через Портал в НКСС</a:t>
          </a:r>
          <a:endParaRPr lang="en-US" sz="1000" kern="1200">
            <a:latin typeface="Calibri Light" panose="020F0302020204030204"/>
            <a:ea typeface="+mn-ea"/>
            <a:cs typeface="+mn-cs"/>
          </a:endParaRPr>
        </a:p>
      </dsp:txBody>
      <dsp:txXfrm>
        <a:off x="2930769" y="1080152"/>
        <a:ext cx="2930769" cy="489782"/>
      </dsp:txXfrm>
    </dsp:sp>
    <dsp:sp modelId="{1A481332-A3DB-4F89-B272-65B3BE559FF9}">
      <dsp:nvSpPr>
        <dsp:cNvPr id="0" name=""/>
        <dsp:cNvSpPr/>
      </dsp:nvSpPr>
      <dsp:spPr>
        <a:xfrm rot="10800000">
          <a:off x="0" y="1094"/>
          <a:ext cx="5861538" cy="888111"/>
        </a:xfrm>
        <a:prstGeom prst="upArrowCallou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latin typeface="Calibri Light" panose="020F0302020204030204"/>
              <a:ea typeface="+mn-ea"/>
              <a:cs typeface="+mn-cs"/>
            </a:rPr>
            <a:t>ПМСУ</a:t>
          </a:r>
          <a:endParaRPr lang="en-US" sz="1000" kern="1200">
            <a:latin typeface="Calibri Light" panose="020F0302020204030204"/>
            <a:ea typeface="+mn-ea"/>
            <a:cs typeface="+mn-cs"/>
          </a:endParaRPr>
        </a:p>
      </dsp:txBody>
      <dsp:txXfrm rot="-10800000">
        <a:off x="0" y="1094"/>
        <a:ext cx="5861538" cy="311727"/>
      </dsp:txXfrm>
    </dsp:sp>
    <dsp:sp modelId="{EB4CA1F5-8B1F-4CB4-B295-850FC5A89C92}">
      <dsp:nvSpPr>
        <dsp:cNvPr id="0" name=""/>
        <dsp:cNvSpPr/>
      </dsp:nvSpPr>
      <dsp:spPr>
        <a:xfrm>
          <a:off x="0" y="312821"/>
          <a:ext cx="2930769" cy="265545"/>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kern="1200">
              <a:latin typeface="+mj-lt"/>
            </a:rPr>
            <a:t>выдает больничный лист</a:t>
          </a:r>
          <a:endParaRPr lang="en-US" sz="1000" kern="1200">
            <a:latin typeface="Calibri Light" panose="020F0302020204030204"/>
            <a:ea typeface="+mn-ea"/>
            <a:cs typeface="+mn-cs"/>
          </a:endParaRPr>
        </a:p>
      </dsp:txBody>
      <dsp:txXfrm>
        <a:off x="0" y="312821"/>
        <a:ext cx="2930769" cy="265545"/>
      </dsp:txXfrm>
    </dsp:sp>
    <dsp:sp modelId="{5621F436-D218-4ADE-B84D-75A98AC25933}">
      <dsp:nvSpPr>
        <dsp:cNvPr id="0" name=""/>
        <dsp:cNvSpPr/>
      </dsp:nvSpPr>
      <dsp:spPr>
        <a:xfrm>
          <a:off x="2930769" y="312821"/>
          <a:ext cx="2930769" cy="265545"/>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kern="1200">
              <a:latin typeface="+mj-lt"/>
            </a:rPr>
            <a:t>вводит данные из справки </a:t>
          </a:r>
          <a:r>
            <a:rPr lang="ru-RU" sz="1000" b="1" kern="1200">
              <a:latin typeface="+mj-lt"/>
            </a:rPr>
            <a:t>в течение 5 дней</a:t>
          </a:r>
          <a:r>
            <a:rPr lang="ru-RU" sz="1000" kern="1200">
              <a:latin typeface="+mj-lt"/>
            </a:rPr>
            <a:t> на Портале больничных листов</a:t>
          </a:r>
          <a:endParaRPr lang="en-US" sz="1000" kern="1200">
            <a:latin typeface="Calibri Light" panose="020F0302020204030204"/>
            <a:ea typeface="+mn-ea"/>
            <a:cs typeface="+mn-cs"/>
          </a:endParaRPr>
        </a:p>
      </dsp:txBody>
      <dsp:txXfrm>
        <a:off x="2930769" y="312821"/>
        <a:ext cx="2930769" cy="265545"/>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441C9-7C19-4DFF-9243-518F6FB6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154</Pages>
  <Words>29465</Words>
  <Characters>167953</Characters>
  <Application>Microsoft Office Word</Application>
  <DocSecurity>0</DocSecurity>
  <Lines>1399</Lines>
  <Paragraphs>394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Rogaciov Irina</dc:creator>
  <cp:keywords/>
  <dc:description/>
  <cp:lastModifiedBy>Paiu Eugenia</cp:lastModifiedBy>
  <cp:revision>2</cp:revision>
  <dcterms:created xsi:type="dcterms:W3CDTF">2023-06-16T06:07:00Z</dcterms:created>
  <dcterms:modified xsi:type="dcterms:W3CDTF">2023-06-16T06:07:00Z</dcterms:modified>
</cp:coreProperties>
</file>