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986" w:rsidRPr="00200696" w:rsidRDefault="009D5986" w:rsidP="009D5986">
      <w:pPr>
        <w:tabs>
          <w:tab w:val="left" w:pos="720"/>
        </w:tabs>
        <w:spacing w:after="0" w:line="276" w:lineRule="auto"/>
        <w:jc w:val="right"/>
        <w:rPr>
          <w:rFonts w:asciiTheme="majorHAnsi" w:eastAsia="Times New Roman" w:hAnsiTheme="majorHAnsi" w:cstheme="majorHAnsi"/>
          <w:color w:val="000000" w:themeColor="text1"/>
          <w:sz w:val="24"/>
          <w:szCs w:val="24"/>
          <w:lang w:val="ro-RO"/>
        </w:rPr>
      </w:pPr>
      <w:bookmarkStart w:id="0" w:name="_GoBack"/>
      <w:bookmarkEnd w:id="0"/>
      <w:r w:rsidRPr="00200696">
        <w:rPr>
          <w:rFonts w:asciiTheme="majorHAnsi" w:eastAsia="Times New Roman" w:hAnsiTheme="majorHAnsi" w:cstheme="majorHAnsi"/>
          <w:color w:val="000000" w:themeColor="text1"/>
          <w:sz w:val="24"/>
          <w:szCs w:val="24"/>
          <w:lang w:val="ro-RO"/>
        </w:rPr>
        <w:t xml:space="preserve">Anexă </w:t>
      </w:r>
    </w:p>
    <w:p w:rsidR="009D5986" w:rsidRPr="00200696" w:rsidRDefault="009D5986" w:rsidP="009D5986">
      <w:pPr>
        <w:tabs>
          <w:tab w:val="left" w:pos="720"/>
        </w:tabs>
        <w:spacing w:after="0" w:line="276" w:lineRule="auto"/>
        <w:jc w:val="right"/>
        <w:rPr>
          <w:rFonts w:asciiTheme="majorHAnsi" w:eastAsia="Times New Roman" w:hAnsiTheme="majorHAnsi" w:cstheme="majorHAnsi"/>
          <w:bCs/>
          <w:color w:val="000000" w:themeColor="text1"/>
          <w:sz w:val="24"/>
          <w:szCs w:val="24"/>
          <w:lang w:val="ro-RO"/>
        </w:rPr>
      </w:pPr>
      <w:r w:rsidRPr="00200696">
        <w:rPr>
          <w:rFonts w:asciiTheme="majorHAnsi" w:eastAsia="Times New Roman" w:hAnsiTheme="majorHAnsi" w:cstheme="majorHAnsi"/>
          <w:color w:val="000000" w:themeColor="text1"/>
          <w:sz w:val="24"/>
          <w:szCs w:val="24"/>
          <w:lang w:val="ro-RO"/>
        </w:rPr>
        <w:t xml:space="preserve">la Hotărârea Curții de Conturi </w:t>
      </w:r>
    </w:p>
    <w:p w:rsidR="009D5986" w:rsidRPr="00200696" w:rsidRDefault="009D5986" w:rsidP="009D5986">
      <w:pPr>
        <w:tabs>
          <w:tab w:val="left" w:pos="720"/>
        </w:tabs>
        <w:spacing w:after="0" w:line="276" w:lineRule="auto"/>
        <w:jc w:val="right"/>
        <w:rPr>
          <w:rFonts w:asciiTheme="majorHAnsi" w:eastAsia="Times New Roman" w:hAnsiTheme="majorHAnsi" w:cstheme="majorHAnsi"/>
          <w:bCs/>
          <w:color w:val="000000" w:themeColor="text1"/>
          <w:sz w:val="24"/>
          <w:szCs w:val="24"/>
          <w:lang w:val="ro-RO"/>
        </w:rPr>
      </w:pPr>
      <w:r w:rsidRPr="00200696">
        <w:rPr>
          <w:rFonts w:asciiTheme="majorHAnsi" w:eastAsia="Times New Roman" w:hAnsiTheme="majorHAnsi" w:cstheme="majorHAnsi"/>
          <w:color w:val="000000" w:themeColor="text1"/>
          <w:sz w:val="24"/>
          <w:szCs w:val="24"/>
          <w:lang w:val="ro-RO"/>
        </w:rPr>
        <w:t xml:space="preserve">nr. </w:t>
      </w:r>
      <w:r w:rsidR="00FA6788" w:rsidRPr="00200696">
        <w:rPr>
          <w:rFonts w:asciiTheme="majorHAnsi" w:eastAsia="Times New Roman" w:hAnsiTheme="majorHAnsi" w:cstheme="majorHAnsi"/>
          <w:color w:val="000000" w:themeColor="text1"/>
          <w:sz w:val="24"/>
          <w:szCs w:val="24"/>
          <w:lang w:val="ro-RO"/>
        </w:rPr>
        <w:t xml:space="preserve">21 </w:t>
      </w:r>
      <w:r w:rsidRPr="00200696">
        <w:rPr>
          <w:rFonts w:asciiTheme="majorHAnsi" w:eastAsia="Times New Roman" w:hAnsiTheme="majorHAnsi" w:cstheme="majorHAnsi"/>
          <w:color w:val="000000" w:themeColor="text1"/>
          <w:sz w:val="24"/>
          <w:szCs w:val="24"/>
          <w:lang w:val="ro-RO"/>
        </w:rPr>
        <w:t xml:space="preserve">din </w:t>
      </w:r>
      <w:r w:rsidR="00404744" w:rsidRPr="00200696">
        <w:rPr>
          <w:rFonts w:asciiTheme="majorHAnsi" w:eastAsia="Times New Roman" w:hAnsiTheme="majorHAnsi" w:cstheme="majorHAnsi"/>
          <w:color w:val="000000" w:themeColor="text1"/>
          <w:sz w:val="24"/>
          <w:szCs w:val="24"/>
          <w:lang w:val="ro-RO"/>
        </w:rPr>
        <w:t>26 mai</w:t>
      </w:r>
      <w:r w:rsidRPr="00200696">
        <w:rPr>
          <w:rFonts w:asciiTheme="majorHAnsi" w:eastAsia="Times New Roman" w:hAnsiTheme="majorHAnsi" w:cstheme="majorHAnsi"/>
          <w:color w:val="000000" w:themeColor="text1"/>
          <w:sz w:val="24"/>
          <w:szCs w:val="24"/>
          <w:lang w:val="ro-RO"/>
        </w:rPr>
        <w:t xml:space="preserve"> 2023</w:t>
      </w:r>
    </w:p>
    <w:p w:rsidR="009D5986" w:rsidRPr="00200696" w:rsidRDefault="009D5986" w:rsidP="009D5986">
      <w:pPr>
        <w:spacing w:after="0" w:line="276" w:lineRule="auto"/>
        <w:jc w:val="center"/>
        <w:rPr>
          <w:rFonts w:asciiTheme="majorHAnsi" w:hAnsiTheme="majorHAnsi" w:cstheme="majorHAnsi"/>
          <w:b/>
          <w:color w:val="000000" w:themeColor="text1"/>
          <w:sz w:val="24"/>
          <w:szCs w:val="24"/>
          <w:lang w:val="ro-RO"/>
        </w:rPr>
      </w:pPr>
    </w:p>
    <w:p w:rsidR="009D5986" w:rsidRPr="00200696" w:rsidRDefault="009D5986" w:rsidP="009D5986">
      <w:pPr>
        <w:spacing w:after="0" w:line="276" w:lineRule="auto"/>
        <w:jc w:val="center"/>
        <w:rPr>
          <w:rFonts w:asciiTheme="majorHAnsi" w:hAnsiTheme="majorHAnsi" w:cstheme="majorHAnsi"/>
          <w:b/>
          <w:color w:val="000000" w:themeColor="text1"/>
          <w:sz w:val="24"/>
          <w:szCs w:val="24"/>
          <w:lang w:val="ro-RO"/>
        </w:rPr>
      </w:pPr>
      <w:r w:rsidRPr="00200696">
        <w:rPr>
          <w:rFonts w:asciiTheme="majorHAnsi" w:hAnsiTheme="majorHAnsi" w:cstheme="majorHAnsi"/>
          <w:b/>
          <w:bCs/>
          <w:noProof/>
          <w:color w:val="000000" w:themeColor="text1"/>
          <w:sz w:val="24"/>
          <w:szCs w:val="24"/>
          <w:lang w:val="ru-RU" w:eastAsia="ru-RU"/>
        </w:rPr>
        <w:drawing>
          <wp:inline distT="0" distB="0" distL="0" distR="0" wp14:anchorId="06447E97" wp14:editId="0CB921FA">
            <wp:extent cx="1377950" cy="13836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9D5986" w:rsidRPr="00200696" w:rsidRDefault="009D5986" w:rsidP="009D5986">
      <w:pPr>
        <w:spacing w:after="0" w:line="276" w:lineRule="auto"/>
        <w:jc w:val="center"/>
        <w:rPr>
          <w:rFonts w:asciiTheme="majorHAnsi" w:hAnsiTheme="majorHAnsi" w:cstheme="majorHAnsi"/>
          <w:b/>
          <w:color w:val="000000" w:themeColor="text1"/>
          <w:sz w:val="24"/>
          <w:szCs w:val="24"/>
          <w:lang w:val="ro-RO"/>
        </w:rPr>
      </w:pPr>
    </w:p>
    <w:p w:rsidR="009D5986" w:rsidRPr="00200696" w:rsidRDefault="009D5986" w:rsidP="009D5986">
      <w:pPr>
        <w:spacing w:after="0" w:line="276" w:lineRule="auto"/>
        <w:rPr>
          <w:rFonts w:asciiTheme="majorHAnsi" w:hAnsiTheme="majorHAnsi" w:cstheme="majorHAnsi"/>
          <w:b/>
          <w:color w:val="000000" w:themeColor="text1"/>
          <w:sz w:val="24"/>
          <w:szCs w:val="24"/>
          <w:lang w:val="ro-RO"/>
        </w:rPr>
      </w:pPr>
    </w:p>
    <w:p w:rsidR="009D5986" w:rsidRPr="00200696" w:rsidRDefault="009D5986" w:rsidP="009D5986">
      <w:pPr>
        <w:spacing w:after="0" w:line="276" w:lineRule="auto"/>
        <w:jc w:val="center"/>
        <w:rPr>
          <w:rFonts w:asciiTheme="majorHAnsi" w:hAnsiTheme="majorHAnsi" w:cstheme="majorHAnsi"/>
          <w:b/>
          <w:color w:val="000000" w:themeColor="text1"/>
          <w:sz w:val="24"/>
          <w:szCs w:val="24"/>
          <w:lang w:val="ro-RO"/>
        </w:rPr>
      </w:pPr>
      <w:r w:rsidRPr="00200696">
        <w:rPr>
          <w:rFonts w:asciiTheme="majorHAnsi" w:hAnsiTheme="majorHAnsi" w:cstheme="majorHAnsi"/>
          <w:b/>
          <w:bCs/>
          <w:color w:val="000000" w:themeColor="text1"/>
          <w:sz w:val="24"/>
          <w:szCs w:val="24"/>
          <w:lang w:val="ro-RO"/>
        </w:rPr>
        <w:t>CURTEA DE CONTURI A REPUBLICII MOLDOVA</w:t>
      </w:r>
    </w:p>
    <w:p w:rsidR="009D5986" w:rsidRPr="00200696" w:rsidRDefault="009D5986" w:rsidP="009D5986">
      <w:pPr>
        <w:spacing w:after="0" w:line="276" w:lineRule="auto"/>
        <w:rPr>
          <w:rFonts w:asciiTheme="majorHAnsi" w:hAnsiTheme="majorHAnsi" w:cstheme="majorHAnsi"/>
          <w:color w:val="000000" w:themeColor="text1"/>
          <w:sz w:val="24"/>
          <w:szCs w:val="24"/>
          <w:lang w:val="ro-RO"/>
        </w:rPr>
      </w:pPr>
    </w:p>
    <w:p w:rsidR="009D5986" w:rsidRPr="00200696" w:rsidRDefault="009D5986" w:rsidP="009D5986">
      <w:pPr>
        <w:tabs>
          <w:tab w:val="left" w:pos="720"/>
        </w:tabs>
        <w:spacing w:after="0" w:line="276" w:lineRule="auto"/>
        <w:jc w:val="right"/>
        <w:rPr>
          <w:rFonts w:asciiTheme="majorHAnsi" w:eastAsia="Times New Roman" w:hAnsiTheme="majorHAnsi" w:cstheme="majorHAnsi"/>
          <w:b/>
          <w:bCs/>
          <w:color w:val="000000" w:themeColor="text1"/>
          <w:sz w:val="24"/>
          <w:szCs w:val="24"/>
          <w:lang w:val="ro-RO"/>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200696" w:rsidRPr="00200696" w:rsidTr="00D23D29">
        <w:trPr>
          <w:trHeight w:val="435"/>
        </w:trPr>
        <w:tc>
          <w:tcPr>
            <w:tcW w:w="9350" w:type="dxa"/>
          </w:tcPr>
          <w:p w:rsidR="009D5986" w:rsidRPr="00200696" w:rsidRDefault="009D5986" w:rsidP="00D23D29">
            <w:pPr>
              <w:tabs>
                <w:tab w:val="left" w:pos="720"/>
              </w:tabs>
              <w:spacing w:after="0" w:line="276" w:lineRule="auto"/>
              <w:jc w:val="center"/>
              <w:rPr>
                <w:rFonts w:asciiTheme="majorHAnsi" w:hAnsiTheme="majorHAnsi" w:cstheme="majorHAnsi"/>
                <w:b/>
                <w:color w:val="000000" w:themeColor="text1"/>
                <w:sz w:val="20"/>
                <w:szCs w:val="20"/>
                <w:lang w:val="ro-RO"/>
              </w:rPr>
            </w:pPr>
            <w:r w:rsidRPr="00200696">
              <w:rPr>
                <w:rFonts w:asciiTheme="majorHAnsi" w:hAnsiTheme="majorHAnsi" w:cstheme="majorHAnsi"/>
                <w:b/>
                <w:color w:val="000000" w:themeColor="text1"/>
                <w:sz w:val="20"/>
                <w:szCs w:val="20"/>
                <w:lang w:val="ro-RO"/>
              </w:rPr>
              <w:t>MD-2001, mun. Chișinău, bd</w:t>
            </w:r>
            <w:r w:rsidR="00404744" w:rsidRPr="00200696">
              <w:rPr>
                <w:rFonts w:asciiTheme="majorHAnsi" w:hAnsiTheme="majorHAnsi" w:cstheme="majorHAnsi"/>
                <w:b/>
                <w:color w:val="000000" w:themeColor="text1"/>
                <w:sz w:val="20"/>
                <w:szCs w:val="20"/>
                <w:lang w:val="ro-RO"/>
              </w:rPr>
              <w:t>.</w:t>
            </w:r>
            <w:r w:rsidRPr="00200696">
              <w:rPr>
                <w:rFonts w:asciiTheme="majorHAnsi" w:hAnsiTheme="majorHAnsi" w:cstheme="majorHAnsi"/>
                <w:b/>
                <w:color w:val="000000" w:themeColor="text1"/>
                <w:sz w:val="20"/>
                <w:szCs w:val="20"/>
                <w:lang w:val="ro-RO"/>
              </w:rPr>
              <w:t xml:space="preserve"> Ștefan cel Ma</w:t>
            </w:r>
            <w:r w:rsidR="00404744" w:rsidRPr="00200696">
              <w:rPr>
                <w:rFonts w:asciiTheme="majorHAnsi" w:hAnsiTheme="majorHAnsi" w:cstheme="majorHAnsi"/>
                <w:b/>
                <w:color w:val="000000" w:themeColor="text1"/>
                <w:sz w:val="20"/>
                <w:szCs w:val="20"/>
                <w:lang w:val="ro-RO"/>
              </w:rPr>
              <w:t xml:space="preserve">re și Sfânt nr.69, tel.: (+373 </w:t>
            </w:r>
            <w:r w:rsidRPr="00200696">
              <w:rPr>
                <w:rFonts w:asciiTheme="majorHAnsi" w:hAnsiTheme="majorHAnsi" w:cstheme="majorHAnsi"/>
                <w:b/>
                <w:color w:val="000000" w:themeColor="text1"/>
                <w:sz w:val="20"/>
                <w:szCs w:val="20"/>
                <w:lang w:val="ro-RO"/>
              </w:rPr>
              <w:t>22</w:t>
            </w:r>
            <w:r w:rsidR="00404744" w:rsidRPr="00200696">
              <w:rPr>
                <w:rFonts w:asciiTheme="majorHAnsi" w:hAnsiTheme="majorHAnsi" w:cstheme="majorHAnsi"/>
                <w:b/>
                <w:color w:val="000000" w:themeColor="text1"/>
                <w:sz w:val="20"/>
                <w:szCs w:val="20"/>
                <w:lang w:val="ro-RO"/>
              </w:rPr>
              <w:t>)</w:t>
            </w:r>
            <w:r w:rsidRPr="00200696">
              <w:rPr>
                <w:rFonts w:asciiTheme="majorHAnsi" w:hAnsiTheme="majorHAnsi" w:cstheme="majorHAnsi"/>
                <w:b/>
                <w:color w:val="000000" w:themeColor="text1"/>
                <w:sz w:val="20"/>
                <w:szCs w:val="20"/>
                <w:lang w:val="ro-RO"/>
              </w:rPr>
              <w:t xml:space="preserve"> 2</w:t>
            </w:r>
            <w:r w:rsidR="00404744" w:rsidRPr="00200696">
              <w:rPr>
                <w:rFonts w:asciiTheme="majorHAnsi" w:hAnsiTheme="majorHAnsi" w:cstheme="majorHAnsi"/>
                <w:b/>
                <w:color w:val="000000" w:themeColor="text1"/>
                <w:sz w:val="20"/>
                <w:szCs w:val="20"/>
                <w:lang w:val="ro-RO"/>
              </w:rPr>
              <w:t>6</w:t>
            </w:r>
            <w:r w:rsidRPr="00200696">
              <w:rPr>
                <w:rFonts w:asciiTheme="majorHAnsi" w:hAnsiTheme="majorHAnsi" w:cstheme="majorHAnsi"/>
                <w:b/>
                <w:color w:val="000000" w:themeColor="text1"/>
                <w:sz w:val="20"/>
                <w:szCs w:val="20"/>
                <w:lang w:val="ro-RO"/>
              </w:rPr>
              <w:t xml:space="preserve"> </w:t>
            </w:r>
            <w:r w:rsidR="00404744" w:rsidRPr="00200696">
              <w:rPr>
                <w:rFonts w:asciiTheme="majorHAnsi" w:hAnsiTheme="majorHAnsi" w:cstheme="majorHAnsi"/>
                <w:b/>
                <w:color w:val="000000" w:themeColor="text1"/>
                <w:sz w:val="20"/>
                <w:szCs w:val="20"/>
                <w:lang w:val="ro-RO"/>
              </w:rPr>
              <w:t>60</w:t>
            </w:r>
            <w:r w:rsidRPr="00200696">
              <w:rPr>
                <w:rFonts w:asciiTheme="majorHAnsi" w:hAnsiTheme="majorHAnsi" w:cstheme="majorHAnsi"/>
                <w:b/>
                <w:color w:val="000000" w:themeColor="text1"/>
                <w:sz w:val="20"/>
                <w:szCs w:val="20"/>
                <w:lang w:val="ro-RO"/>
              </w:rPr>
              <w:t xml:space="preserve"> </w:t>
            </w:r>
            <w:r w:rsidR="00404744" w:rsidRPr="00200696">
              <w:rPr>
                <w:rFonts w:asciiTheme="majorHAnsi" w:hAnsiTheme="majorHAnsi" w:cstheme="majorHAnsi"/>
                <w:b/>
                <w:color w:val="000000" w:themeColor="text1"/>
                <w:sz w:val="20"/>
                <w:szCs w:val="20"/>
                <w:lang w:val="ro-RO"/>
              </w:rPr>
              <w:t>02</w:t>
            </w:r>
            <w:r w:rsidRPr="00200696">
              <w:rPr>
                <w:rFonts w:asciiTheme="majorHAnsi" w:hAnsiTheme="majorHAnsi" w:cstheme="majorHAnsi"/>
                <w:b/>
                <w:color w:val="000000" w:themeColor="text1"/>
                <w:sz w:val="20"/>
                <w:szCs w:val="20"/>
                <w:lang w:val="ro-RO"/>
              </w:rPr>
              <w:t>, fax: (+373 22</w:t>
            </w:r>
            <w:r w:rsidR="00404744" w:rsidRPr="00200696">
              <w:rPr>
                <w:rFonts w:asciiTheme="majorHAnsi" w:hAnsiTheme="majorHAnsi" w:cstheme="majorHAnsi"/>
                <w:b/>
                <w:color w:val="000000" w:themeColor="text1"/>
                <w:sz w:val="20"/>
                <w:szCs w:val="20"/>
                <w:lang w:val="ro-RO"/>
              </w:rPr>
              <w:t>)</w:t>
            </w:r>
            <w:r w:rsidRPr="00200696">
              <w:rPr>
                <w:rFonts w:asciiTheme="majorHAnsi" w:hAnsiTheme="majorHAnsi" w:cstheme="majorHAnsi"/>
                <w:b/>
                <w:color w:val="000000" w:themeColor="text1"/>
                <w:sz w:val="20"/>
                <w:szCs w:val="20"/>
                <w:lang w:val="ro-RO"/>
              </w:rPr>
              <w:t xml:space="preserve"> 2</w:t>
            </w:r>
            <w:r w:rsidR="00404744" w:rsidRPr="00200696">
              <w:rPr>
                <w:rFonts w:asciiTheme="majorHAnsi" w:hAnsiTheme="majorHAnsi" w:cstheme="majorHAnsi"/>
                <w:b/>
                <w:color w:val="000000" w:themeColor="text1"/>
                <w:sz w:val="20"/>
                <w:szCs w:val="20"/>
                <w:lang w:val="ro-RO"/>
              </w:rPr>
              <w:t>6</w:t>
            </w:r>
            <w:r w:rsidRPr="00200696">
              <w:rPr>
                <w:rFonts w:asciiTheme="majorHAnsi" w:hAnsiTheme="majorHAnsi" w:cstheme="majorHAnsi"/>
                <w:b/>
                <w:color w:val="000000" w:themeColor="text1"/>
                <w:sz w:val="20"/>
                <w:szCs w:val="20"/>
                <w:lang w:val="ro-RO"/>
              </w:rPr>
              <w:t xml:space="preserve"> </w:t>
            </w:r>
            <w:r w:rsidR="00404744" w:rsidRPr="00200696">
              <w:rPr>
                <w:rFonts w:asciiTheme="majorHAnsi" w:hAnsiTheme="majorHAnsi" w:cstheme="majorHAnsi"/>
                <w:b/>
                <w:color w:val="000000" w:themeColor="text1"/>
                <w:sz w:val="20"/>
                <w:szCs w:val="20"/>
                <w:lang w:val="ro-RO"/>
              </w:rPr>
              <w:t>61 0</w:t>
            </w:r>
            <w:r w:rsidRPr="00200696">
              <w:rPr>
                <w:rFonts w:asciiTheme="majorHAnsi" w:hAnsiTheme="majorHAnsi" w:cstheme="majorHAnsi"/>
                <w:b/>
                <w:color w:val="000000" w:themeColor="text1"/>
                <w:sz w:val="20"/>
                <w:szCs w:val="20"/>
                <w:lang w:val="ro-RO"/>
              </w:rPr>
              <w:t>0</w:t>
            </w:r>
          </w:p>
          <w:p w:rsidR="009D5986" w:rsidRPr="00200696" w:rsidRDefault="009D40A6" w:rsidP="00D23D29">
            <w:pPr>
              <w:tabs>
                <w:tab w:val="left" w:pos="720"/>
              </w:tabs>
              <w:spacing w:after="0" w:line="276" w:lineRule="auto"/>
              <w:jc w:val="center"/>
              <w:rPr>
                <w:rFonts w:asciiTheme="majorHAnsi" w:hAnsiTheme="majorHAnsi" w:cstheme="majorHAnsi"/>
                <w:b/>
                <w:color w:val="000000" w:themeColor="text1"/>
                <w:sz w:val="24"/>
                <w:szCs w:val="24"/>
                <w:u w:val="single"/>
                <w:lang w:val="ro-RO"/>
              </w:rPr>
            </w:pPr>
            <w:hyperlink r:id="rId9" w:history="1">
              <w:r w:rsidR="009D5986" w:rsidRPr="00200696">
                <w:rPr>
                  <w:rStyle w:val="a3"/>
                  <w:rFonts w:asciiTheme="majorHAnsi" w:hAnsiTheme="majorHAnsi" w:cstheme="majorHAnsi"/>
                  <w:b/>
                  <w:color w:val="000000" w:themeColor="text1"/>
                  <w:sz w:val="20"/>
                  <w:szCs w:val="20"/>
                  <w:lang w:val="ro-RO"/>
                </w:rPr>
                <w:t>www.ccrm.md</w:t>
              </w:r>
            </w:hyperlink>
            <w:r w:rsidR="009D5986" w:rsidRPr="00200696">
              <w:rPr>
                <w:rStyle w:val="a3"/>
                <w:rFonts w:asciiTheme="majorHAnsi" w:hAnsiTheme="majorHAnsi" w:cstheme="majorHAnsi"/>
                <w:b/>
                <w:color w:val="000000" w:themeColor="text1"/>
                <w:sz w:val="20"/>
                <w:szCs w:val="20"/>
                <w:u w:val="none"/>
                <w:lang w:val="ro-RO"/>
              </w:rPr>
              <w:t xml:space="preserve">; </w:t>
            </w:r>
            <w:r w:rsidR="009D5986" w:rsidRPr="00200696">
              <w:rPr>
                <w:rFonts w:asciiTheme="majorHAnsi" w:hAnsiTheme="majorHAnsi" w:cstheme="majorHAnsi"/>
                <w:b/>
                <w:color w:val="000000" w:themeColor="text1"/>
                <w:sz w:val="20"/>
                <w:szCs w:val="20"/>
                <w:lang w:val="ro-RO"/>
              </w:rPr>
              <w:t xml:space="preserve">e-mail: </w:t>
            </w:r>
            <w:hyperlink r:id="rId10" w:history="1">
              <w:r w:rsidR="009D5986" w:rsidRPr="00200696">
                <w:rPr>
                  <w:rStyle w:val="a3"/>
                  <w:rFonts w:asciiTheme="majorHAnsi" w:hAnsiTheme="majorHAnsi" w:cstheme="majorHAnsi"/>
                  <w:b/>
                  <w:color w:val="000000" w:themeColor="text1"/>
                  <w:sz w:val="20"/>
                  <w:szCs w:val="20"/>
                  <w:lang w:val="ro-RO"/>
                </w:rPr>
                <w:t>ccrm@ccrm.md</w:t>
              </w:r>
            </w:hyperlink>
          </w:p>
        </w:tc>
      </w:tr>
    </w:tbl>
    <w:p w:rsidR="009D5986" w:rsidRPr="00200696" w:rsidRDefault="009D5986" w:rsidP="009D5986">
      <w:pPr>
        <w:tabs>
          <w:tab w:val="left" w:pos="720"/>
        </w:tabs>
        <w:spacing w:after="0" w:line="276" w:lineRule="auto"/>
        <w:jc w:val="right"/>
        <w:rPr>
          <w:rFonts w:asciiTheme="majorHAnsi" w:eastAsia="Times New Roman" w:hAnsiTheme="majorHAnsi" w:cstheme="majorHAnsi"/>
          <w:b/>
          <w:bCs/>
          <w:color w:val="000000" w:themeColor="text1"/>
          <w:sz w:val="24"/>
          <w:szCs w:val="24"/>
          <w:lang w:val="ro-RO"/>
        </w:rPr>
      </w:pPr>
    </w:p>
    <w:p w:rsidR="009D5986" w:rsidRPr="00200696" w:rsidRDefault="009D5986" w:rsidP="009D5986">
      <w:pPr>
        <w:tabs>
          <w:tab w:val="left" w:pos="720"/>
        </w:tabs>
        <w:spacing w:after="0" w:line="276" w:lineRule="auto"/>
        <w:jc w:val="right"/>
        <w:rPr>
          <w:rFonts w:asciiTheme="majorHAnsi" w:eastAsia="Times New Roman" w:hAnsiTheme="majorHAnsi" w:cstheme="majorHAnsi"/>
          <w:b/>
          <w:bCs/>
          <w:color w:val="000000" w:themeColor="text1"/>
          <w:sz w:val="24"/>
          <w:szCs w:val="24"/>
          <w:lang w:val="ro-RO"/>
        </w:rPr>
      </w:pPr>
    </w:p>
    <w:p w:rsidR="009D5986" w:rsidRPr="00200696" w:rsidRDefault="009D5986" w:rsidP="009D5986">
      <w:pPr>
        <w:tabs>
          <w:tab w:val="left" w:pos="720"/>
        </w:tabs>
        <w:spacing w:after="0" w:line="276" w:lineRule="auto"/>
        <w:jc w:val="right"/>
        <w:rPr>
          <w:rFonts w:asciiTheme="majorHAnsi" w:eastAsia="Times New Roman" w:hAnsiTheme="majorHAnsi" w:cstheme="majorHAnsi"/>
          <w:b/>
          <w:bCs/>
          <w:color w:val="000000" w:themeColor="text1"/>
          <w:sz w:val="24"/>
          <w:szCs w:val="24"/>
          <w:lang w:val="ro-RO"/>
        </w:rPr>
      </w:pPr>
    </w:p>
    <w:p w:rsidR="009D5986" w:rsidRPr="00200696" w:rsidRDefault="009D5986" w:rsidP="009D5986">
      <w:pPr>
        <w:tabs>
          <w:tab w:val="left" w:pos="720"/>
        </w:tabs>
        <w:spacing w:after="0" w:line="276" w:lineRule="auto"/>
        <w:jc w:val="right"/>
        <w:rPr>
          <w:rFonts w:asciiTheme="majorHAnsi" w:eastAsia="Times New Roman" w:hAnsiTheme="majorHAnsi" w:cstheme="majorHAnsi"/>
          <w:b/>
          <w:bCs/>
          <w:color w:val="000000" w:themeColor="text1"/>
          <w:sz w:val="24"/>
          <w:szCs w:val="24"/>
          <w:lang w:val="ro-RO"/>
        </w:rPr>
      </w:pPr>
    </w:p>
    <w:p w:rsidR="009D5986" w:rsidRPr="00200696" w:rsidRDefault="009D5986" w:rsidP="009D5986">
      <w:pPr>
        <w:tabs>
          <w:tab w:val="left" w:pos="720"/>
        </w:tabs>
        <w:spacing w:after="0" w:line="276" w:lineRule="auto"/>
        <w:jc w:val="right"/>
        <w:rPr>
          <w:rFonts w:asciiTheme="majorHAnsi" w:eastAsia="Times New Roman" w:hAnsiTheme="majorHAnsi" w:cstheme="majorHAnsi"/>
          <w:b/>
          <w:bCs/>
          <w:color w:val="000000" w:themeColor="text1"/>
          <w:sz w:val="24"/>
          <w:szCs w:val="24"/>
          <w:lang w:val="ro-RO"/>
        </w:rPr>
      </w:pPr>
    </w:p>
    <w:p w:rsidR="009D5986" w:rsidRPr="00200696" w:rsidRDefault="009D5986" w:rsidP="009D5986">
      <w:pPr>
        <w:tabs>
          <w:tab w:val="left" w:pos="720"/>
        </w:tabs>
        <w:spacing w:after="0" w:line="276" w:lineRule="auto"/>
        <w:ind w:firstLine="720"/>
        <w:jc w:val="center"/>
        <w:rPr>
          <w:rFonts w:asciiTheme="majorHAnsi" w:eastAsia="Times New Roman" w:hAnsiTheme="majorHAnsi" w:cstheme="majorHAnsi"/>
          <w:b/>
          <w:bCs/>
          <w:color w:val="000000" w:themeColor="text1"/>
          <w:sz w:val="24"/>
          <w:szCs w:val="24"/>
          <w:lang w:val="ro-RO"/>
        </w:rPr>
      </w:pPr>
    </w:p>
    <w:p w:rsidR="009D5986" w:rsidRPr="00200696" w:rsidRDefault="009D5986" w:rsidP="009D5986">
      <w:pPr>
        <w:tabs>
          <w:tab w:val="left" w:pos="0"/>
        </w:tabs>
        <w:spacing w:after="0" w:line="276" w:lineRule="auto"/>
        <w:jc w:val="center"/>
        <w:rPr>
          <w:rFonts w:asciiTheme="majorHAnsi" w:eastAsia="Times New Roman" w:hAnsiTheme="majorHAnsi" w:cstheme="majorHAnsi"/>
          <w:b/>
          <w:bCs/>
          <w:color w:val="000000" w:themeColor="text1"/>
          <w:szCs w:val="28"/>
          <w:lang w:val="ro-RO"/>
        </w:rPr>
      </w:pPr>
      <w:r w:rsidRPr="00200696">
        <w:rPr>
          <w:rFonts w:asciiTheme="majorHAnsi" w:eastAsia="Times New Roman" w:hAnsiTheme="majorHAnsi" w:cstheme="majorHAnsi"/>
          <w:b/>
          <w:bCs/>
          <w:color w:val="000000" w:themeColor="text1"/>
          <w:szCs w:val="28"/>
          <w:lang w:val="ro-RO"/>
        </w:rPr>
        <w:t xml:space="preserve">RAPORTUL </w:t>
      </w:r>
    </w:p>
    <w:p w:rsidR="009D5986" w:rsidRPr="00200696" w:rsidRDefault="009D5986" w:rsidP="009D5986">
      <w:pPr>
        <w:tabs>
          <w:tab w:val="left" w:pos="0"/>
        </w:tabs>
        <w:spacing w:after="0" w:line="276" w:lineRule="auto"/>
        <w:jc w:val="center"/>
        <w:rPr>
          <w:rFonts w:asciiTheme="majorHAnsi" w:eastAsia="Times New Roman" w:hAnsiTheme="majorHAnsi" w:cstheme="majorHAnsi"/>
          <w:b/>
          <w:bCs/>
          <w:color w:val="000000" w:themeColor="text1"/>
          <w:szCs w:val="28"/>
          <w:lang w:val="ro-RO"/>
        </w:rPr>
      </w:pPr>
      <w:r w:rsidRPr="00200696">
        <w:rPr>
          <w:rFonts w:asciiTheme="majorHAnsi" w:eastAsia="Times New Roman" w:hAnsiTheme="majorHAnsi" w:cstheme="majorHAnsi"/>
          <w:b/>
          <w:bCs/>
          <w:color w:val="000000" w:themeColor="text1"/>
          <w:szCs w:val="28"/>
          <w:lang w:val="ro-RO"/>
        </w:rPr>
        <w:t>auditului asupra rapoartelor financiare consolidate ale Ministerului Finanțelor</w:t>
      </w:r>
    </w:p>
    <w:p w:rsidR="009D5986" w:rsidRPr="00200696" w:rsidRDefault="009D5986" w:rsidP="009D5986">
      <w:pPr>
        <w:tabs>
          <w:tab w:val="left" w:pos="0"/>
        </w:tabs>
        <w:spacing w:after="0" w:line="276" w:lineRule="auto"/>
        <w:jc w:val="center"/>
        <w:rPr>
          <w:rFonts w:asciiTheme="majorHAnsi" w:eastAsia="Times New Roman" w:hAnsiTheme="majorHAnsi" w:cstheme="majorHAnsi"/>
          <w:b/>
          <w:bCs/>
          <w:color w:val="000000" w:themeColor="text1"/>
          <w:szCs w:val="28"/>
          <w:lang w:val="ro-RO"/>
        </w:rPr>
      </w:pPr>
      <w:r w:rsidRPr="00200696">
        <w:rPr>
          <w:rFonts w:asciiTheme="majorHAnsi" w:eastAsia="Times New Roman" w:hAnsiTheme="majorHAnsi" w:cstheme="majorHAnsi"/>
          <w:b/>
          <w:bCs/>
          <w:color w:val="000000" w:themeColor="text1"/>
          <w:szCs w:val="28"/>
          <w:lang w:val="ro-RO"/>
        </w:rPr>
        <w:t>încheiate la 31 decembrie 2022</w:t>
      </w:r>
    </w:p>
    <w:p w:rsidR="001D7C38" w:rsidRPr="00200696" w:rsidRDefault="001D7C38">
      <w:pPr>
        <w:rPr>
          <w:color w:val="000000" w:themeColor="text1"/>
        </w:rPr>
      </w:pPr>
    </w:p>
    <w:p w:rsidR="009D5986" w:rsidRPr="00200696" w:rsidRDefault="009D5986">
      <w:pPr>
        <w:rPr>
          <w:color w:val="000000" w:themeColor="text1"/>
        </w:rPr>
      </w:pPr>
    </w:p>
    <w:p w:rsidR="009D5986" w:rsidRPr="00200696" w:rsidRDefault="009D5986">
      <w:pPr>
        <w:rPr>
          <w:color w:val="000000" w:themeColor="text1"/>
        </w:rPr>
      </w:pPr>
    </w:p>
    <w:p w:rsidR="009D5986" w:rsidRPr="00200696" w:rsidRDefault="009D5986">
      <w:pPr>
        <w:rPr>
          <w:color w:val="000000" w:themeColor="text1"/>
        </w:rPr>
      </w:pPr>
    </w:p>
    <w:p w:rsidR="009D5986" w:rsidRPr="00200696" w:rsidRDefault="009D5986">
      <w:pPr>
        <w:rPr>
          <w:color w:val="000000" w:themeColor="text1"/>
        </w:rPr>
      </w:pPr>
    </w:p>
    <w:p w:rsidR="009D5986" w:rsidRPr="00200696" w:rsidRDefault="009D5986">
      <w:pPr>
        <w:rPr>
          <w:color w:val="000000" w:themeColor="text1"/>
        </w:rPr>
      </w:pPr>
    </w:p>
    <w:p w:rsidR="009D5986" w:rsidRPr="00200696" w:rsidRDefault="009D5986">
      <w:pPr>
        <w:rPr>
          <w:color w:val="000000" w:themeColor="text1"/>
        </w:rPr>
      </w:pPr>
    </w:p>
    <w:p w:rsidR="00C22066" w:rsidRPr="00200696" w:rsidRDefault="00C22066">
      <w:pPr>
        <w:rPr>
          <w:color w:val="000000" w:themeColor="text1"/>
        </w:rPr>
      </w:pPr>
    </w:p>
    <w:p w:rsidR="009D5986" w:rsidRPr="00200696" w:rsidRDefault="009D5986" w:rsidP="009D5986">
      <w:pPr>
        <w:spacing w:after="0"/>
        <w:rPr>
          <w:rFonts w:asciiTheme="majorHAnsi" w:eastAsia="Times New Roman" w:hAnsiTheme="majorHAnsi" w:cstheme="majorHAnsi"/>
          <w:b/>
          <w:bCs/>
          <w:color w:val="000000" w:themeColor="text1"/>
          <w:szCs w:val="28"/>
          <w:lang w:val="ro-RO"/>
        </w:rPr>
      </w:pPr>
      <w:r w:rsidRPr="00200696">
        <w:rPr>
          <w:rFonts w:asciiTheme="majorHAnsi" w:eastAsia="Times New Roman" w:hAnsiTheme="majorHAnsi" w:cstheme="majorHAnsi"/>
          <w:b/>
          <w:color w:val="000000" w:themeColor="text1"/>
          <w:szCs w:val="28"/>
          <w:lang w:eastAsia="ru-RU"/>
        </w:rPr>
        <w:lastRenderedPageBreak/>
        <w:t xml:space="preserve">I. OPINIE </w:t>
      </w:r>
    </w:p>
    <w:p w:rsidR="009D5986" w:rsidRPr="00200696" w:rsidRDefault="009D5986" w:rsidP="009D5986">
      <w:pPr>
        <w:spacing w:after="120" w:line="276" w:lineRule="auto"/>
        <w:rPr>
          <w:rFonts w:asciiTheme="majorHAnsi" w:hAnsiTheme="majorHAnsi" w:cstheme="majorHAnsi"/>
          <w:color w:val="000000" w:themeColor="text1"/>
          <w:sz w:val="24"/>
          <w:szCs w:val="24"/>
          <w:shd w:val="clear" w:color="auto" w:fill="FFFFFF"/>
          <w:lang w:val="ro-RO" w:eastAsia="ja-JP"/>
        </w:rPr>
      </w:pPr>
      <w:r w:rsidRPr="00200696">
        <w:rPr>
          <w:rFonts w:asciiTheme="majorHAnsi" w:hAnsiTheme="majorHAnsi" w:cstheme="minorHAnsi"/>
          <w:color w:val="000000" w:themeColor="text1"/>
          <w:sz w:val="24"/>
          <w:szCs w:val="24"/>
          <w:lang w:val="ro-RO"/>
        </w:rPr>
        <w:t>Am auditat rapoartele financiare consolidate</w:t>
      </w:r>
      <w:r w:rsidRPr="00200696">
        <w:rPr>
          <w:rStyle w:val="a6"/>
          <w:rFonts w:asciiTheme="majorHAnsi" w:hAnsiTheme="majorHAnsi" w:cstheme="minorHAnsi"/>
          <w:color w:val="000000" w:themeColor="text1"/>
          <w:sz w:val="24"/>
          <w:szCs w:val="24"/>
          <w:lang w:val="ro-RO"/>
        </w:rPr>
        <w:t xml:space="preserve"> </w:t>
      </w:r>
      <w:r w:rsidRPr="00200696">
        <w:rPr>
          <w:rFonts w:asciiTheme="majorHAnsi" w:hAnsiTheme="majorHAnsi" w:cstheme="majorHAnsi"/>
          <w:color w:val="000000" w:themeColor="text1"/>
          <w:sz w:val="24"/>
          <w:szCs w:val="24"/>
          <w:lang w:val="ro-RO"/>
        </w:rPr>
        <w:t xml:space="preserve">ale </w:t>
      </w:r>
      <w:r w:rsidRPr="00200696">
        <w:rPr>
          <w:rFonts w:asciiTheme="majorHAnsi" w:hAnsiTheme="majorHAnsi" w:cstheme="majorHAnsi"/>
          <w:color w:val="000000" w:themeColor="text1"/>
          <w:sz w:val="24"/>
          <w:szCs w:val="24"/>
          <w:shd w:val="clear" w:color="auto" w:fill="FFFFFF"/>
          <w:lang w:val="ro-RO" w:eastAsia="ja-JP"/>
        </w:rPr>
        <w:t>Ministerului Finanțelor pentru exercițiul încheiat la 31 decembrie 2022, care cuprind Bilanțul contabil, Raportul privind veniturile și cheltuielile, Raportul privind fluxul mijloacelor bănești, Raportul privind executarea bugetului, Raportul narativ privind executarea bugetului pe anul 2022, inclusiv un sumar al politicilor contabile semnificative. În opinia noastră,</w:t>
      </w:r>
      <w:r w:rsidRPr="00200696">
        <w:rPr>
          <w:rFonts w:asciiTheme="majorHAnsi" w:hAnsiTheme="majorHAnsi" w:cs="Times New Roman"/>
          <w:color w:val="000000" w:themeColor="text1"/>
          <w:sz w:val="24"/>
          <w:szCs w:val="24"/>
          <w:lang w:val="ro-RO"/>
        </w:rPr>
        <w:t xml:space="preserve"> </w:t>
      </w:r>
      <w:r w:rsidRPr="00200696">
        <w:rPr>
          <w:rFonts w:asciiTheme="majorHAnsi" w:hAnsiTheme="majorHAnsi" w:cstheme="majorHAnsi"/>
          <w:color w:val="000000" w:themeColor="text1"/>
          <w:sz w:val="24"/>
          <w:szCs w:val="24"/>
          <w:shd w:val="clear" w:color="auto" w:fill="FFFFFF"/>
          <w:lang w:val="ro-RO" w:eastAsia="ja-JP"/>
        </w:rPr>
        <w:t>rapoartele financiare oferă, sub toate aspectele semnificative, o imagine corectă și fidelă în conformitate cu cadrul de raportare financiară aplicabil</w:t>
      </w:r>
      <w:r w:rsidRPr="00200696">
        <w:rPr>
          <w:rFonts w:asciiTheme="majorHAnsi" w:hAnsiTheme="majorHAnsi"/>
          <w:color w:val="000000" w:themeColor="text1"/>
          <w:sz w:val="24"/>
          <w:szCs w:val="24"/>
          <w:shd w:val="clear" w:color="auto" w:fill="FFFFFF"/>
          <w:vertAlign w:val="superscript"/>
          <w:lang w:val="ro-RO" w:eastAsia="ja-JP"/>
        </w:rPr>
        <w:footnoteReference w:id="1"/>
      </w:r>
      <w:r w:rsidRPr="00200696">
        <w:rPr>
          <w:rFonts w:asciiTheme="majorHAnsi" w:hAnsiTheme="majorHAnsi" w:cstheme="majorHAnsi"/>
          <w:color w:val="000000" w:themeColor="text1"/>
          <w:sz w:val="24"/>
          <w:szCs w:val="24"/>
          <w:shd w:val="clear" w:color="auto" w:fill="FFFFFF"/>
          <w:lang w:val="ro-RO" w:eastAsia="ja-JP"/>
        </w:rPr>
        <w:t>.</w:t>
      </w:r>
    </w:p>
    <w:p w:rsidR="009D5986" w:rsidRPr="00200696" w:rsidRDefault="009D5986" w:rsidP="009D5986">
      <w:pPr>
        <w:keepNext/>
        <w:keepLines/>
        <w:tabs>
          <w:tab w:val="left" w:pos="-284"/>
          <w:tab w:val="left" w:pos="270"/>
        </w:tabs>
        <w:spacing w:after="0" w:line="276" w:lineRule="auto"/>
        <w:outlineLvl w:val="0"/>
        <w:rPr>
          <w:rFonts w:asciiTheme="majorHAnsi" w:hAnsiTheme="majorHAnsi" w:cstheme="majorHAnsi"/>
          <w:b/>
          <w:color w:val="000000" w:themeColor="text1"/>
          <w:szCs w:val="28"/>
          <w:lang w:val="ro-RO" w:eastAsia="ru-RU"/>
        </w:rPr>
      </w:pPr>
      <w:bookmarkStart w:id="1" w:name="_Toc518977954"/>
      <w:bookmarkStart w:id="2" w:name="_Toc519878940"/>
      <w:r w:rsidRPr="00200696">
        <w:rPr>
          <w:rFonts w:asciiTheme="majorHAnsi" w:eastAsia="Times New Roman" w:hAnsiTheme="majorHAnsi" w:cstheme="majorHAnsi"/>
          <w:b/>
          <w:color w:val="000000" w:themeColor="text1"/>
          <w:szCs w:val="28"/>
          <w:lang w:val="ro-RO" w:eastAsia="ru-RU"/>
        </w:rPr>
        <w:t>II. BAZA PENTRU OPINI</w:t>
      </w:r>
      <w:bookmarkEnd w:id="1"/>
      <w:bookmarkEnd w:id="2"/>
      <w:r w:rsidRPr="00200696">
        <w:rPr>
          <w:rFonts w:asciiTheme="majorHAnsi" w:eastAsia="Times New Roman" w:hAnsiTheme="majorHAnsi" w:cstheme="majorHAnsi"/>
          <w:b/>
          <w:color w:val="000000" w:themeColor="text1"/>
          <w:szCs w:val="28"/>
          <w:lang w:val="ro-RO" w:eastAsia="ru-RU"/>
        </w:rPr>
        <w:t>E</w:t>
      </w:r>
      <w:bookmarkStart w:id="3" w:name="_Toc506212732"/>
    </w:p>
    <w:p w:rsidR="009D5986" w:rsidRPr="00200696" w:rsidRDefault="009D5986" w:rsidP="009D5986">
      <w:pPr>
        <w:pStyle w:val="a4"/>
        <w:tabs>
          <w:tab w:val="left" w:pos="90"/>
          <w:tab w:val="left" w:pos="270"/>
        </w:tabs>
        <w:spacing w:line="276" w:lineRule="auto"/>
        <w:rPr>
          <w:rFonts w:asciiTheme="majorHAnsi" w:hAnsiTheme="majorHAnsi"/>
          <w:color w:val="000000" w:themeColor="text1"/>
          <w:sz w:val="24"/>
          <w:szCs w:val="24"/>
          <w:lang w:val="ro-RO"/>
        </w:rPr>
      </w:pPr>
      <w:r w:rsidRPr="00200696">
        <w:rPr>
          <w:rFonts w:asciiTheme="majorHAnsi" w:hAnsiTheme="majorHAnsi"/>
          <w:color w:val="000000" w:themeColor="text1"/>
          <w:sz w:val="24"/>
          <w:szCs w:val="24"/>
          <w:lang w:val="ro-RO"/>
        </w:rPr>
        <w:t xml:space="preserve">Am realizat misiunea de audit </w:t>
      </w:r>
      <w:r w:rsidRPr="00200696">
        <w:rPr>
          <w:rFonts w:asciiTheme="majorHAnsi" w:hAnsiTheme="majorHAnsi" w:cs="Times New Roman"/>
          <w:color w:val="000000" w:themeColor="text1"/>
          <w:sz w:val="24"/>
          <w:szCs w:val="24"/>
          <w:lang w:val="ro-RO"/>
        </w:rPr>
        <w:t xml:space="preserve">în conformitate cu </w:t>
      </w:r>
      <w:r w:rsidRPr="00200696">
        <w:rPr>
          <w:rFonts w:asciiTheme="majorHAnsi" w:eastAsia="Times New Roman" w:hAnsiTheme="majorHAnsi" w:cs="Times New Roman"/>
          <w:color w:val="000000" w:themeColor="text1"/>
          <w:sz w:val="24"/>
          <w:szCs w:val="24"/>
          <w:lang w:val="ro-RO"/>
        </w:rPr>
        <w:t>Standardele Internaționale ale Instituțiilor Supreme de Audit</w:t>
      </w:r>
      <w:r w:rsidRPr="00200696">
        <w:rPr>
          <w:rStyle w:val="a6"/>
          <w:rFonts w:asciiTheme="majorHAnsi" w:eastAsia="Times New Roman" w:hAnsiTheme="majorHAnsi" w:cs="Times New Roman"/>
          <w:color w:val="000000" w:themeColor="text1"/>
          <w:sz w:val="24"/>
          <w:szCs w:val="24"/>
          <w:lang w:val="ro-RO"/>
        </w:rPr>
        <w:footnoteReference w:id="2"/>
      </w:r>
      <w:r w:rsidRPr="00200696">
        <w:rPr>
          <w:rFonts w:asciiTheme="majorHAnsi" w:eastAsia="Times New Roman" w:hAnsiTheme="majorHAnsi" w:cs="Times New Roman"/>
          <w:color w:val="000000" w:themeColor="text1"/>
          <w:sz w:val="24"/>
          <w:szCs w:val="24"/>
          <w:lang w:val="ro-RO"/>
        </w:rPr>
        <w:t xml:space="preserve">. </w:t>
      </w:r>
      <w:r w:rsidRPr="00200696">
        <w:rPr>
          <w:rFonts w:asciiTheme="majorHAnsi" w:hAnsiTheme="majorHAnsi" w:cs="Times New Roman"/>
          <w:color w:val="000000" w:themeColor="text1"/>
          <w:sz w:val="24"/>
          <w:szCs w:val="24"/>
          <w:lang w:val="ro-RO"/>
        </w:rPr>
        <w:t>Responsabilitățile noastre, potrivit standardelor respective, sunt descrise în Secțiunea VII</w:t>
      </w:r>
      <w:r w:rsidR="005273F7" w:rsidRPr="00200696">
        <w:rPr>
          <w:rFonts w:asciiTheme="majorHAnsi" w:hAnsiTheme="majorHAnsi" w:cs="Times New Roman"/>
          <w:color w:val="000000" w:themeColor="text1"/>
          <w:sz w:val="24"/>
          <w:szCs w:val="24"/>
          <w:lang w:val="ro-RO"/>
        </w:rPr>
        <w:t xml:space="preserve"> </w:t>
      </w:r>
      <w:r w:rsidRPr="00200696">
        <w:rPr>
          <w:rFonts w:asciiTheme="majorHAnsi" w:hAnsiTheme="majorHAnsi" w:cs="Times New Roman"/>
          <w:color w:val="000000" w:themeColor="text1"/>
          <w:sz w:val="24"/>
          <w:szCs w:val="24"/>
          <w:lang w:val="ro-RO"/>
        </w:rPr>
        <w:t xml:space="preserve"> Responsabilitățile auditorului într-un audit al rapoartelor financiare.</w:t>
      </w:r>
    </w:p>
    <w:p w:rsidR="009D5986" w:rsidRPr="00200696" w:rsidRDefault="009D5986" w:rsidP="009D5986">
      <w:pPr>
        <w:pStyle w:val="a4"/>
        <w:tabs>
          <w:tab w:val="left" w:pos="90"/>
          <w:tab w:val="left" w:pos="270"/>
        </w:tabs>
        <w:spacing w:after="120" w:line="276" w:lineRule="auto"/>
        <w:rPr>
          <w:rFonts w:asciiTheme="majorHAnsi" w:eastAsia="Times New Roman" w:hAnsiTheme="majorHAnsi" w:cs="Times New Roman"/>
          <w:color w:val="000000" w:themeColor="text1"/>
          <w:sz w:val="24"/>
          <w:szCs w:val="24"/>
          <w:lang w:val="ro-RO"/>
        </w:rPr>
      </w:pPr>
      <w:r w:rsidRPr="00200696">
        <w:rPr>
          <w:rFonts w:asciiTheme="majorHAnsi" w:hAnsiTheme="majorHAnsi" w:cs="Times New Roman"/>
          <w:color w:val="000000" w:themeColor="text1"/>
          <w:sz w:val="24"/>
          <w:szCs w:val="24"/>
          <w:lang w:val="ro-RO"/>
        </w:rPr>
        <w:t xml:space="preserve">Suntem independenți față de entitate și am îndeplinit responsabilitățile de etică în conformitate cu </w:t>
      </w:r>
      <w:r w:rsidRPr="00200696">
        <w:rPr>
          <w:rFonts w:asciiTheme="majorHAnsi" w:eastAsia="Times New Roman" w:hAnsiTheme="majorHAnsi" w:cs="Times New Roman"/>
          <w:color w:val="000000" w:themeColor="text1"/>
          <w:sz w:val="24"/>
          <w:szCs w:val="24"/>
          <w:lang w:val="ro-RO"/>
        </w:rPr>
        <w:t xml:space="preserve">cerințele Codului etic al Curții de Conturi. </w:t>
      </w:r>
      <w:r w:rsidRPr="00200696">
        <w:rPr>
          <w:rFonts w:asciiTheme="majorHAnsi" w:hAnsiTheme="majorHAnsi" w:cs="Times New Roman"/>
          <w:color w:val="000000" w:themeColor="text1"/>
          <w:sz w:val="24"/>
          <w:szCs w:val="24"/>
          <w:lang w:val="ro-RO"/>
        </w:rPr>
        <w:t>Considerăm că constatările de audit pe care le-am obținut sunt suficiente și adecvate pentru a furniza o bază pentru opinia noastră.</w:t>
      </w:r>
      <w:r w:rsidRPr="00200696">
        <w:rPr>
          <w:rFonts w:asciiTheme="majorHAnsi" w:eastAsia="Times New Roman" w:hAnsiTheme="majorHAnsi" w:cs="Times New Roman"/>
          <w:color w:val="000000" w:themeColor="text1"/>
          <w:sz w:val="24"/>
          <w:szCs w:val="24"/>
          <w:lang w:val="ro-RO"/>
        </w:rPr>
        <w:t xml:space="preserve"> </w:t>
      </w:r>
    </w:p>
    <w:p w:rsidR="009D5986" w:rsidRPr="00200696" w:rsidRDefault="009D5986" w:rsidP="009D5986">
      <w:pPr>
        <w:tabs>
          <w:tab w:val="left" w:pos="-238"/>
          <w:tab w:val="left" w:pos="90"/>
          <w:tab w:val="left" w:pos="360"/>
        </w:tabs>
        <w:spacing w:after="0" w:line="276" w:lineRule="auto"/>
        <w:jc w:val="left"/>
        <w:rPr>
          <w:rFonts w:asciiTheme="majorHAnsi" w:hAnsiTheme="majorHAnsi" w:cstheme="minorHAnsi"/>
          <w:b/>
          <w:bCs/>
          <w:color w:val="000000" w:themeColor="text1"/>
          <w:szCs w:val="28"/>
          <w:lang w:val="ro-RO"/>
        </w:rPr>
      </w:pPr>
      <w:r w:rsidRPr="00200696">
        <w:rPr>
          <w:rFonts w:asciiTheme="majorHAnsi" w:hAnsiTheme="majorHAnsi" w:cstheme="minorHAnsi"/>
          <w:b/>
          <w:bCs/>
          <w:color w:val="000000" w:themeColor="text1"/>
          <w:szCs w:val="28"/>
          <w:lang w:val="ro-RO"/>
        </w:rPr>
        <w:t>III. ASPECTELE-CHEIE DE AUDIT</w:t>
      </w:r>
    </w:p>
    <w:p w:rsidR="009D5986" w:rsidRPr="00200696" w:rsidRDefault="009D5986" w:rsidP="009D5986">
      <w:pPr>
        <w:tabs>
          <w:tab w:val="left" w:pos="90"/>
        </w:tabs>
        <w:spacing w:after="120" w:line="276" w:lineRule="auto"/>
        <w:rPr>
          <w:rFonts w:asciiTheme="majorHAnsi" w:eastAsia="Calibri" w:hAnsiTheme="majorHAnsi" w:cstheme="majorHAnsi"/>
          <w:color w:val="000000" w:themeColor="text1"/>
          <w:sz w:val="24"/>
          <w:szCs w:val="24"/>
          <w:lang w:val="ro-RO"/>
        </w:rPr>
      </w:pPr>
      <w:r w:rsidRPr="00200696">
        <w:rPr>
          <w:rFonts w:asciiTheme="majorHAnsi" w:hAnsiTheme="majorHAnsi" w:cstheme="majorHAnsi"/>
          <w:color w:val="000000" w:themeColor="text1"/>
          <w:sz w:val="24"/>
          <w:szCs w:val="24"/>
          <w:lang w:val="ro-RO"/>
        </w:rPr>
        <w:t xml:space="preserve">Aspectele-cheie de audit sunt acele aspecte care, în baza raționamentului nostru profesional, au avut o importanță majoră pentru auditul rapoartelor financiare consolidate ale </w:t>
      </w:r>
      <w:r w:rsidRPr="00200696">
        <w:rPr>
          <w:rFonts w:asciiTheme="majorHAnsi" w:hAnsiTheme="majorHAnsi" w:cstheme="majorHAnsi"/>
          <w:color w:val="000000" w:themeColor="text1"/>
          <w:sz w:val="24"/>
          <w:szCs w:val="24"/>
          <w:shd w:val="clear" w:color="auto" w:fill="FFFFFF"/>
          <w:lang w:val="ro-RO" w:eastAsia="ja-JP"/>
        </w:rPr>
        <w:t>Ministerului Finanțelor</w:t>
      </w:r>
      <w:r w:rsidRPr="00200696" w:rsidDel="00560587">
        <w:rPr>
          <w:rFonts w:asciiTheme="majorHAnsi" w:hAnsiTheme="majorHAnsi" w:cstheme="majorHAnsi"/>
          <w:color w:val="000000" w:themeColor="text1"/>
          <w:sz w:val="24"/>
          <w:szCs w:val="24"/>
          <w:lang w:val="ro-RO"/>
        </w:rPr>
        <w:t xml:space="preserve"> </w:t>
      </w:r>
      <w:r w:rsidRPr="00200696">
        <w:rPr>
          <w:rFonts w:asciiTheme="majorHAnsi" w:hAnsiTheme="majorHAnsi" w:cstheme="majorHAnsi"/>
          <w:color w:val="000000" w:themeColor="text1"/>
          <w:sz w:val="24"/>
          <w:szCs w:val="24"/>
          <w:lang w:val="ro-RO"/>
        </w:rPr>
        <w:t>încheiate la 31 decembrie 2022. Aceste aspecte au fost abordate în contextul auditului rapoartelor financiare în ansamblu și al formării opiniei noastre asupra acestora, și nu oferim o opinie separată despre aspectele date.</w:t>
      </w:r>
      <w:r w:rsidRPr="00200696">
        <w:rPr>
          <w:rFonts w:asciiTheme="majorHAnsi" w:eastAsia="Calibri" w:hAnsiTheme="majorHAnsi" w:cstheme="majorHAnsi"/>
          <w:color w:val="000000" w:themeColor="text1"/>
          <w:sz w:val="24"/>
          <w:szCs w:val="24"/>
          <w:lang w:val="ro-RO"/>
        </w:rPr>
        <w:t xml:space="preserve"> </w:t>
      </w:r>
      <w:bookmarkEnd w:id="3"/>
    </w:p>
    <w:p w:rsidR="009D5986" w:rsidRPr="00200696" w:rsidRDefault="009D5986" w:rsidP="009D5986">
      <w:pPr>
        <w:tabs>
          <w:tab w:val="left" w:pos="-182"/>
          <w:tab w:val="left" w:pos="360"/>
          <w:tab w:val="left" w:pos="450"/>
        </w:tabs>
        <w:spacing w:after="0" w:line="276" w:lineRule="auto"/>
        <w:rPr>
          <w:rFonts w:asciiTheme="majorHAnsi" w:eastAsia="Calibri" w:hAnsiTheme="majorHAnsi" w:cstheme="majorHAnsi"/>
          <w:b/>
          <w:color w:val="000000" w:themeColor="text1"/>
          <w:szCs w:val="28"/>
          <w:lang w:val="ro-RO"/>
        </w:rPr>
      </w:pPr>
      <w:r w:rsidRPr="00200696">
        <w:rPr>
          <w:rFonts w:asciiTheme="majorHAnsi" w:eastAsia="Calibri" w:hAnsiTheme="majorHAnsi" w:cstheme="majorHAnsi"/>
          <w:b/>
          <w:color w:val="000000" w:themeColor="text1"/>
          <w:szCs w:val="28"/>
          <w:lang w:val="ro-RO"/>
        </w:rPr>
        <w:t>IV.</w:t>
      </w:r>
      <w:r w:rsidRPr="00200696">
        <w:rPr>
          <w:rFonts w:asciiTheme="majorHAnsi" w:eastAsia="Calibri" w:hAnsiTheme="majorHAnsi" w:cstheme="majorHAnsi"/>
          <w:b/>
          <w:color w:val="000000" w:themeColor="text1"/>
          <w:szCs w:val="28"/>
          <w:lang w:val="ro-RO"/>
        </w:rPr>
        <w:tab/>
        <w:t>ALTE INFORMAȚII</w:t>
      </w:r>
    </w:p>
    <w:p w:rsidR="00C22066" w:rsidRPr="00200696" w:rsidRDefault="009D5986" w:rsidP="00C22066">
      <w:pPr>
        <w:spacing w:line="276" w:lineRule="auto"/>
        <w:rPr>
          <w:rFonts w:asciiTheme="majorHAnsi" w:hAnsiTheme="majorHAnsi" w:cstheme="majorHAnsi"/>
          <w:color w:val="000000" w:themeColor="text1"/>
          <w:sz w:val="24"/>
          <w:szCs w:val="24"/>
          <w:lang w:val="ro-MD"/>
        </w:rPr>
      </w:pPr>
      <w:r w:rsidRPr="00200696">
        <w:rPr>
          <w:rFonts w:asciiTheme="majorHAnsi" w:hAnsiTheme="majorHAnsi"/>
          <w:b/>
          <w:color w:val="000000" w:themeColor="text1"/>
          <w:sz w:val="24"/>
          <w:szCs w:val="24"/>
          <w:lang w:val="ro-RO"/>
        </w:rPr>
        <w:t>4.1.</w:t>
      </w:r>
      <w:r w:rsidR="00DB4325" w:rsidRPr="00200696">
        <w:rPr>
          <w:rFonts w:asciiTheme="majorHAnsi" w:hAnsiTheme="majorHAnsi"/>
          <w:color w:val="000000" w:themeColor="text1"/>
          <w:sz w:val="24"/>
          <w:szCs w:val="24"/>
          <w:lang w:val="ro-RO"/>
        </w:rPr>
        <w:t xml:space="preserve"> </w:t>
      </w:r>
      <w:r w:rsidR="00DB4325" w:rsidRPr="00200696">
        <w:rPr>
          <w:rFonts w:asciiTheme="majorHAnsi" w:hAnsiTheme="majorHAnsi" w:cstheme="majorHAnsi"/>
          <w:color w:val="000000" w:themeColor="text1"/>
          <w:sz w:val="24"/>
          <w:szCs w:val="24"/>
          <w:lang w:val="ro-RO"/>
        </w:rPr>
        <w:t xml:space="preserve">Recunoașterea, </w:t>
      </w:r>
      <w:r w:rsidR="001337F0" w:rsidRPr="00200696">
        <w:rPr>
          <w:rFonts w:asciiTheme="majorHAnsi" w:hAnsiTheme="majorHAnsi" w:cstheme="majorHAnsi"/>
          <w:color w:val="000000" w:themeColor="text1"/>
          <w:sz w:val="24"/>
          <w:szCs w:val="24"/>
          <w:lang w:val="ro-RO"/>
        </w:rPr>
        <w:t xml:space="preserve">clasificarea incorectă și raportarea neveridică </w:t>
      </w:r>
      <w:r w:rsidR="00DB4325" w:rsidRPr="00200696">
        <w:rPr>
          <w:rFonts w:asciiTheme="majorHAnsi" w:hAnsiTheme="majorHAnsi" w:cstheme="majorHAnsi"/>
          <w:color w:val="000000" w:themeColor="text1"/>
          <w:sz w:val="24"/>
          <w:szCs w:val="24"/>
          <w:lang w:val="ro-RO"/>
        </w:rPr>
        <w:t>a unor active nefinanciare în sumă de 9,5 mil.lei de către 4 instituții din subordinea Ministerului Finanțelor</w:t>
      </w:r>
      <w:r w:rsidR="00DB4325" w:rsidRPr="00200696">
        <w:rPr>
          <w:rStyle w:val="a6"/>
          <w:rFonts w:asciiTheme="majorHAnsi" w:hAnsiTheme="majorHAnsi" w:cstheme="majorHAnsi"/>
          <w:color w:val="000000" w:themeColor="text1"/>
          <w:sz w:val="24"/>
          <w:szCs w:val="24"/>
          <w:lang w:val="ro-RO"/>
        </w:rPr>
        <w:footnoteReference w:id="3"/>
      </w:r>
      <w:r w:rsidR="00DB4325" w:rsidRPr="00200696">
        <w:rPr>
          <w:rFonts w:asciiTheme="majorHAnsi" w:hAnsiTheme="majorHAnsi" w:cstheme="majorHAnsi"/>
          <w:color w:val="000000" w:themeColor="text1"/>
          <w:sz w:val="24"/>
          <w:szCs w:val="24"/>
          <w:lang w:val="ro-RO"/>
        </w:rPr>
        <w:t xml:space="preserve">, din </w:t>
      </w:r>
      <w:r w:rsidR="00DB4325" w:rsidRPr="00200696">
        <w:rPr>
          <w:rFonts w:asciiTheme="majorHAnsi" w:hAnsiTheme="majorHAnsi" w:cstheme="majorHAnsi"/>
          <w:color w:val="000000" w:themeColor="text1"/>
          <w:sz w:val="24"/>
          <w:szCs w:val="24"/>
          <w:shd w:val="clear" w:color="auto" w:fill="FFFFFF"/>
          <w:lang w:val="ro-RO"/>
        </w:rPr>
        <w:t xml:space="preserve">cauza </w:t>
      </w:r>
      <w:r w:rsidR="00DB4325" w:rsidRPr="00200696">
        <w:rPr>
          <w:rFonts w:asciiTheme="majorHAnsi" w:eastAsia="Times New Roman" w:hAnsiTheme="majorHAnsi" w:cstheme="majorHAnsi"/>
          <w:color w:val="000000" w:themeColor="text1"/>
          <w:sz w:val="24"/>
          <w:szCs w:val="24"/>
          <w:lang w:val="ro-RO"/>
        </w:rPr>
        <w:t>interpretării eronate și neunivoce a prevederilor normelor metodologice</w:t>
      </w:r>
      <w:r w:rsidR="00456624" w:rsidRPr="00200696">
        <w:rPr>
          <w:rStyle w:val="a6"/>
          <w:rFonts w:asciiTheme="majorHAnsi" w:hAnsiTheme="majorHAnsi" w:cstheme="majorHAnsi"/>
          <w:color w:val="000000" w:themeColor="text1"/>
          <w:sz w:val="24"/>
          <w:szCs w:val="24"/>
          <w:lang w:val="ro-MD"/>
        </w:rPr>
        <w:footnoteReference w:id="4"/>
      </w:r>
      <w:r w:rsidR="00456624" w:rsidRPr="00200696">
        <w:rPr>
          <w:rFonts w:asciiTheme="majorHAnsi" w:hAnsiTheme="majorHAnsi" w:cstheme="majorHAnsi"/>
          <w:color w:val="000000" w:themeColor="text1"/>
          <w:sz w:val="24"/>
          <w:szCs w:val="24"/>
          <w:lang w:val="ro-MD"/>
        </w:rPr>
        <w:t xml:space="preserve">, </w:t>
      </w:r>
      <w:r w:rsidR="00DB4325" w:rsidRPr="00200696">
        <w:rPr>
          <w:rFonts w:asciiTheme="majorHAnsi" w:eastAsia="Times New Roman" w:hAnsiTheme="majorHAnsi" w:cstheme="majorHAnsi"/>
          <w:color w:val="000000" w:themeColor="text1"/>
          <w:sz w:val="24"/>
          <w:szCs w:val="24"/>
          <w:lang w:val="ro-RO"/>
        </w:rPr>
        <w:t xml:space="preserve">au </w:t>
      </w:r>
      <w:r w:rsidR="00456624" w:rsidRPr="00200696">
        <w:rPr>
          <w:rFonts w:asciiTheme="majorHAnsi" w:eastAsia="Times New Roman" w:hAnsiTheme="majorHAnsi" w:cstheme="majorHAnsi"/>
          <w:color w:val="000000" w:themeColor="text1"/>
          <w:sz w:val="24"/>
          <w:szCs w:val="24"/>
          <w:lang w:val="ro-MD"/>
        </w:rPr>
        <w:t>denaturat</w:t>
      </w:r>
      <w:r w:rsidR="00456624" w:rsidRPr="00200696">
        <w:rPr>
          <w:rFonts w:asciiTheme="majorHAnsi" w:hAnsiTheme="majorHAnsi" w:cstheme="majorHAnsi"/>
          <w:color w:val="000000" w:themeColor="text1"/>
          <w:sz w:val="24"/>
          <w:szCs w:val="24"/>
          <w:lang w:val="ro-RO"/>
        </w:rPr>
        <w:t xml:space="preserve"> nesemnificativ </w:t>
      </w:r>
      <w:r w:rsidR="005273F7" w:rsidRPr="00200696">
        <w:rPr>
          <w:rFonts w:asciiTheme="majorHAnsi" w:eastAsia="Times New Roman" w:hAnsiTheme="majorHAnsi" w:cstheme="majorHAnsi"/>
          <w:color w:val="000000" w:themeColor="text1"/>
          <w:sz w:val="24"/>
          <w:szCs w:val="24"/>
          <w:lang w:val="ro-MD"/>
        </w:rPr>
        <w:t>cu suma menționată</w:t>
      </w:r>
      <w:r w:rsidR="005273F7" w:rsidRPr="00200696">
        <w:rPr>
          <w:rFonts w:asciiTheme="majorHAnsi" w:eastAsia="Times New Roman" w:hAnsiTheme="majorHAnsi" w:cstheme="majorHAnsi"/>
          <w:color w:val="000000" w:themeColor="text1"/>
          <w:sz w:val="24"/>
          <w:szCs w:val="24"/>
          <w:lang w:val="ro-RO"/>
        </w:rPr>
        <w:t xml:space="preserve"> </w:t>
      </w:r>
      <w:r w:rsidR="00456624" w:rsidRPr="00200696">
        <w:rPr>
          <w:rFonts w:asciiTheme="majorHAnsi" w:eastAsia="Times New Roman" w:hAnsiTheme="majorHAnsi" w:cstheme="majorHAnsi"/>
          <w:color w:val="000000" w:themeColor="text1"/>
          <w:sz w:val="24"/>
          <w:szCs w:val="24"/>
          <w:lang w:val="ro-RO"/>
        </w:rPr>
        <w:t xml:space="preserve">soldurile </w:t>
      </w:r>
      <w:r w:rsidR="00456624" w:rsidRPr="00200696">
        <w:rPr>
          <w:rFonts w:asciiTheme="majorHAnsi" w:eastAsia="Times New Roman" w:hAnsiTheme="majorHAnsi" w:cstheme="majorHAnsi"/>
          <w:color w:val="000000" w:themeColor="text1"/>
          <w:sz w:val="24"/>
          <w:szCs w:val="24"/>
          <w:lang w:val="ro-MD"/>
        </w:rPr>
        <w:t>unor grupuri de conturi</w:t>
      </w:r>
      <w:r w:rsidR="00456624" w:rsidRPr="00200696">
        <w:rPr>
          <w:rStyle w:val="a6"/>
          <w:rFonts w:asciiTheme="majorHAnsi" w:eastAsia="Times New Roman" w:hAnsiTheme="majorHAnsi" w:cstheme="majorHAnsi"/>
          <w:color w:val="000000" w:themeColor="text1"/>
          <w:sz w:val="24"/>
          <w:szCs w:val="24"/>
          <w:lang w:val="ro-MD"/>
        </w:rPr>
        <w:footnoteReference w:id="5"/>
      </w:r>
      <w:r w:rsidR="00456624" w:rsidRPr="00200696">
        <w:rPr>
          <w:rFonts w:asciiTheme="majorHAnsi" w:eastAsia="Times New Roman" w:hAnsiTheme="majorHAnsi" w:cstheme="majorHAnsi"/>
          <w:color w:val="000000" w:themeColor="text1"/>
          <w:sz w:val="24"/>
          <w:szCs w:val="24"/>
          <w:lang w:val="ro-MD"/>
        </w:rPr>
        <w:t xml:space="preserve"> din raportul financiar consolidat. </w:t>
      </w:r>
    </w:p>
    <w:p w:rsidR="000D243F" w:rsidRPr="00200696" w:rsidRDefault="00C4698B" w:rsidP="00C22066">
      <w:pPr>
        <w:spacing w:line="276" w:lineRule="auto"/>
        <w:rPr>
          <w:rFonts w:asciiTheme="majorHAnsi" w:hAnsiTheme="majorHAnsi" w:cstheme="majorHAnsi"/>
          <w:color w:val="000000" w:themeColor="text1"/>
          <w:sz w:val="24"/>
          <w:szCs w:val="24"/>
          <w:lang w:val="ro-RO"/>
        </w:rPr>
      </w:pPr>
      <w:r w:rsidRPr="00200696">
        <w:rPr>
          <w:rFonts w:asciiTheme="majorHAnsi" w:hAnsiTheme="majorHAnsi" w:cstheme="majorHAnsi"/>
          <w:b/>
          <w:color w:val="000000" w:themeColor="text1"/>
          <w:sz w:val="24"/>
          <w:szCs w:val="24"/>
          <w:lang w:val="ro-RO"/>
        </w:rPr>
        <w:t>4.2</w:t>
      </w:r>
      <w:r w:rsidRPr="00200696">
        <w:rPr>
          <w:rFonts w:asciiTheme="majorHAnsi" w:hAnsiTheme="majorHAnsi" w:cstheme="majorHAnsi"/>
          <w:color w:val="000000" w:themeColor="text1"/>
          <w:sz w:val="24"/>
          <w:szCs w:val="24"/>
          <w:lang w:val="ro-RO"/>
        </w:rPr>
        <w:t xml:space="preserve">. </w:t>
      </w:r>
      <w:r w:rsidR="00E04CEF" w:rsidRPr="00200696">
        <w:rPr>
          <w:rFonts w:asciiTheme="majorHAnsi" w:hAnsiTheme="majorHAnsi" w:cstheme="majorHAnsi"/>
          <w:color w:val="000000" w:themeColor="text1"/>
          <w:sz w:val="24"/>
          <w:szCs w:val="24"/>
          <w:lang w:val="ro-RO"/>
        </w:rPr>
        <w:t xml:space="preserve">Recunoașterea, </w:t>
      </w:r>
      <w:r w:rsidR="001337F0" w:rsidRPr="00200696">
        <w:rPr>
          <w:rFonts w:asciiTheme="majorHAnsi" w:hAnsiTheme="majorHAnsi" w:cstheme="majorHAnsi"/>
          <w:color w:val="000000" w:themeColor="text1"/>
          <w:sz w:val="24"/>
          <w:szCs w:val="24"/>
          <w:lang w:val="ro-RO"/>
        </w:rPr>
        <w:t xml:space="preserve">clasificarea și atribuirea incorectă </w:t>
      </w:r>
      <w:r w:rsidR="00E04CEF" w:rsidRPr="00200696">
        <w:rPr>
          <w:rFonts w:asciiTheme="majorHAnsi" w:hAnsiTheme="majorHAnsi" w:cstheme="majorHAnsi"/>
          <w:color w:val="000000" w:themeColor="text1"/>
          <w:sz w:val="24"/>
          <w:szCs w:val="24"/>
          <w:lang w:val="ro-RO"/>
        </w:rPr>
        <w:t>a unor cheltuieli de 0,7 mil.lei de către Serviciul V</w:t>
      </w:r>
      <w:r w:rsidR="00A951A3" w:rsidRPr="00200696">
        <w:rPr>
          <w:rFonts w:asciiTheme="majorHAnsi" w:hAnsiTheme="majorHAnsi" w:cstheme="majorHAnsi"/>
          <w:color w:val="000000" w:themeColor="text1"/>
          <w:sz w:val="24"/>
          <w:szCs w:val="24"/>
          <w:lang w:val="ro-RO"/>
        </w:rPr>
        <w:t>amal</w:t>
      </w:r>
      <w:r w:rsidR="001337F0" w:rsidRPr="00200696">
        <w:rPr>
          <w:rFonts w:asciiTheme="majorHAnsi" w:hAnsiTheme="majorHAnsi" w:cstheme="majorHAnsi"/>
          <w:color w:val="000000" w:themeColor="text1"/>
          <w:sz w:val="24"/>
          <w:szCs w:val="24"/>
          <w:lang w:val="ro-RO"/>
        </w:rPr>
        <w:t>,</w:t>
      </w:r>
      <w:r w:rsidR="00E04CEF" w:rsidRPr="00200696">
        <w:rPr>
          <w:rFonts w:asciiTheme="majorHAnsi" w:hAnsiTheme="majorHAnsi" w:cstheme="majorHAnsi"/>
          <w:color w:val="000000" w:themeColor="text1"/>
          <w:sz w:val="24"/>
          <w:szCs w:val="24"/>
          <w:lang w:val="ro-RO"/>
        </w:rPr>
        <w:t xml:space="preserve"> </w:t>
      </w:r>
      <w:r w:rsidR="000D243F" w:rsidRPr="00200696">
        <w:rPr>
          <w:rFonts w:asciiTheme="majorHAnsi" w:hAnsiTheme="majorHAnsi" w:cstheme="majorHAnsi"/>
          <w:color w:val="000000" w:themeColor="text1"/>
          <w:sz w:val="24"/>
          <w:szCs w:val="24"/>
          <w:lang w:val="ro-RO"/>
        </w:rPr>
        <w:t xml:space="preserve">din </w:t>
      </w:r>
      <w:r w:rsidR="000D243F" w:rsidRPr="00200696">
        <w:rPr>
          <w:rFonts w:asciiTheme="majorHAnsi" w:hAnsiTheme="majorHAnsi" w:cstheme="majorHAnsi"/>
          <w:color w:val="000000" w:themeColor="text1"/>
          <w:sz w:val="24"/>
          <w:szCs w:val="24"/>
          <w:shd w:val="clear" w:color="auto" w:fill="FFFFFF"/>
          <w:lang w:val="ro-RO"/>
        </w:rPr>
        <w:t xml:space="preserve">cauza </w:t>
      </w:r>
      <w:r w:rsidR="000D243F" w:rsidRPr="00200696">
        <w:rPr>
          <w:rFonts w:asciiTheme="majorHAnsi" w:eastAsia="Times New Roman" w:hAnsiTheme="majorHAnsi" w:cstheme="majorHAnsi"/>
          <w:color w:val="000000" w:themeColor="text1"/>
          <w:sz w:val="24"/>
          <w:szCs w:val="24"/>
          <w:lang w:val="ro-RO"/>
        </w:rPr>
        <w:t>interpretării eronate și neunivoce a prevederilor normelor metodologice</w:t>
      </w:r>
      <w:r w:rsidR="000D243F" w:rsidRPr="00200696">
        <w:rPr>
          <w:rStyle w:val="a6"/>
          <w:rFonts w:asciiTheme="majorHAnsi" w:hAnsiTheme="majorHAnsi" w:cstheme="majorHAnsi"/>
          <w:color w:val="000000" w:themeColor="text1"/>
          <w:sz w:val="24"/>
          <w:szCs w:val="24"/>
          <w:lang w:val="ro-MD"/>
        </w:rPr>
        <w:footnoteReference w:id="6"/>
      </w:r>
      <w:r w:rsidR="000D243F" w:rsidRPr="00200696">
        <w:rPr>
          <w:rFonts w:asciiTheme="majorHAnsi" w:hAnsiTheme="majorHAnsi" w:cstheme="majorHAnsi"/>
          <w:color w:val="000000" w:themeColor="text1"/>
          <w:sz w:val="24"/>
          <w:szCs w:val="24"/>
          <w:lang w:val="ro-MD"/>
        </w:rPr>
        <w:t xml:space="preserve">, </w:t>
      </w:r>
      <w:r w:rsidR="000D243F" w:rsidRPr="00200696">
        <w:rPr>
          <w:rFonts w:asciiTheme="majorHAnsi" w:eastAsia="Times New Roman" w:hAnsiTheme="majorHAnsi" w:cstheme="majorHAnsi"/>
          <w:color w:val="000000" w:themeColor="text1"/>
          <w:sz w:val="24"/>
          <w:szCs w:val="24"/>
          <w:lang w:val="ro-RO"/>
        </w:rPr>
        <w:t>au afectat inteligibilitatea informațiilor respective</w:t>
      </w:r>
      <w:r w:rsidR="00C64FBF" w:rsidRPr="00200696">
        <w:rPr>
          <w:rFonts w:asciiTheme="majorHAnsi" w:eastAsia="Times New Roman" w:hAnsiTheme="majorHAnsi" w:cstheme="majorHAnsi"/>
          <w:color w:val="000000" w:themeColor="text1"/>
          <w:sz w:val="24"/>
          <w:szCs w:val="24"/>
          <w:lang w:val="ro-RO"/>
        </w:rPr>
        <w:t xml:space="preserve"> din rapoartele financiare consolidate</w:t>
      </w:r>
      <w:r w:rsidR="000B0057" w:rsidRPr="00200696">
        <w:rPr>
          <w:rStyle w:val="a6"/>
          <w:rFonts w:asciiTheme="majorHAnsi" w:eastAsia="Times New Roman" w:hAnsiTheme="majorHAnsi" w:cstheme="majorHAnsi"/>
          <w:color w:val="000000" w:themeColor="text1"/>
          <w:sz w:val="24"/>
          <w:szCs w:val="24"/>
          <w:lang w:val="ro-RO"/>
        </w:rPr>
        <w:footnoteReference w:id="7"/>
      </w:r>
      <w:r w:rsidR="000D243F" w:rsidRPr="00200696">
        <w:rPr>
          <w:rFonts w:asciiTheme="majorHAnsi" w:eastAsia="Times New Roman" w:hAnsiTheme="majorHAnsi" w:cstheme="majorHAnsi"/>
          <w:color w:val="000000" w:themeColor="text1"/>
          <w:sz w:val="24"/>
          <w:szCs w:val="24"/>
          <w:lang w:val="ro-RO"/>
        </w:rPr>
        <w:t>.</w:t>
      </w:r>
      <w:r w:rsidR="000D243F" w:rsidRPr="00200696">
        <w:rPr>
          <w:rFonts w:asciiTheme="majorHAnsi" w:eastAsia="Times New Roman" w:hAnsiTheme="majorHAnsi" w:cstheme="majorHAnsi"/>
          <w:color w:val="000000" w:themeColor="text1"/>
          <w:sz w:val="24"/>
          <w:szCs w:val="24"/>
          <w:lang w:val="ro-MD"/>
        </w:rPr>
        <w:t xml:space="preserve"> </w:t>
      </w:r>
    </w:p>
    <w:p w:rsidR="005A273A" w:rsidRPr="00200696" w:rsidRDefault="005A273A" w:rsidP="005A273A">
      <w:pPr>
        <w:tabs>
          <w:tab w:val="left" w:pos="90"/>
          <w:tab w:val="left" w:pos="270"/>
        </w:tabs>
        <w:spacing w:after="120" w:line="276" w:lineRule="auto"/>
        <w:rPr>
          <w:rFonts w:asciiTheme="majorHAnsi" w:hAnsiTheme="majorHAnsi" w:cstheme="majorHAnsi"/>
          <w:b/>
          <w:color w:val="000000" w:themeColor="text1"/>
          <w:szCs w:val="28"/>
          <w:lang w:val="ro-RO"/>
        </w:rPr>
      </w:pPr>
      <w:r w:rsidRPr="00200696">
        <w:rPr>
          <w:rFonts w:asciiTheme="majorHAnsi" w:hAnsiTheme="majorHAnsi" w:cstheme="majorHAnsi"/>
          <w:b/>
          <w:color w:val="000000" w:themeColor="text1"/>
          <w:szCs w:val="28"/>
          <w:lang w:val="ro-RO"/>
        </w:rPr>
        <w:t>V.</w:t>
      </w:r>
      <w:r w:rsidRPr="00200696">
        <w:rPr>
          <w:rFonts w:asciiTheme="majorHAnsi" w:hAnsiTheme="majorHAnsi" w:cstheme="majorHAnsi"/>
          <w:b/>
          <w:color w:val="000000" w:themeColor="text1"/>
          <w:szCs w:val="28"/>
          <w:lang w:val="ro-RO"/>
        </w:rPr>
        <w:tab/>
        <w:t>BUNA GUVERNANȚĂ</w:t>
      </w:r>
    </w:p>
    <w:p w:rsidR="005A273A" w:rsidRPr="00200696" w:rsidRDefault="005A273A" w:rsidP="005A273A">
      <w:pPr>
        <w:tabs>
          <w:tab w:val="left" w:pos="90"/>
        </w:tabs>
        <w:spacing w:after="120" w:line="276" w:lineRule="auto"/>
        <w:rPr>
          <w:rFonts w:asciiTheme="majorHAnsi" w:hAnsiTheme="majorHAnsi" w:cstheme="majorHAnsi"/>
          <w:color w:val="000000" w:themeColor="text1"/>
          <w:sz w:val="24"/>
          <w:szCs w:val="24"/>
          <w:lang w:val="ro-RO"/>
        </w:rPr>
      </w:pPr>
      <w:r w:rsidRPr="00200696">
        <w:rPr>
          <w:rFonts w:asciiTheme="majorHAnsi" w:hAnsiTheme="majorHAnsi" w:cstheme="majorHAnsi"/>
          <w:b/>
          <w:color w:val="000000" w:themeColor="text1"/>
          <w:sz w:val="24"/>
          <w:szCs w:val="24"/>
          <w:lang w:val="ro-MD"/>
        </w:rPr>
        <w:t>5.1.</w:t>
      </w:r>
      <w:r w:rsidRPr="00200696">
        <w:rPr>
          <w:rFonts w:asciiTheme="majorHAnsi" w:hAnsiTheme="majorHAnsi" w:cstheme="majorHAnsi"/>
          <w:color w:val="000000" w:themeColor="text1"/>
          <w:sz w:val="24"/>
          <w:szCs w:val="24"/>
          <w:lang w:val="ro-MD"/>
        </w:rPr>
        <w:t xml:space="preserve"> </w:t>
      </w:r>
      <w:r w:rsidR="00C30651" w:rsidRPr="00200696">
        <w:rPr>
          <w:rFonts w:asciiTheme="majorHAnsi" w:hAnsiTheme="majorHAnsi" w:cstheme="majorHAnsi"/>
          <w:color w:val="000000" w:themeColor="text1"/>
          <w:sz w:val="24"/>
          <w:szCs w:val="24"/>
          <w:lang w:val="ro-MD"/>
        </w:rPr>
        <w:t>Potrivit declarației de răspundere managerială pentru anul 2022, M</w:t>
      </w:r>
      <w:r w:rsidR="00A7057D" w:rsidRPr="00200696">
        <w:rPr>
          <w:rFonts w:asciiTheme="majorHAnsi" w:hAnsiTheme="majorHAnsi" w:cstheme="majorHAnsi"/>
          <w:color w:val="000000" w:themeColor="text1"/>
          <w:sz w:val="24"/>
          <w:szCs w:val="24"/>
          <w:lang w:val="ro-MD"/>
        </w:rPr>
        <w:t xml:space="preserve">inisterul </w:t>
      </w:r>
      <w:r w:rsidR="00C30651" w:rsidRPr="00200696">
        <w:rPr>
          <w:rFonts w:asciiTheme="majorHAnsi" w:hAnsiTheme="majorHAnsi" w:cstheme="majorHAnsi"/>
          <w:color w:val="000000" w:themeColor="text1"/>
          <w:sz w:val="24"/>
          <w:szCs w:val="24"/>
          <w:lang w:val="ro-MD"/>
        </w:rPr>
        <w:t>F</w:t>
      </w:r>
      <w:r w:rsidR="00A7057D" w:rsidRPr="00200696">
        <w:rPr>
          <w:rFonts w:asciiTheme="majorHAnsi" w:hAnsiTheme="majorHAnsi" w:cstheme="majorHAnsi"/>
          <w:color w:val="000000" w:themeColor="text1"/>
          <w:sz w:val="24"/>
          <w:szCs w:val="24"/>
          <w:lang w:val="ro-MD"/>
        </w:rPr>
        <w:t xml:space="preserve">inanțelor </w:t>
      </w:r>
      <w:r w:rsidR="00C30651" w:rsidRPr="00200696">
        <w:rPr>
          <w:rFonts w:asciiTheme="majorHAnsi" w:hAnsiTheme="majorHAnsi" w:cstheme="majorHAnsi"/>
          <w:color w:val="000000" w:themeColor="text1"/>
          <w:sz w:val="24"/>
          <w:szCs w:val="24"/>
          <w:lang w:val="ro-MD"/>
        </w:rPr>
        <w:t>dispune de un sistem de control intern managerial al</w:t>
      </w:r>
      <w:r w:rsidR="00440538" w:rsidRPr="00200696">
        <w:rPr>
          <w:rFonts w:asciiTheme="majorHAnsi" w:hAnsiTheme="majorHAnsi" w:cstheme="majorHAnsi"/>
          <w:color w:val="000000" w:themeColor="text1"/>
          <w:sz w:val="24"/>
          <w:szCs w:val="24"/>
          <w:lang w:val="ro-MD"/>
        </w:rPr>
        <w:t>e</w:t>
      </w:r>
      <w:r w:rsidR="00C30651" w:rsidRPr="00200696">
        <w:rPr>
          <w:rFonts w:asciiTheme="majorHAnsi" w:hAnsiTheme="majorHAnsi" w:cstheme="majorHAnsi"/>
          <w:color w:val="000000" w:themeColor="text1"/>
          <w:sz w:val="24"/>
          <w:szCs w:val="24"/>
          <w:lang w:val="ro-MD"/>
        </w:rPr>
        <w:t xml:space="preserve"> cărui organizare și funcționare permit furnizarea unei asigurări rezonabile precum că fondurile publice alocate în scopul atingerii obiectivelor strategice și operaționale au fost utilizate în condiții de transparență, economicitate, eficiență, eficacitate, legalitate, etică și</w:t>
      </w:r>
      <w:r w:rsidRPr="00200696">
        <w:rPr>
          <w:rFonts w:asciiTheme="majorHAnsi" w:hAnsiTheme="majorHAnsi" w:cstheme="majorHAnsi"/>
          <w:color w:val="000000" w:themeColor="text1"/>
          <w:sz w:val="24"/>
          <w:szCs w:val="24"/>
          <w:lang w:val="ro-MD"/>
        </w:rPr>
        <w:t xml:space="preserve"> integritate. </w:t>
      </w:r>
      <w:r w:rsidR="00C30651" w:rsidRPr="00200696">
        <w:rPr>
          <w:rFonts w:asciiTheme="majorHAnsi" w:hAnsiTheme="majorHAnsi" w:cstheme="majorHAnsi"/>
          <w:color w:val="000000" w:themeColor="text1"/>
          <w:sz w:val="24"/>
          <w:szCs w:val="24"/>
          <w:lang w:val="ro-MD"/>
        </w:rPr>
        <w:t xml:space="preserve">În baza rezultatelor autoevaluării, s-a apreciat că, la 31.12.2022, sistemul </w:t>
      </w:r>
      <w:r w:rsidR="00A7057D" w:rsidRPr="00200696">
        <w:rPr>
          <w:rFonts w:asciiTheme="majorHAnsi" w:hAnsiTheme="majorHAnsi" w:cstheme="majorHAnsi"/>
          <w:color w:val="000000" w:themeColor="text1"/>
          <w:sz w:val="24"/>
          <w:szCs w:val="24"/>
          <w:lang w:val="ro-MD"/>
        </w:rPr>
        <w:t xml:space="preserve">de control intern managerial </w:t>
      </w:r>
      <w:r w:rsidR="00C30651" w:rsidRPr="00200696">
        <w:rPr>
          <w:rFonts w:asciiTheme="majorHAnsi" w:hAnsiTheme="majorHAnsi" w:cstheme="majorHAnsi"/>
          <w:color w:val="000000" w:themeColor="text1"/>
          <w:sz w:val="24"/>
          <w:szCs w:val="24"/>
          <w:lang w:val="ro-MD"/>
        </w:rPr>
        <w:t>este parțial conform Standardel</w:t>
      </w:r>
      <w:r w:rsidR="00440538" w:rsidRPr="00200696">
        <w:rPr>
          <w:rFonts w:asciiTheme="majorHAnsi" w:hAnsiTheme="majorHAnsi" w:cstheme="majorHAnsi"/>
          <w:color w:val="000000" w:themeColor="text1"/>
          <w:sz w:val="24"/>
          <w:szCs w:val="24"/>
          <w:lang w:val="ro-MD"/>
        </w:rPr>
        <w:t>or</w:t>
      </w:r>
      <w:r w:rsidR="00C30651" w:rsidRPr="00200696">
        <w:rPr>
          <w:rFonts w:asciiTheme="majorHAnsi" w:hAnsiTheme="majorHAnsi" w:cstheme="majorHAnsi"/>
          <w:color w:val="000000" w:themeColor="text1"/>
          <w:sz w:val="24"/>
          <w:szCs w:val="24"/>
          <w:lang w:val="ro-MD"/>
        </w:rPr>
        <w:t xml:space="preserve"> naționale de control intern în sectorul public.</w:t>
      </w:r>
      <w:r w:rsidRPr="00200696">
        <w:rPr>
          <w:rFonts w:asciiTheme="majorHAnsi" w:hAnsiTheme="majorHAnsi" w:cstheme="majorHAnsi"/>
          <w:color w:val="000000" w:themeColor="text1"/>
          <w:sz w:val="24"/>
          <w:szCs w:val="24"/>
          <w:lang w:val="ro-MD"/>
        </w:rPr>
        <w:t xml:space="preserve"> </w:t>
      </w:r>
      <w:r w:rsidR="00DD185E" w:rsidRPr="00200696">
        <w:rPr>
          <w:rFonts w:asciiTheme="majorHAnsi" w:hAnsiTheme="majorHAnsi" w:cstheme="majorHAnsi"/>
          <w:color w:val="000000" w:themeColor="text1"/>
          <w:sz w:val="24"/>
          <w:szCs w:val="24"/>
          <w:lang w:val="ro-MD"/>
        </w:rPr>
        <w:t>Auditul denotă că existența</w:t>
      </w:r>
      <w:r w:rsidRPr="00200696">
        <w:rPr>
          <w:rFonts w:asciiTheme="majorHAnsi" w:hAnsiTheme="majorHAnsi" w:cstheme="majorHAnsi"/>
          <w:color w:val="000000" w:themeColor="text1"/>
          <w:sz w:val="24"/>
          <w:szCs w:val="24"/>
          <w:lang w:val="ro-RO"/>
        </w:rPr>
        <w:t xml:space="preserve"> unor deficiențe </w:t>
      </w:r>
      <w:r w:rsidR="00DD185E" w:rsidRPr="00200696">
        <w:rPr>
          <w:rFonts w:asciiTheme="majorHAnsi" w:hAnsiTheme="majorHAnsi" w:cstheme="majorHAnsi"/>
          <w:color w:val="000000" w:themeColor="text1"/>
          <w:sz w:val="24"/>
          <w:szCs w:val="24"/>
          <w:lang w:val="ro-RO"/>
        </w:rPr>
        <w:t>la implementarea</w:t>
      </w:r>
      <w:r w:rsidRPr="00200696">
        <w:rPr>
          <w:rFonts w:asciiTheme="majorHAnsi" w:hAnsiTheme="majorHAnsi" w:cstheme="majorHAnsi"/>
          <w:color w:val="000000" w:themeColor="text1"/>
          <w:sz w:val="24"/>
          <w:szCs w:val="24"/>
          <w:lang w:val="ro-RO"/>
        </w:rPr>
        <w:t xml:space="preserve"> sistemului </w:t>
      </w:r>
      <w:r w:rsidR="00F74136" w:rsidRPr="00200696">
        <w:rPr>
          <w:rFonts w:asciiTheme="majorHAnsi" w:hAnsiTheme="majorHAnsi" w:cstheme="majorHAnsi"/>
          <w:color w:val="000000" w:themeColor="text1"/>
          <w:sz w:val="24"/>
          <w:szCs w:val="24"/>
          <w:lang w:val="ro-RO"/>
        </w:rPr>
        <w:t xml:space="preserve">de control intern managerial </w:t>
      </w:r>
      <w:r w:rsidR="00A7057D" w:rsidRPr="00200696">
        <w:rPr>
          <w:rFonts w:asciiTheme="majorHAnsi" w:hAnsiTheme="majorHAnsi" w:cstheme="majorHAnsi"/>
          <w:color w:val="000000" w:themeColor="text1"/>
          <w:sz w:val="24"/>
          <w:szCs w:val="24"/>
          <w:lang w:val="ro-RO"/>
        </w:rPr>
        <w:t>a afectat</w:t>
      </w:r>
      <w:r w:rsidRPr="00200696">
        <w:rPr>
          <w:rFonts w:asciiTheme="majorHAnsi" w:hAnsiTheme="majorHAnsi" w:cstheme="majorHAnsi"/>
          <w:color w:val="000000" w:themeColor="text1"/>
          <w:sz w:val="24"/>
          <w:szCs w:val="24"/>
          <w:lang w:val="ro-RO"/>
        </w:rPr>
        <w:t xml:space="preserve"> gestionarea cheltuielilor, activelor nefinanciare și </w:t>
      </w:r>
      <w:r w:rsidR="00440538" w:rsidRPr="00200696">
        <w:rPr>
          <w:rFonts w:asciiTheme="majorHAnsi" w:hAnsiTheme="majorHAnsi" w:cstheme="majorHAnsi"/>
          <w:color w:val="000000" w:themeColor="text1"/>
          <w:sz w:val="24"/>
          <w:szCs w:val="24"/>
          <w:lang w:val="ro-RO"/>
        </w:rPr>
        <w:t xml:space="preserve">a </w:t>
      </w:r>
      <w:r w:rsidRPr="00200696">
        <w:rPr>
          <w:rFonts w:asciiTheme="majorHAnsi" w:hAnsiTheme="majorHAnsi" w:cstheme="majorHAnsi"/>
          <w:color w:val="000000" w:themeColor="text1"/>
          <w:sz w:val="24"/>
          <w:szCs w:val="24"/>
          <w:lang w:val="ro-RO"/>
        </w:rPr>
        <w:t xml:space="preserve">creanțelor, fapt ce </w:t>
      </w:r>
      <w:r w:rsidR="00440538" w:rsidRPr="00200696">
        <w:rPr>
          <w:rFonts w:asciiTheme="majorHAnsi" w:hAnsiTheme="majorHAnsi" w:cstheme="majorHAnsi"/>
          <w:color w:val="000000" w:themeColor="text1"/>
          <w:sz w:val="24"/>
          <w:szCs w:val="24"/>
          <w:lang w:val="ro-RO"/>
        </w:rPr>
        <w:t>indic</w:t>
      </w:r>
      <w:r w:rsidRPr="00200696">
        <w:rPr>
          <w:rFonts w:asciiTheme="majorHAnsi" w:hAnsiTheme="majorHAnsi" w:cstheme="majorHAnsi"/>
          <w:color w:val="000000" w:themeColor="text1"/>
          <w:sz w:val="24"/>
          <w:szCs w:val="24"/>
          <w:lang w:val="ro-RO"/>
        </w:rPr>
        <w:t>ă necesitatea întreprinderii măsurilor corespunzătoare în vederea consolidării acestuia.</w:t>
      </w:r>
      <w:r w:rsidRPr="00200696">
        <w:rPr>
          <w:rFonts w:asciiTheme="majorHAnsi" w:hAnsiTheme="majorHAnsi" w:cstheme="majorHAnsi"/>
          <w:bCs/>
          <w:color w:val="000000" w:themeColor="text1"/>
          <w:sz w:val="24"/>
          <w:szCs w:val="24"/>
          <w:lang w:val="ro-RO"/>
        </w:rPr>
        <w:t xml:space="preserve"> </w:t>
      </w:r>
      <w:r w:rsidRPr="00200696">
        <w:rPr>
          <w:rFonts w:asciiTheme="majorHAnsi" w:hAnsiTheme="majorHAnsi" w:cstheme="majorHAnsi"/>
          <w:color w:val="000000" w:themeColor="text1"/>
          <w:sz w:val="24"/>
          <w:szCs w:val="24"/>
          <w:lang w:val="ro-RO"/>
        </w:rPr>
        <w:t xml:space="preserve"> </w:t>
      </w:r>
    </w:p>
    <w:p w:rsidR="00F74136" w:rsidRPr="00200696" w:rsidRDefault="005A273A" w:rsidP="005939B2">
      <w:pPr>
        <w:spacing w:line="276" w:lineRule="auto"/>
        <w:rPr>
          <w:rFonts w:asciiTheme="majorHAnsi" w:hAnsiTheme="majorHAnsi" w:cstheme="majorHAnsi"/>
          <w:b/>
          <w:color w:val="000000" w:themeColor="text1"/>
          <w:sz w:val="24"/>
          <w:szCs w:val="24"/>
          <w:lang w:val="ro-MD"/>
        </w:rPr>
      </w:pPr>
      <w:r w:rsidRPr="00200696">
        <w:rPr>
          <w:rFonts w:asciiTheme="majorHAnsi" w:hAnsiTheme="majorHAnsi" w:cstheme="majorHAnsi"/>
          <w:b/>
          <w:color w:val="000000" w:themeColor="text1"/>
          <w:sz w:val="24"/>
          <w:szCs w:val="24"/>
          <w:lang w:val="ro-RO"/>
        </w:rPr>
        <w:t xml:space="preserve">5.2. </w:t>
      </w:r>
      <w:r w:rsidR="00C30651" w:rsidRPr="00200696">
        <w:rPr>
          <w:rFonts w:asciiTheme="majorHAnsi" w:hAnsiTheme="majorHAnsi" w:cstheme="majorHAnsi"/>
          <w:bCs/>
          <w:color w:val="000000" w:themeColor="text1"/>
          <w:sz w:val="24"/>
          <w:szCs w:val="24"/>
          <w:lang w:val="ro-RO"/>
        </w:rPr>
        <w:t>În structurile organizaționale ale M</w:t>
      </w:r>
      <w:r w:rsidR="007A194B" w:rsidRPr="00200696">
        <w:rPr>
          <w:rFonts w:asciiTheme="majorHAnsi" w:hAnsiTheme="majorHAnsi" w:cstheme="majorHAnsi"/>
          <w:bCs/>
          <w:color w:val="000000" w:themeColor="text1"/>
          <w:sz w:val="24"/>
          <w:szCs w:val="24"/>
          <w:lang w:val="ro-RO"/>
        </w:rPr>
        <w:t xml:space="preserve">inisterului </w:t>
      </w:r>
      <w:r w:rsidR="00C30651" w:rsidRPr="00200696">
        <w:rPr>
          <w:rFonts w:asciiTheme="majorHAnsi" w:hAnsiTheme="majorHAnsi" w:cstheme="majorHAnsi"/>
          <w:bCs/>
          <w:color w:val="000000" w:themeColor="text1"/>
          <w:sz w:val="24"/>
          <w:szCs w:val="24"/>
          <w:lang w:val="ro-RO"/>
        </w:rPr>
        <w:t>F</w:t>
      </w:r>
      <w:r w:rsidR="007A194B" w:rsidRPr="00200696">
        <w:rPr>
          <w:rFonts w:asciiTheme="majorHAnsi" w:hAnsiTheme="majorHAnsi" w:cstheme="majorHAnsi"/>
          <w:bCs/>
          <w:color w:val="000000" w:themeColor="text1"/>
          <w:sz w:val="24"/>
          <w:szCs w:val="24"/>
          <w:lang w:val="ro-RO"/>
        </w:rPr>
        <w:t>inanțelor</w:t>
      </w:r>
      <w:r w:rsidR="00C30651" w:rsidRPr="00200696">
        <w:rPr>
          <w:rFonts w:asciiTheme="majorHAnsi" w:hAnsiTheme="majorHAnsi" w:cstheme="majorHAnsi"/>
          <w:bCs/>
          <w:color w:val="000000" w:themeColor="text1"/>
          <w:sz w:val="24"/>
          <w:szCs w:val="24"/>
          <w:lang w:val="ro-RO"/>
        </w:rPr>
        <w:t>, S</w:t>
      </w:r>
      <w:r w:rsidR="007A194B" w:rsidRPr="00200696">
        <w:rPr>
          <w:rFonts w:asciiTheme="majorHAnsi" w:hAnsiTheme="majorHAnsi" w:cstheme="majorHAnsi"/>
          <w:bCs/>
          <w:color w:val="000000" w:themeColor="text1"/>
          <w:sz w:val="24"/>
          <w:szCs w:val="24"/>
          <w:lang w:val="ro-RO"/>
        </w:rPr>
        <w:t xml:space="preserve">erviciului </w:t>
      </w:r>
      <w:r w:rsidR="00C30651" w:rsidRPr="00200696">
        <w:rPr>
          <w:rFonts w:asciiTheme="majorHAnsi" w:hAnsiTheme="majorHAnsi" w:cstheme="majorHAnsi"/>
          <w:bCs/>
          <w:color w:val="000000" w:themeColor="text1"/>
          <w:sz w:val="24"/>
          <w:szCs w:val="24"/>
          <w:lang w:val="ro-RO"/>
        </w:rPr>
        <w:t>F</w:t>
      </w:r>
      <w:r w:rsidR="007A194B" w:rsidRPr="00200696">
        <w:rPr>
          <w:rFonts w:asciiTheme="majorHAnsi" w:hAnsiTheme="majorHAnsi" w:cstheme="majorHAnsi"/>
          <w:bCs/>
          <w:color w:val="000000" w:themeColor="text1"/>
          <w:sz w:val="24"/>
          <w:szCs w:val="24"/>
          <w:lang w:val="ro-RO"/>
        </w:rPr>
        <w:t xml:space="preserve">iscal de </w:t>
      </w:r>
      <w:r w:rsidR="00C30651" w:rsidRPr="00200696">
        <w:rPr>
          <w:rFonts w:asciiTheme="majorHAnsi" w:hAnsiTheme="majorHAnsi" w:cstheme="majorHAnsi"/>
          <w:bCs/>
          <w:color w:val="000000" w:themeColor="text1"/>
          <w:sz w:val="24"/>
          <w:szCs w:val="24"/>
          <w:lang w:val="ro-RO"/>
        </w:rPr>
        <w:t>S</w:t>
      </w:r>
      <w:r w:rsidR="007A194B" w:rsidRPr="00200696">
        <w:rPr>
          <w:rFonts w:asciiTheme="majorHAnsi" w:hAnsiTheme="majorHAnsi" w:cstheme="majorHAnsi"/>
          <w:bCs/>
          <w:color w:val="000000" w:themeColor="text1"/>
          <w:sz w:val="24"/>
          <w:szCs w:val="24"/>
          <w:lang w:val="ro-RO"/>
        </w:rPr>
        <w:t>tat</w:t>
      </w:r>
      <w:r w:rsidR="00C30651" w:rsidRPr="00200696">
        <w:rPr>
          <w:rFonts w:asciiTheme="majorHAnsi" w:hAnsiTheme="majorHAnsi" w:cstheme="majorHAnsi"/>
          <w:bCs/>
          <w:color w:val="000000" w:themeColor="text1"/>
          <w:sz w:val="24"/>
          <w:szCs w:val="24"/>
          <w:lang w:val="ro-RO"/>
        </w:rPr>
        <w:t xml:space="preserve"> și S</w:t>
      </w:r>
      <w:r w:rsidR="007A194B" w:rsidRPr="00200696">
        <w:rPr>
          <w:rFonts w:asciiTheme="majorHAnsi" w:hAnsiTheme="majorHAnsi" w:cstheme="majorHAnsi"/>
          <w:bCs/>
          <w:color w:val="000000" w:themeColor="text1"/>
          <w:sz w:val="24"/>
          <w:szCs w:val="24"/>
          <w:lang w:val="ro-RO"/>
        </w:rPr>
        <w:t xml:space="preserve">erviciului </w:t>
      </w:r>
      <w:r w:rsidR="00C30651" w:rsidRPr="00200696">
        <w:rPr>
          <w:rFonts w:asciiTheme="majorHAnsi" w:hAnsiTheme="majorHAnsi" w:cstheme="majorHAnsi"/>
          <w:bCs/>
          <w:color w:val="000000" w:themeColor="text1"/>
          <w:sz w:val="24"/>
          <w:szCs w:val="24"/>
          <w:lang w:val="ro-RO"/>
        </w:rPr>
        <w:t>V</w:t>
      </w:r>
      <w:r w:rsidR="007A194B" w:rsidRPr="00200696">
        <w:rPr>
          <w:rFonts w:asciiTheme="majorHAnsi" w:hAnsiTheme="majorHAnsi" w:cstheme="majorHAnsi"/>
          <w:bCs/>
          <w:color w:val="000000" w:themeColor="text1"/>
          <w:sz w:val="24"/>
          <w:szCs w:val="24"/>
          <w:lang w:val="ro-RO"/>
        </w:rPr>
        <w:t>amal</w:t>
      </w:r>
      <w:r w:rsidR="00C30651" w:rsidRPr="00200696">
        <w:rPr>
          <w:rFonts w:asciiTheme="majorHAnsi" w:hAnsiTheme="majorHAnsi" w:cstheme="majorHAnsi"/>
          <w:bCs/>
          <w:color w:val="000000" w:themeColor="text1"/>
          <w:sz w:val="24"/>
          <w:szCs w:val="24"/>
          <w:lang w:val="ro-RO"/>
        </w:rPr>
        <w:t xml:space="preserve"> au fost instituite, conform cerințelor legale, subdiviziuni de audit intern, care </w:t>
      </w:r>
      <w:r w:rsidR="00C30651" w:rsidRPr="00200696">
        <w:rPr>
          <w:rFonts w:asciiTheme="majorHAnsi" w:hAnsiTheme="majorHAnsi" w:cstheme="majorHAnsi"/>
          <w:color w:val="000000" w:themeColor="text1"/>
          <w:sz w:val="24"/>
          <w:szCs w:val="24"/>
          <w:lang w:val="ro-RO"/>
        </w:rPr>
        <w:t xml:space="preserve">pe parcursul anului 2022 au fost funcționale, activitatea lor desfășurându-se în </w:t>
      </w:r>
      <w:r w:rsidR="00404744" w:rsidRPr="00200696">
        <w:rPr>
          <w:rFonts w:asciiTheme="majorHAnsi" w:hAnsiTheme="majorHAnsi" w:cstheme="majorHAnsi"/>
          <w:color w:val="000000" w:themeColor="text1"/>
          <w:sz w:val="24"/>
          <w:szCs w:val="24"/>
          <w:lang w:val="ro-RO"/>
        </w:rPr>
        <w:t xml:space="preserve">corespundere </w:t>
      </w:r>
      <w:r w:rsidR="00C30651" w:rsidRPr="00200696">
        <w:rPr>
          <w:rFonts w:asciiTheme="majorHAnsi" w:hAnsiTheme="majorHAnsi" w:cstheme="majorHAnsi"/>
          <w:color w:val="000000" w:themeColor="text1"/>
          <w:sz w:val="24"/>
          <w:szCs w:val="24"/>
          <w:lang w:val="ro-RO"/>
        </w:rPr>
        <w:t>cu prevederile cadrului normativ și cu Standardele naționale de audit intern</w:t>
      </w:r>
      <w:r w:rsidR="00C30651" w:rsidRPr="00200696">
        <w:rPr>
          <w:rStyle w:val="a6"/>
          <w:rFonts w:asciiTheme="majorHAnsi" w:hAnsiTheme="majorHAnsi" w:cstheme="majorHAnsi"/>
          <w:color w:val="000000" w:themeColor="text1"/>
        </w:rPr>
        <w:footnoteReference w:id="8"/>
      </w:r>
      <w:r w:rsidR="00C30651" w:rsidRPr="00200696">
        <w:rPr>
          <w:rFonts w:asciiTheme="majorHAnsi" w:hAnsiTheme="majorHAnsi" w:cstheme="majorHAnsi"/>
          <w:color w:val="000000" w:themeColor="text1"/>
          <w:sz w:val="24"/>
          <w:szCs w:val="24"/>
          <w:lang w:val="ro-RO"/>
        </w:rPr>
        <w:t>.</w:t>
      </w:r>
      <w:r w:rsidR="00C30651" w:rsidRPr="00200696">
        <w:rPr>
          <w:rFonts w:asciiTheme="majorHAnsi" w:hAnsiTheme="majorHAnsi" w:cstheme="majorHAnsi"/>
          <w:bCs/>
          <w:color w:val="000000" w:themeColor="text1"/>
          <w:sz w:val="24"/>
          <w:szCs w:val="24"/>
          <w:lang w:val="ro-RO"/>
        </w:rPr>
        <w:t xml:space="preserve"> </w:t>
      </w:r>
      <w:r w:rsidR="00C30651" w:rsidRPr="00200696">
        <w:rPr>
          <w:rFonts w:asciiTheme="majorHAnsi" w:hAnsiTheme="majorHAnsi" w:cstheme="majorHAnsi"/>
          <w:color w:val="000000" w:themeColor="text1"/>
          <w:sz w:val="24"/>
          <w:szCs w:val="24"/>
          <w:lang w:val="ro-MD"/>
        </w:rPr>
        <w:t xml:space="preserve">Totodată, se atestă asigurarea evaluării, conform periodicității stabilite de </w:t>
      </w:r>
      <w:r w:rsidR="00C30651" w:rsidRPr="00200696">
        <w:rPr>
          <w:rFonts w:asciiTheme="majorHAnsi" w:hAnsiTheme="majorHAnsi" w:cstheme="majorHAnsi"/>
          <w:bCs/>
          <w:color w:val="000000" w:themeColor="text1"/>
          <w:sz w:val="24"/>
          <w:szCs w:val="24"/>
          <w:lang w:val="ro-RO"/>
        </w:rPr>
        <w:t xml:space="preserve">Legea nr.229 din 23.09.2010, </w:t>
      </w:r>
      <w:r w:rsidR="00C30651" w:rsidRPr="00200696">
        <w:rPr>
          <w:rFonts w:asciiTheme="majorHAnsi" w:hAnsiTheme="majorHAnsi" w:cstheme="majorHAnsi"/>
          <w:color w:val="000000" w:themeColor="text1"/>
          <w:sz w:val="24"/>
          <w:szCs w:val="24"/>
          <w:lang w:val="ro-MD"/>
        </w:rPr>
        <w:t xml:space="preserve">a proceselor cu risc </w:t>
      </w:r>
      <w:r w:rsidR="00F74136" w:rsidRPr="00200696">
        <w:rPr>
          <w:rFonts w:asciiTheme="majorHAnsi" w:hAnsiTheme="majorHAnsi" w:cstheme="majorHAnsi"/>
          <w:color w:val="000000" w:themeColor="text1"/>
          <w:sz w:val="24"/>
          <w:szCs w:val="24"/>
          <w:lang w:val="ro-MD"/>
        </w:rPr>
        <w:t xml:space="preserve">sporit în domeniile </w:t>
      </w:r>
      <w:r w:rsidR="00C30651" w:rsidRPr="00200696">
        <w:rPr>
          <w:rFonts w:asciiTheme="majorHAnsi" w:hAnsiTheme="majorHAnsi" w:cstheme="majorHAnsi"/>
          <w:color w:val="000000" w:themeColor="text1"/>
          <w:sz w:val="24"/>
          <w:szCs w:val="24"/>
          <w:lang w:val="ro-MD"/>
        </w:rPr>
        <w:t>financiar-co</w:t>
      </w:r>
      <w:r w:rsidR="00F74136" w:rsidRPr="00200696">
        <w:rPr>
          <w:rFonts w:asciiTheme="majorHAnsi" w:hAnsiTheme="majorHAnsi" w:cstheme="majorHAnsi"/>
          <w:color w:val="000000" w:themeColor="text1"/>
          <w:sz w:val="24"/>
          <w:szCs w:val="24"/>
          <w:lang w:val="ro-MD"/>
        </w:rPr>
        <w:t>ntabil, achiziții publice, administrare</w:t>
      </w:r>
      <w:r w:rsidR="00C30651" w:rsidRPr="00200696">
        <w:rPr>
          <w:rFonts w:asciiTheme="majorHAnsi" w:hAnsiTheme="majorHAnsi" w:cstheme="majorHAnsi"/>
          <w:color w:val="000000" w:themeColor="text1"/>
          <w:sz w:val="24"/>
          <w:szCs w:val="24"/>
          <w:lang w:val="ro-MD"/>
        </w:rPr>
        <w:t>a activelor</w:t>
      </w:r>
      <w:r w:rsidR="00F74136" w:rsidRPr="00200696">
        <w:rPr>
          <w:rFonts w:asciiTheme="majorHAnsi" w:hAnsiTheme="majorHAnsi" w:cstheme="majorHAnsi"/>
          <w:color w:val="000000" w:themeColor="text1"/>
          <w:sz w:val="24"/>
          <w:szCs w:val="24"/>
          <w:lang w:val="ro-MD"/>
        </w:rPr>
        <w:t>,</w:t>
      </w:r>
      <w:r w:rsidR="00C30651" w:rsidRPr="00200696">
        <w:rPr>
          <w:rFonts w:asciiTheme="majorHAnsi" w:hAnsiTheme="majorHAnsi" w:cstheme="majorHAnsi"/>
          <w:color w:val="000000" w:themeColor="text1"/>
          <w:sz w:val="24"/>
          <w:szCs w:val="24"/>
          <w:lang w:val="ro-MD"/>
        </w:rPr>
        <w:t xml:space="preserve"> tehnologii informaționale.</w:t>
      </w:r>
    </w:p>
    <w:p w:rsidR="00C30651" w:rsidRPr="00200696" w:rsidRDefault="00F74136" w:rsidP="00654F3A">
      <w:pPr>
        <w:tabs>
          <w:tab w:val="left" w:pos="90"/>
        </w:tabs>
        <w:spacing w:after="120" w:line="276" w:lineRule="auto"/>
        <w:rPr>
          <w:rFonts w:asciiTheme="majorHAnsi" w:hAnsiTheme="majorHAnsi" w:cstheme="majorHAnsi"/>
          <w:color w:val="000000" w:themeColor="text1"/>
          <w:sz w:val="24"/>
          <w:szCs w:val="24"/>
          <w:lang w:val="ro-RO"/>
        </w:rPr>
      </w:pPr>
      <w:r w:rsidRPr="00200696">
        <w:rPr>
          <w:rFonts w:asciiTheme="majorHAnsi" w:hAnsiTheme="majorHAnsi" w:cstheme="majorHAnsi"/>
          <w:b/>
          <w:color w:val="000000" w:themeColor="text1"/>
          <w:sz w:val="24"/>
          <w:szCs w:val="24"/>
          <w:lang w:val="ro-RO"/>
        </w:rPr>
        <w:t>5.3.</w:t>
      </w:r>
      <w:r w:rsidR="00367124" w:rsidRPr="00200696">
        <w:rPr>
          <w:rFonts w:asciiTheme="majorHAnsi" w:hAnsiTheme="majorHAnsi" w:cstheme="majorHAnsi"/>
          <w:b/>
          <w:color w:val="000000" w:themeColor="text1"/>
          <w:sz w:val="24"/>
          <w:szCs w:val="24"/>
          <w:lang w:val="ro-RO"/>
        </w:rPr>
        <w:t xml:space="preserve"> </w:t>
      </w:r>
      <w:r w:rsidR="00C30651" w:rsidRPr="00200696">
        <w:rPr>
          <w:rFonts w:asciiTheme="majorHAnsi" w:hAnsiTheme="majorHAnsi" w:cstheme="majorHAnsi"/>
          <w:color w:val="000000" w:themeColor="text1"/>
          <w:sz w:val="24"/>
          <w:szCs w:val="24"/>
          <w:lang w:val="ro-RO"/>
        </w:rPr>
        <w:t>În vederea remedierii erorilor constatate de misiunea precedentă de audit, Curtea de Conturi, prin Hotărârea nr.26 din 30 mai 2022</w:t>
      </w:r>
      <w:r w:rsidR="00C30651" w:rsidRPr="00200696">
        <w:rPr>
          <w:rStyle w:val="a6"/>
          <w:rFonts w:asciiTheme="majorHAnsi" w:hAnsiTheme="majorHAnsi" w:cstheme="majorHAnsi"/>
          <w:color w:val="000000" w:themeColor="text1"/>
          <w:sz w:val="24"/>
          <w:szCs w:val="24"/>
          <w:lang w:val="ro-RO"/>
        </w:rPr>
        <w:footnoteReference w:id="9"/>
      </w:r>
      <w:r w:rsidR="00C30651" w:rsidRPr="00200696">
        <w:rPr>
          <w:rFonts w:asciiTheme="majorHAnsi" w:hAnsiTheme="majorHAnsi" w:cstheme="majorHAnsi"/>
          <w:color w:val="000000" w:themeColor="text1"/>
          <w:sz w:val="24"/>
          <w:szCs w:val="24"/>
          <w:lang w:val="ro-RO"/>
        </w:rPr>
        <w:t xml:space="preserve">, a înaintat Ministerului Finanțelor și instituțiilor din subordine 9 recomandări. </w:t>
      </w:r>
      <w:r w:rsidR="00C30651" w:rsidRPr="00200696">
        <w:rPr>
          <w:rFonts w:asciiTheme="majorHAnsi" w:hAnsiTheme="majorHAnsi" w:cstheme="majorHAnsi"/>
          <w:color w:val="000000" w:themeColor="text1"/>
          <w:sz w:val="24"/>
          <w:szCs w:val="24"/>
          <w:lang w:val="ro-MD"/>
        </w:rPr>
        <w:t xml:space="preserve">Din totalul recomandărilor, 6 au fost implementate, iar 3 - parțial implementate (în curs de realizare), </w:t>
      </w:r>
      <w:r w:rsidR="00C30651" w:rsidRPr="00200696">
        <w:rPr>
          <w:rFonts w:asciiTheme="majorHAnsi" w:hAnsiTheme="majorHAnsi" w:cstheme="majorHAnsi"/>
          <w:color w:val="000000" w:themeColor="text1"/>
          <w:sz w:val="24"/>
          <w:szCs w:val="24"/>
          <w:lang w:val="ro-RO"/>
        </w:rPr>
        <w:t>nivelul de implementare fiind de</w:t>
      </w:r>
      <w:r w:rsidR="00C30651" w:rsidRPr="00200696">
        <w:rPr>
          <w:rFonts w:asciiTheme="majorHAnsi" w:hAnsiTheme="majorHAnsi" w:cstheme="majorHAnsi"/>
          <w:color w:val="000000" w:themeColor="text1"/>
          <w:sz w:val="24"/>
          <w:szCs w:val="24"/>
          <w:lang w:val="ro-MD"/>
        </w:rPr>
        <w:t xml:space="preserve"> 77,8 %</w:t>
      </w:r>
      <w:r w:rsidR="00C30651" w:rsidRPr="00200696">
        <w:rPr>
          <w:rFonts w:asciiTheme="majorHAnsi" w:hAnsiTheme="majorHAnsi" w:cstheme="majorHAnsi"/>
          <w:color w:val="000000" w:themeColor="text1"/>
          <w:sz w:val="24"/>
          <w:szCs w:val="24"/>
          <w:shd w:val="clear" w:color="auto" w:fill="FFFFFF"/>
          <w:lang w:val="ro-MD"/>
        </w:rPr>
        <w:t xml:space="preserve">. </w:t>
      </w:r>
      <w:r w:rsidR="00367124" w:rsidRPr="00200696">
        <w:rPr>
          <w:rFonts w:asciiTheme="majorHAnsi" w:hAnsiTheme="majorHAnsi" w:cstheme="majorHAnsi"/>
          <w:color w:val="000000" w:themeColor="text1"/>
          <w:sz w:val="24"/>
          <w:szCs w:val="24"/>
          <w:shd w:val="clear" w:color="auto" w:fill="FFFFFF"/>
          <w:lang w:val="ro-MD"/>
        </w:rPr>
        <w:t>De asemenea, prin Hotărâ</w:t>
      </w:r>
      <w:r w:rsidR="00C30651" w:rsidRPr="00200696">
        <w:rPr>
          <w:rFonts w:asciiTheme="majorHAnsi" w:hAnsiTheme="majorHAnsi" w:cstheme="majorHAnsi"/>
          <w:color w:val="000000" w:themeColor="text1"/>
          <w:sz w:val="24"/>
          <w:szCs w:val="24"/>
          <w:shd w:val="clear" w:color="auto" w:fill="FFFFFF"/>
          <w:lang w:val="ro-MD"/>
        </w:rPr>
        <w:t>rea Curții de Conturi nr.48 din 30 iulie 2021</w:t>
      </w:r>
      <w:r w:rsidR="00C30651" w:rsidRPr="00200696">
        <w:rPr>
          <w:rStyle w:val="a6"/>
          <w:rFonts w:asciiTheme="majorHAnsi" w:hAnsiTheme="majorHAnsi" w:cstheme="majorHAnsi"/>
          <w:color w:val="000000" w:themeColor="text1"/>
          <w:sz w:val="24"/>
          <w:szCs w:val="24"/>
          <w:shd w:val="clear" w:color="auto" w:fill="FFFFFF"/>
          <w:lang w:val="ro-MD"/>
        </w:rPr>
        <w:footnoteReference w:id="10"/>
      </w:r>
      <w:r w:rsidR="00C30651" w:rsidRPr="00200696">
        <w:rPr>
          <w:rFonts w:asciiTheme="majorHAnsi" w:hAnsiTheme="majorHAnsi" w:cstheme="majorHAnsi"/>
          <w:color w:val="000000" w:themeColor="text1"/>
          <w:sz w:val="24"/>
          <w:szCs w:val="24"/>
          <w:shd w:val="clear" w:color="auto" w:fill="FFFFFF"/>
          <w:lang w:val="ro-MD"/>
        </w:rPr>
        <w:t>, M</w:t>
      </w:r>
      <w:r w:rsidR="005E2566" w:rsidRPr="00200696">
        <w:rPr>
          <w:rFonts w:asciiTheme="majorHAnsi" w:hAnsiTheme="majorHAnsi" w:cstheme="majorHAnsi"/>
          <w:color w:val="000000" w:themeColor="text1"/>
          <w:sz w:val="24"/>
          <w:szCs w:val="24"/>
          <w:shd w:val="clear" w:color="auto" w:fill="FFFFFF"/>
          <w:lang w:val="ro-MD"/>
        </w:rPr>
        <w:t xml:space="preserve">inisterului </w:t>
      </w:r>
      <w:r w:rsidR="00C30651" w:rsidRPr="00200696">
        <w:rPr>
          <w:rFonts w:asciiTheme="majorHAnsi" w:hAnsiTheme="majorHAnsi" w:cstheme="majorHAnsi"/>
          <w:color w:val="000000" w:themeColor="text1"/>
          <w:sz w:val="24"/>
          <w:szCs w:val="24"/>
          <w:shd w:val="clear" w:color="auto" w:fill="FFFFFF"/>
          <w:lang w:val="ro-MD"/>
        </w:rPr>
        <w:t>F</w:t>
      </w:r>
      <w:r w:rsidR="005E2566" w:rsidRPr="00200696">
        <w:rPr>
          <w:rFonts w:asciiTheme="majorHAnsi" w:hAnsiTheme="majorHAnsi" w:cstheme="majorHAnsi"/>
          <w:color w:val="000000" w:themeColor="text1"/>
          <w:sz w:val="24"/>
          <w:szCs w:val="24"/>
          <w:shd w:val="clear" w:color="auto" w:fill="FFFFFF"/>
          <w:lang w:val="ro-MD"/>
        </w:rPr>
        <w:t>inanțelor</w:t>
      </w:r>
      <w:r w:rsidR="00C30651" w:rsidRPr="00200696">
        <w:rPr>
          <w:rFonts w:asciiTheme="majorHAnsi" w:hAnsiTheme="majorHAnsi" w:cstheme="majorHAnsi"/>
          <w:color w:val="000000" w:themeColor="text1"/>
          <w:sz w:val="24"/>
          <w:szCs w:val="24"/>
          <w:shd w:val="clear" w:color="auto" w:fill="FFFFFF"/>
          <w:lang w:val="ro-MD"/>
        </w:rPr>
        <w:t xml:space="preserve"> și instituțiilor din subordine le-au fost înaintate 16 recomandări. Din totalul recomandărilor, 14 au fost implementate, iar 2 sunt parțial implementate (în curs de realizare), nivelul de implementare fiind de </w:t>
      </w:r>
      <w:r w:rsidR="00D015F5" w:rsidRPr="00200696">
        <w:rPr>
          <w:rFonts w:asciiTheme="majorHAnsi" w:hAnsiTheme="majorHAnsi" w:cstheme="majorHAnsi"/>
          <w:color w:val="000000" w:themeColor="text1"/>
          <w:sz w:val="24"/>
          <w:szCs w:val="24"/>
          <w:shd w:val="clear" w:color="auto" w:fill="FFFFFF"/>
          <w:lang w:val="ro-MD"/>
        </w:rPr>
        <w:t>95,3</w:t>
      </w:r>
      <w:r w:rsidR="00C30651" w:rsidRPr="00200696">
        <w:rPr>
          <w:rFonts w:asciiTheme="majorHAnsi" w:hAnsiTheme="majorHAnsi" w:cstheme="majorHAnsi"/>
          <w:color w:val="000000" w:themeColor="text1"/>
          <w:sz w:val="24"/>
          <w:szCs w:val="24"/>
          <w:shd w:val="clear" w:color="auto" w:fill="FFFFFF"/>
          <w:lang w:val="ro-MD"/>
        </w:rPr>
        <w:t xml:space="preserve"> %. </w:t>
      </w:r>
      <w:r w:rsidR="00C30651" w:rsidRPr="00200696">
        <w:rPr>
          <w:rFonts w:asciiTheme="majorHAnsi" w:hAnsiTheme="majorHAnsi" w:cstheme="majorHAnsi"/>
          <w:color w:val="000000" w:themeColor="text1"/>
          <w:sz w:val="24"/>
          <w:szCs w:val="24"/>
          <w:lang w:val="ro-RO"/>
        </w:rPr>
        <w:t>Recomandările parțial implementate nu au avut impact asupra opiniei de audit pentru anul 2022.</w:t>
      </w:r>
    </w:p>
    <w:p w:rsidR="00367124" w:rsidRPr="00200696" w:rsidRDefault="00367124" w:rsidP="00C96BC3">
      <w:pPr>
        <w:spacing w:after="120" w:line="276" w:lineRule="auto"/>
        <w:rPr>
          <w:rFonts w:asciiTheme="majorHAnsi" w:hAnsiTheme="majorHAnsi" w:cstheme="majorHAnsi"/>
          <w:color w:val="000000" w:themeColor="text1"/>
          <w:sz w:val="24"/>
          <w:szCs w:val="24"/>
          <w:lang w:val="ro-MD"/>
        </w:rPr>
      </w:pPr>
      <w:r w:rsidRPr="00200696">
        <w:rPr>
          <w:rFonts w:asciiTheme="majorHAnsi" w:hAnsiTheme="majorHAnsi" w:cs="Times New Roman"/>
          <w:b/>
          <w:color w:val="000000" w:themeColor="text1"/>
          <w:sz w:val="24"/>
          <w:szCs w:val="24"/>
          <w:lang w:val="ro-MD"/>
        </w:rPr>
        <w:t>5.4.</w:t>
      </w:r>
      <w:r w:rsidRPr="00200696">
        <w:rPr>
          <w:rFonts w:asciiTheme="majorHAnsi" w:hAnsiTheme="majorHAnsi" w:cs="Times New Roman"/>
          <w:color w:val="000000" w:themeColor="text1"/>
          <w:sz w:val="24"/>
          <w:szCs w:val="24"/>
          <w:lang w:val="ro-MD"/>
        </w:rPr>
        <w:t xml:space="preserve"> Î</w:t>
      </w:r>
      <w:r w:rsidRPr="00200696">
        <w:rPr>
          <w:rFonts w:asciiTheme="majorHAnsi" w:hAnsiTheme="majorHAnsi" w:cstheme="majorHAnsi"/>
          <w:color w:val="000000" w:themeColor="text1"/>
          <w:sz w:val="24"/>
          <w:szCs w:val="24"/>
          <w:lang w:val="ro-MD"/>
        </w:rPr>
        <w:t xml:space="preserve">n anul 2022 se atestă un nivel redus de executare a unor </w:t>
      </w:r>
      <w:r w:rsidR="00654F3A" w:rsidRPr="00200696">
        <w:rPr>
          <w:rFonts w:asciiTheme="majorHAnsi" w:hAnsiTheme="majorHAnsi" w:cstheme="majorHAnsi"/>
          <w:color w:val="000000" w:themeColor="text1"/>
          <w:sz w:val="24"/>
          <w:szCs w:val="24"/>
          <w:lang w:val="ro-MD"/>
        </w:rPr>
        <w:t>proiecte investiționale</w:t>
      </w:r>
      <w:r w:rsidRPr="00200696">
        <w:rPr>
          <w:rFonts w:asciiTheme="majorHAnsi" w:hAnsiTheme="majorHAnsi" w:cstheme="majorHAnsi"/>
          <w:color w:val="000000" w:themeColor="text1"/>
          <w:sz w:val="24"/>
          <w:szCs w:val="24"/>
          <w:lang w:val="ro-MD"/>
        </w:rPr>
        <w:t xml:space="preserve"> </w:t>
      </w:r>
      <w:r w:rsidR="0002178B" w:rsidRPr="00200696">
        <w:rPr>
          <w:rFonts w:asciiTheme="majorHAnsi" w:hAnsiTheme="majorHAnsi" w:cstheme="majorHAnsi"/>
          <w:color w:val="000000" w:themeColor="text1"/>
          <w:sz w:val="24"/>
          <w:szCs w:val="24"/>
          <w:lang w:val="ro-MD"/>
        </w:rPr>
        <w:t xml:space="preserve">la </w:t>
      </w:r>
      <w:r w:rsidRPr="00200696">
        <w:rPr>
          <w:rFonts w:asciiTheme="majorHAnsi" w:hAnsiTheme="majorHAnsi" w:cstheme="majorHAnsi"/>
          <w:color w:val="000000" w:themeColor="text1"/>
          <w:sz w:val="24"/>
          <w:szCs w:val="24"/>
          <w:lang w:val="ro-MD"/>
        </w:rPr>
        <w:t>Ministerul</w:t>
      </w:r>
      <w:r w:rsidR="0002178B" w:rsidRPr="00200696">
        <w:rPr>
          <w:rFonts w:asciiTheme="majorHAnsi" w:hAnsiTheme="majorHAnsi" w:cstheme="majorHAnsi"/>
          <w:color w:val="000000" w:themeColor="text1"/>
          <w:sz w:val="24"/>
          <w:szCs w:val="24"/>
          <w:lang w:val="ro-MD"/>
        </w:rPr>
        <w:t xml:space="preserve"> </w:t>
      </w:r>
      <w:r w:rsidRPr="00200696">
        <w:rPr>
          <w:rFonts w:asciiTheme="majorHAnsi" w:hAnsiTheme="majorHAnsi" w:cstheme="majorHAnsi"/>
          <w:color w:val="000000" w:themeColor="text1"/>
          <w:sz w:val="24"/>
          <w:szCs w:val="24"/>
          <w:lang w:val="ro-MD"/>
        </w:rPr>
        <w:t xml:space="preserve"> Finanțelor</w:t>
      </w:r>
      <w:r w:rsidR="00DE34AA" w:rsidRPr="00200696">
        <w:rPr>
          <w:rFonts w:asciiTheme="majorHAnsi" w:hAnsiTheme="majorHAnsi" w:cstheme="majorHAnsi"/>
          <w:color w:val="000000" w:themeColor="text1"/>
          <w:sz w:val="24"/>
          <w:szCs w:val="24"/>
          <w:lang w:val="ro-MD"/>
        </w:rPr>
        <w:t xml:space="preserve"> și unele instituții din subordine</w:t>
      </w:r>
      <w:r w:rsidRPr="00200696">
        <w:rPr>
          <w:rFonts w:asciiTheme="majorHAnsi" w:hAnsiTheme="majorHAnsi" w:cstheme="majorHAnsi"/>
          <w:color w:val="000000" w:themeColor="text1"/>
          <w:sz w:val="24"/>
          <w:szCs w:val="24"/>
          <w:lang w:val="ro-MD"/>
        </w:rPr>
        <w:t>, auditul identificând unele problematici și deficiențe în proces</w:t>
      </w:r>
      <w:r w:rsidR="00654F3A" w:rsidRPr="00200696">
        <w:rPr>
          <w:rFonts w:asciiTheme="majorHAnsi" w:hAnsiTheme="majorHAnsi" w:cstheme="majorHAnsi"/>
          <w:color w:val="000000" w:themeColor="text1"/>
          <w:sz w:val="24"/>
          <w:szCs w:val="24"/>
          <w:lang w:val="ro-MD"/>
        </w:rPr>
        <w:t>ul de realizare a acestora, nef</w:t>
      </w:r>
      <w:r w:rsidRPr="00200696">
        <w:rPr>
          <w:rFonts w:asciiTheme="majorHAnsi" w:hAnsiTheme="majorHAnsi" w:cstheme="majorHAnsi"/>
          <w:color w:val="000000" w:themeColor="text1"/>
          <w:sz w:val="24"/>
          <w:szCs w:val="24"/>
          <w:lang w:val="ro-MD"/>
        </w:rPr>
        <w:t xml:space="preserve">iind valorificate resurse </w:t>
      </w:r>
      <w:r w:rsidR="00200696">
        <w:rPr>
          <w:rFonts w:asciiTheme="majorHAnsi" w:hAnsiTheme="majorHAnsi" w:cstheme="majorHAnsi"/>
          <w:color w:val="000000" w:themeColor="text1"/>
          <w:sz w:val="24"/>
          <w:szCs w:val="24"/>
          <w:lang w:val="ro-MD"/>
        </w:rPr>
        <w:t xml:space="preserve">financiare </w:t>
      </w:r>
      <w:r w:rsidRPr="00200696">
        <w:rPr>
          <w:rFonts w:asciiTheme="majorHAnsi" w:hAnsiTheme="majorHAnsi" w:cstheme="majorHAnsi"/>
          <w:color w:val="000000" w:themeColor="text1"/>
          <w:sz w:val="24"/>
          <w:szCs w:val="24"/>
          <w:lang w:val="ro-MD"/>
        </w:rPr>
        <w:t xml:space="preserve">în sumă totală de </w:t>
      </w:r>
      <w:r w:rsidR="00C96BC3" w:rsidRPr="00200696">
        <w:rPr>
          <w:rFonts w:asciiTheme="majorHAnsi" w:hAnsiTheme="majorHAnsi" w:cstheme="majorHAnsi"/>
          <w:color w:val="000000" w:themeColor="text1"/>
          <w:sz w:val="24"/>
          <w:szCs w:val="24"/>
          <w:lang w:val="ro-MD"/>
        </w:rPr>
        <w:t xml:space="preserve">89,8 </w:t>
      </w:r>
      <w:r w:rsidR="0066671A" w:rsidRPr="00200696">
        <w:rPr>
          <w:rFonts w:asciiTheme="majorHAnsi" w:hAnsiTheme="majorHAnsi" w:cstheme="majorHAnsi"/>
          <w:color w:val="000000" w:themeColor="text1"/>
          <w:sz w:val="24"/>
          <w:szCs w:val="24"/>
          <w:lang w:val="ro-RO"/>
        </w:rPr>
        <w:t>mil.lei</w:t>
      </w:r>
      <w:r w:rsidRPr="00200696">
        <w:rPr>
          <w:rFonts w:asciiTheme="majorHAnsi" w:hAnsiTheme="majorHAnsi" w:cstheme="majorHAnsi"/>
          <w:color w:val="000000" w:themeColor="text1"/>
          <w:sz w:val="24"/>
          <w:szCs w:val="24"/>
          <w:lang w:val="ro-MD"/>
        </w:rPr>
        <w:t xml:space="preserve">. </w:t>
      </w:r>
    </w:p>
    <w:p w:rsidR="00DE34AA" w:rsidRPr="00200696" w:rsidRDefault="00C30651" w:rsidP="00C96BC3">
      <w:pPr>
        <w:spacing w:after="120" w:line="276" w:lineRule="auto"/>
        <w:rPr>
          <w:rFonts w:asciiTheme="majorHAnsi" w:hAnsiTheme="majorHAnsi" w:cstheme="majorHAnsi"/>
          <w:color w:val="000000" w:themeColor="text1"/>
          <w:sz w:val="24"/>
          <w:szCs w:val="24"/>
          <w:lang w:val="ro-MD"/>
        </w:rPr>
      </w:pPr>
      <w:r w:rsidRPr="00200696">
        <w:rPr>
          <w:rFonts w:asciiTheme="majorHAnsi" w:hAnsiTheme="majorHAnsi" w:cstheme="majorHAnsi"/>
          <w:color w:val="000000" w:themeColor="text1"/>
          <w:sz w:val="24"/>
          <w:szCs w:val="24"/>
          <w:lang w:val="ro-MD"/>
        </w:rPr>
        <w:t xml:space="preserve">Referitor la </w:t>
      </w:r>
      <w:r w:rsidR="00DE34AA" w:rsidRPr="00200696">
        <w:rPr>
          <w:rFonts w:asciiTheme="majorHAnsi" w:hAnsiTheme="majorHAnsi" w:cstheme="majorHAnsi"/>
          <w:color w:val="000000" w:themeColor="text1"/>
          <w:sz w:val="24"/>
          <w:szCs w:val="24"/>
          <w:lang w:val="ro-MD"/>
        </w:rPr>
        <w:t xml:space="preserve">implementarea de către Serviciul Vamal a </w:t>
      </w:r>
      <w:r w:rsidR="00DE34AA" w:rsidRPr="00200696">
        <w:rPr>
          <w:rFonts w:asciiTheme="majorHAnsi" w:hAnsiTheme="majorHAnsi" w:cstheme="majorHAnsi"/>
          <w:color w:val="000000" w:themeColor="text1"/>
          <w:sz w:val="24"/>
          <w:szCs w:val="24"/>
          <w:lang w:val="ro-RO"/>
        </w:rPr>
        <w:t xml:space="preserve">Proiectului „Reabilitarea și modernizarea birourilor vamale de frontieră de pe granița România-Moldova, </w:t>
      </w:r>
      <w:r w:rsidR="0090736B" w:rsidRPr="00200696">
        <w:rPr>
          <w:rFonts w:asciiTheme="majorHAnsi" w:hAnsiTheme="majorHAnsi" w:cstheme="majorHAnsi"/>
          <w:color w:val="000000" w:themeColor="text1"/>
          <w:sz w:val="24"/>
          <w:szCs w:val="24"/>
          <w:lang w:val="ro-RO"/>
        </w:rPr>
        <w:t>respectiv a</w:t>
      </w:r>
      <w:r w:rsidR="00DE34AA" w:rsidRPr="00200696">
        <w:rPr>
          <w:rFonts w:asciiTheme="majorHAnsi" w:hAnsiTheme="majorHAnsi" w:cstheme="majorHAnsi"/>
          <w:color w:val="000000" w:themeColor="text1"/>
          <w:sz w:val="24"/>
          <w:szCs w:val="24"/>
          <w:lang w:val="ro-RO"/>
        </w:rPr>
        <w:t xml:space="preserve"> posturil</w:t>
      </w:r>
      <w:r w:rsidR="0090736B" w:rsidRPr="00200696">
        <w:rPr>
          <w:rFonts w:asciiTheme="majorHAnsi" w:hAnsiTheme="majorHAnsi" w:cstheme="majorHAnsi"/>
          <w:color w:val="000000" w:themeColor="text1"/>
          <w:sz w:val="24"/>
          <w:szCs w:val="24"/>
          <w:lang w:val="ro-RO"/>
        </w:rPr>
        <w:t>or</w:t>
      </w:r>
      <w:r w:rsidR="00DE34AA" w:rsidRPr="00200696">
        <w:rPr>
          <w:rFonts w:asciiTheme="majorHAnsi" w:hAnsiTheme="majorHAnsi" w:cstheme="majorHAnsi"/>
          <w:color w:val="000000" w:themeColor="text1"/>
          <w:sz w:val="24"/>
          <w:szCs w:val="24"/>
          <w:lang w:val="ro-RO"/>
        </w:rPr>
        <w:t xml:space="preserve"> vamale Albița-Leușeni, Sculeni-Sculeni și Giurgiulești-Giurgiulești”</w:t>
      </w:r>
      <w:r w:rsidR="005E2566" w:rsidRPr="00200696">
        <w:rPr>
          <w:rFonts w:asciiTheme="majorHAnsi" w:hAnsiTheme="majorHAnsi" w:cstheme="majorHAnsi"/>
          <w:color w:val="000000" w:themeColor="text1"/>
          <w:sz w:val="24"/>
          <w:szCs w:val="24"/>
          <w:lang w:val="ro-RO"/>
        </w:rPr>
        <w:t>,</w:t>
      </w:r>
      <w:r w:rsidR="00DE34AA" w:rsidRPr="00200696">
        <w:rPr>
          <w:rFonts w:asciiTheme="majorHAnsi" w:hAnsiTheme="majorHAnsi" w:cstheme="majorHAnsi"/>
          <w:color w:val="000000" w:themeColor="text1"/>
          <w:sz w:val="24"/>
          <w:szCs w:val="24"/>
          <w:lang w:val="ro-RO"/>
        </w:rPr>
        <w:t xml:space="preserve"> în valoare </w:t>
      </w:r>
      <w:r w:rsidR="00C6202E" w:rsidRPr="00200696">
        <w:rPr>
          <w:rFonts w:asciiTheme="majorHAnsi" w:hAnsiTheme="majorHAnsi" w:cstheme="majorHAnsi"/>
          <w:color w:val="000000" w:themeColor="text1"/>
          <w:sz w:val="24"/>
          <w:szCs w:val="24"/>
          <w:lang w:val="ro-RO"/>
        </w:rPr>
        <w:t>de 5000,0 mii euro</w:t>
      </w:r>
      <w:r w:rsidR="005E2566" w:rsidRPr="00200696">
        <w:rPr>
          <w:rFonts w:asciiTheme="majorHAnsi" w:hAnsiTheme="majorHAnsi" w:cstheme="majorHAnsi"/>
          <w:color w:val="000000" w:themeColor="text1"/>
          <w:sz w:val="24"/>
          <w:szCs w:val="24"/>
          <w:lang w:val="ro-RO"/>
        </w:rPr>
        <w:t>,</w:t>
      </w:r>
      <w:r w:rsidR="00C6202E" w:rsidRPr="00200696">
        <w:rPr>
          <w:rFonts w:asciiTheme="majorHAnsi" w:hAnsiTheme="majorHAnsi" w:cstheme="majorHAnsi"/>
          <w:color w:val="000000" w:themeColor="text1"/>
          <w:sz w:val="24"/>
          <w:szCs w:val="24"/>
          <w:lang w:val="ro-RO"/>
        </w:rPr>
        <w:t xml:space="preserve"> se menționează că</w:t>
      </w:r>
      <w:r w:rsidR="00C6202E" w:rsidRPr="00200696">
        <w:rPr>
          <w:rFonts w:asciiTheme="majorHAnsi" w:hAnsiTheme="majorHAnsi" w:cstheme="majorHAnsi"/>
          <w:color w:val="000000" w:themeColor="text1"/>
          <w:sz w:val="24"/>
          <w:szCs w:val="24"/>
          <w:lang w:val="ro-MD"/>
        </w:rPr>
        <w:t xml:space="preserve"> pentru </w:t>
      </w:r>
      <w:r w:rsidRPr="00200696">
        <w:rPr>
          <w:rFonts w:asciiTheme="majorHAnsi" w:hAnsiTheme="majorHAnsi" w:cstheme="majorHAnsi"/>
          <w:color w:val="000000" w:themeColor="text1"/>
          <w:sz w:val="24"/>
          <w:szCs w:val="24"/>
          <w:lang w:val="ro-RO"/>
        </w:rPr>
        <w:t>executarea lucrărilor la 2 obiective investiționale nefinaliz</w:t>
      </w:r>
      <w:r w:rsidR="00C6202E" w:rsidRPr="00200696">
        <w:rPr>
          <w:rFonts w:asciiTheme="majorHAnsi" w:hAnsiTheme="majorHAnsi" w:cstheme="majorHAnsi"/>
          <w:color w:val="000000" w:themeColor="text1"/>
          <w:sz w:val="24"/>
          <w:szCs w:val="24"/>
          <w:lang w:val="ro-RO"/>
        </w:rPr>
        <w:t>ate (P</w:t>
      </w:r>
      <w:r w:rsidR="00F21F0C" w:rsidRPr="00200696">
        <w:rPr>
          <w:rFonts w:asciiTheme="majorHAnsi" w:hAnsiTheme="majorHAnsi" w:cstheme="majorHAnsi"/>
          <w:color w:val="000000" w:themeColor="text1"/>
          <w:sz w:val="24"/>
          <w:szCs w:val="24"/>
          <w:lang w:val="ro-RO"/>
        </w:rPr>
        <w:t>ostul vamal</w:t>
      </w:r>
      <w:r w:rsidR="00C6202E" w:rsidRPr="00200696">
        <w:rPr>
          <w:rFonts w:asciiTheme="majorHAnsi" w:hAnsiTheme="majorHAnsi" w:cstheme="majorHAnsi"/>
          <w:color w:val="000000" w:themeColor="text1"/>
          <w:sz w:val="24"/>
          <w:szCs w:val="24"/>
          <w:lang w:val="ro-RO"/>
        </w:rPr>
        <w:t xml:space="preserve"> Leușeni și P</w:t>
      </w:r>
      <w:r w:rsidR="00F21F0C" w:rsidRPr="00200696">
        <w:rPr>
          <w:rFonts w:asciiTheme="majorHAnsi" w:hAnsiTheme="majorHAnsi" w:cstheme="majorHAnsi"/>
          <w:color w:val="000000" w:themeColor="text1"/>
          <w:sz w:val="24"/>
          <w:szCs w:val="24"/>
          <w:lang w:val="ro-RO"/>
        </w:rPr>
        <w:t xml:space="preserve">ostul vamal </w:t>
      </w:r>
      <w:r w:rsidR="00C6202E" w:rsidRPr="00200696">
        <w:rPr>
          <w:rFonts w:asciiTheme="majorHAnsi" w:hAnsiTheme="majorHAnsi" w:cstheme="majorHAnsi"/>
          <w:color w:val="000000" w:themeColor="text1"/>
          <w:sz w:val="24"/>
          <w:szCs w:val="24"/>
          <w:lang w:val="ro-RO"/>
        </w:rPr>
        <w:t xml:space="preserve"> Sculeni) </w:t>
      </w:r>
      <w:r w:rsidR="0090736B" w:rsidRPr="00200696">
        <w:rPr>
          <w:rFonts w:asciiTheme="majorHAnsi" w:hAnsiTheme="majorHAnsi" w:cstheme="majorHAnsi"/>
          <w:color w:val="000000" w:themeColor="text1"/>
          <w:sz w:val="24"/>
          <w:szCs w:val="24"/>
          <w:lang w:val="ro-RO"/>
        </w:rPr>
        <w:t>s-</w:t>
      </w:r>
      <w:r w:rsidRPr="00200696">
        <w:rPr>
          <w:rFonts w:asciiTheme="majorHAnsi" w:hAnsiTheme="majorHAnsi" w:cstheme="majorHAnsi"/>
          <w:color w:val="000000" w:themeColor="text1"/>
          <w:sz w:val="24"/>
          <w:szCs w:val="24"/>
          <w:lang w:val="ro-RO"/>
        </w:rPr>
        <w:t>au aprobat resurse financiare în sumă de 43,9 mil.lei, iar urmare modificărilor Legii bugetului de stat pentru anul 2022</w:t>
      </w:r>
      <w:r w:rsidRPr="00200696">
        <w:rPr>
          <w:rStyle w:val="a6"/>
          <w:rFonts w:asciiTheme="majorHAnsi" w:hAnsiTheme="majorHAnsi" w:cstheme="majorHAnsi"/>
          <w:color w:val="000000" w:themeColor="text1"/>
          <w:sz w:val="24"/>
          <w:szCs w:val="24"/>
        </w:rPr>
        <w:footnoteReference w:id="11"/>
      </w:r>
      <w:r w:rsidRPr="00200696">
        <w:rPr>
          <w:rFonts w:asciiTheme="majorHAnsi" w:hAnsiTheme="majorHAnsi" w:cstheme="majorHAnsi"/>
          <w:color w:val="000000" w:themeColor="text1"/>
          <w:sz w:val="24"/>
          <w:szCs w:val="24"/>
          <w:lang w:val="ro-RO"/>
        </w:rPr>
        <w:t>, acestea au fost precizate în sumă de 65,9 mil.lei, sau cu 22,0 mil.lei mai mult. Cheltuielile executate la 31.12.2022 la obiectivele investiționale menționate au însumat 37,1 mil.lei, sau 56,3% din suma total</w:t>
      </w:r>
      <w:r w:rsidR="005E2566" w:rsidRPr="00200696">
        <w:rPr>
          <w:rFonts w:asciiTheme="majorHAnsi" w:hAnsiTheme="majorHAnsi" w:cstheme="majorHAnsi"/>
          <w:color w:val="000000" w:themeColor="text1"/>
          <w:sz w:val="24"/>
          <w:szCs w:val="24"/>
          <w:lang w:val="ro-RO"/>
        </w:rPr>
        <w:t>ă</w:t>
      </w:r>
      <w:r w:rsidRPr="00200696">
        <w:rPr>
          <w:rFonts w:asciiTheme="majorHAnsi" w:hAnsiTheme="majorHAnsi" w:cstheme="majorHAnsi"/>
          <w:color w:val="000000" w:themeColor="text1"/>
          <w:sz w:val="24"/>
          <w:szCs w:val="24"/>
          <w:lang w:val="ro-RO"/>
        </w:rPr>
        <w:t xml:space="preserve"> precizată. Deși la 31.12.2022 nivelul de executare a investițiilor la P</w:t>
      </w:r>
      <w:r w:rsidR="00F21F0C" w:rsidRPr="00200696">
        <w:rPr>
          <w:rFonts w:asciiTheme="majorHAnsi" w:hAnsiTheme="majorHAnsi" w:cstheme="majorHAnsi"/>
          <w:color w:val="000000" w:themeColor="text1"/>
          <w:sz w:val="24"/>
          <w:szCs w:val="24"/>
          <w:lang w:val="ro-RO"/>
        </w:rPr>
        <w:t>ostul vamal</w:t>
      </w:r>
      <w:r w:rsidRPr="00200696">
        <w:rPr>
          <w:rFonts w:asciiTheme="majorHAnsi" w:hAnsiTheme="majorHAnsi" w:cstheme="majorHAnsi"/>
          <w:color w:val="000000" w:themeColor="text1"/>
          <w:sz w:val="24"/>
          <w:szCs w:val="24"/>
          <w:lang w:val="ro-RO"/>
        </w:rPr>
        <w:t xml:space="preserve"> Leușeni constituie 7</w:t>
      </w:r>
      <w:r w:rsidR="008A3FC5" w:rsidRPr="00200696">
        <w:rPr>
          <w:rFonts w:asciiTheme="majorHAnsi" w:hAnsiTheme="majorHAnsi" w:cstheme="majorHAnsi"/>
          <w:color w:val="000000" w:themeColor="text1"/>
          <w:sz w:val="24"/>
          <w:szCs w:val="24"/>
          <w:lang w:val="ro-RO"/>
        </w:rPr>
        <w:t>5,6</w:t>
      </w:r>
      <w:r w:rsidRPr="00200696">
        <w:rPr>
          <w:rFonts w:asciiTheme="majorHAnsi" w:hAnsiTheme="majorHAnsi" w:cstheme="majorHAnsi"/>
          <w:color w:val="000000" w:themeColor="text1"/>
          <w:sz w:val="24"/>
          <w:szCs w:val="24"/>
          <w:lang w:val="ro-RO"/>
        </w:rPr>
        <w:t>% din valoarea contrac</w:t>
      </w:r>
      <w:r w:rsidR="00AD0677" w:rsidRPr="00200696">
        <w:rPr>
          <w:rFonts w:asciiTheme="majorHAnsi" w:hAnsiTheme="majorHAnsi" w:cstheme="majorHAnsi"/>
          <w:color w:val="000000" w:themeColor="text1"/>
          <w:sz w:val="24"/>
          <w:szCs w:val="24"/>
          <w:lang w:val="ro-RO"/>
        </w:rPr>
        <w:t>tată</w:t>
      </w:r>
      <w:r w:rsidRPr="00200696">
        <w:rPr>
          <w:rFonts w:asciiTheme="majorHAnsi" w:hAnsiTheme="majorHAnsi" w:cstheme="majorHAnsi"/>
          <w:color w:val="000000" w:themeColor="text1"/>
          <w:sz w:val="24"/>
          <w:szCs w:val="24"/>
          <w:lang w:val="ro-RO"/>
        </w:rPr>
        <w:t xml:space="preserve"> de 18,</w:t>
      </w:r>
      <w:r w:rsidR="008A3FC5" w:rsidRPr="00200696">
        <w:rPr>
          <w:rFonts w:asciiTheme="majorHAnsi" w:hAnsiTheme="majorHAnsi" w:cstheme="majorHAnsi"/>
          <w:color w:val="000000" w:themeColor="text1"/>
          <w:sz w:val="24"/>
          <w:szCs w:val="24"/>
          <w:lang w:val="ro-RO"/>
        </w:rPr>
        <w:t>5</w:t>
      </w:r>
      <w:r w:rsidRPr="00200696">
        <w:rPr>
          <w:rFonts w:asciiTheme="majorHAnsi" w:hAnsiTheme="majorHAnsi" w:cstheme="majorHAnsi"/>
          <w:color w:val="000000" w:themeColor="text1"/>
          <w:sz w:val="24"/>
          <w:szCs w:val="24"/>
          <w:lang w:val="ro-RO"/>
        </w:rPr>
        <w:t xml:space="preserve"> mil.lei, în anii 2020-2022 </w:t>
      </w:r>
      <w:r w:rsidR="005E2566" w:rsidRPr="00200696">
        <w:rPr>
          <w:rFonts w:asciiTheme="majorHAnsi" w:hAnsiTheme="majorHAnsi" w:cstheme="majorHAnsi"/>
          <w:color w:val="000000" w:themeColor="text1"/>
          <w:sz w:val="24"/>
          <w:szCs w:val="24"/>
          <w:lang w:val="ro-RO"/>
        </w:rPr>
        <w:t xml:space="preserve">fiind executate cheltuieli </w:t>
      </w:r>
      <w:r w:rsidRPr="00200696">
        <w:rPr>
          <w:rFonts w:asciiTheme="majorHAnsi" w:hAnsiTheme="majorHAnsi" w:cstheme="majorHAnsi"/>
          <w:color w:val="000000" w:themeColor="text1"/>
          <w:sz w:val="24"/>
          <w:szCs w:val="24"/>
          <w:lang w:val="ro-RO"/>
        </w:rPr>
        <w:t>în sumă de 1</w:t>
      </w:r>
      <w:r w:rsidR="008A3FC5" w:rsidRPr="00200696">
        <w:rPr>
          <w:rFonts w:asciiTheme="majorHAnsi" w:hAnsiTheme="majorHAnsi" w:cstheme="majorHAnsi"/>
          <w:color w:val="000000" w:themeColor="text1"/>
          <w:sz w:val="24"/>
          <w:szCs w:val="24"/>
          <w:lang w:val="ro-RO"/>
        </w:rPr>
        <w:t>4,0</w:t>
      </w:r>
      <w:r w:rsidRPr="00200696">
        <w:rPr>
          <w:rFonts w:asciiTheme="majorHAnsi" w:hAnsiTheme="majorHAnsi" w:cstheme="majorHAnsi"/>
          <w:color w:val="000000" w:themeColor="text1"/>
          <w:sz w:val="24"/>
          <w:szCs w:val="24"/>
          <w:lang w:val="ro-RO"/>
        </w:rPr>
        <w:t xml:space="preserve"> mil.lei, la P</w:t>
      </w:r>
      <w:r w:rsidR="00F21F0C" w:rsidRPr="00200696">
        <w:rPr>
          <w:rFonts w:asciiTheme="majorHAnsi" w:hAnsiTheme="majorHAnsi" w:cstheme="majorHAnsi"/>
          <w:color w:val="000000" w:themeColor="text1"/>
          <w:sz w:val="24"/>
          <w:szCs w:val="24"/>
          <w:lang w:val="ro-RO"/>
        </w:rPr>
        <w:t>ostul vamal</w:t>
      </w:r>
      <w:r w:rsidRPr="00200696">
        <w:rPr>
          <w:rFonts w:asciiTheme="majorHAnsi" w:hAnsiTheme="majorHAnsi" w:cstheme="majorHAnsi"/>
          <w:color w:val="000000" w:themeColor="text1"/>
          <w:sz w:val="24"/>
          <w:szCs w:val="24"/>
          <w:lang w:val="ro-RO"/>
        </w:rPr>
        <w:t xml:space="preserve"> Sculeni nivelul de executare constituie 25,</w:t>
      </w:r>
      <w:r w:rsidR="008A3FC5" w:rsidRPr="00200696">
        <w:rPr>
          <w:rFonts w:asciiTheme="majorHAnsi" w:hAnsiTheme="majorHAnsi" w:cstheme="majorHAnsi"/>
          <w:color w:val="000000" w:themeColor="text1"/>
          <w:sz w:val="24"/>
          <w:szCs w:val="24"/>
          <w:lang w:val="ro-RO"/>
        </w:rPr>
        <w:t>7</w:t>
      </w:r>
      <w:r w:rsidRPr="00200696">
        <w:rPr>
          <w:rFonts w:asciiTheme="majorHAnsi" w:hAnsiTheme="majorHAnsi" w:cstheme="majorHAnsi"/>
          <w:color w:val="000000" w:themeColor="text1"/>
          <w:sz w:val="24"/>
          <w:szCs w:val="24"/>
          <w:lang w:val="ro-RO"/>
        </w:rPr>
        <w:t xml:space="preserve">%, </w:t>
      </w:r>
      <w:r w:rsidR="00892EA0" w:rsidRPr="00200696">
        <w:rPr>
          <w:rFonts w:asciiTheme="majorHAnsi" w:hAnsiTheme="majorHAnsi" w:cstheme="majorHAnsi"/>
          <w:color w:val="000000" w:themeColor="text1"/>
          <w:sz w:val="24"/>
          <w:szCs w:val="24"/>
          <w:lang w:val="ro-RO"/>
        </w:rPr>
        <w:t xml:space="preserve">în anul 2022 </w:t>
      </w:r>
      <w:r w:rsidRPr="00200696">
        <w:rPr>
          <w:rFonts w:asciiTheme="majorHAnsi" w:hAnsiTheme="majorHAnsi" w:cstheme="majorHAnsi"/>
          <w:color w:val="000000" w:themeColor="text1"/>
          <w:sz w:val="24"/>
          <w:szCs w:val="24"/>
          <w:lang w:val="ro-RO"/>
        </w:rPr>
        <w:t xml:space="preserve">fiind executate cheltuieli în sumă de 31,6 mil.lei din valoarea </w:t>
      </w:r>
      <w:r w:rsidR="00654F3A" w:rsidRPr="00200696">
        <w:rPr>
          <w:rFonts w:asciiTheme="majorHAnsi" w:hAnsiTheme="majorHAnsi" w:cstheme="majorHAnsi"/>
          <w:color w:val="000000" w:themeColor="text1"/>
          <w:sz w:val="24"/>
          <w:szCs w:val="24"/>
          <w:lang w:val="ro-RO"/>
        </w:rPr>
        <w:t>contrac</w:t>
      </w:r>
      <w:r w:rsidR="00AD0677" w:rsidRPr="00200696">
        <w:rPr>
          <w:rFonts w:asciiTheme="majorHAnsi" w:hAnsiTheme="majorHAnsi" w:cstheme="majorHAnsi"/>
          <w:color w:val="000000" w:themeColor="text1"/>
          <w:sz w:val="24"/>
          <w:szCs w:val="24"/>
          <w:lang w:val="ro-RO"/>
        </w:rPr>
        <w:t>tată</w:t>
      </w:r>
      <w:r w:rsidR="00654F3A" w:rsidRPr="00200696">
        <w:rPr>
          <w:rFonts w:asciiTheme="majorHAnsi" w:hAnsiTheme="majorHAnsi" w:cstheme="majorHAnsi"/>
          <w:color w:val="000000" w:themeColor="text1"/>
          <w:sz w:val="24"/>
          <w:szCs w:val="24"/>
          <w:lang w:val="ro-RO"/>
        </w:rPr>
        <w:t xml:space="preserve"> de 12</w:t>
      </w:r>
      <w:r w:rsidR="008A3FC5" w:rsidRPr="00200696">
        <w:rPr>
          <w:rFonts w:asciiTheme="majorHAnsi" w:hAnsiTheme="majorHAnsi" w:cstheme="majorHAnsi"/>
          <w:color w:val="000000" w:themeColor="text1"/>
          <w:sz w:val="24"/>
          <w:szCs w:val="24"/>
          <w:lang w:val="ro-RO"/>
        </w:rPr>
        <w:t>3,1</w:t>
      </w:r>
      <w:r w:rsidR="00654F3A" w:rsidRPr="00200696">
        <w:rPr>
          <w:rFonts w:asciiTheme="majorHAnsi" w:hAnsiTheme="majorHAnsi" w:cstheme="majorHAnsi"/>
          <w:color w:val="000000" w:themeColor="text1"/>
          <w:sz w:val="24"/>
          <w:szCs w:val="24"/>
          <w:lang w:val="ro-RO"/>
        </w:rPr>
        <w:t xml:space="preserve"> mil.lei. </w:t>
      </w:r>
      <w:r w:rsidR="00DE34AA" w:rsidRPr="00200696">
        <w:rPr>
          <w:rFonts w:asciiTheme="majorHAnsi" w:hAnsiTheme="majorHAnsi" w:cstheme="majorHAnsi"/>
          <w:color w:val="000000" w:themeColor="text1"/>
          <w:sz w:val="24"/>
          <w:szCs w:val="24"/>
          <w:lang w:val="ro-RO"/>
        </w:rPr>
        <w:t>Cele menționate</w:t>
      </w:r>
      <w:r w:rsidR="00F01487" w:rsidRPr="00200696">
        <w:rPr>
          <w:rFonts w:asciiTheme="majorHAnsi" w:hAnsiTheme="majorHAnsi" w:cstheme="majorHAnsi"/>
          <w:color w:val="000000" w:themeColor="text1"/>
          <w:sz w:val="24"/>
          <w:szCs w:val="24"/>
          <w:lang w:val="ro-MD"/>
        </w:rPr>
        <w:t xml:space="preserve"> afectează realizarea obiectivului privind  </w:t>
      </w:r>
      <w:r w:rsidR="00F01487" w:rsidRPr="00200696">
        <w:rPr>
          <w:rFonts w:asciiTheme="majorHAnsi" w:hAnsiTheme="majorHAnsi" w:cstheme="majorHAnsi"/>
          <w:color w:val="000000" w:themeColor="text1"/>
          <w:sz w:val="24"/>
          <w:szCs w:val="24"/>
          <w:lang w:val="ro-RO"/>
        </w:rPr>
        <w:t xml:space="preserve">modernizarea posturilor vamale la frontiera moldo-română și îmbunătățirea condițiilor </w:t>
      </w:r>
      <w:r w:rsidR="00DE34AA" w:rsidRPr="00200696">
        <w:rPr>
          <w:rFonts w:asciiTheme="majorHAnsi" w:hAnsiTheme="majorHAnsi" w:cstheme="majorHAnsi"/>
          <w:color w:val="000000" w:themeColor="text1"/>
          <w:sz w:val="24"/>
          <w:szCs w:val="24"/>
          <w:lang w:val="ro-RO"/>
        </w:rPr>
        <w:t>de efectuare a</w:t>
      </w:r>
      <w:r w:rsidR="00F01487" w:rsidRPr="00200696">
        <w:rPr>
          <w:rFonts w:asciiTheme="majorHAnsi" w:hAnsiTheme="majorHAnsi" w:cstheme="majorHAnsi"/>
          <w:color w:val="000000" w:themeColor="text1"/>
          <w:sz w:val="24"/>
          <w:szCs w:val="24"/>
          <w:lang w:val="ro-RO"/>
        </w:rPr>
        <w:t xml:space="preserve"> controlul</w:t>
      </w:r>
      <w:r w:rsidR="00892EA0" w:rsidRPr="00200696">
        <w:rPr>
          <w:rFonts w:asciiTheme="majorHAnsi" w:hAnsiTheme="majorHAnsi" w:cstheme="majorHAnsi"/>
          <w:color w:val="000000" w:themeColor="text1"/>
          <w:sz w:val="24"/>
          <w:szCs w:val="24"/>
          <w:lang w:val="ro-RO"/>
        </w:rPr>
        <w:t>ui</w:t>
      </w:r>
      <w:r w:rsidR="00F01487" w:rsidRPr="00200696">
        <w:rPr>
          <w:rFonts w:asciiTheme="majorHAnsi" w:hAnsiTheme="majorHAnsi" w:cstheme="majorHAnsi"/>
          <w:color w:val="000000" w:themeColor="text1"/>
          <w:sz w:val="24"/>
          <w:szCs w:val="24"/>
          <w:lang w:val="ro-RO"/>
        </w:rPr>
        <w:t xml:space="preserve"> vamal conform cerințelor internaționale</w:t>
      </w:r>
      <w:r w:rsidR="00DE34AA" w:rsidRPr="00200696">
        <w:rPr>
          <w:rFonts w:asciiTheme="majorHAnsi" w:hAnsiTheme="majorHAnsi" w:cstheme="majorHAnsi"/>
          <w:color w:val="000000" w:themeColor="text1"/>
          <w:sz w:val="24"/>
          <w:szCs w:val="24"/>
          <w:lang w:val="ro-RO"/>
        </w:rPr>
        <w:t xml:space="preserve">, </w:t>
      </w:r>
      <w:r w:rsidR="00DE34AA" w:rsidRPr="00200696">
        <w:rPr>
          <w:rFonts w:asciiTheme="majorHAnsi" w:hAnsiTheme="majorHAnsi" w:cstheme="majorHAnsi"/>
          <w:color w:val="000000" w:themeColor="text1"/>
          <w:sz w:val="24"/>
          <w:szCs w:val="24"/>
          <w:lang w:val="ro-MD"/>
        </w:rPr>
        <w:t xml:space="preserve">nefiind valorificate mijloace în sumă de </w:t>
      </w:r>
      <w:r w:rsidR="00DE34AA" w:rsidRPr="00200696">
        <w:rPr>
          <w:rFonts w:asciiTheme="majorHAnsi" w:hAnsiTheme="majorHAnsi" w:cstheme="majorHAnsi"/>
          <w:color w:val="000000" w:themeColor="text1"/>
          <w:sz w:val="24"/>
          <w:szCs w:val="24"/>
          <w:lang w:val="ro-RO"/>
        </w:rPr>
        <w:t>54,2 mil.lei</w:t>
      </w:r>
      <w:r w:rsidR="00DE34AA" w:rsidRPr="00200696">
        <w:rPr>
          <w:rFonts w:asciiTheme="majorHAnsi" w:hAnsiTheme="majorHAnsi" w:cstheme="majorHAnsi"/>
          <w:color w:val="000000" w:themeColor="text1"/>
          <w:sz w:val="24"/>
          <w:szCs w:val="24"/>
          <w:lang w:val="ro-MD"/>
        </w:rPr>
        <w:t xml:space="preserve">. </w:t>
      </w:r>
    </w:p>
    <w:p w:rsidR="00C30651" w:rsidRPr="00200696" w:rsidRDefault="00C6202E" w:rsidP="00C96BC3">
      <w:pPr>
        <w:pStyle w:val="af0"/>
        <w:spacing w:after="120" w:line="276" w:lineRule="auto"/>
        <w:jc w:val="both"/>
        <w:rPr>
          <w:rFonts w:asciiTheme="majorHAnsi" w:hAnsiTheme="majorHAnsi" w:cstheme="majorHAnsi"/>
          <w:b/>
          <w:color w:val="000000" w:themeColor="text1"/>
        </w:rPr>
      </w:pPr>
      <w:r w:rsidRPr="00200696">
        <w:rPr>
          <w:rFonts w:asciiTheme="majorHAnsi" w:hAnsiTheme="majorHAnsi" w:cstheme="majorHAnsi"/>
          <w:color w:val="000000" w:themeColor="text1"/>
        </w:rPr>
        <w:t xml:space="preserve">Privitor la implementarea de către </w:t>
      </w:r>
      <w:r w:rsidR="00C30651" w:rsidRPr="00200696">
        <w:rPr>
          <w:rFonts w:asciiTheme="majorHAnsi" w:hAnsiTheme="majorHAnsi" w:cstheme="majorHAnsi"/>
          <w:color w:val="000000" w:themeColor="text1"/>
        </w:rPr>
        <w:t>S</w:t>
      </w:r>
      <w:r w:rsidR="00654F3A" w:rsidRPr="00200696">
        <w:rPr>
          <w:rFonts w:asciiTheme="majorHAnsi" w:hAnsiTheme="majorHAnsi" w:cstheme="majorHAnsi"/>
          <w:color w:val="000000" w:themeColor="text1"/>
        </w:rPr>
        <w:t xml:space="preserve">erviciul </w:t>
      </w:r>
      <w:r w:rsidR="00C30651" w:rsidRPr="00200696">
        <w:rPr>
          <w:rFonts w:asciiTheme="majorHAnsi" w:hAnsiTheme="majorHAnsi" w:cstheme="majorHAnsi"/>
          <w:color w:val="000000" w:themeColor="text1"/>
        </w:rPr>
        <w:t>F</w:t>
      </w:r>
      <w:r w:rsidR="00654F3A" w:rsidRPr="00200696">
        <w:rPr>
          <w:rFonts w:asciiTheme="majorHAnsi" w:hAnsiTheme="majorHAnsi" w:cstheme="majorHAnsi"/>
          <w:color w:val="000000" w:themeColor="text1"/>
        </w:rPr>
        <w:t xml:space="preserve">iscal de Stat </w:t>
      </w:r>
      <w:r w:rsidRPr="00200696">
        <w:rPr>
          <w:rFonts w:asciiTheme="majorHAnsi" w:hAnsiTheme="majorHAnsi" w:cstheme="majorHAnsi"/>
          <w:color w:val="000000" w:themeColor="text1"/>
        </w:rPr>
        <w:t>a Proiectului</w:t>
      </w:r>
      <w:r w:rsidR="00C30651" w:rsidRPr="00200696">
        <w:rPr>
          <w:rFonts w:asciiTheme="majorHAnsi" w:hAnsiTheme="majorHAnsi" w:cstheme="majorHAnsi"/>
          <w:color w:val="000000" w:themeColor="text1"/>
        </w:rPr>
        <w:t xml:space="preserve"> de modernizare a administrației fiscale, </w:t>
      </w:r>
      <w:r w:rsidRPr="00200696">
        <w:rPr>
          <w:rFonts w:asciiTheme="majorHAnsi" w:hAnsiTheme="majorHAnsi" w:cstheme="majorHAnsi"/>
          <w:color w:val="000000" w:themeColor="text1"/>
        </w:rPr>
        <w:t xml:space="preserve">se remarcă că, în </w:t>
      </w:r>
      <w:r w:rsidR="00C30651" w:rsidRPr="00200696">
        <w:rPr>
          <w:rFonts w:asciiTheme="majorHAnsi" w:hAnsiTheme="majorHAnsi" w:cstheme="majorHAnsi"/>
          <w:color w:val="000000" w:themeColor="text1"/>
        </w:rPr>
        <w:t>anul 2022</w:t>
      </w:r>
      <w:r w:rsidR="00892EA0" w:rsidRPr="00200696">
        <w:rPr>
          <w:rFonts w:asciiTheme="majorHAnsi" w:hAnsiTheme="majorHAnsi" w:cstheme="majorHAnsi"/>
          <w:color w:val="000000" w:themeColor="text1"/>
        </w:rPr>
        <w:t>,</w:t>
      </w:r>
      <w:r w:rsidR="00C30651" w:rsidRPr="00200696">
        <w:rPr>
          <w:rFonts w:asciiTheme="majorHAnsi" w:hAnsiTheme="majorHAnsi" w:cstheme="majorHAnsi"/>
          <w:color w:val="000000" w:themeColor="text1"/>
        </w:rPr>
        <w:t xml:space="preserve"> pentru implementarea activităților proiectului au fost precizate resurse financiare în sumă totală de 10,6 mil.lei, inclusiv cheltuieli – 8,9 mil.lei</w:t>
      </w:r>
      <w:r w:rsidR="00892EA0" w:rsidRPr="00200696">
        <w:rPr>
          <w:rFonts w:asciiTheme="majorHAnsi" w:hAnsiTheme="majorHAnsi" w:cstheme="majorHAnsi"/>
          <w:color w:val="000000" w:themeColor="text1"/>
        </w:rPr>
        <w:t>,</w:t>
      </w:r>
      <w:r w:rsidR="00C30651" w:rsidRPr="00200696">
        <w:rPr>
          <w:rFonts w:asciiTheme="majorHAnsi" w:hAnsiTheme="majorHAnsi" w:cstheme="majorHAnsi"/>
          <w:color w:val="000000" w:themeColor="text1"/>
        </w:rPr>
        <w:t xml:space="preserve"> și active nefinanciare – 1,7 mil.lei, la 31.12.2022 fiind executate mijloace de 1,8 mil.lei</w:t>
      </w:r>
      <w:r w:rsidR="00892EA0" w:rsidRPr="00200696">
        <w:rPr>
          <w:rFonts w:asciiTheme="majorHAnsi" w:hAnsiTheme="majorHAnsi" w:cstheme="majorHAnsi"/>
          <w:color w:val="000000" w:themeColor="text1"/>
        </w:rPr>
        <w:t>,</w:t>
      </w:r>
      <w:r w:rsidR="00C30651" w:rsidRPr="00200696">
        <w:rPr>
          <w:rFonts w:asciiTheme="majorHAnsi" w:hAnsiTheme="majorHAnsi" w:cstheme="majorHAnsi"/>
          <w:color w:val="000000" w:themeColor="text1"/>
        </w:rPr>
        <w:t xml:space="preserve"> sau 17%.</w:t>
      </w:r>
    </w:p>
    <w:p w:rsidR="00DE34AA" w:rsidRPr="00200696" w:rsidRDefault="00430D5B" w:rsidP="00C96BC3">
      <w:pPr>
        <w:spacing w:after="120" w:line="276" w:lineRule="auto"/>
        <w:rPr>
          <w:rFonts w:asciiTheme="majorHAnsi" w:eastAsia="Times New Roman" w:hAnsiTheme="majorHAnsi" w:cstheme="majorHAnsi"/>
          <w:color w:val="000000" w:themeColor="text1"/>
          <w:sz w:val="24"/>
          <w:szCs w:val="24"/>
          <w:lang w:val="ro-RO"/>
        </w:rPr>
      </w:pPr>
      <w:r w:rsidRPr="00200696">
        <w:rPr>
          <w:rFonts w:asciiTheme="majorHAnsi" w:hAnsiTheme="majorHAnsi" w:cstheme="majorHAnsi"/>
          <w:color w:val="000000" w:themeColor="text1"/>
          <w:sz w:val="24"/>
          <w:szCs w:val="24"/>
          <w:lang w:val="ro-RO"/>
        </w:rPr>
        <w:t xml:space="preserve">Nevalorificarea </w:t>
      </w:r>
      <w:r w:rsidR="00F01487" w:rsidRPr="00200696">
        <w:rPr>
          <w:rFonts w:asciiTheme="majorHAnsi" w:hAnsiTheme="majorHAnsi" w:cstheme="majorHAnsi"/>
          <w:color w:val="000000" w:themeColor="text1"/>
          <w:sz w:val="24"/>
          <w:szCs w:val="24"/>
          <w:lang w:val="ro-RO"/>
        </w:rPr>
        <w:t xml:space="preserve">resurselor financiare ține de neefectuarea achizițiilor </w:t>
      </w:r>
      <w:r w:rsidR="00C6202E" w:rsidRPr="00200696">
        <w:rPr>
          <w:rFonts w:asciiTheme="majorHAnsi" w:hAnsiTheme="majorHAnsi" w:cstheme="majorHAnsi"/>
          <w:color w:val="000000" w:themeColor="text1"/>
          <w:sz w:val="24"/>
          <w:szCs w:val="24"/>
          <w:lang w:val="ro-RO"/>
        </w:rPr>
        <w:t>privind</w:t>
      </w:r>
      <w:r w:rsidR="00F01487" w:rsidRPr="00200696">
        <w:rPr>
          <w:rFonts w:asciiTheme="majorHAnsi" w:hAnsiTheme="majorHAnsi" w:cstheme="majorHAnsi"/>
          <w:color w:val="000000" w:themeColor="text1"/>
          <w:sz w:val="24"/>
          <w:szCs w:val="24"/>
          <w:lang w:val="ro-RO"/>
        </w:rPr>
        <w:t xml:space="preserve"> evaluarea capacității sistemului informațional</w:t>
      </w:r>
      <w:r w:rsidR="00C6202E" w:rsidRPr="00200696">
        <w:rPr>
          <w:rFonts w:asciiTheme="majorHAnsi" w:hAnsiTheme="majorHAnsi" w:cstheme="majorHAnsi"/>
          <w:color w:val="000000" w:themeColor="text1"/>
          <w:sz w:val="24"/>
          <w:szCs w:val="24"/>
          <w:lang w:val="ro-RO"/>
        </w:rPr>
        <w:t xml:space="preserve"> al Serviciului</w:t>
      </w:r>
      <w:r w:rsidR="007A194B" w:rsidRPr="00200696">
        <w:rPr>
          <w:rFonts w:asciiTheme="majorHAnsi" w:hAnsiTheme="majorHAnsi" w:cstheme="majorHAnsi"/>
          <w:color w:val="000000" w:themeColor="text1"/>
          <w:sz w:val="24"/>
          <w:szCs w:val="24"/>
          <w:lang w:val="ro-RO"/>
        </w:rPr>
        <w:t xml:space="preserve"> Fiscal de Stat</w:t>
      </w:r>
      <w:r w:rsidR="00DE34AA" w:rsidRPr="00200696">
        <w:rPr>
          <w:rFonts w:asciiTheme="majorHAnsi" w:hAnsiTheme="majorHAnsi" w:cstheme="majorHAnsi"/>
          <w:color w:val="000000" w:themeColor="text1"/>
          <w:sz w:val="24"/>
          <w:szCs w:val="24"/>
          <w:lang w:val="ro-RO"/>
        </w:rPr>
        <w:t>,</w:t>
      </w:r>
      <w:r w:rsidR="00F01487" w:rsidRPr="00200696">
        <w:rPr>
          <w:rFonts w:asciiTheme="majorHAnsi" w:hAnsiTheme="majorHAnsi" w:cstheme="majorHAnsi"/>
          <w:color w:val="000000" w:themeColor="text1"/>
          <w:sz w:val="24"/>
          <w:szCs w:val="24"/>
          <w:lang w:val="ro-RO"/>
        </w:rPr>
        <w:t xml:space="preserve"> </w:t>
      </w:r>
      <w:r w:rsidR="00B001BB" w:rsidRPr="00200696">
        <w:rPr>
          <w:rFonts w:asciiTheme="majorHAnsi" w:hAnsiTheme="majorHAnsi" w:cstheme="majorHAnsi"/>
          <w:color w:val="000000" w:themeColor="text1"/>
          <w:sz w:val="24"/>
          <w:szCs w:val="24"/>
          <w:lang w:val="ro-RO"/>
        </w:rPr>
        <w:t>a</w:t>
      </w:r>
      <w:r w:rsidR="00F01487" w:rsidRPr="00200696">
        <w:rPr>
          <w:rFonts w:asciiTheme="majorHAnsi" w:hAnsiTheme="majorHAnsi" w:cstheme="majorHAnsi"/>
          <w:color w:val="000000" w:themeColor="text1"/>
          <w:sz w:val="24"/>
          <w:szCs w:val="24"/>
          <w:lang w:val="ro-RO"/>
        </w:rPr>
        <w:t xml:space="preserve"> sondajului în rândul contribuabililor și </w:t>
      </w:r>
      <w:r w:rsidR="00B001BB" w:rsidRPr="00200696">
        <w:rPr>
          <w:rFonts w:asciiTheme="majorHAnsi" w:hAnsiTheme="majorHAnsi" w:cstheme="majorHAnsi"/>
          <w:color w:val="000000" w:themeColor="text1"/>
          <w:sz w:val="24"/>
          <w:szCs w:val="24"/>
          <w:lang w:val="ro-RO"/>
        </w:rPr>
        <w:t>a</w:t>
      </w:r>
      <w:r w:rsidR="00F01487" w:rsidRPr="00200696">
        <w:rPr>
          <w:rFonts w:asciiTheme="majorHAnsi" w:hAnsiTheme="majorHAnsi" w:cstheme="majorHAnsi"/>
          <w:color w:val="000000" w:themeColor="text1"/>
          <w:sz w:val="24"/>
          <w:szCs w:val="24"/>
          <w:lang w:val="ro-RO"/>
        </w:rPr>
        <w:t xml:space="preserve"> serviciilor de audit aferent</w:t>
      </w:r>
      <w:r w:rsidR="00B001BB" w:rsidRPr="00200696">
        <w:rPr>
          <w:rFonts w:asciiTheme="majorHAnsi" w:hAnsiTheme="majorHAnsi" w:cstheme="majorHAnsi"/>
          <w:color w:val="000000" w:themeColor="text1"/>
          <w:sz w:val="24"/>
          <w:szCs w:val="24"/>
          <w:lang w:val="ro-RO"/>
        </w:rPr>
        <w:t>e</w:t>
      </w:r>
      <w:r w:rsidR="00F01487" w:rsidRPr="00200696">
        <w:rPr>
          <w:rFonts w:asciiTheme="majorHAnsi" w:hAnsiTheme="majorHAnsi" w:cstheme="majorHAnsi"/>
          <w:color w:val="000000" w:themeColor="text1"/>
          <w:sz w:val="24"/>
          <w:szCs w:val="24"/>
          <w:lang w:val="ro-RO"/>
        </w:rPr>
        <w:t xml:space="preserve"> rapoartelo</w:t>
      </w:r>
      <w:r w:rsidR="00C6202E" w:rsidRPr="00200696">
        <w:rPr>
          <w:rFonts w:asciiTheme="majorHAnsi" w:hAnsiTheme="majorHAnsi" w:cstheme="majorHAnsi"/>
          <w:color w:val="000000" w:themeColor="text1"/>
          <w:sz w:val="24"/>
          <w:szCs w:val="24"/>
          <w:lang w:val="ro-RO"/>
        </w:rPr>
        <w:t>r privind cheltuieli</w:t>
      </w:r>
      <w:r w:rsidR="00B24672" w:rsidRPr="00200696">
        <w:rPr>
          <w:rFonts w:asciiTheme="majorHAnsi" w:hAnsiTheme="majorHAnsi" w:cstheme="majorHAnsi"/>
          <w:color w:val="000000" w:themeColor="text1"/>
          <w:sz w:val="24"/>
          <w:szCs w:val="24"/>
          <w:lang w:val="ro-RO"/>
        </w:rPr>
        <w:t>le</w:t>
      </w:r>
      <w:r w:rsidR="00C6202E" w:rsidRPr="00200696">
        <w:rPr>
          <w:rFonts w:asciiTheme="majorHAnsi" w:hAnsiTheme="majorHAnsi" w:cstheme="majorHAnsi"/>
          <w:color w:val="000000" w:themeColor="text1"/>
          <w:sz w:val="24"/>
          <w:szCs w:val="24"/>
          <w:lang w:val="ro-RO"/>
        </w:rPr>
        <w:t xml:space="preserve"> eligibile. </w:t>
      </w:r>
      <w:r w:rsidR="00F01487" w:rsidRPr="00200696">
        <w:rPr>
          <w:rFonts w:asciiTheme="majorHAnsi" w:hAnsiTheme="majorHAnsi" w:cstheme="majorHAnsi"/>
          <w:color w:val="000000" w:themeColor="text1"/>
          <w:sz w:val="24"/>
          <w:szCs w:val="24"/>
          <w:lang w:val="ro-MD"/>
        </w:rPr>
        <w:t xml:space="preserve">Cele menționate pot avea impact asupra realizării în termen a obiectivului proiectului privind </w:t>
      </w:r>
      <w:r w:rsidR="00F01487" w:rsidRPr="00200696">
        <w:rPr>
          <w:rFonts w:asciiTheme="majorHAnsi" w:eastAsia="Times New Roman" w:hAnsiTheme="majorHAnsi" w:cstheme="majorHAnsi"/>
          <w:color w:val="000000" w:themeColor="text1"/>
          <w:sz w:val="24"/>
          <w:szCs w:val="24"/>
          <w:lang w:val="ro-RO"/>
        </w:rPr>
        <w:t>îmbunătățirea colectării veniturilor, conformării fiscale și servic</w:t>
      </w:r>
      <w:r w:rsidR="00DE34AA" w:rsidRPr="00200696">
        <w:rPr>
          <w:rFonts w:asciiTheme="majorHAnsi" w:eastAsia="Times New Roman" w:hAnsiTheme="majorHAnsi" w:cstheme="majorHAnsi"/>
          <w:color w:val="000000" w:themeColor="text1"/>
          <w:sz w:val="24"/>
          <w:szCs w:val="24"/>
          <w:lang w:val="ro-RO"/>
        </w:rPr>
        <w:t xml:space="preserve">iilor prestate contribuabililor, </w:t>
      </w:r>
      <w:r w:rsidR="00DE34AA" w:rsidRPr="00200696">
        <w:rPr>
          <w:rFonts w:asciiTheme="majorHAnsi" w:hAnsiTheme="majorHAnsi" w:cstheme="majorHAnsi"/>
          <w:color w:val="000000" w:themeColor="text1"/>
          <w:sz w:val="24"/>
          <w:szCs w:val="24"/>
          <w:lang w:val="ro-MD"/>
        </w:rPr>
        <w:t>nefiind valorificate mijloace în sumă de 8,8</w:t>
      </w:r>
      <w:r w:rsidR="00DE34AA" w:rsidRPr="00200696">
        <w:rPr>
          <w:rFonts w:asciiTheme="majorHAnsi" w:hAnsiTheme="majorHAnsi" w:cstheme="majorHAnsi"/>
          <w:color w:val="000000" w:themeColor="text1"/>
          <w:sz w:val="24"/>
          <w:szCs w:val="24"/>
          <w:lang w:val="ro-RO"/>
        </w:rPr>
        <w:t xml:space="preserve"> mil.lei</w:t>
      </w:r>
      <w:r w:rsidR="00DE34AA" w:rsidRPr="00200696">
        <w:rPr>
          <w:rFonts w:asciiTheme="majorHAnsi" w:hAnsiTheme="majorHAnsi" w:cstheme="majorHAnsi"/>
          <w:color w:val="000000" w:themeColor="text1"/>
          <w:sz w:val="24"/>
          <w:szCs w:val="24"/>
          <w:lang w:val="ro-MD"/>
        </w:rPr>
        <w:t xml:space="preserve">. </w:t>
      </w:r>
    </w:p>
    <w:p w:rsidR="00B001BB" w:rsidRPr="00200696" w:rsidRDefault="00B001BB" w:rsidP="00147C23">
      <w:pPr>
        <w:rPr>
          <w:rFonts w:asciiTheme="majorHAnsi" w:hAnsiTheme="majorHAnsi" w:cstheme="majorHAnsi"/>
          <w:color w:val="000000" w:themeColor="text1"/>
          <w:sz w:val="24"/>
          <w:szCs w:val="24"/>
          <w:lang w:val="it-IT"/>
        </w:rPr>
      </w:pPr>
      <w:r w:rsidRPr="00200696">
        <w:rPr>
          <w:rFonts w:asciiTheme="majorHAnsi" w:eastAsia="Times New Roman" w:hAnsiTheme="majorHAnsi" w:cstheme="majorHAnsi"/>
          <w:iCs/>
          <w:color w:val="000000" w:themeColor="text1"/>
          <w:sz w:val="24"/>
          <w:szCs w:val="24"/>
          <w:lang w:val="ro-RO"/>
        </w:rPr>
        <w:t>Cu referire la implementarea de către Serviciul Vamal a Proiectului</w:t>
      </w:r>
      <w:r w:rsidR="00F01487" w:rsidRPr="00200696">
        <w:rPr>
          <w:rFonts w:asciiTheme="majorHAnsi" w:hAnsiTheme="majorHAnsi" w:cstheme="majorHAnsi"/>
          <w:color w:val="000000" w:themeColor="text1"/>
          <w:sz w:val="24"/>
          <w:szCs w:val="24"/>
          <w:lang w:val="it-IT"/>
        </w:rPr>
        <w:t xml:space="preserve"> „U</w:t>
      </w:r>
      <w:r w:rsidRPr="00200696">
        <w:rPr>
          <w:rFonts w:asciiTheme="majorHAnsi" w:hAnsiTheme="majorHAnsi" w:cstheme="majorHAnsi"/>
          <w:color w:val="000000" w:themeColor="text1"/>
          <w:sz w:val="24"/>
          <w:szCs w:val="24"/>
          <w:lang w:val="it-IT"/>
        </w:rPr>
        <w:t xml:space="preserve">niunea </w:t>
      </w:r>
      <w:r w:rsidR="00F01487" w:rsidRPr="00200696">
        <w:rPr>
          <w:rFonts w:asciiTheme="majorHAnsi" w:hAnsiTheme="majorHAnsi" w:cstheme="majorHAnsi"/>
          <w:color w:val="000000" w:themeColor="text1"/>
          <w:sz w:val="24"/>
          <w:szCs w:val="24"/>
          <w:lang w:val="it-IT"/>
        </w:rPr>
        <w:t>E</w:t>
      </w:r>
      <w:r w:rsidRPr="00200696">
        <w:rPr>
          <w:rFonts w:asciiTheme="majorHAnsi" w:hAnsiTheme="majorHAnsi" w:cstheme="majorHAnsi"/>
          <w:color w:val="000000" w:themeColor="text1"/>
          <w:sz w:val="24"/>
          <w:szCs w:val="24"/>
          <w:lang w:val="it-IT"/>
        </w:rPr>
        <w:t>uropeană</w:t>
      </w:r>
      <w:r w:rsidR="00F01487" w:rsidRPr="00200696">
        <w:rPr>
          <w:rFonts w:asciiTheme="majorHAnsi" w:hAnsiTheme="majorHAnsi" w:cstheme="majorHAnsi"/>
          <w:color w:val="000000" w:themeColor="text1"/>
          <w:sz w:val="24"/>
          <w:szCs w:val="24"/>
          <w:lang w:val="it-IT"/>
        </w:rPr>
        <w:t xml:space="preserve"> pentru Securitatea Frontierelor”, </w:t>
      </w:r>
      <w:r w:rsidRPr="00200696">
        <w:rPr>
          <w:rFonts w:asciiTheme="majorHAnsi" w:hAnsiTheme="majorHAnsi" w:cstheme="majorHAnsi"/>
          <w:color w:val="000000" w:themeColor="text1"/>
          <w:sz w:val="24"/>
          <w:szCs w:val="24"/>
          <w:lang w:val="it-IT"/>
        </w:rPr>
        <w:t>se menționează că</w:t>
      </w:r>
      <w:r w:rsidR="00B24672" w:rsidRPr="00200696">
        <w:rPr>
          <w:rFonts w:asciiTheme="majorHAnsi" w:hAnsiTheme="majorHAnsi" w:cstheme="majorHAnsi"/>
          <w:color w:val="000000" w:themeColor="text1"/>
          <w:sz w:val="24"/>
          <w:szCs w:val="24"/>
          <w:lang w:val="it-IT"/>
        </w:rPr>
        <w:t>,</w:t>
      </w:r>
      <w:r w:rsidRPr="00200696">
        <w:rPr>
          <w:rFonts w:asciiTheme="majorHAnsi" w:hAnsiTheme="majorHAnsi" w:cstheme="majorHAnsi"/>
          <w:color w:val="000000" w:themeColor="text1"/>
          <w:sz w:val="24"/>
          <w:szCs w:val="24"/>
          <w:lang w:val="it-IT"/>
        </w:rPr>
        <w:t xml:space="preserve"> în </w:t>
      </w:r>
      <w:r w:rsidR="00F01487" w:rsidRPr="00200696">
        <w:rPr>
          <w:rFonts w:asciiTheme="majorHAnsi" w:hAnsiTheme="majorHAnsi" w:cstheme="majorHAnsi"/>
          <w:color w:val="000000" w:themeColor="text1"/>
          <w:sz w:val="24"/>
          <w:szCs w:val="24"/>
          <w:lang w:val="ro-RO"/>
        </w:rPr>
        <w:t>anul 2022</w:t>
      </w:r>
      <w:r w:rsidR="00B24672" w:rsidRPr="00200696">
        <w:rPr>
          <w:rFonts w:asciiTheme="majorHAnsi" w:hAnsiTheme="majorHAnsi" w:cstheme="majorHAnsi"/>
          <w:color w:val="000000" w:themeColor="text1"/>
          <w:sz w:val="24"/>
          <w:szCs w:val="24"/>
          <w:lang w:val="ro-RO"/>
        </w:rPr>
        <w:t>,</w:t>
      </w:r>
      <w:r w:rsidR="00F01487" w:rsidRPr="00200696">
        <w:rPr>
          <w:rFonts w:asciiTheme="majorHAnsi" w:hAnsiTheme="majorHAnsi" w:cstheme="majorHAnsi"/>
          <w:color w:val="000000" w:themeColor="text1"/>
          <w:sz w:val="24"/>
          <w:szCs w:val="24"/>
          <w:lang w:val="ro-RO"/>
        </w:rPr>
        <w:t xml:space="preserve"> pentru implementarea activităților proiectului </w:t>
      </w:r>
      <w:r w:rsidR="00C20125" w:rsidRPr="00200696">
        <w:rPr>
          <w:rFonts w:asciiTheme="majorHAnsi" w:hAnsiTheme="majorHAnsi" w:cstheme="majorHAnsi"/>
          <w:color w:val="000000" w:themeColor="text1"/>
          <w:sz w:val="24"/>
          <w:szCs w:val="24"/>
          <w:lang w:val="ro-RO"/>
        </w:rPr>
        <w:t>s-</w:t>
      </w:r>
      <w:r w:rsidR="00F01487" w:rsidRPr="00200696">
        <w:rPr>
          <w:rFonts w:asciiTheme="majorHAnsi" w:hAnsiTheme="majorHAnsi" w:cstheme="majorHAnsi"/>
          <w:color w:val="000000" w:themeColor="text1"/>
          <w:sz w:val="24"/>
          <w:szCs w:val="24"/>
          <w:lang w:val="ro-RO"/>
        </w:rPr>
        <w:t xml:space="preserve">au prevăzut alocații în sumă de 26,1 mil.lei, inclusiv 5,2 mil.lei </w:t>
      </w:r>
      <w:r w:rsidR="00B24672" w:rsidRPr="00200696">
        <w:rPr>
          <w:rFonts w:asciiTheme="majorHAnsi" w:hAnsiTheme="majorHAnsi" w:cstheme="majorHAnsi"/>
          <w:color w:val="000000" w:themeColor="text1"/>
          <w:sz w:val="24"/>
          <w:szCs w:val="24"/>
          <w:lang w:val="ro-RO"/>
        </w:rPr>
        <w:t xml:space="preserve">- </w:t>
      </w:r>
      <w:r w:rsidR="00F01487" w:rsidRPr="00200696">
        <w:rPr>
          <w:rFonts w:asciiTheme="majorHAnsi" w:hAnsiTheme="majorHAnsi" w:cstheme="majorHAnsi"/>
          <w:color w:val="000000" w:themeColor="text1"/>
          <w:sz w:val="24"/>
          <w:szCs w:val="24"/>
          <w:lang w:val="ro-RO"/>
        </w:rPr>
        <w:t>din contribuția Guvernului R</w:t>
      </w:r>
      <w:r w:rsidR="00B24672" w:rsidRPr="00200696">
        <w:rPr>
          <w:rFonts w:asciiTheme="majorHAnsi" w:hAnsiTheme="majorHAnsi" w:cstheme="majorHAnsi"/>
          <w:color w:val="000000" w:themeColor="text1"/>
          <w:sz w:val="24"/>
          <w:szCs w:val="24"/>
          <w:lang w:val="ro-RO"/>
        </w:rPr>
        <w:t xml:space="preserve">epublicii </w:t>
      </w:r>
      <w:r w:rsidR="00F01487" w:rsidRPr="00200696">
        <w:rPr>
          <w:rFonts w:asciiTheme="majorHAnsi" w:hAnsiTheme="majorHAnsi" w:cstheme="majorHAnsi"/>
          <w:color w:val="000000" w:themeColor="text1"/>
          <w:sz w:val="24"/>
          <w:szCs w:val="24"/>
          <w:lang w:val="ro-RO"/>
        </w:rPr>
        <w:t>M</w:t>
      </w:r>
      <w:r w:rsidR="00B24672" w:rsidRPr="00200696">
        <w:rPr>
          <w:rFonts w:asciiTheme="majorHAnsi" w:hAnsiTheme="majorHAnsi" w:cstheme="majorHAnsi"/>
          <w:color w:val="000000" w:themeColor="text1"/>
          <w:sz w:val="24"/>
          <w:szCs w:val="24"/>
          <w:lang w:val="ro-RO"/>
        </w:rPr>
        <w:t>oldova,</w:t>
      </w:r>
      <w:r w:rsidR="00F01487" w:rsidRPr="00200696">
        <w:rPr>
          <w:rFonts w:asciiTheme="majorHAnsi" w:hAnsiTheme="majorHAnsi" w:cstheme="majorHAnsi"/>
          <w:color w:val="000000" w:themeColor="text1"/>
          <w:sz w:val="24"/>
          <w:szCs w:val="24"/>
          <w:lang w:val="ro-RO"/>
        </w:rPr>
        <w:t xml:space="preserve"> și 20,9 mil.lei</w:t>
      </w:r>
      <w:r w:rsidRPr="00200696">
        <w:rPr>
          <w:rFonts w:asciiTheme="majorHAnsi" w:hAnsiTheme="majorHAnsi" w:cstheme="majorHAnsi"/>
          <w:color w:val="000000" w:themeColor="text1"/>
          <w:sz w:val="24"/>
          <w:szCs w:val="24"/>
          <w:lang w:val="ro-RO"/>
        </w:rPr>
        <w:t xml:space="preserve"> </w:t>
      </w:r>
      <w:r w:rsidR="00B24672" w:rsidRPr="00200696">
        <w:rPr>
          <w:rFonts w:asciiTheme="majorHAnsi" w:hAnsiTheme="majorHAnsi" w:cstheme="majorHAnsi"/>
          <w:color w:val="000000" w:themeColor="text1"/>
          <w:sz w:val="24"/>
          <w:szCs w:val="24"/>
          <w:lang w:val="ro-RO"/>
        </w:rPr>
        <w:t xml:space="preserve">- </w:t>
      </w:r>
      <w:r w:rsidRPr="00200696">
        <w:rPr>
          <w:rFonts w:asciiTheme="majorHAnsi" w:hAnsiTheme="majorHAnsi" w:cstheme="majorHAnsi"/>
          <w:color w:val="000000" w:themeColor="text1"/>
          <w:sz w:val="24"/>
          <w:szCs w:val="24"/>
          <w:lang w:val="ro-RO"/>
        </w:rPr>
        <w:t>din grantul oferit de U</w:t>
      </w:r>
      <w:r w:rsidR="00B24672" w:rsidRPr="00200696">
        <w:rPr>
          <w:rFonts w:asciiTheme="majorHAnsi" w:hAnsiTheme="majorHAnsi" w:cstheme="majorHAnsi"/>
          <w:color w:val="000000" w:themeColor="text1"/>
          <w:sz w:val="24"/>
          <w:szCs w:val="24"/>
          <w:lang w:val="ro-RO"/>
        </w:rPr>
        <w:t xml:space="preserve">niunea </w:t>
      </w:r>
      <w:r w:rsidRPr="00200696">
        <w:rPr>
          <w:rFonts w:asciiTheme="majorHAnsi" w:hAnsiTheme="majorHAnsi" w:cstheme="majorHAnsi"/>
          <w:color w:val="000000" w:themeColor="text1"/>
          <w:sz w:val="24"/>
          <w:szCs w:val="24"/>
          <w:lang w:val="ro-RO"/>
        </w:rPr>
        <w:t>E</w:t>
      </w:r>
      <w:r w:rsidR="00B24672" w:rsidRPr="00200696">
        <w:rPr>
          <w:rFonts w:asciiTheme="majorHAnsi" w:hAnsiTheme="majorHAnsi" w:cstheme="majorHAnsi"/>
          <w:color w:val="000000" w:themeColor="text1"/>
          <w:sz w:val="24"/>
          <w:szCs w:val="24"/>
          <w:lang w:val="ro-RO"/>
        </w:rPr>
        <w:t>uropeană</w:t>
      </w:r>
      <w:r w:rsidR="00F01487" w:rsidRPr="00200696">
        <w:rPr>
          <w:rStyle w:val="a6"/>
          <w:rFonts w:asciiTheme="majorHAnsi" w:hAnsiTheme="majorHAnsi" w:cstheme="majorHAnsi"/>
          <w:color w:val="000000" w:themeColor="text1"/>
          <w:sz w:val="24"/>
          <w:szCs w:val="24"/>
        </w:rPr>
        <w:footnoteReference w:id="12"/>
      </w:r>
      <w:r w:rsidR="00F01487" w:rsidRPr="00200696">
        <w:rPr>
          <w:rFonts w:asciiTheme="majorHAnsi" w:hAnsiTheme="majorHAnsi" w:cstheme="majorHAnsi"/>
          <w:color w:val="000000" w:themeColor="text1"/>
          <w:sz w:val="24"/>
          <w:szCs w:val="24"/>
          <w:lang w:val="ro-RO"/>
        </w:rPr>
        <w:t>, care nu au fost valorificate.</w:t>
      </w:r>
      <w:r w:rsidR="00147C23" w:rsidRPr="00200696">
        <w:rPr>
          <w:rFonts w:asciiTheme="majorHAnsi" w:hAnsiTheme="majorHAnsi" w:cstheme="majorHAnsi"/>
          <w:color w:val="000000" w:themeColor="text1"/>
          <w:sz w:val="24"/>
          <w:szCs w:val="24"/>
          <w:lang w:val="ro-RO"/>
        </w:rPr>
        <w:t xml:space="preserve"> </w:t>
      </w:r>
      <w:r w:rsidR="00F01487" w:rsidRPr="00200696">
        <w:rPr>
          <w:rFonts w:asciiTheme="majorHAnsi" w:hAnsiTheme="majorHAnsi" w:cstheme="majorHAnsi"/>
          <w:color w:val="000000" w:themeColor="text1"/>
          <w:sz w:val="24"/>
          <w:szCs w:val="24"/>
          <w:lang w:val="it-IT"/>
        </w:rPr>
        <w:t>Nevalorificarea resurselor financiare, inclusiv neimplementarea sistemului comun de control video</w:t>
      </w:r>
      <w:r w:rsidR="00A707FE" w:rsidRPr="00200696">
        <w:rPr>
          <w:rFonts w:asciiTheme="majorHAnsi" w:hAnsiTheme="majorHAnsi" w:cstheme="majorHAnsi"/>
          <w:color w:val="000000" w:themeColor="text1"/>
          <w:sz w:val="24"/>
          <w:szCs w:val="24"/>
          <w:lang w:val="it-IT"/>
        </w:rPr>
        <w:t>,</w:t>
      </w:r>
      <w:r w:rsidR="00F01487" w:rsidRPr="00200696">
        <w:rPr>
          <w:rFonts w:asciiTheme="majorHAnsi" w:hAnsiTheme="majorHAnsi" w:cstheme="majorHAnsi"/>
          <w:color w:val="000000" w:themeColor="text1"/>
          <w:sz w:val="24"/>
          <w:szCs w:val="24"/>
          <w:lang w:val="it-IT"/>
        </w:rPr>
        <w:t xml:space="preserve"> a</w:t>
      </w:r>
      <w:r w:rsidR="00A707FE" w:rsidRPr="00200696">
        <w:rPr>
          <w:rFonts w:asciiTheme="majorHAnsi" w:hAnsiTheme="majorHAnsi" w:cstheme="majorHAnsi"/>
          <w:color w:val="000000" w:themeColor="text1"/>
          <w:sz w:val="24"/>
          <w:szCs w:val="24"/>
          <w:lang w:val="it-IT"/>
        </w:rPr>
        <w:t>u</w:t>
      </w:r>
      <w:r w:rsidR="00F01487" w:rsidRPr="00200696">
        <w:rPr>
          <w:rFonts w:asciiTheme="majorHAnsi" w:hAnsiTheme="majorHAnsi" w:cstheme="majorHAnsi"/>
          <w:color w:val="000000" w:themeColor="text1"/>
          <w:sz w:val="24"/>
          <w:szCs w:val="24"/>
          <w:lang w:val="it-IT"/>
        </w:rPr>
        <w:t xml:space="preserve"> fost condiționat</w:t>
      </w:r>
      <w:r w:rsidR="00A707FE" w:rsidRPr="00200696">
        <w:rPr>
          <w:rFonts w:asciiTheme="majorHAnsi" w:hAnsiTheme="majorHAnsi" w:cstheme="majorHAnsi"/>
          <w:color w:val="000000" w:themeColor="text1"/>
          <w:sz w:val="24"/>
          <w:szCs w:val="24"/>
          <w:lang w:val="it-IT"/>
        </w:rPr>
        <w:t>e</w:t>
      </w:r>
      <w:r w:rsidR="00F01487" w:rsidRPr="00200696">
        <w:rPr>
          <w:rFonts w:asciiTheme="majorHAnsi" w:hAnsiTheme="majorHAnsi" w:cstheme="majorHAnsi"/>
          <w:color w:val="000000" w:themeColor="text1"/>
          <w:sz w:val="24"/>
          <w:szCs w:val="24"/>
          <w:lang w:val="it-IT"/>
        </w:rPr>
        <w:t xml:space="preserve"> de introducerea Legii marțiale în Ucraina și </w:t>
      </w:r>
      <w:r w:rsidR="00A707FE" w:rsidRPr="00200696">
        <w:rPr>
          <w:rFonts w:asciiTheme="majorHAnsi" w:hAnsiTheme="majorHAnsi" w:cstheme="majorHAnsi"/>
          <w:color w:val="000000" w:themeColor="text1"/>
          <w:sz w:val="24"/>
          <w:szCs w:val="24"/>
          <w:lang w:val="it-IT"/>
        </w:rPr>
        <w:t xml:space="preserve">de </w:t>
      </w:r>
      <w:r w:rsidR="00F01487" w:rsidRPr="00200696">
        <w:rPr>
          <w:rFonts w:asciiTheme="majorHAnsi" w:hAnsiTheme="majorHAnsi" w:cstheme="majorHAnsi"/>
          <w:color w:val="000000" w:themeColor="text1"/>
          <w:sz w:val="24"/>
          <w:szCs w:val="24"/>
          <w:lang w:val="it-IT"/>
        </w:rPr>
        <w:t>creșterea semnificativă a prețurilor pentru echipamente</w:t>
      </w:r>
      <w:r w:rsidR="00A707FE" w:rsidRPr="00200696">
        <w:rPr>
          <w:rFonts w:asciiTheme="majorHAnsi" w:hAnsiTheme="majorHAnsi" w:cstheme="majorHAnsi"/>
          <w:color w:val="000000" w:themeColor="text1"/>
          <w:sz w:val="24"/>
          <w:szCs w:val="24"/>
          <w:lang w:val="it-IT"/>
        </w:rPr>
        <w:t>le</w:t>
      </w:r>
      <w:r w:rsidR="00F01487" w:rsidRPr="00200696">
        <w:rPr>
          <w:rFonts w:asciiTheme="majorHAnsi" w:hAnsiTheme="majorHAnsi" w:cstheme="majorHAnsi"/>
          <w:color w:val="000000" w:themeColor="text1"/>
          <w:sz w:val="24"/>
          <w:szCs w:val="24"/>
          <w:lang w:val="it-IT"/>
        </w:rPr>
        <w:t xml:space="preserve"> și serviciile I</w:t>
      </w:r>
      <w:r w:rsidR="00430D5B" w:rsidRPr="00200696">
        <w:rPr>
          <w:rFonts w:asciiTheme="majorHAnsi" w:hAnsiTheme="majorHAnsi" w:cstheme="majorHAnsi"/>
          <w:color w:val="000000" w:themeColor="text1"/>
          <w:sz w:val="24"/>
          <w:szCs w:val="24"/>
          <w:lang w:val="it-IT"/>
        </w:rPr>
        <w:t>T, activitățile proiectului fiind transferate pentru anul 2023.</w:t>
      </w:r>
      <w:r w:rsidRPr="00200696">
        <w:rPr>
          <w:rFonts w:asciiTheme="majorHAnsi" w:hAnsiTheme="majorHAnsi" w:cstheme="majorHAnsi"/>
          <w:color w:val="000000" w:themeColor="text1"/>
          <w:sz w:val="24"/>
          <w:szCs w:val="24"/>
          <w:lang w:val="it-IT"/>
        </w:rPr>
        <w:t xml:space="preserve"> </w:t>
      </w:r>
      <w:r w:rsidRPr="00200696">
        <w:rPr>
          <w:rFonts w:asciiTheme="majorHAnsi" w:hAnsiTheme="majorHAnsi" w:cstheme="majorHAnsi"/>
          <w:color w:val="000000" w:themeColor="text1"/>
          <w:sz w:val="24"/>
          <w:szCs w:val="24"/>
          <w:lang w:val="ro-MD"/>
        </w:rPr>
        <w:t xml:space="preserve">Cele menționate pot avea impact asupra realizării obiectivului proiectului privind </w:t>
      </w:r>
      <w:r w:rsidRPr="00200696">
        <w:rPr>
          <w:rFonts w:asciiTheme="majorHAnsi" w:eastAsia="Times New Roman" w:hAnsiTheme="majorHAnsi" w:cstheme="majorHAnsi"/>
          <w:color w:val="000000" w:themeColor="text1"/>
          <w:sz w:val="24"/>
          <w:szCs w:val="24"/>
          <w:lang w:val="ro-RO"/>
        </w:rPr>
        <w:t xml:space="preserve">îmbunătățirea </w:t>
      </w:r>
      <w:r w:rsidRPr="00200696">
        <w:rPr>
          <w:rFonts w:asciiTheme="majorHAnsi" w:hAnsiTheme="majorHAnsi" w:cstheme="majorHAnsi"/>
          <w:color w:val="000000" w:themeColor="text1"/>
          <w:sz w:val="24"/>
          <w:szCs w:val="24"/>
          <w:lang w:val="it-IT"/>
        </w:rPr>
        <w:t>managementului integrat al frontierei</w:t>
      </w:r>
      <w:r w:rsidRPr="00200696">
        <w:rPr>
          <w:rFonts w:asciiTheme="majorHAnsi" w:eastAsia="Times New Roman" w:hAnsiTheme="majorHAnsi" w:cstheme="majorHAnsi"/>
          <w:color w:val="000000" w:themeColor="text1"/>
          <w:sz w:val="24"/>
          <w:szCs w:val="24"/>
          <w:lang w:val="ro-RO"/>
        </w:rPr>
        <w:t xml:space="preserve"> de stat, nefiind valorificate</w:t>
      </w:r>
      <w:r w:rsidRPr="00200696">
        <w:rPr>
          <w:rFonts w:asciiTheme="majorHAnsi" w:hAnsiTheme="majorHAnsi" w:cstheme="majorHAnsi"/>
          <w:color w:val="000000" w:themeColor="text1"/>
          <w:sz w:val="24"/>
          <w:szCs w:val="24"/>
          <w:lang w:val="ro-MD"/>
        </w:rPr>
        <w:t xml:space="preserve"> mijloace în sumă de </w:t>
      </w:r>
      <w:r w:rsidRPr="00200696">
        <w:rPr>
          <w:rFonts w:asciiTheme="majorHAnsi" w:hAnsiTheme="majorHAnsi" w:cstheme="majorHAnsi"/>
          <w:color w:val="000000" w:themeColor="text1"/>
          <w:sz w:val="24"/>
          <w:szCs w:val="24"/>
          <w:lang w:val="ro-RO"/>
        </w:rPr>
        <w:t xml:space="preserve">26,1 mil.lei. </w:t>
      </w:r>
      <w:r w:rsidRPr="00200696">
        <w:rPr>
          <w:rFonts w:asciiTheme="majorHAnsi" w:hAnsiTheme="majorHAnsi" w:cstheme="majorHAnsi"/>
          <w:color w:val="000000" w:themeColor="text1"/>
          <w:sz w:val="24"/>
          <w:szCs w:val="24"/>
          <w:lang w:val="ro-MD"/>
        </w:rPr>
        <w:t xml:space="preserve"> </w:t>
      </w:r>
    </w:p>
    <w:p w:rsidR="00B001BB" w:rsidRPr="00200696" w:rsidRDefault="00B001BB" w:rsidP="00C96BC3">
      <w:pPr>
        <w:spacing w:line="276" w:lineRule="auto"/>
        <w:rPr>
          <w:rFonts w:asciiTheme="majorHAnsi" w:hAnsiTheme="majorHAnsi" w:cstheme="majorHAnsi"/>
          <w:color w:val="000000" w:themeColor="text1"/>
          <w:sz w:val="24"/>
          <w:szCs w:val="24"/>
          <w:lang w:val="ro-MD"/>
        </w:rPr>
      </w:pPr>
      <w:r w:rsidRPr="00200696">
        <w:rPr>
          <w:rFonts w:asciiTheme="majorHAnsi" w:hAnsiTheme="majorHAnsi" w:cstheme="majorHAnsi"/>
          <w:color w:val="000000" w:themeColor="text1"/>
          <w:sz w:val="24"/>
          <w:szCs w:val="24"/>
          <w:lang w:val="ro-MD"/>
        </w:rPr>
        <w:t>În ceea ce privește implementarea de către Agenția Achiziții Publice a Proiectului</w:t>
      </w:r>
      <w:r w:rsidR="00F01487" w:rsidRPr="00200696">
        <w:rPr>
          <w:rFonts w:asciiTheme="majorHAnsi" w:hAnsiTheme="majorHAnsi" w:cstheme="majorHAnsi"/>
          <w:color w:val="000000" w:themeColor="text1"/>
          <w:sz w:val="24"/>
          <w:szCs w:val="24"/>
          <w:lang w:val="it-IT"/>
        </w:rPr>
        <w:t xml:space="preserve"> „U</w:t>
      </w:r>
      <w:r w:rsidRPr="00200696">
        <w:rPr>
          <w:rFonts w:asciiTheme="majorHAnsi" w:hAnsiTheme="majorHAnsi" w:cstheme="majorHAnsi"/>
          <w:color w:val="000000" w:themeColor="text1"/>
          <w:sz w:val="24"/>
          <w:szCs w:val="24"/>
          <w:lang w:val="it-IT"/>
        </w:rPr>
        <w:t xml:space="preserve">niunea </w:t>
      </w:r>
      <w:r w:rsidR="00F01487" w:rsidRPr="00200696">
        <w:rPr>
          <w:rFonts w:asciiTheme="majorHAnsi" w:hAnsiTheme="majorHAnsi" w:cstheme="majorHAnsi"/>
          <w:color w:val="000000" w:themeColor="text1"/>
          <w:sz w:val="24"/>
          <w:szCs w:val="24"/>
          <w:lang w:val="it-IT"/>
        </w:rPr>
        <w:t>E</w:t>
      </w:r>
      <w:r w:rsidRPr="00200696">
        <w:rPr>
          <w:rFonts w:asciiTheme="majorHAnsi" w:hAnsiTheme="majorHAnsi" w:cstheme="majorHAnsi"/>
          <w:color w:val="000000" w:themeColor="text1"/>
          <w:sz w:val="24"/>
          <w:szCs w:val="24"/>
          <w:lang w:val="it-IT"/>
        </w:rPr>
        <w:t>uropeană</w:t>
      </w:r>
      <w:r w:rsidR="00C96BC3" w:rsidRPr="00200696">
        <w:rPr>
          <w:rFonts w:asciiTheme="majorHAnsi" w:hAnsiTheme="majorHAnsi" w:cstheme="majorHAnsi"/>
          <w:color w:val="000000" w:themeColor="text1"/>
          <w:sz w:val="24"/>
          <w:szCs w:val="24"/>
          <w:lang w:val="it-IT"/>
        </w:rPr>
        <w:t xml:space="preserve"> pentru Mediu”</w:t>
      </w:r>
      <w:r w:rsidR="00F01487" w:rsidRPr="00200696">
        <w:rPr>
          <w:rStyle w:val="a6"/>
          <w:rFonts w:asciiTheme="majorHAnsi" w:hAnsiTheme="majorHAnsi" w:cstheme="majorHAnsi"/>
          <w:color w:val="000000" w:themeColor="text1"/>
          <w:sz w:val="24"/>
          <w:szCs w:val="24"/>
          <w:lang w:val="ro-RO"/>
        </w:rPr>
        <w:footnoteReference w:id="13"/>
      </w:r>
      <w:r w:rsidR="00A707FE" w:rsidRPr="00200696">
        <w:rPr>
          <w:rFonts w:asciiTheme="majorHAnsi" w:hAnsiTheme="majorHAnsi" w:cstheme="majorHAnsi"/>
          <w:color w:val="000000" w:themeColor="text1"/>
          <w:sz w:val="24"/>
          <w:szCs w:val="24"/>
          <w:lang w:val="it-IT"/>
        </w:rPr>
        <w:t>,</w:t>
      </w:r>
      <w:r w:rsidR="00F01487" w:rsidRPr="00200696">
        <w:rPr>
          <w:rFonts w:asciiTheme="majorHAnsi" w:hAnsiTheme="majorHAnsi" w:cstheme="majorHAnsi"/>
          <w:color w:val="000000" w:themeColor="text1"/>
          <w:sz w:val="24"/>
          <w:szCs w:val="24"/>
          <w:lang w:val="ro-RO"/>
        </w:rPr>
        <w:t xml:space="preserve"> în valoare de 58,5 mii USD,</w:t>
      </w:r>
      <w:r w:rsidRPr="00200696">
        <w:rPr>
          <w:rFonts w:asciiTheme="majorHAnsi" w:hAnsiTheme="majorHAnsi" w:cstheme="majorHAnsi"/>
          <w:color w:val="000000" w:themeColor="text1"/>
          <w:sz w:val="24"/>
          <w:szCs w:val="24"/>
          <w:lang w:val="ro-RO"/>
        </w:rPr>
        <w:t xml:space="preserve"> se menționează că pentru </w:t>
      </w:r>
      <w:r w:rsidR="00F01487" w:rsidRPr="00200696">
        <w:rPr>
          <w:rFonts w:asciiTheme="majorHAnsi" w:hAnsiTheme="majorHAnsi" w:cstheme="majorHAnsi"/>
          <w:color w:val="000000" w:themeColor="text1"/>
          <w:sz w:val="24"/>
          <w:szCs w:val="24"/>
          <w:lang w:val="ro-RO"/>
        </w:rPr>
        <w:t xml:space="preserve"> </w:t>
      </w:r>
      <w:r w:rsidR="00F01487" w:rsidRPr="00200696">
        <w:rPr>
          <w:rFonts w:asciiTheme="majorHAnsi" w:hAnsiTheme="majorHAnsi" w:cstheme="majorHAnsi"/>
          <w:color w:val="000000" w:themeColor="text1"/>
          <w:sz w:val="24"/>
          <w:szCs w:val="24"/>
          <w:lang w:val="it-IT"/>
        </w:rPr>
        <w:t>implementarea activităților proiectului</w:t>
      </w:r>
      <w:r w:rsidR="00C65BE4" w:rsidRPr="00200696">
        <w:rPr>
          <w:rFonts w:asciiTheme="majorHAnsi" w:hAnsiTheme="majorHAnsi" w:cstheme="majorHAnsi"/>
          <w:color w:val="000000" w:themeColor="text1"/>
          <w:sz w:val="24"/>
          <w:szCs w:val="24"/>
          <w:lang w:val="it-IT"/>
        </w:rPr>
        <w:t>,</w:t>
      </w:r>
      <w:r w:rsidR="00F01487" w:rsidRPr="00200696">
        <w:rPr>
          <w:rFonts w:asciiTheme="majorHAnsi" w:hAnsiTheme="majorHAnsi" w:cstheme="majorHAnsi"/>
          <w:color w:val="000000" w:themeColor="text1"/>
          <w:sz w:val="24"/>
          <w:szCs w:val="24"/>
          <w:lang w:val="it-IT"/>
        </w:rPr>
        <w:t xml:space="preserve"> în perioada 01.08.2022-21.11.2022, au fost prevăzute resurse financiare în sumă de 0,8 mil.lei, </w:t>
      </w:r>
      <w:r w:rsidR="00A707FE" w:rsidRPr="00200696">
        <w:rPr>
          <w:rFonts w:asciiTheme="majorHAnsi" w:hAnsiTheme="majorHAnsi" w:cstheme="majorHAnsi"/>
          <w:color w:val="000000" w:themeColor="text1"/>
          <w:sz w:val="24"/>
          <w:szCs w:val="24"/>
          <w:lang w:val="it-IT"/>
        </w:rPr>
        <w:t>dar s-au</w:t>
      </w:r>
      <w:r w:rsidR="00F01487" w:rsidRPr="00200696">
        <w:rPr>
          <w:rFonts w:asciiTheme="majorHAnsi" w:hAnsiTheme="majorHAnsi" w:cstheme="majorHAnsi"/>
          <w:color w:val="000000" w:themeColor="text1"/>
          <w:sz w:val="24"/>
          <w:szCs w:val="24"/>
          <w:lang w:val="it-IT"/>
        </w:rPr>
        <w:t xml:space="preserve"> executat cheltuieli de 0,09 mil.lei, sau la nivel de 11,2%.  </w:t>
      </w:r>
      <w:r w:rsidRPr="00200696">
        <w:rPr>
          <w:rFonts w:asciiTheme="majorHAnsi" w:hAnsiTheme="majorHAnsi" w:cstheme="majorHAnsi"/>
          <w:color w:val="000000" w:themeColor="text1"/>
          <w:sz w:val="24"/>
          <w:szCs w:val="24"/>
          <w:lang w:val="it-IT"/>
        </w:rPr>
        <w:t>Nevalorificarea resurselor financiare în cadrul proiectului se datorează încheierii întârziate a Acordului de finanțare cu UNEP</w:t>
      </w:r>
      <w:r w:rsidR="0000422E" w:rsidRPr="00200696">
        <w:rPr>
          <w:rStyle w:val="a6"/>
          <w:rFonts w:asciiTheme="majorHAnsi" w:hAnsiTheme="majorHAnsi" w:cstheme="majorHAnsi"/>
          <w:color w:val="000000" w:themeColor="text1"/>
          <w:sz w:val="24"/>
          <w:szCs w:val="24"/>
          <w:lang w:val="it-IT"/>
        </w:rPr>
        <w:footnoteReference w:id="14"/>
      </w:r>
      <w:r w:rsidRPr="00200696">
        <w:rPr>
          <w:rFonts w:asciiTheme="majorHAnsi" w:hAnsiTheme="majorHAnsi" w:cstheme="majorHAnsi"/>
          <w:color w:val="000000" w:themeColor="text1"/>
          <w:sz w:val="24"/>
          <w:szCs w:val="24"/>
          <w:lang w:val="it-IT"/>
        </w:rPr>
        <w:t xml:space="preserve">, principalele activități fiind prevăzute în planul pentru anul 2023. </w:t>
      </w:r>
      <w:r w:rsidRPr="00200696">
        <w:rPr>
          <w:rFonts w:asciiTheme="majorHAnsi" w:hAnsiTheme="majorHAnsi" w:cstheme="majorHAnsi"/>
          <w:color w:val="000000" w:themeColor="text1"/>
          <w:sz w:val="24"/>
          <w:szCs w:val="24"/>
          <w:lang w:val="ro-MD"/>
        </w:rPr>
        <w:t>Cele menționate po</w:t>
      </w:r>
      <w:r w:rsidR="00121D81" w:rsidRPr="00200696">
        <w:rPr>
          <w:rFonts w:asciiTheme="majorHAnsi" w:hAnsiTheme="majorHAnsi" w:cstheme="majorHAnsi"/>
          <w:color w:val="000000" w:themeColor="text1"/>
          <w:sz w:val="24"/>
          <w:szCs w:val="24"/>
          <w:lang w:val="ro-MD"/>
        </w:rPr>
        <w:t>t</w:t>
      </w:r>
      <w:r w:rsidRPr="00200696">
        <w:rPr>
          <w:rFonts w:asciiTheme="majorHAnsi" w:hAnsiTheme="majorHAnsi" w:cstheme="majorHAnsi"/>
          <w:color w:val="000000" w:themeColor="text1"/>
          <w:sz w:val="24"/>
          <w:szCs w:val="24"/>
          <w:lang w:val="ro-MD"/>
        </w:rPr>
        <w:t xml:space="preserve"> avea impact asupra realizării obiectivului proiectului privind promovarea și aplicarea achizițiilor publice durabile, </w:t>
      </w:r>
      <w:r w:rsidRPr="00200696">
        <w:rPr>
          <w:rFonts w:asciiTheme="majorHAnsi" w:eastAsia="Times New Roman" w:hAnsiTheme="majorHAnsi" w:cstheme="majorHAnsi"/>
          <w:color w:val="000000" w:themeColor="text1"/>
          <w:sz w:val="24"/>
          <w:szCs w:val="24"/>
          <w:lang w:val="ro-RO"/>
        </w:rPr>
        <w:t>nefiind valorificate</w:t>
      </w:r>
      <w:r w:rsidRPr="00200696">
        <w:rPr>
          <w:rFonts w:asciiTheme="majorHAnsi" w:hAnsiTheme="majorHAnsi" w:cstheme="majorHAnsi"/>
          <w:color w:val="000000" w:themeColor="text1"/>
          <w:sz w:val="24"/>
          <w:szCs w:val="24"/>
          <w:lang w:val="ro-MD"/>
        </w:rPr>
        <w:t xml:space="preserve"> mijloace în sumă de 0,7 </w:t>
      </w:r>
      <w:r w:rsidRPr="00200696">
        <w:rPr>
          <w:rFonts w:asciiTheme="majorHAnsi" w:hAnsiTheme="majorHAnsi" w:cstheme="majorHAnsi"/>
          <w:color w:val="000000" w:themeColor="text1"/>
          <w:sz w:val="24"/>
          <w:szCs w:val="24"/>
          <w:lang w:val="ro-RO"/>
        </w:rPr>
        <w:t xml:space="preserve">mil.lei. </w:t>
      </w:r>
      <w:r w:rsidRPr="00200696">
        <w:rPr>
          <w:rFonts w:asciiTheme="majorHAnsi" w:hAnsiTheme="majorHAnsi" w:cstheme="majorHAnsi"/>
          <w:color w:val="000000" w:themeColor="text1"/>
          <w:sz w:val="24"/>
          <w:szCs w:val="24"/>
          <w:lang w:val="ro-MD"/>
        </w:rPr>
        <w:t xml:space="preserve"> </w:t>
      </w:r>
    </w:p>
    <w:p w:rsidR="009820F8" w:rsidRPr="00200696" w:rsidRDefault="00C96BC3" w:rsidP="009820F8">
      <w:pPr>
        <w:spacing w:line="276" w:lineRule="auto"/>
        <w:rPr>
          <w:rFonts w:asciiTheme="majorHAnsi" w:hAnsiTheme="majorHAnsi" w:cstheme="majorHAnsi"/>
          <w:color w:val="000000" w:themeColor="text1"/>
          <w:sz w:val="24"/>
          <w:szCs w:val="24"/>
          <w:lang w:val="ro-RO"/>
        </w:rPr>
      </w:pPr>
      <w:r w:rsidRPr="00200696">
        <w:rPr>
          <w:rFonts w:asciiTheme="majorHAnsi" w:hAnsiTheme="majorHAnsi" w:cstheme="majorHAnsi"/>
          <w:b/>
          <w:color w:val="000000" w:themeColor="text1"/>
          <w:sz w:val="24"/>
          <w:szCs w:val="24"/>
          <w:lang w:val="ro-RO"/>
        </w:rPr>
        <w:t>5.5</w:t>
      </w:r>
      <w:r w:rsidR="00430D5B" w:rsidRPr="00200696">
        <w:rPr>
          <w:rFonts w:asciiTheme="majorHAnsi" w:hAnsiTheme="majorHAnsi"/>
          <w:color w:val="000000" w:themeColor="text1"/>
          <w:sz w:val="24"/>
          <w:szCs w:val="24"/>
          <w:lang w:val="ro-RO"/>
        </w:rPr>
        <w:t xml:space="preserve">. </w:t>
      </w:r>
      <w:r w:rsidR="00F01487" w:rsidRPr="00200696">
        <w:rPr>
          <w:rFonts w:asciiTheme="majorHAnsi" w:hAnsiTheme="majorHAnsi" w:cstheme="majorHAnsi"/>
          <w:color w:val="000000" w:themeColor="text1"/>
          <w:sz w:val="24"/>
          <w:lang w:val="ro-RO"/>
        </w:rPr>
        <w:t>Prin Hotăr</w:t>
      </w:r>
      <w:r w:rsidR="00A707FE" w:rsidRPr="00200696">
        <w:rPr>
          <w:rFonts w:asciiTheme="majorHAnsi" w:hAnsiTheme="majorHAnsi" w:cstheme="majorHAnsi"/>
          <w:color w:val="000000" w:themeColor="text1"/>
          <w:sz w:val="24"/>
          <w:lang w:val="ro-RO"/>
        </w:rPr>
        <w:t>â</w:t>
      </w:r>
      <w:r w:rsidR="00F01487" w:rsidRPr="00200696">
        <w:rPr>
          <w:rFonts w:asciiTheme="majorHAnsi" w:hAnsiTheme="majorHAnsi" w:cstheme="majorHAnsi"/>
          <w:color w:val="000000" w:themeColor="text1"/>
          <w:sz w:val="24"/>
          <w:lang w:val="ro-RO"/>
        </w:rPr>
        <w:t>rea Guvernului nr.462 din 01.07.2020</w:t>
      </w:r>
      <w:r w:rsidR="00F01487" w:rsidRPr="00200696">
        <w:rPr>
          <w:rStyle w:val="a6"/>
          <w:rFonts w:asciiTheme="majorHAnsi" w:hAnsiTheme="majorHAnsi" w:cstheme="majorHAnsi"/>
          <w:color w:val="000000" w:themeColor="text1"/>
          <w:sz w:val="24"/>
        </w:rPr>
        <w:footnoteReference w:id="15"/>
      </w:r>
      <w:r w:rsidR="00F01487" w:rsidRPr="00200696">
        <w:rPr>
          <w:rFonts w:asciiTheme="majorHAnsi" w:hAnsiTheme="majorHAnsi" w:cstheme="majorHAnsi"/>
          <w:color w:val="000000" w:themeColor="text1"/>
          <w:sz w:val="24"/>
          <w:lang w:val="ro-RO"/>
        </w:rPr>
        <w:t>, s-au transmis în administrarea și gestiunea economică a S</w:t>
      </w:r>
      <w:r w:rsidRPr="00200696">
        <w:rPr>
          <w:rFonts w:asciiTheme="majorHAnsi" w:hAnsiTheme="majorHAnsi" w:cstheme="majorHAnsi"/>
          <w:color w:val="000000" w:themeColor="text1"/>
          <w:sz w:val="24"/>
          <w:lang w:val="ro-RO"/>
        </w:rPr>
        <w:t xml:space="preserve">erviciului </w:t>
      </w:r>
      <w:r w:rsidR="00F01487" w:rsidRPr="00200696">
        <w:rPr>
          <w:rFonts w:asciiTheme="majorHAnsi" w:hAnsiTheme="majorHAnsi" w:cstheme="majorHAnsi"/>
          <w:color w:val="000000" w:themeColor="text1"/>
          <w:sz w:val="24"/>
          <w:lang w:val="ro-RO"/>
        </w:rPr>
        <w:t>F</w:t>
      </w:r>
      <w:r w:rsidRPr="00200696">
        <w:rPr>
          <w:rFonts w:asciiTheme="majorHAnsi" w:hAnsiTheme="majorHAnsi" w:cstheme="majorHAnsi"/>
          <w:color w:val="000000" w:themeColor="text1"/>
          <w:sz w:val="24"/>
          <w:lang w:val="ro-RO"/>
        </w:rPr>
        <w:t xml:space="preserve">iscal de </w:t>
      </w:r>
      <w:r w:rsidR="00F01487" w:rsidRPr="00200696">
        <w:rPr>
          <w:rFonts w:asciiTheme="majorHAnsi" w:hAnsiTheme="majorHAnsi" w:cstheme="majorHAnsi"/>
          <w:color w:val="000000" w:themeColor="text1"/>
          <w:sz w:val="24"/>
          <w:lang w:val="ro-RO"/>
        </w:rPr>
        <w:t>S</w:t>
      </w:r>
      <w:r w:rsidRPr="00200696">
        <w:rPr>
          <w:rFonts w:asciiTheme="majorHAnsi" w:hAnsiTheme="majorHAnsi" w:cstheme="majorHAnsi"/>
          <w:color w:val="000000" w:themeColor="text1"/>
          <w:sz w:val="24"/>
          <w:lang w:val="ro-RO"/>
        </w:rPr>
        <w:t>tat</w:t>
      </w:r>
      <w:r w:rsidR="00F01487" w:rsidRPr="00200696">
        <w:rPr>
          <w:rFonts w:asciiTheme="majorHAnsi" w:hAnsiTheme="majorHAnsi" w:cstheme="majorHAnsi"/>
          <w:color w:val="000000" w:themeColor="text1"/>
          <w:sz w:val="24"/>
          <w:lang w:val="ro-RO"/>
        </w:rPr>
        <w:t xml:space="preserve"> încăperile din incinta clădirii administrative</w:t>
      </w:r>
      <w:r w:rsidR="00F01487" w:rsidRPr="00200696">
        <w:rPr>
          <w:rStyle w:val="a6"/>
          <w:rFonts w:asciiTheme="majorHAnsi" w:hAnsiTheme="majorHAnsi" w:cstheme="majorHAnsi"/>
          <w:color w:val="000000" w:themeColor="text1"/>
          <w:sz w:val="24"/>
        </w:rPr>
        <w:footnoteReference w:id="16"/>
      </w:r>
      <w:r w:rsidR="00A707FE" w:rsidRPr="00200696">
        <w:rPr>
          <w:rFonts w:asciiTheme="majorHAnsi" w:hAnsiTheme="majorHAnsi" w:cstheme="majorHAnsi"/>
          <w:color w:val="000000" w:themeColor="text1"/>
          <w:sz w:val="24"/>
          <w:lang w:val="ro-RO"/>
        </w:rPr>
        <w:t>,</w:t>
      </w:r>
      <w:r w:rsidR="00F01487" w:rsidRPr="00200696">
        <w:rPr>
          <w:rFonts w:asciiTheme="majorHAnsi" w:hAnsiTheme="majorHAnsi" w:cstheme="majorHAnsi"/>
          <w:color w:val="000000" w:themeColor="text1"/>
          <w:sz w:val="24"/>
          <w:lang w:val="ro-RO"/>
        </w:rPr>
        <w:t xml:space="preserve"> amplasată în mun. Chișinău, str.</w:t>
      </w:r>
      <w:r w:rsidRPr="00200696">
        <w:rPr>
          <w:rFonts w:asciiTheme="majorHAnsi" w:hAnsiTheme="majorHAnsi" w:cstheme="majorHAnsi"/>
          <w:color w:val="000000" w:themeColor="text1"/>
          <w:sz w:val="24"/>
          <w:lang w:val="ro-RO"/>
        </w:rPr>
        <w:t xml:space="preserve"> </w:t>
      </w:r>
      <w:r w:rsidR="00F01487" w:rsidRPr="00200696">
        <w:rPr>
          <w:rFonts w:asciiTheme="majorHAnsi" w:hAnsiTheme="majorHAnsi" w:cstheme="majorHAnsi"/>
          <w:color w:val="000000" w:themeColor="text1"/>
          <w:sz w:val="24"/>
          <w:lang w:val="ro-RO"/>
        </w:rPr>
        <w:t xml:space="preserve">Constantin Tănase nr.9. </w:t>
      </w:r>
      <w:r w:rsidR="00F01487" w:rsidRPr="00200696">
        <w:rPr>
          <w:rFonts w:asciiTheme="majorHAnsi" w:hAnsiTheme="majorHAnsi" w:cstheme="majorHAnsi"/>
          <w:color w:val="000000" w:themeColor="text1"/>
          <w:sz w:val="24"/>
          <w:szCs w:val="24"/>
          <w:lang w:val="ro-RO"/>
        </w:rPr>
        <w:t>În anul 2022, pentru reparația capitală a clădirii au fost aprobate resurse financiare în sumă de 50,2 mil.lei, ulterior fiind precizate în sumă de 15,2 mil.lei, cheltuielile executate însumând 0,2 mil</w:t>
      </w:r>
      <w:r w:rsidR="000914B8" w:rsidRPr="00200696">
        <w:rPr>
          <w:rFonts w:asciiTheme="majorHAnsi" w:hAnsiTheme="majorHAnsi" w:cstheme="majorHAnsi"/>
          <w:color w:val="000000" w:themeColor="text1"/>
          <w:sz w:val="24"/>
          <w:szCs w:val="24"/>
          <w:lang w:val="ro-RO"/>
        </w:rPr>
        <w:t>.</w:t>
      </w:r>
      <w:r w:rsidR="00F01487" w:rsidRPr="00200696">
        <w:rPr>
          <w:rFonts w:asciiTheme="majorHAnsi" w:hAnsiTheme="majorHAnsi" w:cstheme="majorHAnsi"/>
          <w:color w:val="000000" w:themeColor="text1"/>
          <w:sz w:val="24"/>
          <w:szCs w:val="24"/>
          <w:lang w:val="ro-RO"/>
        </w:rPr>
        <w:t xml:space="preserve"> lei</w:t>
      </w:r>
      <w:r w:rsidR="00F01487" w:rsidRPr="00200696">
        <w:rPr>
          <w:rStyle w:val="a6"/>
          <w:rFonts w:asciiTheme="majorHAnsi" w:hAnsiTheme="majorHAnsi" w:cstheme="majorHAnsi"/>
          <w:color w:val="000000" w:themeColor="text1"/>
          <w:sz w:val="24"/>
          <w:szCs w:val="24"/>
        </w:rPr>
        <w:footnoteReference w:id="17"/>
      </w:r>
      <w:r w:rsidR="00F01487" w:rsidRPr="00200696">
        <w:rPr>
          <w:rFonts w:asciiTheme="majorHAnsi" w:hAnsiTheme="majorHAnsi" w:cstheme="majorHAnsi"/>
          <w:color w:val="000000" w:themeColor="text1"/>
          <w:sz w:val="24"/>
          <w:szCs w:val="24"/>
          <w:lang w:val="ro-RO"/>
        </w:rPr>
        <w:t>. Deși, până la 31 decembrie 2022</w:t>
      </w:r>
      <w:r w:rsidR="000914B8" w:rsidRPr="00200696">
        <w:rPr>
          <w:rFonts w:asciiTheme="majorHAnsi" w:hAnsiTheme="majorHAnsi" w:cstheme="majorHAnsi"/>
          <w:color w:val="000000" w:themeColor="text1"/>
          <w:sz w:val="24"/>
          <w:szCs w:val="24"/>
          <w:lang w:val="ro-RO"/>
        </w:rPr>
        <w:t>,</w:t>
      </w:r>
      <w:r w:rsidR="00F01487" w:rsidRPr="00200696">
        <w:rPr>
          <w:rFonts w:asciiTheme="majorHAnsi" w:hAnsiTheme="majorHAnsi" w:cstheme="majorHAnsi"/>
          <w:color w:val="000000" w:themeColor="text1"/>
          <w:sz w:val="24"/>
          <w:szCs w:val="24"/>
          <w:lang w:val="ro-RO"/>
        </w:rPr>
        <w:t xml:space="preserve"> la obiectivul menționat </w:t>
      </w:r>
      <w:r w:rsidR="000914B8" w:rsidRPr="00200696">
        <w:rPr>
          <w:rFonts w:asciiTheme="majorHAnsi" w:hAnsiTheme="majorHAnsi" w:cstheme="majorHAnsi"/>
          <w:color w:val="000000" w:themeColor="text1"/>
          <w:sz w:val="24"/>
          <w:szCs w:val="24"/>
          <w:lang w:val="ro-RO"/>
        </w:rPr>
        <w:t>s-</w:t>
      </w:r>
      <w:r w:rsidR="00F01487" w:rsidRPr="00200696">
        <w:rPr>
          <w:rFonts w:asciiTheme="majorHAnsi" w:hAnsiTheme="majorHAnsi" w:cstheme="majorHAnsi"/>
          <w:color w:val="000000" w:themeColor="text1"/>
          <w:sz w:val="24"/>
          <w:szCs w:val="24"/>
          <w:lang w:val="ro-RO"/>
        </w:rPr>
        <w:t>au efectuat servicii de proiectare în sumă de 1,7 mil.lei, lucrările de reparație capitală nu au fost demarate, ne</w:t>
      </w:r>
      <w:r w:rsidR="00C65BE4" w:rsidRPr="00200696">
        <w:rPr>
          <w:rFonts w:asciiTheme="majorHAnsi" w:hAnsiTheme="majorHAnsi" w:cstheme="majorHAnsi"/>
          <w:color w:val="000000" w:themeColor="text1"/>
          <w:sz w:val="24"/>
          <w:szCs w:val="24"/>
          <w:lang w:val="ro-RO"/>
        </w:rPr>
        <w:t>utilizându-se</w:t>
      </w:r>
      <w:r w:rsidR="00F01487" w:rsidRPr="00200696">
        <w:rPr>
          <w:rFonts w:asciiTheme="majorHAnsi" w:hAnsiTheme="majorHAnsi" w:cstheme="majorHAnsi"/>
          <w:color w:val="000000" w:themeColor="text1"/>
          <w:sz w:val="24"/>
          <w:szCs w:val="24"/>
          <w:lang w:val="ro-RO"/>
        </w:rPr>
        <w:t xml:space="preserve"> circa ½ din suprafața totală a clădirii de 9829 m</w:t>
      </w:r>
      <w:r w:rsidR="00F01487" w:rsidRPr="00200696">
        <w:rPr>
          <w:rFonts w:asciiTheme="majorHAnsi" w:hAnsiTheme="majorHAnsi" w:cstheme="majorHAnsi"/>
          <w:color w:val="000000" w:themeColor="text1"/>
          <w:sz w:val="24"/>
          <w:szCs w:val="24"/>
          <w:vertAlign w:val="superscript"/>
          <w:lang w:val="ro-RO"/>
        </w:rPr>
        <w:t>2</w:t>
      </w:r>
      <w:r w:rsidR="00F01487" w:rsidRPr="00200696">
        <w:rPr>
          <w:rFonts w:asciiTheme="majorHAnsi" w:hAnsiTheme="majorHAnsi" w:cstheme="majorHAnsi"/>
          <w:color w:val="000000" w:themeColor="text1"/>
          <w:sz w:val="24"/>
          <w:szCs w:val="24"/>
          <w:lang w:val="ro-RO"/>
        </w:rPr>
        <w:t xml:space="preserve">. </w:t>
      </w:r>
      <w:r w:rsidRPr="00200696">
        <w:rPr>
          <w:rFonts w:asciiTheme="majorHAnsi" w:hAnsiTheme="majorHAnsi" w:cstheme="majorHAnsi"/>
          <w:color w:val="000000" w:themeColor="text1"/>
          <w:sz w:val="24"/>
          <w:szCs w:val="24"/>
          <w:lang w:val="ro-RO"/>
        </w:rPr>
        <w:t>De asemenea, se remarcă că</w:t>
      </w:r>
      <w:r w:rsidR="000914B8" w:rsidRPr="00200696">
        <w:rPr>
          <w:rFonts w:asciiTheme="majorHAnsi" w:hAnsiTheme="majorHAnsi" w:cstheme="majorHAnsi"/>
          <w:color w:val="000000" w:themeColor="text1"/>
          <w:sz w:val="24"/>
          <w:szCs w:val="24"/>
          <w:lang w:val="ro-RO"/>
        </w:rPr>
        <w:t>,</w:t>
      </w:r>
      <w:r w:rsidRPr="00200696">
        <w:rPr>
          <w:rFonts w:asciiTheme="majorHAnsi" w:hAnsiTheme="majorHAnsi" w:cstheme="majorHAnsi"/>
          <w:color w:val="000000" w:themeColor="text1"/>
          <w:sz w:val="24"/>
          <w:szCs w:val="24"/>
          <w:lang w:val="ro-RO"/>
        </w:rPr>
        <w:t xml:space="preserve"> în anul </w:t>
      </w:r>
      <w:r w:rsidR="00F01487" w:rsidRPr="00200696">
        <w:rPr>
          <w:rFonts w:asciiTheme="majorHAnsi" w:hAnsiTheme="majorHAnsi" w:cstheme="majorHAnsi"/>
          <w:color w:val="000000" w:themeColor="text1"/>
          <w:sz w:val="24"/>
          <w:szCs w:val="24"/>
          <w:lang w:val="ro-RO"/>
        </w:rPr>
        <w:t>2020, S</w:t>
      </w:r>
      <w:r w:rsidRPr="00200696">
        <w:rPr>
          <w:rFonts w:asciiTheme="majorHAnsi" w:hAnsiTheme="majorHAnsi" w:cstheme="majorHAnsi"/>
          <w:color w:val="000000" w:themeColor="text1"/>
          <w:sz w:val="24"/>
          <w:szCs w:val="24"/>
          <w:lang w:val="ro-RO"/>
        </w:rPr>
        <w:t xml:space="preserve">erviciul </w:t>
      </w:r>
      <w:r w:rsidR="00F01487" w:rsidRPr="00200696">
        <w:rPr>
          <w:rFonts w:asciiTheme="majorHAnsi" w:hAnsiTheme="majorHAnsi" w:cstheme="majorHAnsi"/>
          <w:color w:val="000000" w:themeColor="text1"/>
          <w:sz w:val="24"/>
          <w:szCs w:val="24"/>
          <w:lang w:val="ro-RO"/>
        </w:rPr>
        <w:t>F</w:t>
      </w:r>
      <w:r w:rsidRPr="00200696">
        <w:rPr>
          <w:rFonts w:asciiTheme="majorHAnsi" w:hAnsiTheme="majorHAnsi" w:cstheme="majorHAnsi"/>
          <w:color w:val="000000" w:themeColor="text1"/>
          <w:sz w:val="24"/>
          <w:szCs w:val="24"/>
          <w:lang w:val="ro-RO"/>
        </w:rPr>
        <w:t xml:space="preserve">iscal de Stat </w:t>
      </w:r>
      <w:r w:rsidR="00F01487" w:rsidRPr="00200696">
        <w:rPr>
          <w:rFonts w:asciiTheme="majorHAnsi" w:hAnsiTheme="majorHAnsi" w:cstheme="majorHAnsi"/>
          <w:color w:val="000000" w:themeColor="text1"/>
          <w:sz w:val="24"/>
          <w:szCs w:val="24"/>
          <w:lang w:val="ro-RO"/>
        </w:rPr>
        <w:t>a solicitat Agenției Servicii</w:t>
      </w:r>
      <w:r w:rsidR="00F01487" w:rsidRPr="00200696">
        <w:rPr>
          <w:rFonts w:asciiTheme="majorHAnsi" w:hAnsiTheme="majorHAnsi" w:cstheme="majorHAnsi"/>
          <w:color w:val="000000" w:themeColor="text1"/>
          <w:spacing w:val="1"/>
          <w:sz w:val="24"/>
          <w:szCs w:val="24"/>
          <w:lang w:val="ro-RO"/>
        </w:rPr>
        <w:t xml:space="preserve"> </w:t>
      </w:r>
      <w:r w:rsidRPr="00200696">
        <w:rPr>
          <w:rFonts w:asciiTheme="majorHAnsi" w:hAnsiTheme="majorHAnsi" w:cstheme="majorHAnsi"/>
          <w:color w:val="000000" w:themeColor="text1"/>
          <w:sz w:val="24"/>
          <w:szCs w:val="24"/>
          <w:lang w:val="ro-RO"/>
        </w:rPr>
        <w:t xml:space="preserve">Publice </w:t>
      </w:r>
      <w:r w:rsidR="00F01487" w:rsidRPr="00200696">
        <w:rPr>
          <w:rFonts w:asciiTheme="majorHAnsi" w:hAnsiTheme="majorHAnsi" w:cstheme="majorHAnsi"/>
          <w:color w:val="000000" w:themeColor="text1"/>
          <w:sz w:val="24"/>
          <w:szCs w:val="24"/>
          <w:lang w:val="ro-RO"/>
        </w:rPr>
        <w:t>formarea</w:t>
      </w:r>
      <w:r w:rsidR="00F01487" w:rsidRPr="00200696">
        <w:rPr>
          <w:rFonts w:asciiTheme="majorHAnsi" w:hAnsiTheme="majorHAnsi" w:cstheme="majorHAnsi"/>
          <w:color w:val="000000" w:themeColor="text1"/>
          <w:spacing w:val="1"/>
          <w:sz w:val="24"/>
          <w:szCs w:val="24"/>
          <w:lang w:val="ro-RO"/>
        </w:rPr>
        <w:t xml:space="preserve"> </w:t>
      </w:r>
      <w:r w:rsidR="00F01487" w:rsidRPr="00200696">
        <w:rPr>
          <w:rFonts w:asciiTheme="majorHAnsi" w:hAnsiTheme="majorHAnsi" w:cstheme="majorHAnsi"/>
          <w:color w:val="000000" w:themeColor="text1"/>
          <w:sz w:val="24"/>
          <w:szCs w:val="24"/>
          <w:lang w:val="ro-RO"/>
        </w:rPr>
        <w:t>numărului</w:t>
      </w:r>
      <w:r w:rsidR="00F01487" w:rsidRPr="00200696">
        <w:rPr>
          <w:rFonts w:asciiTheme="majorHAnsi" w:hAnsiTheme="majorHAnsi" w:cstheme="majorHAnsi"/>
          <w:color w:val="000000" w:themeColor="text1"/>
          <w:spacing w:val="1"/>
          <w:sz w:val="24"/>
          <w:szCs w:val="24"/>
          <w:lang w:val="ro-RO"/>
        </w:rPr>
        <w:t xml:space="preserve"> </w:t>
      </w:r>
      <w:r w:rsidR="00F01487" w:rsidRPr="00200696">
        <w:rPr>
          <w:rFonts w:asciiTheme="majorHAnsi" w:hAnsiTheme="majorHAnsi" w:cstheme="majorHAnsi"/>
          <w:color w:val="000000" w:themeColor="text1"/>
          <w:sz w:val="24"/>
          <w:szCs w:val="24"/>
          <w:lang w:val="ro-RO"/>
        </w:rPr>
        <w:t>cadastral</w:t>
      </w:r>
      <w:r w:rsidR="00F01487" w:rsidRPr="00200696">
        <w:rPr>
          <w:rFonts w:asciiTheme="majorHAnsi" w:hAnsiTheme="majorHAnsi" w:cstheme="majorHAnsi"/>
          <w:color w:val="000000" w:themeColor="text1"/>
          <w:spacing w:val="60"/>
          <w:sz w:val="24"/>
          <w:szCs w:val="24"/>
          <w:lang w:val="ro-RO"/>
        </w:rPr>
        <w:t xml:space="preserve"> </w:t>
      </w:r>
      <w:r w:rsidR="00F01487" w:rsidRPr="00200696">
        <w:rPr>
          <w:rFonts w:asciiTheme="majorHAnsi" w:hAnsiTheme="majorHAnsi" w:cstheme="majorHAnsi"/>
          <w:color w:val="000000" w:themeColor="text1"/>
          <w:sz w:val="24"/>
          <w:szCs w:val="24"/>
          <w:lang w:val="ro-RO"/>
        </w:rPr>
        <w:t>unic</w:t>
      </w:r>
      <w:r w:rsidR="00F01487" w:rsidRPr="00200696">
        <w:rPr>
          <w:rFonts w:asciiTheme="majorHAnsi" w:hAnsiTheme="majorHAnsi" w:cstheme="majorHAnsi"/>
          <w:color w:val="000000" w:themeColor="text1"/>
          <w:spacing w:val="60"/>
          <w:sz w:val="24"/>
          <w:szCs w:val="24"/>
          <w:lang w:val="ro-RO"/>
        </w:rPr>
        <w:t xml:space="preserve"> </w:t>
      </w:r>
      <w:r w:rsidR="00F01487" w:rsidRPr="00200696">
        <w:rPr>
          <w:rFonts w:asciiTheme="majorHAnsi" w:hAnsiTheme="majorHAnsi" w:cstheme="majorHAnsi"/>
          <w:color w:val="000000" w:themeColor="text1"/>
          <w:sz w:val="24"/>
          <w:szCs w:val="24"/>
          <w:lang w:val="ro-RO"/>
        </w:rPr>
        <w:t>pentru</w:t>
      </w:r>
      <w:r w:rsidR="00F01487" w:rsidRPr="00200696">
        <w:rPr>
          <w:rFonts w:asciiTheme="majorHAnsi" w:hAnsiTheme="majorHAnsi" w:cstheme="majorHAnsi"/>
          <w:color w:val="000000" w:themeColor="text1"/>
          <w:spacing w:val="60"/>
          <w:sz w:val="24"/>
          <w:szCs w:val="24"/>
          <w:lang w:val="ro-RO"/>
        </w:rPr>
        <w:t xml:space="preserve"> </w:t>
      </w:r>
      <w:r w:rsidR="00F01487" w:rsidRPr="00200696">
        <w:rPr>
          <w:rFonts w:asciiTheme="majorHAnsi" w:hAnsiTheme="majorHAnsi" w:cstheme="majorHAnsi"/>
          <w:color w:val="000000" w:themeColor="text1"/>
          <w:sz w:val="24"/>
          <w:szCs w:val="24"/>
          <w:lang w:val="ro-RO"/>
        </w:rPr>
        <w:t>clădirea</w:t>
      </w:r>
      <w:r w:rsidRPr="00200696">
        <w:rPr>
          <w:rFonts w:asciiTheme="majorHAnsi" w:hAnsiTheme="majorHAnsi" w:cstheme="majorHAnsi"/>
          <w:color w:val="000000" w:themeColor="text1"/>
          <w:sz w:val="24"/>
          <w:szCs w:val="24"/>
          <w:lang w:val="ro-RO"/>
        </w:rPr>
        <w:t xml:space="preserve"> </w:t>
      </w:r>
      <w:r w:rsidR="00C65BE4" w:rsidRPr="00200696">
        <w:rPr>
          <w:rFonts w:asciiTheme="majorHAnsi" w:hAnsiTheme="majorHAnsi" w:cstheme="majorHAnsi"/>
          <w:color w:val="000000" w:themeColor="text1"/>
          <w:sz w:val="24"/>
          <w:szCs w:val="24"/>
          <w:lang w:val="ro-RO"/>
        </w:rPr>
        <w:t>mențion</w:t>
      </w:r>
      <w:r w:rsidR="00E03010" w:rsidRPr="00200696">
        <w:rPr>
          <w:rFonts w:asciiTheme="majorHAnsi" w:hAnsiTheme="majorHAnsi" w:cstheme="majorHAnsi"/>
          <w:color w:val="000000" w:themeColor="text1"/>
          <w:sz w:val="24"/>
          <w:szCs w:val="24"/>
          <w:lang w:val="ro-RO"/>
        </w:rPr>
        <w:t>ată</w:t>
      </w:r>
      <w:r w:rsidRPr="00200696">
        <w:rPr>
          <w:rFonts w:asciiTheme="majorHAnsi" w:hAnsiTheme="majorHAnsi" w:cstheme="majorHAnsi"/>
          <w:color w:val="000000" w:themeColor="text1"/>
          <w:sz w:val="24"/>
          <w:szCs w:val="24"/>
          <w:lang w:val="ro-RO"/>
        </w:rPr>
        <w:t xml:space="preserve">, stabilindu-se </w:t>
      </w:r>
      <w:r w:rsidR="00F01487" w:rsidRPr="00200696">
        <w:rPr>
          <w:rFonts w:asciiTheme="majorHAnsi" w:hAnsiTheme="majorHAnsi" w:cstheme="majorHAnsi"/>
          <w:color w:val="000000" w:themeColor="text1"/>
          <w:sz w:val="24"/>
          <w:szCs w:val="24"/>
          <w:lang w:val="ro-RO"/>
        </w:rPr>
        <w:t>nerespectarea condițiilor pentru formarea bunului imobil în corespundere cu cerințele legale</w:t>
      </w:r>
      <w:r w:rsidR="00F01487" w:rsidRPr="00200696">
        <w:rPr>
          <w:rStyle w:val="a6"/>
          <w:rFonts w:asciiTheme="majorHAnsi" w:hAnsiTheme="majorHAnsi" w:cstheme="majorHAnsi"/>
          <w:color w:val="000000" w:themeColor="text1"/>
          <w:sz w:val="24"/>
          <w:szCs w:val="24"/>
        </w:rPr>
        <w:footnoteReference w:id="18"/>
      </w:r>
      <w:r w:rsidRPr="00200696">
        <w:rPr>
          <w:rFonts w:asciiTheme="majorHAnsi" w:hAnsiTheme="majorHAnsi" w:cstheme="majorHAnsi"/>
          <w:color w:val="000000" w:themeColor="text1"/>
          <w:sz w:val="24"/>
          <w:szCs w:val="24"/>
          <w:lang w:val="ro-RO"/>
        </w:rPr>
        <w:t>. Totodată, urmare inventarierii clădirii</w:t>
      </w:r>
      <w:r w:rsidR="000914B8" w:rsidRPr="00200696">
        <w:rPr>
          <w:rFonts w:asciiTheme="majorHAnsi" w:hAnsiTheme="majorHAnsi" w:cstheme="majorHAnsi"/>
          <w:color w:val="000000" w:themeColor="text1"/>
          <w:sz w:val="24"/>
          <w:szCs w:val="24"/>
          <w:lang w:val="ro-RO"/>
        </w:rPr>
        <w:t>,</w:t>
      </w:r>
      <w:r w:rsidRPr="00200696">
        <w:rPr>
          <w:rFonts w:asciiTheme="majorHAnsi" w:hAnsiTheme="majorHAnsi" w:cstheme="majorHAnsi"/>
          <w:color w:val="000000" w:themeColor="text1"/>
          <w:sz w:val="24"/>
          <w:szCs w:val="24"/>
          <w:lang w:val="ro-RO"/>
        </w:rPr>
        <w:t xml:space="preserve"> efectuată în anul 2021 de către</w:t>
      </w:r>
      <w:r w:rsidR="00F01487" w:rsidRPr="00200696">
        <w:rPr>
          <w:rFonts w:asciiTheme="majorHAnsi" w:hAnsiTheme="majorHAnsi" w:cstheme="majorHAnsi"/>
          <w:color w:val="000000" w:themeColor="text1"/>
          <w:spacing w:val="1"/>
          <w:sz w:val="24"/>
          <w:szCs w:val="24"/>
          <w:lang w:val="ro-RO"/>
        </w:rPr>
        <w:t xml:space="preserve"> </w:t>
      </w:r>
      <w:r w:rsidRPr="00200696">
        <w:rPr>
          <w:rFonts w:asciiTheme="majorHAnsi" w:hAnsiTheme="majorHAnsi" w:cstheme="majorHAnsi"/>
          <w:color w:val="000000" w:themeColor="text1"/>
          <w:sz w:val="24"/>
          <w:szCs w:val="24"/>
          <w:lang w:val="ro-RO"/>
        </w:rPr>
        <w:t>Agenți</w:t>
      </w:r>
      <w:r w:rsidR="000914B8" w:rsidRPr="00200696">
        <w:rPr>
          <w:rFonts w:asciiTheme="majorHAnsi" w:hAnsiTheme="majorHAnsi" w:cstheme="majorHAnsi"/>
          <w:color w:val="000000" w:themeColor="text1"/>
          <w:sz w:val="24"/>
          <w:szCs w:val="24"/>
          <w:lang w:val="ro-RO"/>
        </w:rPr>
        <w:t>a</w:t>
      </w:r>
      <w:r w:rsidRPr="00200696">
        <w:rPr>
          <w:rFonts w:asciiTheme="majorHAnsi" w:hAnsiTheme="majorHAnsi" w:cstheme="majorHAnsi"/>
          <w:color w:val="000000" w:themeColor="text1"/>
          <w:sz w:val="24"/>
          <w:szCs w:val="24"/>
          <w:lang w:val="ro-RO"/>
        </w:rPr>
        <w:t xml:space="preserve"> Servicii</w:t>
      </w:r>
      <w:r w:rsidRPr="00200696">
        <w:rPr>
          <w:rFonts w:asciiTheme="majorHAnsi" w:hAnsiTheme="majorHAnsi" w:cstheme="majorHAnsi"/>
          <w:color w:val="000000" w:themeColor="text1"/>
          <w:spacing w:val="1"/>
          <w:sz w:val="24"/>
          <w:szCs w:val="24"/>
          <w:lang w:val="ro-RO"/>
        </w:rPr>
        <w:t xml:space="preserve"> </w:t>
      </w:r>
      <w:r w:rsidRPr="00200696">
        <w:rPr>
          <w:rFonts w:asciiTheme="majorHAnsi" w:hAnsiTheme="majorHAnsi" w:cstheme="majorHAnsi"/>
          <w:color w:val="000000" w:themeColor="text1"/>
          <w:sz w:val="24"/>
          <w:szCs w:val="24"/>
          <w:lang w:val="ro-RO"/>
        </w:rPr>
        <w:t>Publice</w:t>
      </w:r>
      <w:r w:rsidR="000914B8" w:rsidRPr="00200696">
        <w:rPr>
          <w:rFonts w:asciiTheme="majorHAnsi" w:hAnsiTheme="majorHAnsi" w:cstheme="majorHAnsi"/>
          <w:color w:val="000000" w:themeColor="text1"/>
          <w:sz w:val="24"/>
          <w:szCs w:val="24"/>
          <w:lang w:val="ro-RO"/>
        </w:rPr>
        <w:t>,</w:t>
      </w:r>
      <w:r w:rsidRPr="00200696">
        <w:rPr>
          <w:rFonts w:asciiTheme="majorHAnsi" w:hAnsiTheme="majorHAnsi" w:cstheme="majorHAnsi"/>
          <w:color w:val="000000" w:themeColor="text1"/>
          <w:sz w:val="24"/>
          <w:szCs w:val="24"/>
          <w:lang w:val="ro-RO"/>
        </w:rPr>
        <w:t xml:space="preserve"> </w:t>
      </w:r>
      <w:r w:rsidR="00F01487" w:rsidRPr="00200696">
        <w:rPr>
          <w:rFonts w:asciiTheme="majorHAnsi" w:hAnsiTheme="majorHAnsi" w:cstheme="majorHAnsi"/>
          <w:color w:val="000000" w:themeColor="text1"/>
          <w:sz w:val="24"/>
          <w:szCs w:val="24"/>
          <w:lang w:val="ro-RO"/>
        </w:rPr>
        <w:t>s-a</w:t>
      </w:r>
      <w:r w:rsidR="00F01487" w:rsidRPr="00200696">
        <w:rPr>
          <w:rFonts w:asciiTheme="majorHAnsi" w:hAnsiTheme="majorHAnsi" w:cstheme="majorHAnsi"/>
          <w:color w:val="000000" w:themeColor="text1"/>
          <w:spacing w:val="45"/>
          <w:sz w:val="24"/>
          <w:szCs w:val="24"/>
          <w:lang w:val="ro-RO"/>
        </w:rPr>
        <w:t xml:space="preserve"> </w:t>
      </w:r>
      <w:r w:rsidR="00F01487" w:rsidRPr="00200696">
        <w:rPr>
          <w:rFonts w:asciiTheme="majorHAnsi" w:hAnsiTheme="majorHAnsi" w:cstheme="majorHAnsi"/>
          <w:color w:val="000000" w:themeColor="text1"/>
          <w:sz w:val="24"/>
          <w:szCs w:val="24"/>
          <w:lang w:val="ro-RO"/>
        </w:rPr>
        <w:t>constatat</w:t>
      </w:r>
      <w:r w:rsidR="00F01487" w:rsidRPr="00200696">
        <w:rPr>
          <w:rFonts w:asciiTheme="majorHAnsi" w:hAnsiTheme="majorHAnsi" w:cstheme="majorHAnsi"/>
          <w:color w:val="000000" w:themeColor="text1"/>
          <w:spacing w:val="47"/>
          <w:sz w:val="24"/>
          <w:szCs w:val="24"/>
          <w:lang w:val="ro-RO"/>
        </w:rPr>
        <w:t xml:space="preserve"> </w:t>
      </w:r>
      <w:r w:rsidR="00F01487" w:rsidRPr="00200696">
        <w:rPr>
          <w:rFonts w:asciiTheme="majorHAnsi" w:hAnsiTheme="majorHAnsi" w:cstheme="majorHAnsi"/>
          <w:color w:val="000000" w:themeColor="text1"/>
          <w:sz w:val="24"/>
          <w:szCs w:val="24"/>
          <w:lang w:val="ro-RO"/>
        </w:rPr>
        <w:t>că</w:t>
      </w:r>
      <w:r w:rsidR="00F01487" w:rsidRPr="00200696">
        <w:rPr>
          <w:rFonts w:asciiTheme="majorHAnsi" w:hAnsiTheme="majorHAnsi" w:cstheme="majorHAnsi"/>
          <w:color w:val="000000" w:themeColor="text1"/>
          <w:spacing w:val="45"/>
          <w:sz w:val="24"/>
          <w:szCs w:val="24"/>
          <w:lang w:val="ro-RO"/>
        </w:rPr>
        <w:t xml:space="preserve"> </w:t>
      </w:r>
      <w:r w:rsidR="00F01487" w:rsidRPr="00200696">
        <w:rPr>
          <w:rFonts w:asciiTheme="majorHAnsi" w:hAnsiTheme="majorHAnsi" w:cstheme="majorHAnsi"/>
          <w:color w:val="000000" w:themeColor="text1"/>
          <w:sz w:val="24"/>
          <w:szCs w:val="24"/>
          <w:lang w:val="ro-RO"/>
        </w:rPr>
        <w:t>gestionarii</w:t>
      </w:r>
      <w:r w:rsidR="00F01487" w:rsidRPr="00200696">
        <w:rPr>
          <w:rFonts w:asciiTheme="majorHAnsi" w:hAnsiTheme="majorHAnsi" w:cstheme="majorHAnsi"/>
          <w:color w:val="000000" w:themeColor="text1"/>
          <w:spacing w:val="17"/>
          <w:sz w:val="24"/>
          <w:szCs w:val="24"/>
          <w:lang w:val="ro-RO"/>
        </w:rPr>
        <w:t xml:space="preserve"> </w:t>
      </w:r>
      <w:r w:rsidR="00F01487" w:rsidRPr="00200696">
        <w:rPr>
          <w:rFonts w:asciiTheme="majorHAnsi" w:hAnsiTheme="majorHAnsi" w:cstheme="majorHAnsi"/>
          <w:color w:val="000000" w:themeColor="text1"/>
          <w:sz w:val="24"/>
          <w:szCs w:val="24"/>
          <w:lang w:val="ro-RO"/>
        </w:rPr>
        <w:t xml:space="preserve">anteriori au </w:t>
      </w:r>
      <w:r w:rsidR="000914B8" w:rsidRPr="00200696">
        <w:rPr>
          <w:rFonts w:asciiTheme="majorHAnsi" w:hAnsiTheme="majorHAnsi" w:cstheme="majorHAnsi"/>
          <w:color w:val="000000" w:themeColor="text1"/>
          <w:sz w:val="24"/>
          <w:szCs w:val="24"/>
          <w:lang w:val="ro-RO"/>
        </w:rPr>
        <w:t>realiz</w:t>
      </w:r>
      <w:r w:rsidR="00F01487" w:rsidRPr="00200696">
        <w:rPr>
          <w:rFonts w:asciiTheme="majorHAnsi" w:hAnsiTheme="majorHAnsi" w:cstheme="majorHAnsi"/>
          <w:color w:val="000000" w:themeColor="text1"/>
          <w:sz w:val="24"/>
          <w:szCs w:val="24"/>
          <w:lang w:val="ro-RO"/>
        </w:rPr>
        <w:t>at replanificări</w:t>
      </w:r>
      <w:r w:rsidR="00F01487" w:rsidRPr="00200696">
        <w:rPr>
          <w:rFonts w:asciiTheme="majorHAnsi" w:hAnsiTheme="majorHAnsi" w:cstheme="majorHAnsi"/>
          <w:color w:val="000000" w:themeColor="text1"/>
          <w:spacing w:val="18"/>
          <w:sz w:val="24"/>
          <w:szCs w:val="24"/>
          <w:lang w:val="ro-RO"/>
        </w:rPr>
        <w:t xml:space="preserve"> </w:t>
      </w:r>
      <w:r w:rsidR="00F01487" w:rsidRPr="00200696">
        <w:rPr>
          <w:rFonts w:asciiTheme="majorHAnsi" w:hAnsiTheme="majorHAnsi" w:cstheme="majorHAnsi"/>
          <w:color w:val="000000" w:themeColor="text1"/>
          <w:sz w:val="24"/>
          <w:szCs w:val="24"/>
          <w:lang w:val="ro-RO"/>
        </w:rPr>
        <w:t>interioare</w:t>
      </w:r>
      <w:r w:rsidR="00F01487" w:rsidRPr="00200696">
        <w:rPr>
          <w:rFonts w:asciiTheme="majorHAnsi" w:hAnsiTheme="majorHAnsi" w:cstheme="majorHAnsi"/>
          <w:color w:val="000000" w:themeColor="text1"/>
          <w:spacing w:val="17"/>
          <w:sz w:val="24"/>
          <w:szCs w:val="24"/>
          <w:lang w:val="ro-RO"/>
        </w:rPr>
        <w:t xml:space="preserve"> </w:t>
      </w:r>
      <w:r w:rsidR="00F01487" w:rsidRPr="00200696">
        <w:rPr>
          <w:rFonts w:asciiTheme="majorHAnsi" w:hAnsiTheme="majorHAnsi" w:cstheme="majorHAnsi"/>
          <w:color w:val="000000" w:themeColor="text1"/>
          <w:sz w:val="24"/>
          <w:szCs w:val="24"/>
          <w:lang w:val="ro-RO"/>
        </w:rPr>
        <w:t>fără</w:t>
      </w:r>
      <w:r w:rsidR="00F01487" w:rsidRPr="00200696">
        <w:rPr>
          <w:rFonts w:asciiTheme="majorHAnsi" w:hAnsiTheme="majorHAnsi" w:cstheme="majorHAnsi"/>
          <w:color w:val="000000" w:themeColor="text1"/>
          <w:spacing w:val="17"/>
          <w:sz w:val="24"/>
          <w:szCs w:val="24"/>
          <w:lang w:val="ro-RO"/>
        </w:rPr>
        <w:t xml:space="preserve"> </w:t>
      </w:r>
      <w:r w:rsidR="00F01487" w:rsidRPr="00200696">
        <w:rPr>
          <w:rFonts w:asciiTheme="majorHAnsi" w:hAnsiTheme="majorHAnsi" w:cstheme="majorHAnsi"/>
          <w:color w:val="000000" w:themeColor="text1"/>
          <w:sz w:val="24"/>
          <w:szCs w:val="24"/>
          <w:lang w:val="ro-RO"/>
        </w:rPr>
        <w:t>autorizație</w:t>
      </w:r>
      <w:r w:rsidR="00F01487" w:rsidRPr="00200696">
        <w:rPr>
          <w:rFonts w:asciiTheme="majorHAnsi" w:hAnsiTheme="majorHAnsi" w:cstheme="majorHAnsi"/>
          <w:color w:val="000000" w:themeColor="text1"/>
          <w:spacing w:val="16"/>
          <w:sz w:val="24"/>
          <w:szCs w:val="24"/>
          <w:lang w:val="ro-RO"/>
        </w:rPr>
        <w:t xml:space="preserve"> </w:t>
      </w:r>
      <w:r w:rsidR="00F01487" w:rsidRPr="00200696">
        <w:rPr>
          <w:rFonts w:asciiTheme="majorHAnsi" w:hAnsiTheme="majorHAnsi" w:cstheme="majorHAnsi"/>
          <w:color w:val="000000" w:themeColor="text1"/>
          <w:sz w:val="24"/>
          <w:szCs w:val="24"/>
          <w:lang w:val="ro-RO"/>
        </w:rPr>
        <w:t>de</w:t>
      </w:r>
      <w:r w:rsidR="00F01487" w:rsidRPr="00200696">
        <w:rPr>
          <w:rFonts w:asciiTheme="majorHAnsi" w:hAnsiTheme="majorHAnsi" w:cstheme="majorHAnsi"/>
          <w:color w:val="000000" w:themeColor="text1"/>
          <w:spacing w:val="17"/>
          <w:sz w:val="24"/>
          <w:szCs w:val="24"/>
          <w:lang w:val="ro-RO"/>
        </w:rPr>
        <w:t xml:space="preserve"> </w:t>
      </w:r>
      <w:r w:rsidR="00F01487" w:rsidRPr="00200696">
        <w:rPr>
          <w:rFonts w:asciiTheme="majorHAnsi" w:hAnsiTheme="majorHAnsi" w:cstheme="majorHAnsi"/>
          <w:color w:val="000000" w:themeColor="text1"/>
          <w:sz w:val="24"/>
          <w:szCs w:val="24"/>
          <w:lang w:val="ro-RO"/>
        </w:rPr>
        <w:t>construcție, motiv din care unele</w:t>
      </w:r>
      <w:r w:rsidR="00F01487" w:rsidRPr="00200696">
        <w:rPr>
          <w:rFonts w:asciiTheme="majorHAnsi" w:hAnsiTheme="majorHAnsi" w:cstheme="majorHAnsi"/>
          <w:color w:val="000000" w:themeColor="text1"/>
          <w:spacing w:val="45"/>
          <w:sz w:val="24"/>
          <w:szCs w:val="24"/>
          <w:lang w:val="ro-RO"/>
        </w:rPr>
        <w:t xml:space="preserve"> </w:t>
      </w:r>
      <w:r w:rsidR="00F01487" w:rsidRPr="00200696">
        <w:rPr>
          <w:rFonts w:asciiTheme="majorHAnsi" w:hAnsiTheme="majorHAnsi" w:cstheme="majorHAnsi"/>
          <w:color w:val="000000" w:themeColor="text1"/>
          <w:sz w:val="24"/>
          <w:szCs w:val="24"/>
          <w:lang w:val="ro-RO"/>
        </w:rPr>
        <w:t>suprafețe</w:t>
      </w:r>
      <w:r w:rsidR="00F01487" w:rsidRPr="00200696">
        <w:rPr>
          <w:rFonts w:asciiTheme="majorHAnsi" w:hAnsiTheme="majorHAnsi" w:cstheme="majorHAnsi"/>
          <w:color w:val="000000" w:themeColor="text1"/>
          <w:spacing w:val="45"/>
          <w:sz w:val="24"/>
          <w:szCs w:val="24"/>
          <w:lang w:val="ro-RO"/>
        </w:rPr>
        <w:t xml:space="preserve"> </w:t>
      </w:r>
      <w:r w:rsidR="00F01487" w:rsidRPr="00200696">
        <w:rPr>
          <w:rFonts w:asciiTheme="majorHAnsi" w:hAnsiTheme="majorHAnsi" w:cstheme="majorHAnsi"/>
          <w:color w:val="000000" w:themeColor="text1"/>
          <w:sz w:val="24"/>
          <w:szCs w:val="24"/>
          <w:lang w:val="ro-RO"/>
        </w:rPr>
        <w:t>din</w:t>
      </w:r>
      <w:r w:rsidR="00F01487" w:rsidRPr="00200696">
        <w:rPr>
          <w:rFonts w:asciiTheme="majorHAnsi" w:hAnsiTheme="majorHAnsi" w:cstheme="majorHAnsi"/>
          <w:color w:val="000000" w:themeColor="text1"/>
          <w:spacing w:val="46"/>
          <w:sz w:val="24"/>
          <w:szCs w:val="24"/>
          <w:lang w:val="ro-RO"/>
        </w:rPr>
        <w:t xml:space="preserve"> </w:t>
      </w:r>
      <w:r w:rsidR="00F01487" w:rsidRPr="00200696">
        <w:rPr>
          <w:rFonts w:asciiTheme="majorHAnsi" w:hAnsiTheme="majorHAnsi" w:cstheme="majorHAnsi"/>
          <w:color w:val="000000" w:themeColor="text1"/>
          <w:sz w:val="24"/>
          <w:szCs w:val="24"/>
          <w:lang w:val="ro-RO"/>
        </w:rPr>
        <w:t>clădire</w:t>
      </w:r>
      <w:r w:rsidR="00F01487" w:rsidRPr="00200696">
        <w:rPr>
          <w:rFonts w:asciiTheme="majorHAnsi" w:hAnsiTheme="majorHAnsi" w:cstheme="majorHAnsi"/>
          <w:color w:val="000000" w:themeColor="text1"/>
          <w:spacing w:val="1"/>
          <w:sz w:val="24"/>
          <w:szCs w:val="24"/>
          <w:lang w:val="ro-RO"/>
        </w:rPr>
        <w:t xml:space="preserve"> </w:t>
      </w:r>
      <w:r w:rsidR="00F01487" w:rsidRPr="00200696">
        <w:rPr>
          <w:rFonts w:asciiTheme="majorHAnsi" w:hAnsiTheme="majorHAnsi" w:cstheme="majorHAnsi"/>
          <w:color w:val="000000" w:themeColor="text1"/>
          <w:sz w:val="24"/>
          <w:szCs w:val="24"/>
          <w:lang w:val="ro-RO"/>
        </w:rPr>
        <w:t>nu</w:t>
      </w:r>
      <w:r w:rsidR="00F01487" w:rsidRPr="00200696">
        <w:rPr>
          <w:rFonts w:asciiTheme="majorHAnsi" w:hAnsiTheme="majorHAnsi" w:cstheme="majorHAnsi"/>
          <w:color w:val="000000" w:themeColor="text1"/>
          <w:spacing w:val="1"/>
          <w:sz w:val="24"/>
          <w:szCs w:val="24"/>
          <w:lang w:val="ro-RO"/>
        </w:rPr>
        <w:t xml:space="preserve"> </w:t>
      </w:r>
      <w:r w:rsidR="00F01487" w:rsidRPr="00200696">
        <w:rPr>
          <w:rFonts w:asciiTheme="majorHAnsi" w:hAnsiTheme="majorHAnsi" w:cstheme="majorHAnsi"/>
          <w:color w:val="000000" w:themeColor="text1"/>
          <w:sz w:val="24"/>
          <w:szCs w:val="24"/>
          <w:lang w:val="ro-RO"/>
        </w:rPr>
        <w:t>corespund</w:t>
      </w:r>
      <w:r w:rsidR="00F01487" w:rsidRPr="00200696">
        <w:rPr>
          <w:rFonts w:asciiTheme="majorHAnsi" w:hAnsiTheme="majorHAnsi" w:cstheme="majorHAnsi"/>
          <w:color w:val="000000" w:themeColor="text1"/>
          <w:spacing w:val="1"/>
          <w:sz w:val="24"/>
          <w:szCs w:val="24"/>
          <w:lang w:val="ro-RO"/>
        </w:rPr>
        <w:t xml:space="preserve"> </w:t>
      </w:r>
      <w:r w:rsidR="00F01487" w:rsidRPr="00200696">
        <w:rPr>
          <w:rFonts w:asciiTheme="majorHAnsi" w:hAnsiTheme="majorHAnsi" w:cstheme="majorHAnsi"/>
          <w:color w:val="000000" w:themeColor="text1"/>
          <w:sz w:val="24"/>
          <w:szCs w:val="24"/>
          <w:lang w:val="ro-RO"/>
        </w:rPr>
        <w:t>cu</w:t>
      </w:r>
      <w:r w:rsidR="00F01487" w:rsidRPr="00200696">
        <w:rPr>
          <w:rFonts w:asciiTheme="majorHAnsi" w:hAnsiTheme="majorHAnsi" w:cstheme="majorHAnsi"/>
          <w:color w:val="000000" w:themeColor="text1"/>
          <w:spacing w:val="1"/>
          <w:sz w:val="24"/>
          <w:szCs w:val="24"/>
          <w:lang w:val="ro-RO"/>
        </w:rPr>
        <w:t xml:space="preserve"> </w:t>
      </w:r>
      <w:r w:rsidR="00F01487" w:rsidRPr="00200696">
        <w:rPr>
          <w:rFonts w:asciiTheme="majorHAnsi" w:hAnsiTheme="majorHAnsi" w:cstheme="majorHAnsi"/>
          <w:color w:val="000000" w:themeColor="text1"/>
          <w:sz w:val="24"/>
          <w:szCs w:val="24"/>
          <w:lang w:val="ro-RO"/>
        </w:rPr>
        <w:t>cele</w:t>
      </w:r>
      <w:r w:rsidR="00F01487" w:rsidRPr="00200696">
        <w:rPr>
          <w:rFonts w:asciiTheme="majorHAnsi" w:hAnsiTheme="majorHAnsi" w:cstheme="majorHAnsi"/>
          <w:color w:val="000000" w:themeColor="text1"/>
          <w:spacing w:val="1"/>
          <w:sz w:val="24"/>
          <w:szCs w:val="24"/>
          <w:lang w:val="ro-RO"/>
        </w:rPr>
        <w:t xml:space="preserve"> </w:t>
      </w:r>
      <w:r w:rsidR="00F01487" w:rsidRPr="00200696">
        <w:rPr>
          <w:rFonts w:asciiTheme="majorHAnsi" w:hAnsiTheme="majorHAnsi" w:cstheme="majorHAnsi"/>
          <w:color w:val="000000" w:themeColor="text1"/>
          <w:sz w:val="24"/>
          <w:szCs w:val="24"/>
          <w:lang w:val="ro-RO"/>
        </w:rPr>
        <w:t>înregistrate</w:t>
      </w:r>
      <w:r w:rsidR="00F01487" w:rsidRPr="00200696">
        <w:rPr>
          <w:rFonts w:asciiTheme="majorHAnsi" w:hAnsiTheme="majorHAnsi" w:cstheme="majorHAnsi"/>
          <w:color w:val="000000" w:themeColor="text1"/>
          <w:spacing w:val="60"/>
          <w:sz w:val="24"/>
          <w:szCs w:val="24"/>
          <w:lang w:val="ro-RO"/>
        </w:rPr>
        <w:t xml:space="preserve"> </w:t>
      </w:r>
      <w:r w:rsidR="00F01487" w:rsidRPr="00200696">
        <w:rPr>
          <w:rFonts w:asciiTheme="majorHAnsi" w:hAnsiTheme="majorHAnsi" w:cstheme="majorHAnsi"/>
          <w:color w:val="000000" w:themeColor="text1"/>
          <w:sz w:val="24"/>
          <w:szCs w:val="24"/>
          <w:lang w:val="ro-RO"/>
        </w:rPr>
        <w:t>în</w:t>
      </w:r>
      <w:r w:rsidR="00F01487" w:rsidRPr="00200696">
        <w:rPr>
          <w:rFonts w:asciiTheme="majorHAnsi" w:hAnsiTheme="majorHAnsi" w:cstheme="majorHAnsi"/>
          <w:color w:val="000000" w:themeColor="text1"/>
          <w:spacing w:val="60"/>
          <w:sz w:val="24"/>
          <w:szCs w:val="24"/>
          <w:lang w:val="ro-RO"/>
        </w:rPr>
        <w:t xml:space="preserve"> </w:t>
      </w:r>
      <w:r w:rsidR="00F01487" w:rsidRPr="00200696">
        <w:rPr>
          <w:rFonts w:asciiTheme="majorHAnsi" w:hAnsiTheme="majorHAnsi" w:cstheme="majorHAnsi"/>
          <w:color w:val="000000" w:themeColor="text1"/>
          <w:sz w:val="24"/>
          <w:szCs w:val="24"/>
          <w:lang w:val="ro-RO"/>
        </w:rPr>
        <w:t>Registrul</w:t>
      </w:r>
      <w:r w:rsidR="00F01487" w:rsidRPr="00200696">
        <w:rPr>
          <w:rFonts w:asciiTheme="majorHAnsi" w:hAnsiTheme="majorHAnsi" w:cstheme="majorHAnsi"/>
          <w:color w:val="000000" w:themeColor="text1"/>
          <w:spacing w:val="60"/>
          <w:sz w:val="24"/>
          <w:szCs w:val="24"/>
          <w:lang w:val="ro-RO"/>
        </w:rPr>
        <w:t xml:space="preserve"> </w:t>
      </w:r>
      <w:r w:rsidR="00F01487" w:rsidRPr="00200696">
        <w:rPr>
          <w:rFonts w:asciiTheme="majorHAnsi" w:hAnsiTheme="majorHAnsi" w:cstheme="majorHAnsi"/>
          <w:color w:val="000000" w:themeColor="text1"/>
          <w:sz w:val="24"/>
          <w:szCs w:val="24"/>
          <w:lang w:val="ro-RO"/>
        </w:rPr>
        <w:t>bunurilor</w:t>
      </w:r>
      <w:r w:rsidR="00F01487" w:rsidRPr="00200696">
        <w:rPr>
          <w:rFonts w:asciiTheme="majorHAnsi" w:hAnsiTheme="majorHAnsi" w:cstheme="majorHAnsi"/>
          <w:color w:val="000000" w:themeColor="text1"/>
          <w:spacing w:val="60"/>
          <w:sz w:val="24"/>
          <w:szCs w:val="24"/>
          <w:lang w:val="ro-RO"/>
        </w:rPr>
        <w:t xml:space="preserve"> </w:t>
      </w:r>
      <w:r w:rsidR="00F01487" w:rsidRPr="00200696">
        <w:rPr>
          <w:rFonts w:asciiTheme="majorHAnsi" w:hAnsiTheme="majorHAnsi" w:cstheme="majorHAnsi"/>
          <w:color w:val="000000" w:themeColor="text1"/>
          <w:sz w:val="24"/>
          <w:szCs w:val="24"/>
          <w:lang w:val="ro-RO"/>
        </w:rPr>
        <w:t>imobile</w:t>
      </w:r>
      <w:r w:rsidR="00F01487" w:rsidRPr="00200696">
        <w:rPr>
          <w:rStyle w:val="a6"/>
          <w:rFonts w:asciiTheme="majorHAnsi" w:hAnsiTheme="majorHAnsi" w:cstheme="majorHAnsi"/>
          <w:color w:val="000000" w:themeColor="text1"/>
          <w:sz w:val="24"/>
          <w:szCs w:val="24"/>
        </w:rPr>
        <w:footnoteReference w:id="19"/>
      </w:r>
      <w:r w:rsidR="00F01487" w:rsidRPr="00200696">
        <w:rPr>
          <w:rFonts w:asciiTheme="majorHAnsi" w:hAnsiTheme="majorHAnsi" w:cstheme="majorHAnsi"/>
          <w:color w:val="000000" w:themeColor="text1"/>
          <w:sz w:val="24"/>
          <w:szCs w:val="24"/>
          <w:lang w:val="ro-RO"/>
        </w:rPr>
        <w:t xml:space="preserve">. </w:t>
      </w:r>
      <w:r w:rsidR="009820F8" w:rsidRPr="00200696">
        <w:rPr>
          <w:rFonts w:asciiTheme="majorHAnsi" w:hAnsiTheme="majorHAnsi" w:cstheme="majorHAnsi"/>
          <w:color w:val="000000" w:themeColor="text1"/>
          <w:sz w:val="24"/>
          <w:szCs w:val="24"/>
          <w:lang w:val="ro-RO"/>
        </w:rPr>
        <w:t xml:space="preserve">Tergiversările constatate </w:t>
      </w:r>
      <w:r w:rsidR="00857943" w:rsidRPr="00200696">
        <w:rPr>
          <w:rFonts w:asciiTheme="majorHAnsi" w:hAnsiTheme="majorHAnsi" w:cstheme="majorHAnsi"/>
          <w:color w:val="000000" w:themeColor="text1"/>
          <w:sz w:val="24"/>
          <w:szCs w:val="24"/>
          <w:lang w:val="ro-RO"/>
        </w:rPr>
        <w:t xml:space="preserve">în demararea lucrărilor </w:t>
      </w:r>
      <w:r w:rsidR="009820F8" w:rsidRPr="00200696">
        <w:rPr>
          <w:rFonts w:asciiTheme="majorHAnsi" w:hAnsiTheme="majorHAnsi" w:cstheme="majorHAnsi"/>
          <w:color w:val="000000" w:themeColor="text1"/>
          <w:sz w:val="24"/>
          <w:szCs w:val="24"/>
          <w:lang w:val="ro-RO"/>
        </w:rPr>
        <w:t xml:space="preserve">pot condiționa </w:t>
      </w:r>
      <w:r w:rsidR="00857943" w:rsidRPr="00200696">
        <w:rPr>
          <w:rFonts w:asciiTheme="majorHAnsi" w:hAnsiTheme="majorHAnsi" w:cstheme="majorHAnsi"/>
          <w:color w:val="000000" w:themeColor="text1"/>
          <w:sz w:val="24"/>
          <w:szCs w:val="24"/>
          <w:lang w:val="ro-RO"/>
        </w:rPr>
        <w:t xml:space="preserve">necesitatea actualizării </w:t>
      </w:r>
      <w:r w:rsidR="009820F8" w:rsidRPr="00200696">
        <w:rPr>
          <w:rFonts w:asciiTheme="majorHAnsi" w:hAnsiTheme="majorHAnsi" w:cstheme="majorHAnsi"/>
          <w:color w:val="000000" w:themeColor="text1"/>
          <w:sz w:val="24"/>
          <w:szCs w:val="24"/>
          <w:lang w:val="ro-RO"/>
        </w:rPr>
        <w:t>costurilor estimate în anul 2020 ale proiectului</w:t>
      </w:r>
      <w:r w:rsidR="000914B8" w:rsidRPr="00200696">
        <w:rPr>
          <w:rFonts w:asciiTheme="majorHAnsi" w:hAnsiTheme="majorHAnsi" w:cstheme="majorHAnsi"/>
          <w:color w:val="000000" w:themeColor="text1"/>
          <w:sz w:val="24"/>
          <w:szCs w:val="24"/>
          <w:lang w:val="ro-RO"/>
        </w:rPr>
        <w:t>, ca</w:t>
      </w:r>
      <w:r w:rsidR="009820F8" w:rsidRPr="00200696">
        <w:rPr>
          <w:rFonts w:asciiTheme="majorHAnsi" w:hAnsiTheme="majorHAnsi" w:cstheme="majorHAnsi"/>
          <w:color w:val="000000" w:themeColor="text1"/>
          <w:sz w:val="24"/>
          <w:szCs w:val="24"/>
          <w:lang w:val="ro-RO"/>
        </w:rPr>
        <w:t xml:space="preserve"> urmare </w:t>
      </w:r>
      <w:r w:rsidR="000914B8" w:rsidRPr="00200696">
        <w:rPr>
          <w:rFonts w:asciiTheme="majorHAnsi" w:hAnsiTheme="majorHAnsi" w:cstheme="majorHAnsi"/>
          <w:color w:val="000000" w:themeColor="text1"/>
          <w:sz w:val="24"/>
          <w:szCs w:val="24"/>
          <w:lang w:val="ro-RO"/>
        </w:rPr>
        <w:t xml:space="preserve">a </w:t>
      </w:r>
      <w:r w:rsidR="009820F8" w:rsidRPr="00200696">
        <w:rPr>
          <w:rFonts w:asciiTheme="majorHAnsi" w:hAnsiTheme="majorHAnsi" w:cstheme="majorHAnsi"/>
          <w:color w:val="000000" w:themeColor="text1"/>
          <w:sz w:val="24"/>
          <w:szCs w:val="24"/>
          <w:lang w:val="ro-RO"/>
        </w:rPr>
        <w:t>creșterii prețurilor la materialele de construcție</w:t>
      </w:r>
      <w:r w:rsidR="00965EBA" w:rsidRPr="00200696">
        <w:rPr>
          <w:rFonts w:asciiTheme="majorHAnsi" w:hAnsiTheme="majorHAnsi" w:cstheme="majorHAnsi"/>
          <w:color w:val="000000" w:themeColor="text1"/>
          <w:sz w:val="24"/>
          <w:szCs w:val="24"/>
          <w:lang w:val="ro-RO"/>
        </w:rPr>
        <w:t>,</w:t>
      </w:r>
      <w:r w:rsidR="00857943" w:rsidRPr="00200696">
        <w:rPr>
          <w:rFonts w:asciiTheme="majorHAnsi" w:hAnsiTheme="majorHAnsi" w:cstheme="majorHAnsi"/>
          <w:color w:val="000000" w:themeColor="text1"/>
          <w:sz w:val="24"/>
          <w:szCs w:val="24"/>
          <w:lang w:val="ro-RO"/>
        </w:rPr>
        <w:t xml:space="preserve"> </w:t>
      </w:r>
      <w:r w:rsidR="00965EBA" w:rsidRPr="00200696">
        <w:rPr>
          <w:rFonts w:asciiTheme="majorHAnsi" w:hAnsiTheme="majorHAnsi" w:cstheme="majorHAnsi"/>
          <w:color w:val="000000" w:themeColor="text1"/>
          <w:sz w:val="24"/>
          <w:szCs w:val="24"/>
          <w:lang w:val="ro-RO"/>
        </w:rPr>
        <w:t>precum</w:t>
      </w:r>
      <w:r w:rsidR="009820F8" w:rsidRPr="00200696">
        <w:rPr>
          <w:rFonts w:asciiTheme="majorHAnsi" w:hAnsiTheme="majorHAnsi" w:cstheme="majorHAnsi"/>
          <w:color w:val="000000" w:themeColor="text1"/>
          <w:sz w:val="24"/>
          <w:szCs w:val="24"/>
          <w:lang w:val="ro-RO"/>
        </w:rPr>
        <w:t xml:space="preserve"> și suportarea cheltuielilor suplimentare din bugetul de stat, </w:t>
      </w:r>
      <w:r w:rsidR="009820F8" w:rsidRPr="00200696">
        <w:rPr>
          <w:rFonts w:asciiTheme="majorHAnsi" w:eastAsia="Times New Roman" w:hAnsiTheme="majorHAnsi" w:cstheme="majorHAnsi"/>
          <w:color w:val="000000" w:themeColor="text1"/>
          <w:sz w:val="24"/>
          <w:szCs w:val="24"/>
          <w:lang w:val="ro-RO"/>
        </w:rPr>
        <w:t>nefiind valorificate</w:t>
      </w:r>
      <w:r w:rsidR="009820F8" w:rsidRPr="00200696">
        <w:rPr>
          <w:rFonts w:asciiTheme="majorHAnsi" w:hAnsiTheme="majorHAnsi" w:cstheme="majorHAnsi"/>
          <w:color w:val="000000" w:themeColor="text1"/>
          <w:sz w:val="24"/>
          <w:szCs w:val="24"/>
          <w:lang w:val="ro-MD"/>
        </w:rPr>
        <w:t xml:space="preserve"> în anul 2022 mijloace în sumă de</w:t>
      </w:r>
      <w:r w:rsidR="009820F8" w:rsidRPr="00200696">
        <w:rPr>
          <w:rFonts w:asciiTheme="majorHAnsi" w:hAnsiTheme="majorHAnsi" w:cstheme="majorHAnsi"/>
          <w:color w:val="000000" w:themeColor="text1"/>
          <w:sz w:val="24"/>
          <w:szCs w:val="24"/>
          <w:lang w:val="ro-RO"/>
        </w:rPr>
        <w:t xml:space="preserve"> 50,</w:t>
      </w:r>
      <w:r w:rsidR="00BE52BC" w:rsidRPr="00200696">
        <w:rPr>
          <w:rFonts w:asciiTheme="majorHAnsi" w:hAnsiTheme="majorHAnsi" w:cstheme="majorHAnsi"/>
          <w:color w:val="000000" w:themeColor="text1"/>
          <w:sz w:val="24"/>
          <w:szCs w:val="24"/>
          <w:lang w:val="ro-RO"/>
        </w:rPr>
        <w:t>0</w:t>
      </w:r>
      <w:r w:rsidR="009820F8" w:rsidRPr="00200696">
        <w:rPr>
          <w:rFonts w:asciiTheme="majorHAnsi" w:hAnsiTheme="majorHAnsi" w:cstheme="majorHAnsi"/>
          <w:color w:val="000000" w:themeColor="text1"/>
          <w:sz w:val="24"/>
          <w:szCs w:val="24"/>
          <w:lang w:val="ro-RO"/>
        </w:rPr>
        <w:t xml:space="preserve"> mil.lei. </w:t>
      </w:r>
    </w:p>
    <w:p w:rsidR="0034116B" w:rsidRPr="00200696" w:rsidRDefault="00430D5B" w:rsidP="001D5AF9">
      <w:pPr>
        <w:spacing w:line="276" w:lineRule="auto"/>
        <w:rPr>
          <w:rFonts w:asciiTheme="majorHAnsi" w:hAnsiTheme="majorHAnsi" w:cstheme="majorHAnsi"/>
          <w:color w:val="000000" w:themeColor="text1"/>
          <w:sz w:val="24"/>
          <w:szCs w:val="24"/>
          <w:lang w:val="ro-RO"/>
        </w:rPr>
      </w:pPr>
      <w:r w:rsidRPr="00200696">
        <w:rPr>
          <w:rFonts w:asciiTheme="majorHAnsi" w:hAnsiTheme="majorHAnsi" w:cstheme="majorHAnsi"/>
          <w:b/>
          <w:color w:val="000000" w:themeColor="text1"/>
          <w:sz w:val="24"/>
          <w:szCs w:val="24"/>
          <w:lang w:val="pt-BR"/>
        </w:rPr>
        <w:t>5.</w:t>
      </w:r>
      <w:r w:rsidR="0034116B" w:rsidRPr="00200696">
        <w:rPr>
          <w:rFonts w:asciiTheme="majorHAnsi" w:hAnsiTheme="majorHAnsi" w:cstheme="majorHAnsi"/>
          <w:b/>
          <w:color w:val="000000" w:themeColor="text1"/>
          <w:sz w:val="24"/>
          <w:szCs w:val="24"/>
          <w:lang w:val="pt-BR"/>
        </w:rPr>
        <w:t>6</w:t>
      </w:r>
      <w:r w:rsidRPr="00200696">
        <w:rPr>
          <w:rFonts w:asciiTheme="majorHAnsi" w:hAnsiTheme="majorHAnsi" w:cstheme="majorHAnsi"/>
          <w:b/>
          <w:color w:val="000000" w:themeColor="text1"/>
          <w:sz w:val="24"/>
          <w:szCs w:val="24"/>
          <w:lang w:val="pt-BR"/>
        </w:rPr>
        <w:t xml:space="preserve">. </w:t>
      </w:r>
      <w:r w:rsidR="00CA2372" w:rsidRPr="00200696">
        <w:rPr>
          <w:rFonts w:asciiTheme="majorHAnsi" w:hAnsiTheme="majorHAnsi" w:cstheme="majorHAnsi"/>
          <w:color w:val="000000" w:themeColor="text1"/>
          <w:sz w:val="24"/>
          <w:szCs w:val="24"/>
          <w:lang w:val="pt-BR"/>
        </w:rPr>
        <w:t>Î</w:t>
      </w:r>
      <w:r w:rsidR="00F01487" w:rsidRPr="00200696">
        <w:rPr>
          <w:rFonts w:asciiTheme="majorHAnsi" w:eastAsia="Times New Roman" w:hAnsiTheme="majorHAnsi" w:cstheme="majorHAnsi"/>
          <w:color w:val="000000" w:themeColor="text1"/>
          <w:sz w:val="24"/>
          <w:szCs w:val="24"/>
          <w:lang w:val="ro-RO"/>
        </w:rPr>
        <w:t>n anul 2021 a demarat procesul de reorganizare instituțională a S</w:t>
      </w:r>
      <w:r w:rsidR="0034116B" w:rsidRPr="00200696">
        <w:rPr>
          <w:rFonts w:asciiTheme="majorHAnsi" w:eastAsia="Times New Roman" w:hAnsiTheme="majorHAnsi" w:cstheme="majorHAnsi"/>
          <w:color w:val="000000" w:themeColor="text1"/>
          <w:sz w:val="24"/>
          <w:szCs w:val="24"/>
          <w:lang w:val="ro-RO"/>
        </w:rPr>
        <w:t xml:space="preserve">erviciului </w:t>
      </w:r>
      <w:r w:rsidR="00F01487" w:rsidRPr="00200696">
        <w:rPr>
          <w:rFonts w:asciiTheme="majorHAnsi" w:eastAsia="Times New Roman" w:hAnsiTheme="majorHAnsi" w:cstheme="majorHAnsi"/>
          <w:color w:val="000000" w:themeColor="text1"/>
          <w:sz w:val="24"/>
          <w:szCs w:val="24"/>
          <w:lang w:val="ro-RO"/>
        </w:rPr>
        <w:t>V</w:t>
      </w:r>
      <w:r w:rsidR="0034116B" w:rsidRPr="00200696">
        <w:rPr>
          <w:rFonts w:asciiTheme="majorHAnsi" w:eastAsia="Times New Roman" w:hAnsiTheme="majorHAnsi" w:cstheme="majorHAnsi"/>
          <w:color w:val="000000" w:themeColor="text1"/>
          <w:sz w:val="24"/>
          <w:szCs w:val="24"/>
          <w:lang w:val="ro-RO"/>
        </w:rPr>
        <w:t>amal</w:t>
      </w:r>
      <w:r w:rsidR="00F01487" w:rsidRPr="00200696">
        <w:rPr>
          <w:rFonts w:asciiTheme="majorHAnsi" w:eastAsia="Times New Roman" w:hAnsiTheme="majorHAnsi" w:cstheme="majorHAnsi"/>
          <w:color w:val="000000" w:themeColor="text1"/>
          <w:sz w:val="24"/>
          <w:szCs w:val="24"/>
          <w:lang w:val="ro-RO"/>
        </w:rPr>
        <w:t>, iar î</w:t>
      </w:r>
      <w:r w:rsidR="00F01487" w:rsidRPr="00200696">
        <w:rPr>
          <w:rFonts w:asciiTheme="majorHAnsi" w:hAnsiTheme="majorHAnsi" w:cstheme="majorHAnsi"/>
          <w:color w:val="000000" w:themeColor="text1"/>
          <w:sz w:val="24"/>
          <w:szCs w:val="24"/>
          <w:lang w:val="ro-RO"/>
        </w:rPr>
        <w:t>ncepând cu 01.07.2021, birourile vamale</w:t>
      </w:r>
      <w:r w:rsidR="00F01487" w:rsidRPr="00200696">
        <w:rPr>
          <w:rStyle w:val="a6"/>
          <w:rFonts w:asciiTheme="majorHAnsi" w:hAnsiTheme="majorHAnsi" w:cstheme="majorHAnsi"/>
          <w:color w:val="000000" w:themeColor="text1"/>
          <w:sz w:val="24"/>
          <w:szCs w:val="24"/>
          <w:lang w:val="ro-RO"/>
        </w:rPr>
        <w:footnoteReference w:id="20"/>
      </w:r>
      <w:r w:rsidR="00F01487" w:rsidRPr="00200696">
        <w:rPr>
          <w:rFonts w:asciiTheme="majorHAnsi" w:hAnsiTheme="majorHAnsi" w:cstheme="majorHAnsi"/>
          <w:color w:val="000000" w:themeColor="text1"/>
          <w:sz w:val="24"/>
          <w:szCs w:val="24"/>
          <w:lang w:val="ro-RO"/>
        </w:rPr>
        <w:t xml:space="preserve"> funcționează ca subdiviziuni teritoriale ale </w:t>
      </w:r>
      <w:r w:rsidR="000914B8" w:rsidRPr="00200696">
        <w:rPr>
          <w:rFonts w:asciiTheme="majorHAnsi" w:hAnsiTheme="majorHAnsi" w:cstheme="majorHAnsi"/>
          <w:color w:val="000000" w:themeColor="text1"/>
          <w:sz w:val="24"/>
          <w:szCs w:val="24"/>
          <w:lang w:val="ro-RO"/>
        </w:rPr>
        <w:t>A</w:t>
      </w:r>
      <w:r w:rsidR="0034116B" w:rsidRPr="00200696">
        <w:rPr>
          <w:rFonts w:asciiTheme="majorHAnsi" w:hAnsiTheme="majorHAnsi" w:cstheme="majorHAnsi"/>
          <w:color w:val="000000" w:themeColor="text1"/>
          <w:sz w:val="24"/>
          <w:szCs w:val="24"/>
          <w:lang w:val="ro-RO"/>
        </w:rPr>
        <w:t>paratului central</w:t>
      </w:r>
      <w:r w:rsidR="00F01487" w:rsidRPr="00200696">
        <w:rPr>
          <w:rFonts w:asciiTheme="majorHAnsi" w:hAnsiTheme="majorHAnsi" w:cstheme="majorHAnsi"/>
          <w:color w:val="000000" w:themeColor="text1"/>
          <w:sz w:val="24"/>
          <w:szCs w:val="24"/>
          <w:lang w:val="ro-RO"/>
        </w:rPr>
        <w:t>, fără statut de persoană juridică, ca urmare a fuzionării acestora în temeiul normei legale</w:t>
      </w:r>
      <w:r w:rsidR="00F01487" w:rsidRPr="00200696">
        <w:rPr>
          <w:rStyle w:val="a6"/>
          <w:rFonts w:asciiTheme="majorHAnsi" w:hAnsiTheme="majorHAnsi" w:cstheme="majorHAnsi"/>
          <w:color w:val="000000" w:themeColor="text1"/>
          <w:sz w:val="24"/>
          <w:szCs w:val="24"/>
          <w:lang w:val="ro-RO"/>
        </w:rPr>
        <w:footnoteReference w:id="21"/>
      </w:r>
      <w:r w:rsidR="00CA2372" w:rsidRPr="00200696">
        <w:rPr>
          <w:rFonts w:asciiTheme="majorHAnsi" w:hAnsiTheme="majorHAnsi" w:cstheme="majorHAnsi"/>
          <w:color w:val="000000" w:themeColor="text1"/>
          <w:sz w:val="24"/>
          <w:szCs w:val="24"/>
          <w:lang w:val="ro-RO"/>
        </w:rPr>
        <w:t xml:space="preserve">. </w:t>
      </w:r>
      <w:r w:rsidR="00F01487" w:rsidRPr="00200696">
        <w:rPr>
          <w:rFonts w:asciiTheme="majorHAnsi" w:hAnsiTheme="majorHAnsi" w:cstheme="majorHAnsi"/>
          <w:color w:val="000000" w:themeColor="text1"/>
          <w:sz w:val="24"/>
          <w:szCs w:val="24"/>
          <w:lang w:val="ro-RO"/>
        </w:rPr>
        <w:t xml:space="preserve">Pentru </w:t>
      </w:r>
      <w:r w:rsidR="00404744" w:rsidRPr="00200696">
        <w:rPr>
          <w:rFonts w:asciiTheme="majorHAnsi" w:hAnsiTheme="majorHAnsi" w:cstheme="majorHAnsi"/>
          <w:color w:val="000000" w:themeColor="text1"/>
          <w:sz w:val="24"/>
          <w:szCs w:val="24"/>
          <w:lang w:val="ro-RO"/>
        </w:rPr>
        <w:t>implementarea</w:t>
      </w:r>
      <w:r w:rsidR="00F01487" w:rsidRPr="00200696">
        <w:rPr>
          <w:rFonts w:asciiTheme="majorHAnsi" w:hAnsiTheme="majorHAnsi" w:cstheme="majorHAnsi"/>
          <w:color w:val="000000" w:themeColor="text1"/>
          <w:sz w:val="24"/>
          <w:szCs w:val="24"/>
          <w:lang w:val="ro-RO"/>
        </w:rPr>
        <w:t xml:space="preserve"> prevederilor </w:t>
      </w:r>
      <w:r w:rsidR="0034116B" w:rsidRPr="00200696">
        <w:rPr>
          <w:rFonts w:asciiTheme="majorHAnsi" w:hAnsiTheme="majorHAnsi" w:cstheme="majorHAnsi"/>
          <w:color w:val="000000" w:themeColor="text1"/>
          <w:sz w:val="24"/>
          <w:szCs w:val="24"/>
          <w:lang w:val="ro-RO"/>
        </w:rPr>
        <w:t>legale</w:t>
      </w:r>
      <w:r w:rsidR="00F01487" w:rsidRPr="00200696">
        <w:rPr>
          <w:rFonts w:asciiTheme="majorHAnsi" w:hAnsiTheme="majorHAnsi" w:cstheme="majorHAnsi"/>
          <w:color w:val="000000" w:themeColor="text1"/>
          <w:sz w:val="24"/>
          <w:szCs w:val="24"/>
          <w:lang w:val="ro-RO"/>
        </w:rPr>
        <w:t>, a fost întocmit un Plan de acțiuni</w:t>
      </w:r>
      <w:r w:rsidR="00F01487" w:rsidRPr="00200696">
        <w:rPr>
          <w:rStyle w:val="a6"/>
          <w:rFonts w:asciiTheme="majorHAnsi" w:hAnsiTheme="majorHAnsi" w:cstheme="majorHAnsi"/>
          <w:color w:val="000000" w:themeColor="text1"/>
          <w:sz w:val="24"/>
          <w:szCs w:val="24"/>
          <w:lang w:val="ro-RO"/>
        </w:rPr>
        <w:footnoteReference w:id="22"/>
      </w:r>
      <w:r w:rsidR="00F01487" w:rsidRPr="00200696">
        <w:rPr>
          <w:rFonts w:asciiTheme="majorHAnsi" w:hAnsiTheme="majorHAnsi" w:cstheme="majorHAnsi"/>
          <w:color w:val="000000" w:themeColor="text1"/>
          <w:sz w:val="24"/>
          <w:szCs w:val="24"/>
          <w:lang w:val="ro-RO"/>
        </w:rPr>
        <w:t xml:space="preserve"> privind desfășurarea procesului de reorganizare, înaintat birourilor vamale pentru realizare. </w:t>
      </w:r>
      <w:r w:rsidR="0034116B" w:rsidRPr="00200696">
        <w:rPr>
          <w:rFonts w:asciiTheme="majorHAnsi" w:hAnsiTheme="majorHAnsi" w:cstheme="majorHAnsi"/>
          <w:color w:val="000000" w:themeColor="text1"/>
          <w:sz w:val="24"/>
          <w:szCs w:val="24"/>
          <w:lang w:val="ro-RO"/>
        </w:rPr>
        <w:t>Deși în cadrul Serviciului Vamal a fost instituit grupul de lucru privind optimizarea și reformarea structurii organizaționale</w:t>
      </w:r>
      <w:r w:rsidR="0034116B" w:rsidRPr="00200696">
        <w:rPr>
          <w:rStyle w:val="a6"/>
          <w:rFonts w:asciiTheme="majorHAnsi" w:hAnsiTheme="majorHAnsi" w:cstheme="majorHAnsi"/>
          <w:color w:val="000000" w:themeColor="text1"/>
          <w:sz w:val="24"/>
          <w:szCs w:val="24"/>
          <w:lang w:val="ro-RO"/>
        </w:rPr>
        <w:footnoteReference w:id="23"/>
      </w:r>
      <w:r w:rsidR="0034116B" w:rsidRPr="00200696">
        <w:rPr>
          <w:rFonts w:asciiTheme="majorHAnsi" w:hAnsiTheme="majorHAnsi" w:cstheme="majorHAnsi"/>
          <w:color w:val="000000" w:themeColor="text1"/>
          <w:sz w:val="24"/>
          <w:szCs w:val="24"/>
          <w:lang w:val="ro-RO"/>
        </w:rPr>
        <w:t xml:space="preserve">, </w:t>
      </w:r>
      <w:r w:rsidR="007114B5" w:rsidRPr="00200696">
        <w:rPr>
          <w:rFonts w:asciiTheme="majorHAnsi" w:hAnsiTheme="majorHAnsi" w:cstheme="majorHAnsi"/>
          <w:color w:val="000000" w:themeColor="text1"/>
          <w:sz w:val="24"/>
          <w:szCs w:val="24"/>
          <w:lang w:val="ro-RO"/>
        </w:rPr>
        <w:t xml:space="preserve">ai cărui </w:t>
      </w:r>
      <w:r w:rsidR="0034116B" w:rsidRPr="00200696">
        <w:rPr>
          <w:rFonts w:asciiTheme="majorHAnsi" w:hAnsiTheme="majorHAnsi" w:cstheme="majorHAnsi"/>
          <w:color w:val="000000" w:themeColor="text1"/>
          <w:sz w:val="24"/>
          <w:szCs w:val="24"/>
          <w:lang w:val="ro-RO"/>
        </w:rPr>
        <w:t>membri au prezentat propuneri pentru realizarea și promovarea reformei, structurii și sporir</w:t>
      </w:r>
      <w:r w:rsidR="007114B5" w:rsidRPr="00200696">
        <w:rPr>
          <w:rFonts w:asciiTheme="majorHAnsi" w:hAnsiTheme="majorHAnsi" w:cstheme="majorHAnsi"/>
          <w:color w:val="000000" w:themeColor="text1"/>
          <w:sz w:val="24"/>
          <w:szCs w:val="24"/>
          <w:lang w:val="ro-RO"/>
        </w:rPr>
        <w:t>ea</w:t>
      </w:r>
      <w:r w:rsidR="0034116B" w:rsidRPr="00200696">
        <w:rPr>
          <w:rFonts w:asciiTheme="majorHAnsi" w:hAnsiTheme="majorHAnsi" w:cstheme="majorHAnsi"/>
          <w:color w:val="000000" w:themeColor="text1"/>
          <w:sz w:val="24"/>
          <w:szCs w:val="24"/>
          <w:lang w:val="ro-RO"/>
        </w:rPr>
        <w:t xml:space="preserve"> eficienței activității instituției, </w:t>
      </w:r>
      <w:r w:rsidR="007114B5" w:rsidRPr="00200696">
        <w:rPr>
          <w:rFonts w:asciiTheme="majorHAnsi" w:hAnsiTheme="majorHAnsi" w:cstheme="majorHAnsi"/>
          <w:color w:val="000000" w:themeColor="text1"/>
          <w:sz w:val="24"/>
          <w:szCs w:val="24"/>
          <w:lang w:val="ro-RO"/>
        </w:rPr>
        <w:t>precum</w:t>
      </w:r>
      <w:r w:rsidR="0034116B" w:rsidRPr="00200696">
        <w:rPr>
          <w:rFonts w:asciiTheme="majorHAnsi" w:hAnsiTheme="majorHAnsi" w:cstheme="majorHAnsi"/>
          <w:color w:val="000000" w:themeColor="text1"/>
          <w:sz w:val="24"/>
          <w:szCs w:val="24"/>
          <w:lang w:val="ro-RO"/>
        </w:rPr>
        <w:t xml:space="preserve"> și urmau să examineze propunerile șefilor de subdiviziuni cu referire la structura, proiectele regulamentelor și fișele de post conform noii structuri organizaționale către 7 octombrie 2022, până la finalizarea auditului </w:t>
      </w:r>
      <w:r w:rsidR="00404744" w:rsidRPr="00200696">
        <w:rPr>
          <w:rFonts w:asciiTheme="majorHAnsi" w:hAnsiTheme="majorHAnsi" w:cstheme="majorHAnsi"/>
          <w:color w:val="000000" w:themeColor="text1"/>
          <w:sz w:val="24"/>
          <w:szCs w:val="24"/>
          <w:lang w:val="ro-RO"/>
        </w:rPr>
        <w:t xml:space="preserve">public extern </w:t>
      </w:r>
      <w:r w:rsidR="0034116B" w:rsidRPr="00200696">
        <w:rPr>
          <w:rFonts w:asciiTheme="majorHAnsi" w:hAnsiTheme="majorHAnsi" w:cstheme="majorHAnsi"/>
          <w:color w:val="000000" w:themeColor="text1"/>
          <w:sz w:val="24"/>
          <w:szCs w:val="24"/>
          <w:lang w:val="ro-RO"/>
        </w:rPr>
        <w:t xml:space="preserve">structura organizatorică, statele de personal și schemele de încadrare au rămas neschimbate. </w:t>
      </w:r>
    </w:p>
    <w:p w:rsidR="003E6C69" w:rsidRPr="00200696" w:rsidRDefault="0034116B" w:rsidP="003E6C69">
      <w:pPr>
        <w:spacing w:after="120" w:line="276" w:lineRule="auto"/>
        <w:rPr>
          <w:rFonts w:asciiTheme="majorHAnsi" w:eastAsia="Times New Roman" w:hAnsiTheme="majorHAnsi" w:cstheme="majorHAnsi"/>
          <w:color w:val="000000" w:themeColor="text1"/>
          <w:sz w:val="24"/>
          <w:szCs w:val="24"/>
          <w:lang w:val="ro-RO"/>
        </w:rPr>
      </w:pPr>
      <w:r w:rsidRPr="00200696">
        <w:rPr>
          <w:rFonts w:asciiTheme="majorHAnsi" w:hAnsiTheme="majorHAnsi" w:cstheme="majorHAnsi"/>
          <w:color w:val="000000" w:themeColor="text1"/>
          <w:sz w:val="24"/>
          <w:szCs w:val="24"/>
          <w:lang w:val="ro-RO"/>
        </w:rPr>
        <w:t xml:space="preserve">De asemenea, </w:t>
      </w:r>
      <w:r w:rsidR="000E0D90" w:rsidRPr="00200696">
        <w:rPr>
          <w:rFonts w:asciiTheme="majorHAnsi" w:hAnsiTheme="majorHAnsi" w:cstheme="majorHAnsi"/>
          <w:color w:val="000000" w:themeColor="text1"/>
          <w:sz w:val="24"/>
          <w:szCs w:val="24"/>
          <w:lang w:val="ro-RO"/>
        </w:rPr>
        <w:t>urmare</w:t>
      </w:r>
      <w:r w:rsidR="00F01487" w:rsidRPr="00200696">
        <w:rPr>
          <w:rFonts w:asciiTheme="majorHAnsi" w:hAnsiTheme="majorHAnsi" w:cstheme="majorHAnsi"/>
          <w:color w:val="000000" w:themeColor="text1"/>
          <w:sz w:val="24"/>
          <w:szCs w:val="24"/>
          <w:lang w:val="ro-RO"/>
        </w:rPr>
        <w:t xml:space="preserve"> nefinalizării procesului de reorganizare instituțională</w:t>
      </w:r>
      <w:r w:rsidR="007114B5" w:rsidRPr="00200696">
        <w:rPr>
          <w:rFonts w:asciiTheme="majorHAnsi" w:hAnsiTheme="majorHAnsi" w:cstheme="majorHAnsi"/>
          <w:color w:val="000000" w:themeColor="text1"/>
          <w:sz w:val="24"/>
          <w:szCs w:val="24"/>
          <w:lang w:val="ro-RO"/>
        </w:rPr>
        <w:t>,</w:t>
      </w:r>
      <w:r w:rsidR="00F01487" w:rsidRPr="00200696">
        <w:rPr>
          <w:rFonts w:asciiTheme="majorHAnsi" w:hAnsiTheme="majorHAnsi" w:cstheme="majorHAnsi"/>
          <w:color w:val="000000" w:themeColor="text1"/>
          <w:sz w:val="24"/>
          <w:szCs w:val="24"/>
          <w:lang w:val="ro-RO"/>
        </w:rPr>
        <w:t xml:space="preserve"> nu a fost statuată în mod clar și exhaustiv subordonarea secțiilor de finanțe și evidență contabilă, inclusiv a șefilor de secție care dețin și calitatea de contabil-șef în cadrul birourilor vamale, </w:t>
      </w:r>
      <w:r w:rsidR="007114B5" w:rsidRPr="00200696">
        <w:rPr>
          <w:rFonts w:asciiTheme="majorHAnsi" w:hAnsiTheme="majorHAnsi" w:cstheme="majorHAnsi"/>
          <w:color w:val="000000" w:themeColor="text1"/>
          <w:sz w:val="24"/>
          <w:szCs w:val="24"/>
          <w:lang w:val="ro-RO"/>
        </w:rPr>
        <w:t>aceștia,</w:t>
      </w:r>
      <w:r w:rsidR="00F01487" w:rsidRPr="00200696">
        <w:rPr>
          <w:rFonts w:asciiTheme="majorHAnsi" w:hAnsiTheme="majorHAnsi" w:cstheme="majorHAnsi"/>
          <w:color w:val="000000" w:themeColor="text1"/>
          <w:sz w:val="24"/>
          <w:szCs w:val="24"/>
          <w:lang w:val="ro-RO"/>
        </w:rPr>
        <w:t xml:space="preserve"> potrivit regulamentelor și fișelor de post în vigoare</w:t>
      </w:r>
      <w:r w:rsidR="007114B5" w:rsidRPr="00200696">
        <w:rPr>
          <w:rFonts w:asciiTheme="majorHAnsi" w:hAnsiTheme="majorHAnsi" w:cstheme="majorHAnsi"/>
          <w:color w:val="000000" w:themeColor="text1"/>
          <w:sz w:val="24"/>
          <w:szCs w:val="24"/>
          <w:lang w:val="ro-RO"/>
        </w:rPr>
        <w:t>,</w:t>
      </w:r>
      <w:r w:rsidR="00F01487" w:rsidRPr="00200696">
        <w:rPr>
          <w:rFonts w:asciiTheme="majorHAnsi" w:hAnsiTheme="majorHAnsi" w:cstheme="majorHAnsi"/>
          <w:color w:val="000000" w:themeColor="text1"/>
          <w:sz w:val="24"/>
          <w:szCs w:val="24"/>
          <w:lang w:val="ro-RO"/>
        </w:rPr>
        <w:t xml:space="preserve"> continu</w:t>
      </w:r>
      <w:r w:rsidR="007114B5" w:rsidRPr="00200696">
        <w:rPr>
          <w:rFonts w:asciiTheme="majorHAnsi" w:hAnsiTheme="majorHAnsi" w:cstheme="majorHAnsi"/>
          <w:color w:val="000000" w:themeColor="text1"/>
          <w:sz w:val="24"/>
          <w:szCs w:val="24"/>
          <w:lang w:val="ro-RO"/>
        </w:rPr>
        <w:t>ând</w:t>
      </w:r>
      <w:r w:rsidR="00F01487" w:rsidRPr="00200696">
        <w:rPr>
          <w:rFonts w:asciiTheme="majorHAnsi" w:hAnsiTheme="majorHAnsi" w:cstheme="majorHAnsi"/>
          <w:color w:val="000000" w:themeColor="text1"/>
          <w:sz w:val="24"/>
          <w:szCs w:val="24"/>
          <w:lang w:val="ro-RO"/>
        </w:rPr>
        <w:t xml:space="preserve"> să se afle în subordinea șefilor birourilor vamale, în condițiile în care</w:t>
      </w:r>
      <w:r w:rsidR="00D23D29" w:rsidRPr="00200696">
        <w:rPr>
          <w:rFonts w:asciiTheme="majorHAnsi" w:hAnsiTheme="majorHAnsi" w:cstheme="majorHAnsi"/>
          <w:color w:val="000000" w:themeColor="text1"/>
          <w:sz w:val="24"/>
          <w:szCs w:val="24"/>
          <w:lang w:val="ro-RO"/>
        </w:rPr>
        <w:t>,</w:t>
      </w:r>
      <w:r w:rsidR="00F01487" w:rsidRPr="00200696">
        <w:rPr>
          <w:rFonts w:asciiTheme="majorHAnsi" w:hAnsiTheme="majorHAnsi" w:cstheme="majorHAnsi"/>
          <w:color w:val="000000" w:themeColor="text1"/>
          <w:sz w:val="24"/>
          <w:szCs w:val="24"/>
          <w:lang w:val="ro-RO"/>
        </w:rPr>
        <w:t xml:space="preserve"> </w:t>
      </w:r>
      <w:r w:rsidR="00D23D29" w:rsidRPr="00200696">
        <w:rPr>
          <w:rFonts w:asciiTheme="majorHAnsi" w:hAnsiTheme="majorHAnsi" w:cstheme="majorHAnsi"/>
          <w:color w:val="000000" w:themeColor="text1"/>
          <w:sz w:val="24"/>
          <w:szCs w:val="24"/>
          <w:lang w:val="ro-RO"/>
        </w:rPr>
        <w:t>conform</w:t>
      </w:r>
      <w:r w:rsidR="00F01487" w:rsidRPr="00200696">
        <w:rPr>
          <w:rFonts w:asciiTheme="majorHAnsi" w:hAnsiTheme="majorHAnsi" w:cstheme="majorHAnsi"/>
          <w:color w:val="000000" w:themeColor="text1"/>
          <w:sz w:val="24"/>
          <w:szCs w:val="24"/>
          <w:lang w:val="ro-RO"/>
        </w:rPr>
        <w:t xml:space="preserve"> Legii contabilității, </w:t>
      </w:r>
      <w:r w:rsidR="00F01487" w:rsidRPr="00200696">
        <w:rPr>
          <w:rFonts w:asciiTheme="majorHAnsi" w:eastAsia="Times New Roman" w:hAnsiTheme="majorHAnsi" w:cstheme="majorHAnsi"/>
          <w:color w:val="000000" w:themeColor="text1"/>
          <w:sz w:val="24"/>
          <w:szCs w:val="24"/>
          <w:lang w:val="ro-RO"/>
        </w:rPr>
        <w:t xml:space="preserve">răspunderea pentru </w:t>
      </w:r>
      <w:r w:rsidR="00E03010" w:rsidRPr="00200696">
        <w:rPr>
          <w:rFonts w:asciiTheme="majorHAnsi" w:eastAsia="Times New Roman" w:hAnsiTheme="majorHAnsi" w:cstheme="majorHAnsi"/>
          <w:color w:val="000000" w:themeColor="text1"/>
          <w:sz w:val="24"/>
          <w:szCs w:val="24"/>
          <w:lang w:val="ro-RO"/>
        </w:rPr>
        <w:t>ținerea contabilității</w:t>
      </w:r>
      <w:r w:rsidR="00F01487" w:rsidRPr="00200696">
        <w:rPr>
          <w:rFonts w:asciiTheme="majorHAnsi" w:eastAsia="Times New Roman" w:hAnsiTheme="majorHAnsi" w:cstheme="majorHAnsi"/>
          <w:color w:val="000000" w:themeColor="text1"/>
          <w:sz w:val="24"/>
          <w:szCs w:val="24"/>
          <w:lang w:val="ro-RO"/>
        </w:rPr>
        <w:t xml:space="preserve"> şi raportarea financiară revine conducătorului entității, adică directorului S</w:t>
      </w:r>
      <w:r w:rsidR="00D23D29" w:rsidRPr="00200696">
        <w:rPr>
          <w:rFonts w:asciiTheme="majorHAnsi" w:eastAsia="Times New Roman" w:hAnsiTheme="majorHAnsi" w:cstheme="majorHAnsi"/>
          <w:color w:val="000000" w:themeColor="text1"/>
          <w:sz w:val="24"/>
          <w:szCs w:val="24"/>
          <w:lang w:val="ro-RO"/>
        </w:rPr>
        <w:t xml:space="preserve">erviciului </w:t>
      </w:r>
      <w:r w:rsidR="00F01487" w:rsidRPr="00200696">
        <w:rPr>
          <w:rFonts w:asciiTheme="majorHAnsi" w:eastAsia="Times New Roman" w:hAnsiTheme="majorHAnsi" w:cstheme="majorHAnsi"/>
          <w:color w:val="000000" w:themeColor="text1"/>
          <w:sz w:val="24"/>
          <w:szCs w:val="24"/>
          <w:lang w:val="ro-RO"/>
        </w:rPr>
        <w:t>V</w:t>
      </w:r>
      <w:r w:rsidR="00D23D29" w:rsidRPr="00200696">
        <w:rPr>
          <w:rFonts w:asciiTheme="majorHAnsi" w:eastAsia="Times New Roman" w:hAnsiTheme="majorHAnsi" w:cstheme="majorHAnsi"/>
          <w:color w:val="000000" w:themeColor="text1"/>
          <w:sz w:val="24"/>
          <w:szCs w:val="24"/>
          <w:lang w:val="ro-RO"/>
        </w:rPr>
        <w:t>amal</w:t>
      </w:r>
      <w:r w:rsidR="00F01487" w:rsidRPr="00200696">
        <w:rPr>
          <w:rFonts w:asciiTheme="majorHAnsi" w:eastAsia="Times New Roman" w:hAnsiTheme="majorHAnsi" w:cstheme="majorHAnsi"/>
          <w:color w:val="000000" w:themeColor="text1"/>
          <w:sz w:val="24"/>
          <w:szCs w:val="24"/>
          <w:lang w:val="ro-RO"/>
        </w:rPr>
        <w:t>.</w:t>
      </w:r>
      <w:r w:rsidR="001D5AF9" w:rsidRPr="00200696">
        <w:rPr>
          <w:rFonts w:asciiTheme="majorHAnsi" w:eastAsia="Times New Roman" w:hAnsiTheme="majorHAnsi" w:cstheme="majorHAnsi"/>
          <w:color w:val="000000" w:themeColor="text1"/>
          <w:sz w:val="24"/>
          <w:szCs w:val="24"/>
          <w:lang w:val="ro-RO"/>
        </w:rPr>
        <w:t xml:space="preserve"> </w:t>
      </w:r>
      <w:r w:rsidR="003E6C69" w:rsidRPr="00200696">
        <w:rPr>
          <w:rFonts w:asciiTheme="majorHAnsi" w:hAnsiTheme="majorHAnsi" w:cstheme="majorHAnsi"/>
          <w:color w:val="000000" w:themeColor="text1"/>
          <w:sz w:val="24"/>
          <w:szCs w:val="24"/>
          <w:lang w:val="ro-RO"/>
        </w:rPr>
        <w:t>Ca rezultat, nu este finalizat procesul de reorganizare instituțională a Serviciul</w:t>
      </w:r>
      <w:r w:rsidR="000E0D90" w:rsidRPr="00200696">
        <w:rPr>
          <w:rFonts w:asciiTheme="majorHAnsi" w:hAnsiTheme="majorHAnsi" w:cstheme="majorHAnsi"/>
          <w:color w:val="000000" w:themeColor="text1"/>
          <w:sz w:val="24"/>
          <w:szCs w:val="24"/>
          <w:lang w:val="ro-RO"/>
        </w:rPr>
        <w:t>ui</w:t>
      </w:r>
      <w:r w:rsidR="00201D59" w:rsidRPr="00200696">
        <w:rPr>
          <w:rFonts w:asciiTheme="majorHAnsi" w:hAnsiTheme="majorHAnsi" w:cstheme="majorHAnsi"/>
          <w:color w:val="000000" w:themeColor="text1"/>
          <w:sz w:val="24"/>
          <w:szCs w:val="24"/>
          <w:lang w:val="ro-RO"/>
        </w:rPr>
        <w:t xml:space="preserve"> Vamal, nefiind </w:t>
      </w:r>
      <w:r w:rsidR="003E6C69" w:rsidRPr="00200696">
        <w:rPr>
          <w:rFonts w:asciiTheme="majorHAnsi" w:hAnsiTheme="majorHAnsi" w:cstheme="majorHAnsi"/>
          <w:color w:val="000000" w:themeColor="text1"/>
          <w:sz w:val="24"/>
          <w:szCs w:val="24"/>
          <w:lang w:val="ro-RO"/>
        </w:rPr>
        <w:t>aprobat</w:t>
      </w:r>
      <w:r w:rsidR="00A32297" w:rsidRPr="00200696">
        <w:rPr>
          <w:rFonts w:asciiTheme="majorHAnsi" w:hAnsiTheme="majorHAnsi" w:cstheme="majorHAnsi"/>
          <w:color w:val="000000" w:themeColor="text1"/>
          <w:sz w:val="24"/>
          <w:szCs w:val="24"/>
          <w:lang w:val="ro-RO"/>
        </w:rPr>
        <w:t>e</w:t>
      </w:r>
      <w:r w:rsidR="003E6C69" w:rsidRPr="00200696">
        <w:rPr>
          <w:rFonts w:asciiTheme="majorHAnsi" w:hAnsiTheme="majorHAnsi" w:cstheme="majorHAnsi"/>
          <w:color w:val="000000" w:themeColor="text1"/>
          <w:sz w:val="24"/>
          <w:szCs w:val="24"/>
          <w:lang w:val="ro-RO"/>
        </w:rPr>
        <w:t xml:space="preserve"> structura, statul de personal și schemele de încadrare pentru subdiviziunile teritoriale, proiectele de regulamente și fișele de post conform noii structuri.</w:t>
      </w:r>
    </w:p>
    <w:p w:rsidR="005F2AE6" w:rsidRPr="00200696" w:rsidRDefault="00C22066" w:rsidP="005F2AE6">
      <w:pPr>
        <w:tabs>
          <w:tab w:val="left" w:pos="180"/>
          <w:tab w:val="right" w:pos="9630"/>
        </w:tabs>
        <w:spacing w:after="120" w:line="276" w:lineRule="auto"/>
        <w:rPr>
          <w:rFonts w:asciiTheme="majorHAnsi" w:hAnsiTheme="majorHAnsi" w:cstheme="majorHAnsi"/>
          <w:color w:val="000000" w:themeColor="text1"/>
          <w:sz w:val="24"/>
          <w:szCs w:val="24"/>
          <w:lang w:val="ro-RO"/>
        </w:rPr>
      </w:pPr>
      <w:r w:rsidRPr="00200696">
        <w:rPr>
          <w:rFonts w:asciiTheme="majorHAnsi" w:hAnsiTheme="majorHAnsi" w:cstheme="majorHAnsi"/>
          <w:b/>
          <w:color w:val="000000" w:themeColor="text1"/>
          <w:sz w:val="24"/>
          <w:szCs w:val="24"/>
          <w:lang w:val="ro-RO"/>
        </w:rPr>
        <w:t>5.7.</w:t>
      </w:r>
      <w:r w:rsidR="00750CD6" w:rsidRPr="00200696">
        <w:rPr>
          <w:rFonts w:asciiTheme="majorHAnsi" w:hAnsiTheme="majorHAnsi" w:cstheme="majorHAnsi"/>
          <w:b/>
          <w:color w:val="000000" w:themeColor="text1"/>
          <w:sz w:val="24"/>
          <w:szCs w:val="24"/>
          <w:lang w:val="ro-RO"/>
        </w:rPr>
        <w:t xml:space="preserve"> </w:t>
      </w:r>
      <w:r w:rsidR="00750CD6" w:rsidRPr="00200696">
        <w:rPr>
          <w:rFonts w:asciiTheme="majorHAnsi" w:eastAsia="Times New Roman" w:hAnsiTheme="majorHAnsi" w:cstheme="majorHAnsi"/>
          <w:bCs/>
          <w:color w:val="000000" w:themeColor="text1"/>
          <w:sz w:val="24"/>
          <w:szCs w:val="24"/>
          <w:lang w:val="ro-RO"/>
        </w:rPr>
        <w:t xml:space="preserve">În cadrul Ministerului Finanțelor și Serviciului Fiscal de Stat se atestă un nivel redus </w:t>
      </w:r>
      <w:r w:rsidR="00750CD6" w:rsidRPr="00200696">
        <w:rPr>
          <w:rFonts w:asciiTheme="majorHAnsi" w:hAnsiTheme="majorHAnsi" w:cstheme="majorHAnsi"/>
          <w:color w:val="000000" w:themeColor="text1"/>
          <w:sz w:val="24"/>
          <w:szCs w:val="24"/>
          <w:lang w:val="ro-RO"/>
        </w:rPr>
        <w:t>de asigurare cu concepte și regulamente ale sistemelor informaționale, care urmau a fi elaborate în temeiul prevederilor legale</w:t>
      </w:r>
      <w:r w:rsidR="00750CD6" w:rsidRPr="00200696">
        <w:rPr>
          <w:rStyle w:val="a6"/>
          <w:rFonts w:asciiTheme="majorHAnsi" w:eastAsia="Times New Roman" w:hAnsiTheme="majorHAnsi" w:cstheme="majorHAnsi"/>
          <w:bCs/>
          <w:color w:val="000000" w:themeColor="text1"/>
          <w:sz w:val="24"/>
          <w:szCs w:val="24"/>
        </w:rPr>
        <w:footnoteReference w:id="24"/>
      </w:r>
      <w:r w:rsidR="00750CD6" w:rsidRPr="00200696">
        <w:rPr>
          <w:rFonts w:asciiTheme="majorHAnsi" w:eastAsia="Times New Roman" w:hAnsiTheme="majorHAnsi" w:cstheme="majorHAnsi"/>
          <w:bCs/>
          <w:color w:val="000000" w:themeColor="text1"/>
          <w:sz w:val="24"/>
          <w:szCs w:val="24"/>
          <w:lang w:val="ro-RO"/>
        </w:rPr>
        <w:t xml:space="preserve">. </w:t>
      </w:r>
      <w:r w:rsidR="00750CD6" w:rsidRPr="00200696">
        <w:rPr>
          <w:rFonts w:asciiTheme="majorHAnsi" w:hAnsiTheme="majorHAnsi" w:cstheme="majorHAnsi"/>
          <w:color w:val="000000" w:themeColor="text1"/>
          <w:sz w:val="24"/>
          <w:szCs w:val="24"/>
          <w:lang w:val="ro-RO"/>
        </w:rPr>
        <w:t xml:space="preserve">Problematica respectivă a fost abordată și de către Agenția de Guvernare Electronică, în contextul coordonării oportunității de achiziționare a serviciilor informatice de dezvoltare a unor sisteme în anul 2022, potrivit căreia, instituțiile menționate urmează să promoveze în mod obligatoriu conceptele și regulamentele tuturor </w:t>
      </w:r>
      <w:r w:rsidR="005F2AE6" w:rsidRPr="00200696">
        <w:rPr>
          <w:rFonts w:asciiTheme="majorHAnsi" w:hAnsiTheme="majorHAnsi" w:cstheme="majorHAnsi"/>
          <w:color w:val="000000" w:themeColor="text1"/>
          <w:sz w:val="24"/>
          <w:szCs w:val="24"/>
          <w:lang w:val="ro-RO"/>
        </w:rPr>
        <w:t>sistemelor sale informaționale, pentru a nu supune riscurilor de sustenabilitate și de finanțare suficientă și continuă a acestora.</w:t>
      </w:r>
    </w:p>
    <w:p w:rsidR="001D5AF9" w:rsidRPr="00200696" w:rsidRDefault="00750CD6" w:rsidP="00750CD6">
      <w:pPr>
        <w:spacing w:after="120" w:line="276" w:lineRule="auto"/>
        <w:rPr>
          <w:rFonts w:asciiTheme="majorHAnsi" w:hAnsiTheme="majorHAnsi" w:cstheme="majorHAnsi"/>
          <w:color w:val="000000" w:themeColor="text1"/>
          <w:szCs w:val="28"/>
          <w:lang w:val="ro-RO"/>
        </w:rPr>
      </w:pPr>
      <w:r w:rsidRPr="00200696">
        <w:rPr>
          <w:rFonts w:asciiTheme="majorHAnsi" w:eastAsia="Calibri" w:hAnsiTheme="majorHAnsi" w:cstheme="majorHAnsi"/>
          <w:color w:val="000000" w:themeColor="text1"/>
          <w:sz w:val="24"/>
          <w:szCs w:val="24"/>
          <w:lang w:val="ro-MD"/>
        </w:rPr>
        <w:t>Auditul a atestat executarea parțială a contractului</w:t>
      </w:r>
      <w:r w:rsidRPr="00200696">
        <w:rPr>
          <w:rFonts w:asciiTheme="majorHAnsi" w:eastAsia="Times New Roman" w:hAnsiTheme="majorHAnsi" w:cstheme="majorHAnsi"/>
          <w:color w:val="000000" w:themeColor="text1"/>
          <w:sz w:val="16"/>
          <w:szCs w:val="16"/>
          <w:lang w:val="ro-RO"/>
        </w:rPr>
        <w:t xml:space="preserve"> </w:t>
      </w:r>
      <w:r w:rsidRPr="00200696">
        <w:rPr>
          <w:rFonts w:asciiTheme="majorHAnsi" w:eastAsia="Times New Roman" w:hAnsiTheme="majorHAnsi" w:cstheme="majorHAnsi"/>
          <w:color w:val="000000" w:themeColor="text1"/>
          <w:sz w:val="24"/>
          <w:szCs w:val="24"/>
          <w:lang w:val="ro-RO"/>
        </w:rPr>
        <w:t>privind achiziționarea serviciilor informaționale de 15,0 mil.lei</w:t>
      </w:r>
      <w:r w:rsidRPr="00200696">
        <w:rPr>
          <w:rStyle w:val="a6"/>
          <w:rFonts w:asciiTheme="majorHAnsi" w:eastAsia="Calibri" w:hAnsiTheme="majorHAnsi" w:cstheme="majorHAnsi"/>
          <w:color w:val="000000" w:themeColor="text1"/>
          <w:sz w:val="24"/>
          <w:szCs w:val="24"/>
        </w:rPr>
        <w:footnoteReference w:id="25"/>
      </w:r>
      <w:r w:rsidRPr="00200696">
        <w:rPr>
          <w:rFonts w:asciiTheme="majorHAnsi" w:eastAsia="Times New Roman" w:hAnsiTheme="majorHAnsi" w:cstheme="majorHAnsi"/>
          <w:color w:val="000000" w:themeColor="text1"/>
          <w:sz w:val="24"/>
          <w:szCs w:val="24"/>
          <w:lang w:val="ro-MD"/>
        </w:rPr>
        <w:t xml:space="preserve"> , încheiat în anul 2022 de către Ministerul Finanțelor și Instituția publică „Centrul de Tehnologii Informaționale în Finanțe”,</w:t>
      </w:r>
      <w:r w:rsidRPr="00200696">
        <w:rPr>
          <w:rFonts w:asciiTheme="majorHAnsi" w:eastAsia="Calibri" w:hAnsiTheme="majorHAnsi" w:cstheme="majorHAnsi"/>
          <w:color w:val="000000" w:themeColor="text1"/>
          <w:sz w:val="24"/>
          <w:szCs w:val="24"/>
          <w:lang w:val="ro-MD"/>
        </w:rPr>
        <w:t xml:space="preserve"> nefiind valorificate resurse financiare în sumă de 3,6 mil.lei, sau 24%. Totodată, Ministerul a returnat </w:t>
      </w:r>
      <w:r w:rsidRPr="00200696">
        <w:rPr>
          <w:rFonts w:asciiTheme="majorHAnsi" w:hAnsiTheme="majorHAnsi" w:cstheme="majorHAnsi"/>
          <w:color w:val="000000" w:themeColor="text1"/>
          <w:sz w:val="24"/>
          <w:szCs w:val="24"/>
          <w:lang w:val="ro-RO"/>
        </w:rPr>
        <w:t>garanția de bună execuție</w:t>
      </w:r>
      <w:r w:rsidR="001D5AF9" w:rsidRPr="00200696">
        <w:rPr>
          <w:rFonts w:asciiTheme="majorHAnsi" w:hAnsiTheme="majorHAnsi" w:cstheme="majorHAnsi"/>
          <w:color w:val="000000" w:themeColor="text1"/>
          <w:sz w:val="24"/>
          <w:szCs w:val="24"/>
          <w:lang w:val="ro-RO"/>
        </w:rPr>
        <w:t xml:space="preserve"> a contractului</w:t>
      </w:r>
      <w:r w:rsidRPr="00200696">
        <w:rPr>
          <w:rFonts w:asciiTheme="majorHAnsi" w:hAnsiTheme="majorHAnsi" w:cstheme="majorHAnsi"/>
          <w:color w:val="000000" w:themeColor="text1"/>
          <w:sz w:val="24"/>
          <w:szCs w:val="24"/>
          <w:lang w:val="ro-RO"/>
        </w:rPr>
        <w:t xml:space="preserve"> în sumă de 62,7 mii lei, în condițiile executării parțiale de către prestator a contractului de achiziții publice</w:t>
      </w:r>
      <w:r w:rsidR="001D5AF9" w:rsidRPr="00200696">
        <w:rPr>
          <w:rStyle w:val="a6"/>
          <w:rFonts w:asciiTheme="majorHAnsi" w:eastAsia="Calibri" w:hAnsiTheme="majorHAnsi" w:cstheme="majorHAnsi"/>
          <w:color w:val="000000" w:themeColor="text1"/>
          <w:sz w:val="24"/>
          <w:szCs w:val="24"/>
          <w:lang w:val="ro-MD"/>
        </w:rPr>
        <w:footnoteReference w:id="26"/>
      </w:r>
      <w:r w:rsidRPr="00200696">
        <w:rPr>
          <w:rFonts w:asciiTheme="majorHAnsi" w:hAnsiTheme="majorHAnsi" w:cstheme="majorHAnsi"/>
          <w:color w:val="000000" w:themeColor="text1"/>
          <w:sz w:val="24"/>
          <w:szCs w:val="24"/>
          <w:lang w:val="ro-RO"/>
        </w:rPr>
        <w:t>, fără a fi efectuate plăți contractuale.</w:t>
      </w:r>
      <w:r w:rsidRPr="00200696">
        <w:rPr>
          <w:rFonts w:asciiTheme="majorHAnsi" w:hAnsiTheme="majorHAnsi" w:cstheme="majorHAnsi"/>
          <w:color w:val="000000" w:themeColor="text1"/>
          <w:szCs w:val="28"/>
          <w:lang w:val="ro-RO"/>
        </w:rPr>
        <w:t xml:space="preserve"> </w:t>
      </w:r>
    </w:p>
    <w:p w:rsidR="00C35F4A" w:rsidRPr="00200696" w:rsidRDefault="00F523BF" w:rsidP="00750CD6">
      <w:pPr>
        <w:spacing w:after="120" w:line="276" w:lineRule="auto"/>
        <w:rPr>
          <w:rFonts w:asciiTheme="majorHAnsi" w:eastAsia="Calibri" w:hAnsiTheme="majorHAnsi" w:cstheme="majorHAnsi"/>
          <w:color w:val="000000" w:themeColor="text1"/>
          <w:sz w:val="24"/>
          <w:szCs w:val="24"/>
          <w:lang w:val="ro-RO"/>
        </w:rPr>
      </w:pPr>
      <w:r w:rsidRPr="00200696">
        <w:rPr>
          <w:rFonts w:asciiTheme="majorHAnsi" w:eastAsia="Calibri" w:hAnsiTheme="majorHAnsi" w:cstheme="majorHAnsi"/>
          <w:color w:val="000000" w:themeColor="text1"/>
          <w:sz w:val="24"/>
          <w:szCs w:val="24"/>
          <w:lang w:val="ro-RO"/>
        </w:rPr>
        <w:t xml:space="preserve">De asemenea, </w:t>
      </w:r>
      <w:r w:rsidR="00C35F4A" w:rsidRPr="00200696">
        <w:rPr>
          <w:rFonts w:asciiTheme="majorHAnsi" w:eastAsia="Calibri" w:hAnsiTheme="majorHAnsi" w:cstheme="majorHAnsi"/>
          <w:color w:val="000000" w:themeColor="text1"/>
          <w:sz w:val="24"/>
          <w:szCs w:val="24"/>
          <w:lang w:val="ro-RO"/>
        </w:rPr>
        <w:t xml:space="preserve">în cadrul Serviciului Fiscal de Stat </w:t>
      </w:r>
      <w:r w:rsidRPr="00200696">
        <w:rPr>
          <w:rFonts w:asciiTheme="majorHAnsi" w:eastAsia="Calibri" w:hAnsiTheme="majorHAnsi" w:cstheme="majorHAnsi"/>
          <w:color w:val="000000" w:themeColor="text1"/>
          <w:sz w:val="24"/>
          <w:szCs w:val="24"/>
          <w:lang w:val="ro-RO"/>
        </w:rPr>
        <w:t xml:space="preserve">auditul a relevat </w:t>
      </w:r>
      <w:r w:rsidR="00C35F4A" w:rsidRPr="00200696">
        <w:rPr>
          <w:rFonts w:asciiTheme="majorHAnsi" w:eastAsia="Calibri" w:hAnsiTheme="majorHAnsi" w:cstheme="majorHAnsi"/>
          <w:color w:val="000000" w:themeColor="text1"/>
          <w:sz w:val="24"/>
          <w:szCs w:val="24"/>
          <w:lang w:val="ro-RO"/>
        </w:rPr>
        <w:t>abordări neunivoce cu referire la</w:t>
      </w:r>
      <w:r w:rsidRPr="00200696">
        <w:rPr>
          <w:rFonts w:asciiTheme="majorHAnsi" w:eastAsia="Calibri" w:hAnsiTheme="majorHAnsi" w:cstheme="majorHAnsi"/>
          <w:color w:val="000000" w:themeColor="text1"/>
          <w:sz w:val="24"/>
          <w:szCs w:val="24"/>
          <w:lang w:val="ro-RO"/>
        </w:rPr>
        <w:t xml:space="preserve"> contabilizarea </w:t>
      </w:r>
      <w:r w:rsidR="00C35F4A" w:rsidRPr="00200696">
        <w:rPr>
          <w:rFonts w:asciiTheme="majorHAnsi" w:eastAsia="Calibri" w:hAnsiTheme="majorHAnsi" w:cstheme="majorHAnsi"/>
          <w:color w:val="000000" w:themeColor="text1"/>
          <w:sz w:val="24"/>
          <w:szCs w:val="24"/>
          <w:lang w:val="ro-RO"/>
        </w:rPr>
        <w:t xml:space="preserve">sistemelor informaționale și a </w:t>
      </w:r>
      <w:r w:rsidR="00C35F4A" w:rsidRPr="00200696">
        <w:rPr>
          <w:rFonts w:asciiTheme="majorHAnsi" w:hAnsiTheme="majorHAnsi" w:cstheme="majorHAnsi"/>
          <w:color w:val="000000" w:themeColor="text1"/>
          <w:sz w:val="24"/>
          <w:szCs w:val="24"/>
          <w:lang w:val="ro-RO"/>
        </w:rPr>
        <w:t xml:space="preserve">componentelor acestora, </w:t>
      </w:r>
      <w:r w:rsidR="00C35F4A" w:rsidRPr="00200696">
        <w:rPr>
          <w:rFonts w:asciiTheme="majorHAnsi" w:hAnsiTheme="majorHAnsi" w:cstheme="majorHAnsi"/>
          <w:color w:val="000000" w:themeColor="text1"/>
          <w:sz w:val="24"/>
          <w:szCs w:val="24"/>
          <w:lang w:val="ro-MD"/>
        </w:rPr>
        <w:t>dezvoltarea unor sisteme necontabilizate și reflectarea în evidența contabilă a cheltuielilor aferente.</w:t>
      </w:r>
    </w:p>
    <w:p w:rsidR="00750CD6" w:rsidRPr="00200696" w:rsidRDefault="00750CD6" w:rsidP="00750CD6">
      <w:pPr>
        <w:spacing w:after="120" w:line="276" w:lineRule="auto"/>
        <w:rPr>
          <w:rFonts w:asciiTheme="majorHAnsi" w:hAnsiTheme="majorHAnsi" w:cstheme="majorHAnsi"/>
          <w:color w:val="000000" w:themeColor="text1"/>
          <w:sz w:val="24"/>
          <w:szCs w:val="24"/>
          <w:lang w:val="ro-MD"/>
        </w:rPr>
      </w:pPr>
      <w:r w:rsidRPr="00200696">
        <w:rPr>
          <w:rFonts w:asciiTheme="majorHAnsi" w:eastAsia="Calibri" w:hAnsiTheme="majorHAnsi" w:cstheme="majorHAnsi"/>
          <w:color w:val="000000" w:themeColor="text1"/>
          <w:sz w:val="24"/>
          <w:szCs w:val="24"/>
          <w:lang w:val="ro-RO"/>
        </w:rPr>
        <w:t xml:space="preserve">Situațiile constatate au fost cauzate de interpretarea eronată a prevederilor </w:t>
      </w:r>
      <w:r w:rsidRPr="00200696">
        <w:rPr>
          <w:rFonts w:asciiTheme="majorHAnsi" w:hAnsiTheme="majorHAnsi" w:cstheme="majorHAnsi"/>
          <w:color w:val="000000" w:themeColor="text1"/>
          <w:sz w:val="24"/>
          <w:szCs w:val="24"/>
          <w:lang w:val="ro-RO"/>
        </w:rPr>
        <w:t xml:space="preserve">Legii nr.467 din 21.11.2003 și a cerințelor Ordinului </w:t>
      </w:r>
      <w:r w:rsidRPr="00200696">
        <w:rPr>
          <w:rFonts w:asciiTheme="majorHAnsi" w:hAnsiTheme="majorHAnsi" w:cstheme="majorHAnsi"/>
          <w:color w:val="000000" w:themeColor="text1"/>
          <w:sz w:val="24"/>
          <w:szCs w:val="24"/>
          <w:lang w:val="ro-MD"/>
        </w:rPr>
        <w:t>ministrului finanțelor nr.216 din 28.12.2015, dar și de lipsa suportului din partea unor specialiști responsabili de domeniul TI din cadrul Ministerului.</w:t>
      </w:r>
    </w:p>
    <w:p w:rsidR="00750CD6" w:rsidRPr="00200696" w:rsidRDefault="00C22066" w:rsidP="00750CD6">
      <w:pPr>
        <w:pStyle w:val="ad"/>
        <w:spacing w:after="120" w:line="276" w:lineRule="auto"/>
        <w:ind w:firstLine="0"/>
        <w:rPr>
          <w:rFonts w:asciiTheme="majorHAnsi" w:hAnsiTheme="majorHAnsi" w:cstheme="majorHAnsi"/>
          <w:color w:val="000000" w:themeColor="text1"/>
          <w:lang w:val="it-IT"/>
        </w:rPr>
      </w:pPr>
      <w:r w:rsidRPr="00200696">
        <w:rPr>
          <w:rFonts w:asciiTheme="majorHAnsi" w:hAnsiTheme="majorHAnsi" w:cstheme="majorHAnsi"/>
          <w:b/>
          <w:color w:val="000000" w:themeColor="text1"/>
          <w:lang w:val="ro-MD"/>
        </w:rPr>
        <w:t>5.8.</w:t>
      </w:r>
      <w:r w:rsidR="00750CD6" w:rsidRPr="00200696">
        <w:rPr>
          <w:rFonts w:asciiTheme="majorHAnsi" w:hAnsiTheme="majorHAnsi" w:cstheme="majorHAnsi"/>
          <w:b/>
          <w:color w:val="000000" w:themeColor="text1"/>
          <w:lang w:val="ro-MD"/>
        </w:rPr>
        <w:t xml:space="preserve"> </w:t>
      </w:r>
      <w:r w:rsidR="00750CD6" w:rsidRPr="00200696">
        <w:rPr>
          <w:rFonts w:asciiTheme="majorHAnsi" w:hAnsiTheme="majorHAnsi" w:cstheme="majorHAnsi"/>
          <w:color w:val="000000" w:themeColor="text1"/>
          <w:lang w:val="ro-MD"/>
        </w:rPr>
        <w:t>În baza</w:t>
      </w:r>
      <w:r w:rsidR="00750CD6" w:rsidRPr="00200696">
        <w:rPr>
          <w:rFonts w:asciiTheme="majorHAnsi" w:hAnsiTheme="majorHAnsi" w:cstheme="majorHAnsi"/>
          <w:color w:val="000000" w:themeColor="text1"/>
        </w:rPr>
        <w:t xml:space="preserve"> recomandărilor anterioare ale Curții de Conturi</w:t>
      </w:r>
      <w:r w:rsidR="00750CD6" w:rsidRPr="00200696">
        <w:rPr>
          <w:rStyle w:val="a6"/>
          <w:rFonts w:asciiTheme="majorHAnsi" w:hAnsiTheme="majorHAnsi" w:cstheme="majorHAnsi"/>
          <w:color w:val="000000" w:themeColor="text1"/>
        </w:rPr>
        <w:footnoteReference w:id="27"/>
      </w:r>
      <w:r w:rsidR="00750CD6" w:rsidRPr="00200696">
        <w:rPr>
          <w:rFonts w:asciiTheme="majorHAnsi" w:hAnsiTheme="majorHAnsi" w:cstheme="majorHAnsi"/>
          <w:color w:val="000000" w:themeColor="text1"/>
        </w:rPr>
        <w:t>, Ministerul Finanțelor urma să înainteze Guvernului propuneri de modificare a cadrului regulator aferent evidenței, evaluării</w:t>
      </w:r>
      <w:r w:rsidR="00750CD6" w:rsidRPr="00200696">
        <w:rPr>
          <w:rFonts w:asciiTheme="majorHAnsi" w:hAnsiTheme="majorHAnsi" w:cstheme="majorHAnsi"/>
          <w:bCs/>
          <w:color w:val="000000" w:themeColor="text1"/>
          <w:lang w:eastAsia="ru-RU"/>
        </w:rPr>
        <w:t xml:space="preserve"> și raportării </w:t>
      </w:r>
      <w:r w:rsidR="00750CD6" w:rsidRPr="00200696">
        <w:rPr>
          <w:rFonts w:asciiTheme="majorHAnsi" w:hAnsiTheme="majorHAnsi" w:cstheme="majorHAnsi"/>
          <w:color w:val="000000" w:themeColor="text1"/>
        </w:rPr>
        <w:t>bunurilor confiscate</w:t>
      </w:r>
      <w:r w:rsidR="00750CD6" w:rsidRPr="00200696">
        <w:rPr>
          <w:rFonts w:asciiTheme="majorHAnsi" w:hAnsiTheme="majorHAnsi" w:cstheme="majorHAnsi"/>
          <w:color w:val="000000" w:themeColor="text1"/>
          <w:shd w:val="clear" w:color="auto" w:fill="FFFFFF"/>
        </w:rPr>
        <w:t>. Deși</w:t>
      </w:r>
      <w:r w:rsidR="00750CD6" w:rsidRPr="00200696">
        <w:rPr>
          <w:rFonts w:asciiTheme="majorHAnsi" w:hAnsiTheme="majorHAnsi" w:cstheme="majorHAnsi"/>
          <w:color w:val="000000" w:themeColor="text1"/>
          <w:lang w:val="it-IT"/>
        </w:rPr>
        <w:t xml:space="preserve"> a fost elaborat </w:t>
      </w:r>
      <w:r w:rsidR="00750CD6" w:rsidRPr="00200696">
        <w:rPr>
          <w:rFonts w:asciiTheme="majorHAnsi" w:hAnsiTheme="majorHAnsi" w:cstheme="majorHAnsi"/>
          <w:color w:val="000000" w:themeColor="text1"/>
        </w:rPr>
        <w:t>un proiect de act normativ privind modificarea Hotărârii Guvernului nr.972/2001</w:t>
      </w:r>
      <w:r w:rsidR="00750CD6" w:rsidRPr="00200696">
        <w:rPr>
          <w:rStyle w:val="a6"/>
          <w:rFonts w:asciiTheme="majorHAnsi" w:hAnsiTheme="majorHAnsi" w:cstheme="majorHAnsi"/>
          <w:color w:val="000000" w:themeColor="text1"/>
        </w:rPr>
        <w:footnoteReference w:id="28"/>
      </w:r>
      <w:r w:rsidR="00750CD6" w:rsidRPr="00200696">
        <w:rPr>
          <w:rFonts w:asciiTheme="majorHAnsi" w:hAnsiTheme="majorHAnsi" w:cstheme="majorHAnsi"/>
          <w:color w:val="000000" w:themeColor="text1"/>
        </w:rPr>
        <w:t xml:space="preserve">, acesta nu s-a aprobat, fiind la etapa consultărilor, fapt care menține în continuare situația neschimbată. Reglementarea normativă insuficientă a procedeelor cu referire la evidența unor bunuri confiscate care nu aparțin instituției generează în continuare neclarități privind modul de contabilizare a acestora, precum și </w:t>
      </w:r>
      <w:r w:rsidR="00750CD6" w:rsidRPr="00200696">
        <w:rPr>
          <w:rFonts w:asciiTheme="majorHAnsi" w:hAnsiTheme="majorHAnsi" w:cstheme="majorHAnsi"/>
          <w:color w:val="000000" w:themeColor="text1"/>
          <w:lang w:val="it-IT"/>
        </w:rPr>
        <w:t>inexactități între valoarea activelor conf</w:t>
      </w:r>
      <w:r w:rsidR="005F2AE6" w:rsidRPr="00200696">
        <w:rPr>
          <w:rFonts w:asciiTheme="majorHAnsi" w:hAnsiTheme="majorHAnsi" w:cstheme="majorHAnsi"/>
          <w:color w:val="000000" w:themeColor="text1"/>
          <w:lang w:val="it-IT"/>
        </w:rPr>
        <w:t xml:space="preserve">iscate de către Serviciul Vamal </w:t>
      </w:r>
      <w:r w:rsidR="00750CD6" w:rsidRPr="00200696">
        <w:rPr>
          <w:rFonts w:asciiTheme="majorHAnsi" w:hAnsiTheme="majorHAnsi" w:cstheme="majorHAnsi"/>
          <w:color w:val="000000" w:themeColor="text1"/>
          <w:lang w:val="it-IT"/>
        </w:rPr>
        <w:t xml:space="preserve">și </w:t>
      </w:r>
      <w:r w:rsidR="00015D8E" w:rsidRPr="00200696">
        <w:rPr>
          <w:rFonts w:asciiTheme="majorHAnsi" w:hAnsiTheme="majorHAnsi" w:cstheme="majorHAnsi"/>
          <w:color w:val="000000" w:themeColor="text1"/>
          <w:lang w:val="it-IT"/>
        </w:rPr>
        <w:t>valoarea acestora</w:t>
      </w:r>
      <w:r w:rsidR="00750CD6" w:rsidRPr="00200696">
        <w:rPr>
          <w:rFonts w:asciiTheme="majorHAnsi" w:hAnsiTheme="majorHAnsi" w:cstheme="majorHAnsi"/>
          <w:color w:val="000000" w:themeColor="text1"/>
          <w:lang w:val="it-IT"/>
        </w:rPr>
        <w:t xml:space="preserve"> transmisă Serviciului Fiscal de Stat</w:t>
      </w:r>
      <w:r w:rsidR="00015D8E" w:rsidRPr="00200696">
        <w:rPr>
          <w:rFonts w:asciiTheme="majorHAnsi" w:hAnsiTheme="majorHAnsi" w:cstheme="majorHAnsi"/>
          <w:color w:val="000000" w:themeColor="text1"/>
          <w:lang w:val="it-IT"/>
        </w:rPr>
        <w:t>,</w:t>
      </w:r>
      <w:r w:rsidR="00750CD6" w:rsidRPr="00200696">
        <w:rPr>
          <w:rFonts w:asciiTheme="majorHAnsi" w:hAnsiTheme="majorHAnsi" w:cstheme="majorHAnsi"/>
          <w:color w:val="000000" w:themeColor="text1"/>
          <w:lang w:val="it-IT"/>
        </w:rPr>
        <w:t xml:space="preserve"> spre comercializare.</w:t>
      </w:r>
    </w:p>
    <w:p w:rsidR="00EF6895" w:rsidRPr="00200696" w:rsidRDefault="00D015F5" w:rsidP="00D015F5">
      <w:pPr>
        <w:pStyle w:val="ad"/>
        <w:spacing w:after="120" w:line="276" w:lineRule="auto"/>
        <w:ind w:firstLine="0"/>
        <w:rPr>
          <w:rFonts w:asciiTheme="majorHAnsi" w:hAnsiTheme="majorHAnsi" w:cstheme="majorHAnsi"/>
          <w:color w:val="000000" w:themeColor="text1"/>
        </w:rPr>
      </w:pPr>
      <w:r w:rsidRPr="00200696">
        <w:rPr>
          <w:rFonts w:asciiTheme="majorHAnsi" w:hAnsiTheme="majorHAnsi" w:cstheme="majorHAnsi"/>
          <w:b/>
          <w:color w:val="000000" w:themeColor="text1"/>
          <w:lang w:val="it-IT"/>
        </w:rPr>
        <w:t>5.9.</w:t>
      </w:r>
      <w:r w:rsidRPr="00200696">
        <w:rPr>
          <w:rFonts w:asciiTheme="majorHAnsi" w:hAnsiTheme="majorHAnsi" w:cstheme="majorHAnsi"/>
          <w:b/>
          <w:color w:val="000000" w:themeColor="text1"/>
        </w:rPr>
        <w:t xml:space="preserve"> </w:t>
      </w:r>
      <w:r w:rsidRPr="00200696">
        <w:rPr>
          <w:rFonts w:asciiTheme="majorHAnsi" w:hAnsiTheme="majorHAnsi" w:cstheme="majorHAnsi"/>
          <w:color w:val="000000" w:themeColor="text1"/>
        </w:rPr>
        <w:t>Ministerul Finanțelor și unele instituții din subordine</w:t>
      </w:r>
      <w:r w:rsidRPr="00200696">
        <w:rPr>
          <w:rStyle w:val="a6"/>
          <w:rFonts w:asciiTheme="majorHAnsi" w:hAnsiTheme="majorHAnsi" w:cstheme="majorHAnsi"/>
          <w:color w:val="000000" w:themeColor="text1"/>
        </w:rPr>
        <w:footnoteReference w:id="29"/>
      </w:r>
      <w:r w:rsidRPr="00200696">
        <w:rPr>
          <w:rFonts w:asciiTheme="majorHAnsi" w:hAnsiTheme="majorHAnsi" w:cstheme="majorHAnsi"/>
          <w:color w:val="000000" w:themeColor="text1"/>
        </w:rPr>
        <w:t xml:space="preserve"> nu au asigurat transmiterea în temeiul normei legale</w:t>
      </w:r>
      <w:r w:rsidRPr="00200696">
        <w:rPr>
          <w:rStyle w:val="a6"/>
          <w:rFonts w:asciiTheme="majorHAnsi" w:hAnsiTheme="majorHAnsi" w:cstheme="majorHAnsi"/>
          <w:color w:val="000000" w:themeColor="text1"/>
        </w:rPr>
        <w:footnoteReference w:id="30"/>
      </w:r>
      <w:r w:rsidRPr="00200696">
        <w:rPr>
          <w:rFonts w:asciiTheme="majorHAnsi" w:hAnsiTheme="majorHAnsi" w:cstheme="majorHAnsi"/>
          <w:color w:val="000000" w:themeColor="text1"/>
        </w:rPr>
        <w:t xml:space="preserve"> către Agenția Proprietății Publice a 14 terenuri cu suprafața de 4,2072 ha și valoarea de 12,5 mil.lei, </w:t>
      </w:r>
      <w:r w:rsidR="009945BD" w:rsidRPr="00200696">
        <w:rPr>
          <w:rFonts w:asciiTheme="majorHAnsi" w:hAnsiTheme="majorHAnsi" w:cstheme="majorHAnsi"/>
          <w:color w:val="000000" w:themeColor="text1"/>
        </w:rPr>
        <w:t>acestea nefiind excluse din evidența contabilă și din rapoartele financiare consolidate</w:t>
      </w:r>
      <w:r w:rsidRPr="00200696">
        <w:rPr>
          <w:rFonts w:asciiTheme="majorHAnsi" w:hAnsiTheme="majorHAnsi"/>
          <w:color w:val="000000" w:themeColor="text1"/>
          <w:lang w:val="ro-MD"/>
        </w:rPr>
        <w:t>.</w:t>
      </w:r>
      <w:r w:rsidRPr="00200696">
        <w:rPr>
          <w:rFonts w:asciiTheme="majorHAnsi" w:hAnsiTheme="majorHAnsi" w:cstheme="majorHAnsi"/>
          <w:color w:val="000000" w:themeColor="text1"/>
        </w:rPr>
        <w:t xml:space="preserve"> Deși procedura de transmitere a fost inițiată în anul 2021, aceasta nu a avut o finalitate, din cauza înțelegerii neunivoce a cadrului de reglementare. </w:t>
      </w:r>
    </w:p>
    <w:p w:rsidR="00C22066" w:rsidRPr="00200696" w:rsidRDefault="00C22066" w:rsidP="00C22066">
      <w:pPr>
        <w:pStyle w:val="ad"/>
        <w:spacing w:after="120" w:line="276" w:lineRule="auto"/>
        <w:ind w:firstLine="0"/>
        <w:rPr>
          <w:rFonts w:asciiTheme="majorHAnsi" w:hAnsiTheme="majorHAnsi" w:cstheme="majorHAnsi"/>
          <w:color w:val="000000" w:themeColor="text1"/>
          <w:lang w:val="ro-MD"/>
        </w:rPr>
      </w:pPr>
      <w:r w:rsidRPr="00200696">
        <w:rPr>
          <w:rFonts w:asciiTheme="majorHAnsi" w:hAnsiTheme="majorHAnsi" w:cstheme="majorHAnsi"/>
          <w:b/>
          <w:color w:val="000000" w:themeColor="text1"/>
          <w:lang w:val="it-IT"/>
        </w:rPr>
        <w:t>5.</w:t>
      </w:r>
      <w:r w:rsidR="00D015F5" w:rsidRPr="00200696">
        <w:rPr>
          <w:rFonts w:asciiTheme="majorHAnsi" w:hAnsiTheme="majorHAnsi" w:cstheme="majorHAnsi"/>
          <w:b/>
          <w:color w:val="000000" w:themeColor="text1"/>
          <w:lang w:val="it-IT"/>
        </w:rPr>
        <w:t>10</w:t>
      </w:r>
      <w:r w:rsidRPr="00200696">
        <w:rPr>
          <w:rFonts w:asciiTheme="majorHAnsi" w:hAnsiTheme="majorHAnsi" w:cstheme="majorHAnsi"/>
          <w:b/>
          <w:color w:val="000000" w:themeColor="text1"/>
          <w:lang w:val="it-IT"/>
        </w:rPr>
        <w:t xml:space="preserve">. </w:t>
      </w:r>
      <w:r w:rsidRPr="00200696">
        <w:rPr>
          <w:rFonts w:asciiTheme="majorHAnsi" w:hAnsiTheme="majorHAnsi" w:cstheme="majorHAnsi"/>
          <w:color w:val="000000" w:themeColor="text1"/>
          <w:lang w:val="pt-BR"/>
        </w:rPr>
        <w:t>Auditul a relevat problematica ce vizează</w:t>
      </w:r>
      <w:r w:rsidRPr="00200696">
        <w:rPr>
          <w:rFonts w:asciiTheme="majorHAnsi" w:hAnsiTheme="majorHAnsi" w:cstheme="majorHAnsi"/>
          <w:color w:val="000000" w:themeColor="text1"/>
          <w:lang w:val="ro-MD"/>
        </w:rPr>
        <w:t xml:space="preserve"> prezentarea reală și veridică în rapoartele financiare consolidate a valorii unor clădiri din gestiunea unor instituții subordonate Ministerului Finanțelor</w:t>
      </w:r>
      <w:r w:rsidRPr="00200696">
        <w:rPr>
          <w:rStyle w:val="a6"/>
          <w:rFonts w:asciiTheme="majorHAnsi" w:hAnsiTheme="majorHAnsi" w:cstheme="majorHAnsi"/>
          <w:color w:val="000000" w:themeColor="text1"/>
          <w:lang w:val="ro-MD"/>
        </w:rPr>
        <w:footnoteReference w:id="31"/>
      </w:r>
      <w:r w:rsidRPr="00200696">
        <w:rPr>
          <w:rFonts w:asciiTheme="majorHAnsi" w:hAnsiTheme="majorHAnsi" w:cstheme="majorHAnsi"/>
          <w:color w:val="000000" w:themeColor="text1"/>
          <w:lang w:val="ro-MD"/>
        </w:rPr>
        <w:t>, care nu au fost supuse reevaluării, în</w:t>
      </w:r>
      <w:r w:rsidRPr="00200696">
        <w:rPr>
          <w:rFonts w:asciiTheme="majorHAnsi" w:hAnsiTheme="majorHAnsi" w:cstheme="majorHAnsi"/>
          <w:color w:val="000000" w:themeColor="text1"/>
          <w:lang w:val="pt-BR"/>
        </w:rPr>
        <w:t xml:space="preserve"> scopul determinării valorii juste a acestora, ţinându-se cont de utilitatea bunului, starea acestuia şi de preţul de piaţă. </w:t>
      </w:r>
      <w:r w:rsidRPr="00200696">
        <w:rPr>
          <w:rFonts w:asciiTheme="majorHAnsi" w:hAnsiTheme="majorHAnsi" w:cstheme="majorHAnsi"/>
          <w:color w:val="000000" w:themeColor="text1"/>
          <w:lang w:val="ro-MD"/>
        </w:rPr>
        <w:t>C</w:t>
      </w:r>
      <w:r w:rsidRPr="00200696">
        <w:rPr>
          <w:rFonts w:asciiTheme="majorHAnsi" w:hAnsiTheme="majorHAnsi" w:cstheme="majorHAnsi"/>
          <w:color w:val="000000" w:themeColor="text1"/>
        </w:rPr>
        <w:t xml:space="preserve">a rezultat, valoarea de bilanț a </w:t>
      </w:r>
      <w:r w:rsidR="00201D59" w:rsidRPr="00200696">
        <w:rPr>
          <w:rFonts w:asciiTheme="majorHAnsi" w:hAnsiTheme="majorHAnsi" w:cstheme="majorHAnsi"/>
          <w:color w:val="000000" w:themeColor="text1"/>
        </w:rPr>
        <w:t xml:space="preserve">unor </w:t>
      </w:r>
      <w:r w:rsidRPr="00200696">
        <w:rPr>
          <w:rFonts w:asciiTheme="majorHAnsi" w:hAnsiTheme="majorHAnsi" w:cstheme="majorHAnsi"/>
          <w:color w:val="000000" w:themeColor="text1"/>
        </w:rPr>
        <w:t>bunuri imobile prezintă diferențe de 22,8</w:t>
      </w:r>
      <w:r w:rsidRPr="00200696">
        <w:rPr>
          <w:rFonts w:asciiTheme="majorHAnsi" w:hAnsiTheme="majorHAnsi" w:cstheme="majorHAnsi"/>
          <w:color w:val="000000" w:themeColor="text1"/>
          <w:lang w:val="pt-BR"/>
        </w:rPr>
        <w:t xml:space="preserve"> mil.lei în raport cu </w:t>
      </w:r>
      <w:r w:rsidRPr="00200696">
        <w:rPr>
          <w:rFonts w:asciiTheme="majorHAnsi" w:hAnsiTheme="majorHAnsi" w:cstheme="majorHAnsi"/>
          <w:color w:val="000000" w:themeColor="text1"/>
          <w:lang w:val="ro-MD"/>
        </w:rPr>
        <w:t>valoarea</w:t>
      </w:r>
      <w:r w:rsidRPr="00200696">
        <w:rPr>
          <w:rFonts w:asciiTheme="majorHAnsi" w:hAnsiTheme="majorHAnsi" w:cstheme="majorHAnsi"/>
          <w:color w:val="000000" w:themeColor="text1"/>
          <w:lang w:val="pt-BR"/>
        </w:rPr>
        <w:t xml:space="preserve"> </w:t>
      </w:r>
      <w:r w:rsidRPr="00200696">
        <w:rPr>
          <w:rFonts w:asciiTheme="majorHAnsi" w:hAnsiTheme="majorHAnsi" w:cstheme="majorHAnsi"/>
          <w:color w:val="000000" w:themeColor="text1"/>
          <w:lang w:val="ro-MD"/>
        </w:rPr>
        <w:t xml:space="preserve">cadastrală. Cele menționate au fost cauzate de neverificarea continuă a valorii bunurilor gestionate în raport cu valoarea cadastrală. </w:t>
      </w:r>
    </w:p>
    <w:p w:rsidR="00C22066" w:rsidRPr="00200696" w:rsidRDefault="00C22066" w:rsidP="00C22066">
      <w:pPr>
        <w:rPr>
          <w:rFonts w:asciiTheme="majorHAnsi" w:hAnsiTheme="majorHAnsi" w:cstheme="majorHAnsi"/>
          <w:color w:val="000000" w:themeColor="text1"/>
          <w:sz w:val="24"/>
          <w:szCs w:val="24"/>
          <w:shd w:val="clear" w:color="auto" w:fill="FFFFFF"/>
          <w:lang w:val="pt-BR"/>
        </w:rPr>
      </w:pPr>
      <w:r w:rsidRPr="00200696">
        <w:rPr>
          <w:rFonts w:asciiTheme="majorHAnsi" w:hAnsiTheme="majorHAnsi" w:cstheme="majorHAnsi"/>
          <w:b/>
          <w:color w:val="000000" w:themeColor="text1"/>
          <w:sz w:val="24"/>
          <w:szCs w:val="24"/>
          <w:lang w:val="ro-MD"/>
        </w:rPr>
        <w:t>5.1</w:t>
      </w:r>
      <w:r w:rsidR="00D015F5" w:rsidRPr="00200696">
        <w:rPr>
          <w:rFonts w:asciiTheme="majorHAnsi" w:hAnsiTheme="majorHAnsi" w:cstheme="majorHAnsi"/>
          <w:b/>
          <w:color w:val="000000" w:themeColor="text1"/>
          <w:sz w:val="24"/>
          <w:szCs w:val="24"/>
          <w:lang w:val="ro-MD"/>
        </w:rPr>
        <w:t>1</w:t>
      </w:r>
      <w:r w:rsidRPr="00200696">
        <w:rPr>
          <w:rFonts w:asciiTheme="majorHAnsi" w:hAnsiTheme="majorHAnsi" w:cstheme="majorHAnsi"/>
          <w:b/>
          <w:color w:val="000000" w:themeColor="text1"/>
          <w:sz w:val="24"/>
          <w:szCs w:val="24"/>
          <w:lang w:val="ro-MD"/>
        </w:rPr>
        <w:t xml:space="preserve">. </w:t>
      </w:r>
      <w:r w:rsidRPr="00200696">
        <w:rPr>
          <w:rFonts w:asciiTheme="majorHAnsi" w:hAnsiTheme="majorHAnsi" w:cstheme="majorHAnsi"/>
          <w:color w:val="000000" w:themeColor="text1"/>
          <w:sz w:val="24"/>
          <w:szCs w:val="24"/>
          <w:lang w:val="ro-MD"/>
        </w:rPr>
        <w:t xml:space="preserve">Creanțele executorilor judecătorești </w:t>
      </w:r>
      <w:r w:rsidRPr="00200696">
        <w:rPr>
          <w:rFonts w:asciiTheme="majorHAnsi" w:hAnsiTheme="majorHAnsi" w:cstheme="majorHAnsi"/>
          <w:color w:val="000000" w:themeColor="text1"/>
          <w:sz w:val="24"/>
          <w:szCs w:val="24"/>
          <w:shd w:val="clear" w:color="auto" w:fill="FFFFFF"/>
          <w:lang w:val="pt-BR"/>
        </w:rPr>
        <w:t xml:space="preserve">la 31.12.2022 </w:t>
      </w:r>
      <w:r w:rsidRPr="00200696">
        <w:rPr>
          <w:rFonts w:asciiTheme="majorHAnsi" w:hAnsiTheme="majorHAnsi" w:cstheme="majorHAnsi"/>
          <w:color w:val="000000" w:themeColor="text1"/>
          <w:sz w:val="24"/>
          <w:szCs w:val="24"/>
          <w:lang w:val="ro-MD"/>
        </w:rPr>
        <w:t xml:space="preserve">au însumat </w:t>
      </w:r>
      <w:r w:rsidRPr="00200696">
        <w:rPr>
          <w:rFonts w:asciiTheme="majorHAnsi" w:hAnsiTheme="majorHAnsi" w:cstheme="majorHAnsi"/>
          <w:color w:val="000000" w:themeColor="text1"/>
          <w:sz w:val="24"/>
          <w:szCs w:val="24"/>
          <w:shd w:val="clear" w:color="auto" w:fill="FFFFFF"/>
          <w:lang w:val="pt-BR"/>
        </w:rPr>
        <w:t>5,6 mil.lei, din care 3,9 mil.lei - cu termenul de achitare expirat, fiind în creștere cu 1,7 mil.lei față de perioada similară a anului precedent, formate în rezultatul avansării de către Serviciul Fiscal de Stat a cheltuielilor către 110 executori judecătorești, conform cadrului legal. Pe parcursul anului 2022 au fost avansate cheltuieli de 2,9 mil.lei, dar restituite cheltuieli de 1,1 mil.lei, sau 37,9%. Totodată, se menționează că în perioada de referință Serviciul Fiscal de Stat a efectuat controale la 20 de executori judecătorești, sau cu 20 de controale mai puțin decât s-au efectuat în anul 2021. Cele menționate au fost cauzate de monitorizarea insuficientă a creanțelor, în special, a celor cu termenul de achitare expirat, generând riscul de nerecuperare a acestora.</w:t>
      </w:r>
    </w:p>
    <w:p w:rsidR="00C22066" w:rsidRPr="00200696" w:rsidRDefault="00C22066" w:rsidP="00C22066">
      <w:pPr>
        <w:rPr>
          <w:rFonts w:asciiTheme="majorHAnsi" w:hAnsiTheme="majorHAnsi" w:cstheme="majorHAnsi"/>
          <w:color w:val="000000" w:themeColor="text1"/>
          <w:sz w:val="24"/>
          <w:szCs w:val="24"/>
          <w:lang w:val="ro-MD"/>
        </w:rPr>
      </w:pPr>
      <w:r w:rsidRPr="00200696">
        <w:rPr>
          <w:rFonts w:asciiTheme="majorHAnsi" w:hAnsiTheme="majorHAnsi" w:cstheme="majorHAnsi"/>
          <w:b/>
          <w:color w:val="000000" w:themeColor="text1"/>
          <w:sz w:val="24"/>
          <w:szCs w:val="24"/>
          <w:lang w:val="pt-BR"/>
        </w:rPr>
        <w:t>5.1</w:t>
      </w:r>
      <w:r w:rsidR="00D015F5" w:rsidRPr="00200696">
        <w:rPr>
          <w:rFonts w:asciiTheme="majorHAnsi" w:hAnsiTheme="majorHAnsi" w:cstheme="majorHAnsi"/>
          <w:b/>
          <w:color w:val="000000" w:themeColor="text1"/>
          <w:sz w:val="24"/>
          <w:szCs w:val="24"/>
          <w:lang w:val="pt-BR"/>
        </w:rPr>
        <w:t>2</w:t>
      </w:r>
      <w:r w:rsidRPr="00200696">
        <w:rPr>
          <w:rFonts w:asciiTheme="majorHAnsi" w:hAnsiTheme="majorHAnsi" w:cstheme="majorHAnsi"/>
          <w:b/>
          <w:color w:val="000000" w:themeColor="text1"/>
          <w:sz w:val="24"/>
          <w:szCs w:val="24"/>
          <w:lang w:val="pt-BR"/>
        </w:rPr>
        <w:t xml:space="preserve">. </w:t>
      </w:r>
      <w:r w:rsidRPr="00200696">
        <w:rPr>
          <w:rFonts w:asciiTheme="majorHAnsi" w:hAnsiTheme="majorHAnsi" w:cstheme="majorHAnsi"/>
          <w:color w:val="000000" w:themeColor="text1"/>
          <w:sz w:val="24"/>
          <w:szCs w:val="24"/>
          <w:lang w:val="ro-RO"/>
        </w:rPr>
        <w:t xml:space="preserve">Aplicarea incorectă de către Serviciul Vamal a legislației muncii și celei vamale a condiționat declanșarea unor litigii judiciare, </w:t>
      </w:r>
      <w:r w:rsidRPr="00200696">
        <w:rPr>
          <w:rFonts w:asciiTheme="majorHAnsi" w:hAnsiTheme="majorHAnsi" w:cstheme="majorHAnsi"/>
          <w:color w:val="000000" w:themeColor="text1"/>
          <w:sz w:val="24"/>
          <w:szCs w:val="24"/>
          <w:lang w:val="ro-MD"/>
        </w:rPr>
        <w:t>cu suportarea cheltuielilor suplimentare din buget în sumă de 0,6 mil.lei, în baza documentelor executorii.</w:t>
      </w:r>
    </w:p>
    <w:p w:rsidR="001D5AF9" w:rsidRPr="00200696" w:rsidRDefault="001D5AF9" w:rsidP="001D5AF9">
      <w:pPr>
        <w:rPr>
          <w:rFonts w:asciiTheme="majorHAnsi" w:hAnsiTheme="majorHAnsi" w:cstheme="majorHAnsi"/>
          <w:color w:val="000000" w:themeColor="text1"/>
          <w:sz w:val="24"/>
          <w:szCs w:val="24"/>
          <w:lang w:val="ro-MD"/>
        </w:rPr>
      </w:pPr>
      <w:r w:rsidRPr="00200696">
        <w:rPr>
          <w:rFonts w:asciiTheme="majorHAnsi" w:hAnsiTheme="majorHAnsi" w:cstheme="majorHAnsi"/>
          <w:b/>
          <w:color w:val="000000" w:themeColor="text1"/>
          <w:sz w:val="24"/>
          <w:szCs w:val="24"/>
          <w:shd w:val="clear" w:color="auto" w:fill="FFFFFF"/>
          <w:lang w:val="ro-MD"/>
        </w:rPr>
        <w:t>5.1</w:t>
      </w:r>
      <w:r w:rsidR="00D015F5" w:rsidRPr="00200696">
        <w:rPr>
          <w:rFonts w:asciiTheme="majorHAnsi" w:hAnsiTheme="majorHAnsi" w:cstheme="majorHAnsi"/>
          <w:b/>
          <w:color w:val="000000" w:themeColor="text1"/>
          <w:sz w:val="24"/>
          <w:szCs w:val="24"/>
          <w:shd w:val="clear" w:color="auto" w:fill="FFFFFF"/>
          <w:lang w:val="ro-MD"/>
        </w:rPr>
        <w:t>3</w:t>
      </w:r>
      <w:r w:rsidRPr="00200696">
        <w:rPr>
          <w:rFonts w:asciiTheme="majorHAnsi" w:hAnsiTheme="majorHAnsi" w:cstheme="majorHAnsi"/>
          <w:b/>
          <w:color w:val="000000" w:themeColor="text1"/>
          <w:sz w:val="24"/>
          <w:szCs w:val="24"/>
          <w:shd w:val="clear" w:color="auto" w:fill="FFFFFF"/>
          <w:lang w:val="ro-MD"/>
        </w:rPr>
        <w:t>.</w:t>
      </w:r>
      <w:r w:rsidRPr="00200696">
        <w:rPr>
          <w:rFonts w:asciiTheme="majorHAnsi" w:hAnsiTheme="majorHAnsi" w:cstheme="majorHAnsi"/>
          <w:color w:val="000000" w:themeColor="text1"/>
          <w:sz w:val="24"/>
          <w:szCs w:val="24"/>
          <w:shd w:val="clear" w:color="auto" w:fill="FFFFFF"/>
          <w:lang w:val="ro-MD"/>
        </w:rPr>
        <w:t xml:space="preserve"> P</w:t>
      </w:r>
      <w:r w:rsidRPr="00200696">
        <w:rPr>
          <w:rFonts w:asciiTheme="majorHAnsi" w:hAnsiTheme="majorHAnsi" w:cstheme="majorHAnsi"/>
          <w:color w:val="000000" w:themeColor="text1"/>
          <w:sz w:val="24"/>
          <w:szCs w:val="24"/>
          <w:shd w:val="clear" w:color="auto" w:fill="FFFFFF"/>
          <w:lang w:val="pt-BR"/>
        </w:rPr>
        <w:t xml:space="preserve">entru achitarea indemnizațiilor la încetarea acțiunii contractului de muncă, </w:t>
      </w:r>
      <w:r w:rsidRPr="00200696">
        <w:rPr>
          <w:rFonts w:asciiTheme="majorHAnsi" w:hAnsiTheme="majorHAnsi" w:cstheme="majorHAnsi"/>
          <w:color w:val="000000" w:themeColor="text1"/>
          <w:sz w:val="24"/>
          <w:szCs w:val="24"/>
          <w:shd w:val="clear" w:color="auto" w:fill="FFFFFF"/>
          <w:lang w:val="ro-MD"/>
        </w:rPr>
        <w:t xml:space="preserve">în anul </w:t>
      </w:r>
      <w:r w:rsidRPr="00200696">
        <w:rPr>
          <w:rFonts w:asciiTheme="majorHAnsi" w:hAnsiTheme="majorHAnsi" w:cstheme="majorHAnsi"/>
          <w:color w:val="000000" w:themeColor="text1"/>
          <w:sz w:val="24"/>
          <w:szCs w:val="24"/>
          <w:shd w:val="clear" w:color="auto" w:fill="FFFFFF"/>
          <w:lang w:val="pt-BR"/>
        </w:rPr>
        <w:t>2022 Serviciului Fiscal de Stat i-au fost aprobate resurse financiare în sumă de 2,6 mil</w:t>
      </w:r>
      <w:r w:rsidR="00DF6334" w:rsidRPr="00200696">
        <w:rPr>
          <w:rFonts w:asciiTheme="majorHAnsi" w:hAnsiTheme="majorHAnsi" w:cstheme="majorHAnsi"/>
          <w:color w:val="000000" w:themeColor="text1"/>
          <w:sz w:val="24"/>
          <w:szCs w:val="24"/>
          <w:shd w:val="clear" w:color="auto" w:fill="FFFFFF"/>
          <w:lang w:val="pt-BR"/>
        </w:rPr>
        <w:t>.</w:t>
      </w:r>
      <w:r w:rsidRPr="00200696">
        <w:rPr>
          <w:rFonts w:asciiTheme="majorHAnsi" w:hAnsiTheme="majorHAnsi" w:cstheme="majorHAnsi"/>
          <w:color w:val="000000" w:themeColor="text1"/>
          <w:sz w:val="24"/>
          <w:szCs w:val="24"/>
          <w:shd w:val="clear" w:color="auto" w:fill="FFFFFF"/>
          <w:lang w:val="pt-BR"/>
        </w:rPr>
        <w:t xml:space="preserve"> lei, </w:t>
      </w:r>
      <w:r w:rsidRPr="00200696">
        <w:rPr>
          <w:rFonts w:asciiTheme="majorHAnsi" w:hAnsiTheme="majorHAnsi" w:cstheme="majorHAnsi"/>
          <w:bCs/>
          <w:color w:val="000000" w:themeColor="text1"/>
          <w:sz w:val="24"/>
          <w:szCs w:val="24"/>
          <w:lang w:val="ro-RO"/>
        </w:rPr>
        <w:t>ulterior fiind precizate în sumă de 7,8 mil. lei, cheltuielile executate și efective însumând 5,5 mil.lei.</w:t>
      </w:r>
      <w:r w:rsidRPr="00200696">
        <w:rPr>
          <w:rFonts w:asciiTheme="majorHAnsi" w:hAnsiTheme="majorHAnsi" w:cstheme="majorHAnsi"/>
          <w:color w:val="000000" w:themeColor="text1"/>
          <w:sz w:val="24"/>
          <w:szCs w:val="24"/>
          <w:shd w:val="clear" w:color="auto" w:fill="FFFFFF"/>
          <w:lang w:val="pt-BR"/>
        </w:rPr>
        <w:t xml:space="preserve"> Creșterea cheltuielilor executate față de nivelul aprobat se datorează achitării, potrivit normei legale</w:t>
      </w:r>
      <w:r w:rsidRPr="00200696">
        <w:rPr>
          <w:rStyle w:val="a6"/>
          <w:rFonts w:asciiTheme="majorHAnsi" w:hAnsiTheme="majorHAnsi" w:cstheme="majorHAnsi"/>
          <w:color w:val="000000" w:themeColor="text1"/>
          <w:sz w:val="24"/>
          <w:szCs w:val="24"/>
          <w:shd w:val="clear" w:color="auto" w:fill="FFFFFF"/>
          <w:lang w:val="pt-BR"/>
        </w:rPr>
        <w:footnoteReference w:id="32"/>
      </w:r>
      <w:r w:rsidR="00DF6334" w:rsidRPr="00200696">
        <w:rPr>
          <w:rFonts w:asciiTheme="majorHAnsi" w:hAnsiTheme="majorHAnsi" w:cstheme="majorHAnsi"/>
          <w:color w:val="000000" w:themeColor="text1"/>
          <w:sz w:val="24"/>
          <w:szCs w:val="24"/>
          <w:shd w:val="clear" w:color="auto" w:fill="FFFFFF"/>
          <w:lang w:val="pt-BR"/>
        </w:rPr>
        <w:t>,</w:t>
      </w:r>
      <w:r w:rsidRPr="00200696">
        <w:rPr>
          <w:rFonts w:asciiTheme="majorHAnsi" w:hAnsiTheme="majorHAnsi" w:cstheme="majorHAnsi"/>
          <w:color w:val="000000" w:themeColor="text1"/>
          <w:sz w:val="24"/>
          <w:szCs w:val="24"/>
          <w:shd w:val="clear" w:color="auto" w:fill="FFFFFF"/>
          <w:lang w:val="pt-BR"/>
        </w:rPr>
        <w:t xml:space="preserve"> a </w:t>
      </w:r>
      <w:r w:rsidRPr="00200696">
        <w:rPr>
          <w:rFonts w:asciiTheme="majorHAnsi" w:hAnsiTheme="majorHAnsi" w:cstheme="majorHAnsi"/>
          <w:color w:val="000000" w:themeColor="text1"/>
          <w:sz w:val="24"/>
          <w:szCs w:val="24"/>
          <w:lang w:val="ro-RO"/>
        </w:rPr>
        <w:t xml:space="preserve">indemnizațiilor unice și a indemnizațiilor de șomer pentru 337 de angajați care au demisionat </w:t>
      </w:r>
      <w:r w:rsidR="00FF430A" w:rsidRPr="00200696">
        <w:rPr>
          <w:rFonts w:asciiTheme="majorHAnsi" w:hAnsiTheme="majorHAnsi" w:cstheme="majorHAnsi"/>
          <w:color w:val="000000" w:themeColor="text1"/>
          <w:sz w:val="24"/>
          <w:szCs w:val="24"/>
          <w:lang w:val="ro-RO"/>
        </w:rPr>
        <w:t xml:space="preserve">în </w:t>
      </w:r>
      <w:r w:rsidRPr="00200696">
        <w:rPr>
          <w:rFonts w:asciiTheme="majorHAnsi" w:hAnsiTheme="majorHAnsi" w:cstheme="majorHAnsi"/>
          <w:color w:val="000000" w:themeColor="text1"/>
          <w:sz w:val="24"/>
          <w:szCs w:val="24"/>
          <w:lang w:val="ro-RO"/>
        </w:rPr>
        <w:t>urma</w:t>
      </w:r>
      <w:r w:rsidR="00FF430A" w:rsidRPr="00200696">
        <w:rPr>
          <w:rFonts w:asciiTheme="majorHAnsi" w:hAnsiTheme="majorHAnsi" w:cstheme="majorHAnsi"/>
          <w:color w:val="000000" w:themeColor="text1"/>
          <w:sz w:val="24"/>
          <w:szCs w:val="24"/>
          <w:lang w:val="ro-RO"/>
        </w:rPr>
        <w:t xml:space="preserve"> </w:t>
      </w:r>
      <w:r w:rsidRPr="00200696">
        <w:rPr>
          <w:rFonts w:asciiTheme="majorHAnsi" w:hAnsiTheme="majorHAnsi" w:cstheme="majorHAnsi"/>
          <w:color w:val="000000" w:themeColor="text1"/>
          <w:sz w:val="24"/>
          <w:szCs w:val="24"/>
          <w:lang w:val="ro-RO"/>
        </w:rPr>
        <w:t xml:space="preserve"> procesului de reorganizare instituțională în anul 2022.</w:t>
      </w:r>
    </w:p>
    <w:p w:rsidR="00C22066" w:rsidRPr="00200696" w:rsidRDefault="00C22066" w:rsidP="00C22066">
      <w:pPr>
        <w:rPr>
          <w:rFonts w:asciiTheme="majorHAnsi" w:hAnsiTheme="majorHAnsi" w:cstheme="majorHAnsi"/>
          <w:b/>
          <w:color w:val="000000" w:themeColor="text1"/>
          <w:sz w:val="24"/>
          <w:szCs w:val="24"/>
          <w:lang w:val="ro-MD"/>
        </w:rPr>
      </w:pPr>
      <w:r w:rsidRPr="00200696">
        <w:rPr>
          <w:rFonts w:asciiTheme="majorHAnsi" w:hAnsiTheme="majorHAnsi" w:cstheme="majorHAnsi"/>
          <w:b/>
          <w:color w:val="000000" w:themeColor="text1"/>
          <w:sz w:val="24"/>
          <w:szCs w:val="24"/>
          <w:lang w:val="ro-MD"/>
        </w:rPr>
        <w:t>5.1</w:t>
      </w:r>
      <w:r w:rsidR="00D015F5" w:rsidRPr="00200696">
        <w:rPr>
          <w:rFonts w:asciiTheme="majorHAnsi" w:hAnsiTheme="majorHAnsi" w:cstheme="majorHAnsi"/>
          <w:b/>
          <w:color w:val="000000" w:themeColor="text1"/>
          <w:sz w:val="24"/>
          <w:szCs w:val="24"/>
          <w:lang w:val="ro-MD"/>
        </w:rPr>
        <w:t>4</w:t>
      </w:r>
      <w:r w:rsidRPr="00200696">
        <w:rPr>
          <w:rFonts w:asciiTheme="majorHAnsi" w:hAnsiTheme="majorHAnsi" w:cstheme="majorHAnsi"/>
          <w:b/>
          <w:color w:val="000000" w:themeColor="text1"/>
          <w:sz w:val="24"/>
          <w:szCs w:val="24"/>
          <w:lang w:val="ro-MD"/>
        </w:rPr>
        <w:t xml:space="preserve">. </w:t>
      </w:r>
      <w:r w:rsidRPr="00200696">
        <w:rPr>
          <w:rFonts w:asciiTheme="majorHAnsi" w:hAnsiTheme="majorHAnsi" w:cstheme="majorHAnsi"/>
          <w:color w:val="000000" w:themeColor="text1"/>
          <w:sz w:val="24"/>
          <w:szCs w:val="24"/>
          <w:shd w:val="clear" w:color="auto" w:fill="FFFFFF"/>
          <w:lang w:val="pt-BR"/>
        </w:rPr>
        <w:t xml:space="preserve">Potrivit Legii </w:t>
      </w:r>
      <w:r w:rsidRPr="00200696">
        <w:rPr>
          <w:rFonts w:asciiTheme="majorHAnsi" w:hAnsiTheme="majorHAnsi"/>
          <w:color w:val="000000" w:themeColor="text1"/>
          <w:sz w:val="24"/>
          <w:szCs w:val="24"/>
        </w:rPr>
        <w:t>nr.302 din 21.12.2017</w:t>
      </w:r>
      <w:r w:rsidRPr="00200696">
        <w:rPr>
          <w:rStyle w:val="a6"/>
          <w:rFonts w:asciiTheme="majorHAnsi" w:hAnsiTheme="majorHAnsi" w:cstheme="majorHAnsi"/>
          <w:color w:val="000000" w:themeColor="text1"/>
          <w:sz w:val="24"/>
          <w:szCs w:val="24"/>
          <w:shd w:val="clear" w:color="auto" w:fill="FFFFFF"/>
          <w:lang w:val="pt-BR"/>
        </w:rPr>
        <w:footnoteReference w:id="33"/>
      </w:r>
      <w:r w:rsidRPr="00200696">
        <w:rPr>
          <w:rFonts w:asciiTheme="majorHAnsi" w:hAnsiTheme="majorHAnsi" w:cstheme="majorHAnsi"/>
          <w:color w:val="000000" w:themeColor="text1"/>
          <w:sz w:val="24"/>
          <w:szCs w:val="24"/>
          <w:shd w:val="clear" w:color="auto" w:fill="FFFFFF"/>
          <w:lang w:val="pt-BR"/>
        </w:rPr>
        <w:t xml:space="preserve">, </w:t>
      </w:r>
      <w:r w:rsidRPr="00200696">
        <w:rPr>
          <w:rFonts w:asciiTheme="majorHAnsi" w:eastAsia="Times New Roman" w:hAnsiTheme="majorHAnsi" w:cs="Times New Roman"/>
          <w:color w:val="000000" w:themeColor="text1"/>
          <w:sz w:val="24"/>
          <w:szCs w:val="24"/>
          <w:lang w:val="pt-BR"/>
        </w:rPr>
        <w:t>Serviciul Vamal asigură formarea profesională iniţială şi continuă a funcţionarului vamal. </w:t>
      </w:r>
      <w:r w:rsidRPr="00200696">
        <w:rPr>
          <w:rFonts w:asciiTheme="majorHAnsi" w:eastAsia="Times New Roman" w:hAnsiTheme="majorHAnsi" w:cs="Times New Roman"/>
          <w:color w:val="000000" w:themeColor="text1"/>
          <w:sz w:val="24"/>
          <w:szCs w:val="24"/>
        </w:rPr>
        <w:t>Modul de organizare și desfășurare a procesului de dezvoltare profesională continuă a funcționarilor vamali se stabilește prin Regulamentul intern al entității</w:t>
      </w:r>
      <w:r w:rsidRPr="00200696">
        <w:rPr>
          <w:rStyle w:val="a6"/>
          <w:rFonts w:asciiTheme="majorHAnsi" w:eastAsia="Times New Roman" w:hAnsiTheme="majorHAnsi" w:cs="Times New Roman"/>
          <w:color w:val="000000" w:themeColor="text1"/>
          <w:sz w:val="24"/>
          <w:szCs w:val="24"/>
        </w:rPr>
        <w:footnoteReference w:id="34"/>
      </w:r>
      <w:r w:rsidRPr="00200696">
        <w:rPr>
          <w:rFonts w:asciiTheme="majorHAnsi" w:eastAsia="Times New Roman" w:hAnsiTheme="majorHAnsi" w:cs="Times New Roman"/>
          <w:color w:val="000000" w:themeColor="text1"/>
          <w:sz w:val="24"/>
          <w:szCs w:val="24"/>
        </w:rPr>
        <w:t>.</w:t>
      </w:r>
    </w:p>
    <w:p w:rsidR="00C22066" w:rsidRPr="00200696" w:rsidRDefault="00C22066" w:rsidP="00C22066">
      <w:pPr>
        <w:spacing w:after="120" w:line="276" w:lineRule="auto"/>
        <w:rPr>
          <w:rFonts w:asciiTheme="majorHAnsi" w:hAnsiTheme="majorHAnsi" w:cstheme="majorHAnsi"/>
          <w:color w:val="000000" w:themeColor="text1"/>
          <w:sz w:val="24"/>
          <w:szCs w:val="24"/>
          <w:shd w:val="clear" w:color="auto" w:fill="FFFFFF"/>
          <w:lang w:val="pt-BR"/>
        </w:rPr>
      </w:pPr>
      <w:r w:rsidRPr="00200696">
        <w:rPr>
          <w:rFonts w:asciiTheme="majorHAnsi" w:hAnsiTheme="majorHAnsi" w:cstheme="majorHAnsi"/>
          <w:color w:val="000000" w:themeColor="text1"/>
          <w:sz w:val="24"/>
          <w:szCs w:val="24"/>
          <w:shd w:val="clear" w:color="auto" w:fill="FFFFFF"/>
          <w:lang w:val="pt-BR"/>
        </w:rPr>
        <w:t>În anul 2022, pentru formarea profesională a colaboratorilor vamali, Serviciului Vamal i-au fost precizate resurse financiare în sumă de 0,4 mil.lei, cheltuielile executate și cele efective însumând 0,3 mil.lei. În totalul cheltuielilor executate, ponderea majoră o dețin cheltuielile Centrului de instruire</w:t>
      </w:r>
      <w:r w:rsidRPr="00200696">
        <w:rPr>
          <w:rStyle w:val="a6"/>
          <w:rFonts w:asciiTheme="majorHAnsi" w:hAnsiTheme="majorHAnsi" w:cstheme="majorHAnsi"/>
          <w:color w:val="000000" w:themeColor="text1"/>
          <w:sz w:val="24"/>
          <w:szCs w:val="24"/>
          <w:shd w:val="clear" w:color="auto" w:fill="FFFFFF"/>
          <w:lang w:val="pt-BR"/>
        </w:rPr>
        <w:footnoteReference w:id="35"/>
      </w:r>
      <w:r w:rsidRPr="00200696">
        <w:rPr>
          <w:rFonts w:asciiTheme="majorHAnsi" w:hAnsiTheme="majorHAnsi" w:cstheme="majorHAnsi"/>
          <w:color w:val="000000" w:themeColor="text1"/>
          <w:sz w:val="24"/>
          <w:szCs w:val="24"/>
          <w:shd w:val="clear" w:color="auto" w:fill="FFFFFF"/>
          <w:lang w:val="pt-BR"/>
        </w:rPr>
        <w:t xml:space="preserve"> - subdiviziune internă, cu statut de Direcție, în sumă de 0,2 mil.lei. Testele auditului asupra plenitudinii calculării și achitării salariului pentru formatorii din cadrul Serviciului Vamal implicați în moderarea orelor de instruire nu au stabilit abateri de la cadrul normativ</w:t>
      </w:r>
      <w:r w:rsidRPr="00200696">
        <w:rPr>
          <w:rStyle w:val="a6"/>
          <w:rFonts w:asciiTheme="majorHAnsi" w:hAnsiTheme="majorHAnsi" w:cstheme="majorHAnsi"/>
          <w:color w:val="000000" w:themeColor="text1"/>
          <w:sz w:val="24"/>
          <w:szCs w:val="24"/>
          <w:shd w:val="clear" w:color="auto" w:fill="FFFFFF"/>
          <w:lang w:val="pt-BR"/>
        </w:rPr>
        <w:footnoteReference w:id="36"/>
      </w:r>
      <w:r w:rsidRPr="00200696">
        <w:rPr>
          <w:rFonts w:asciiTheme="majorHAnsi" w:hAnsiTheme="majorHAnsi" w:cstheme="majorHAnsi"/>
          <w:color w:val="000000" w:themeColor="text1"/>
          <w:sz w:val="24"/>
          <w:szCs w:val="24"/>
          <w:shd w:val="clear" w:color="auto" w:fill="FFFFFF"/>
          <w:lang w:val="pt-BR"/>
        </w:rPr>
        <w:t>. Totodată, se menționează despre executarea integrală a contractelor privind achiziționarea serviciilor de instruire în anul 2022, încheiate legal</w:t>
      </w:r>
      <w:r w:rsidRPr="00200696">
        <w:rPr>
          <w:rStyle w:val="a6"/>
          <w:rFonts w:asciiTheme="majorHAnsi" w:hAnsiTheme="majorHAnsi" w:cstheme="majorHAnsi"/>
          <w:color w:val="000000" w:themeColor="text1"/>
          <w:sz w:val="24"/>
          <w:szCs w:val="24"/>
          <w:shd w:val="clear" w:color="auto" w:fill="FFFFFF"/>
          <w:lang w:val="pt-BR"/>
        </w:rPr>
        <w:footnoteReference w:id="37"/>
      </w:r>
      <w:r w:rsidRPr="00200696">
        <w:rPr>
          <w:rFonts w:asciiTheme="majorHAnsi" w:hAnsiTheme="majorHAnsi" w:cstheme="majorHAnsi"/>
          <w:color w:val="000000" w:themeColor="text1"/>
          <w:sz w:val="24"/>
          <w:szCs w:val="24"/>
          <w:shd w:val="clear" w:color="auto" w:fill="FFFFFF"/>
          <w:lang w:val="pt-BR"/>
        </w:rPr>
        <w:t xml:space="preserve"> cu alte autorități administrative de profil, executarea acestora fiind confirmată prin acte de primire-predare și facturi fiscale.</w:t>
      </w:r>
    </w:p>
    <w:p w:rsidR="00EF6895" w:rsidRPr="00200696" w:rsidRDefault="00EF6895" w:rsidP="0034116B">
      <w:pPr>
        <w:pStyle w:val="ab"/>
        <w:tabs>
          <w:tab w:val="left" w:pos="720"/>
        </w:tabs>
        <w:spacing w:before="0" w:after="120"/>
        <w:ind w:left="0"/>
        <w:jc w:val="left"/>
        <w:rPr>
          <w:rFonts w:asciiTheme="majorHAnsi" w:hAnsiTheme="majorHAnsi" w:cstheme="majorHAnsi"/>
          <w:b/>
          <w:bCs/>
          <w:color w:val="000000" w:themeColor="text1"/>
          <w:sz w:val="24"/>
          <w:szCs w:val="24"/>
          <w:lang w:val="ro-RO"/>
        </w:rPr>
      </w:pPr>
    </w:p>
    <w:p w:rsidR="004A6C78" w:rsidRPr="00200696" w:rsidRDefault="00240776" w:rsidP="0034116B">
      <w:pPr>
        <w:pStyle w:val="ab"/>
        <w:tabs>
          <w:tab w:val="left" w:pos="720"/>
        </w:tabs>
        <w:spacing w:before="0" w:after="120"/>
        <w:ind w:left="0"/>
        <w:jc w:val="left"/>
        <w:rPr>
          <w:rFonts w:asciiTheme="majorHAnsi" w:hAnsiTheme="majorHAnsi" w:cstheme="majorHAnsi"/>
          <w:b/>
          <w:color w:val="000000" w:themeColor="text1"/>
          <w:szCs w:val="28"/>
          <w:lang w:val="ro-RO"/>
        </w:rPr>
      </w:pPr>
      <w:r w:rsidRPr="00200696">
        <w:rPr>
          <w:rFonts w:asciiTheme="majorHAnsi" w:hAnsiTheme="majorHAnsi" w:cstheme="majorHAnsi"/>
          <w:b/>
          <w:bCs/>
          <w:color w:val="000000" w:themeColor="text1"/>
          <w:szCs w:val="28"/>
          <w:lang w:val="ro-RO"/>
        </w:rPr>
        <w:t xml:space="preserve">VI. </w:t>
      </w:r>
      <w:r w:rsidR="004A6C78" w:rsidRPr="00200696">
        <w:rPr>
          <w:rFonts w:asciiTheme="majorHAnsi" w:hAnsiTheme="majorHAnsi" w:cstheme="majorHAnsi"/>
          <w:b/>
          <w:bCs/>
          <w:color w:val="000000" w:themeColor="text1"/>
          <w:szCs w:val="28"/>
          <w:lang w:val="ro-RO"/>
        </w:rPr>
        <w:t>RESPONSABILITĂȚILE CONDUCERII PENTRU RAPOARTELE FINANCIARE</w:t>
      </w:r>
    </w:p>
    <w:p w:rsidR="004A6C78" w:rsidRPr="00200696" w:rsidRDefault="004A6C78" w:rsidP="003E6C69">
      <w:pPr>
        <w:spacing w:after="120"/>
        <w:rPr>
          <w:rFonts w:asciiTheme="majorHAnsi" w:hAnsiTheme="majorHAnsi" w:cstheme="majorHAnsi"/>
          <w:color w:val="000000" w:themeColor="text1"/>
          <w:sz w:val="24"/>
          <w:szCs w:val="24"/>
          <w:lang w:val="ro-RO"/>
        </w:rPr>
      </w:pPr>
      <w:r w:rsidRPr="00200696">
        <w:rPr>
          <w:rFonts w:asciiTheme="majorHAnsi" w:hAnsiTheme="majorHAnsi" w:cstheme="majorHAnsi"/>
          <w:color w:val="000000" w:themeColor="text1"/>
          <w:sz w:val="24"/>
          <w:szCs w:val="24"/>
          <w:lang w:val="ro-RO"/>
        </w:rPr>
        <w:t xml:space="preserve">Ministrul </w:t>
      </w:r>
      <w:r w:rsidR="002A194B" w:rsidRPr="00200696">
        <w:rPr>
          <w:rFonts w:asciiTheme="majorHAnsi" w:hAnsiTheme="majorHAnsi" w:cstheme="majorHAnsi"/>
          <w:color w:val="000000" w:themeColor="text1"/>
          <w:sz w:val="24"/>
          <w:szCs w:val="24"/>
          <w:lang w:val="ro-RO"/>
        </w:rPr>
        <w:t>F</w:t>
      </w:r>
      <w:r w:rsidR="0034116B" w:rsidRPr="00200696">
        <w:rPr>
          <w:rFonts w:asciiTheme="majorHAnsi" w:hAnsiTheme="majorHAnsi" w:cstheme="majorHAnsi"/>
          <w:color w:val="000000" w:themeColor="text1"/>
          <w:sz w:val="24"/>
          <w:szCs w:val="24"/>
          <w:lang w:val="ro-RO"/>
        </w:rPr>
        <w:t>inanțelor</w:t>
      </w:r>
      <w:r w:rsidRPr="00200696">
        <w:rPr>
          <w:rFonts w:asciiTheme="majorHAnsi" w:hAnsiTheme="majorHAnsi" w:cstheme="majorHAnsi"/>
          <w:color w:val="000000" w:themeColor="text1"/>
          <w:sz w:val="24"/>
          <w:szCs w:val="24"/>
          <w:lang w:val="ro-RO"/>
        </w:rPr>
        <w:t>, în calitate de conducător al organului central de specialitate al administrației publice, este responsabil de întocmirea, semnarea și prezentarea corectă și fidelă a rapoartelor financiare consolidate</w:t>
      </w:r>
      <w:r w:rsidRPr="00200696">
        <w:rPr>
          <w:rStyle w:val="a6"/>
          <w:rFonts w:asciiTheme="majorHAnsi" w:hAnsiTheme="majorHAnsi" w:cstheme="majorHAnsi"/>
          <w:color w:val="000000" w:themeColor="text1"/>
          <w:sz w:val="24"/>
          <w:szCs w:val="24"/>
          <w:lang w:val="ro-RO"/>
        </w:rPr>
        <w:footnoteReference w:id="38"/>
      </w:r>
      <w:r w:rsidRPr="00200696">
        <w:rPr>
          <w:rFonts w:asciiTheme="majorHAnsi" w:hAnsiTheme="majorHAnsi" w:cstheme="majorHAnsi"/>
          <w:color w:val="000000" w:themeColor="text1"/>
          <w:sz w:val="24"/>
          <w:szCs w:val="24"/>
          <w:lang w:val="ro-RO"/>
        </w:rPr>
        <w:t xml:space="preserve"> în conformitate cu cadrul de raportare financiară aplicabil</w:t>
      </w:r>
      <w:r w:rsidRPr="00200696">
        <w:rPr>
          <w:rStyle w:val="a6"/>
          <w:rFonts w:asciiTheme="majorHAnsi" w:hAnsiTheme="majorHAnsi" w:cstheme="majorHAnsi"/>
          <w:color w:val="000000" w:themeColor="text1"/>
          <w:sz w:val="24"/>
          <w:szCs w:val="24"/>
          <w:lang w:val="ro-RO"/>
        </w:rPr>
        <w:footnoteReference w:id="39"/>
      </w:r>
      <w:r w:rsidRPr="00200696">
        <w:rPr>
          <w:rFonts w:asciiTheme="majorHAnsi" w:hAnsiTheme="majorHAnsi" w:cstheme="majorHAnsi"/>
          <w:color w:val="000000" w:themeColor="text1"/>
          <w:sz w:val="24"/>
          <w:szCs w:val="24"/>
          <w:lang w:val="ro-RO"/>
        </w:rPr>
        <w:t>, precum și de organizarea controlului intern managerial, pentru a asigura desfășurarea organizată și eficientă a activității economice a entității, inclusiv respectarea strictă a integrității activelor, prevenirea și descoperirea cauzelor de fraudă și/sau eroare, exactitatea și plenitudinea înregistrărilor contabile, precum și pregătirea oportună a unor informații financiare credibile.</w:t>
      </w:r>
    </w:p>
    <w:p w:rsidR="004A6C78" w:rsidRPr="00200696" w:rsidRDefault="00240776" w:rsidP="003E6C69">
      <w:pPr>
        <w:pStyle w:val="ab"/>
        <w:tabs>
          <w:tab w:val="left" w:pos="720"/>
        </w:tabs>
        <w:spacing w:before="0" w:after="120"/>
        <w:ind w:left="0"/>
        <w:jc w:val="left"/>
        <w:rPr>
          <w:rFonts w:asciiTheme="majorHAnsi" w:hAnsiTheme="majorHAnsi" w:cstheme="majorHAnsi"/>
          <w:b/>
          <w:color w:val="000000" w:themeColor="text1"/>
          <w:szCs w:val="28"/>
          <w:lang w:val="ro-RO"/>
        </w:rPr>
      </w:pPr>
      <w:r w:rsidRPr="00200696">
        <w:rPr>
          <w:rFonts w:asciiTheme="majorHAnsi" w:hAnsiTheme="majorHAnsi" w:cstheme="majorHAnsi"/>
          <w:b/>
          <w:bCs/>
          <w:color w:val="000000" w:themeColor="text1"/>
          <w:szCs w:val="28"/>
          <w:lang w:val="ro-RO"/>
        </w:rPr>
        <w:t xml:space="preserve">VII. </w:t>
      </w:r>
      <w:r w:rsidR="004A6C78" w:rsidRPr="00200696">
        <w:rPr>
          <w:rFonts w:asciiTheme="majorHAnsi" w:hAnsiTheme="majorHAnsi" w:cstheme="majorHAnsi"/>
          <w:b/>
          <w:bCs/>
          <w:color w:val="000000" w:themeColor="text1"/>
          <w:szCs w:val="28"/>
          <w:lang w:val="ro-RO"/>
        </w:rPr>
        <w:t>RESPONSABILITĂȚILE AUDITORULUI ÎNTR-UN AUDIT AL RAPOARTELOR FINANCIARE</w:t>
      </w:r>
    </w:p>
    <w:p w:rsidR="004A6C78" w:rsidRPr="00200696" w:rsidRDefault="004A6C78" w:rsidP="0034116B">
      <w:pPr>
        <w:autoSpaceDE w:val="0"/>
        <w:autoSpaceDN w:val="0"/>
        <w:adjustRightInd w:val="0"/>
        <w:spacing w:after="0" w:line="276" w:lineRule="auto"/>
        <w:ind w:right="-23"/>
        <w:rPr>
          <w:rFonts w:asciiTheme="majorHAnsi" w:hAnsiTheme="majorHAnsi" w:cstheme="majorHAnsi"/>
          <w:color w:val="000000" w:themeColor="text1"/>
          <w:sz w:val="24"/>
          <w:szCs w:val="24"/>
          <w:lang w:val="ro-RO"/>
        </w:rPr>
      </w:pPr>
      <w:r w:rsidRPr="00200696">
        <w:rPr>
          <w:rFonts w:asciiTheme="majorHAnsi" w:hAnsiTheme="majorHAnsi" w:cstheme="majorHAnsi"/>
          <w:color w:val="000000" w:themeColor="text1"/>
          <w:sz w:val="24"/>
          <w:szCs w:val="24"/>
          <w:lang w:val="ro-RO"/>
        </w:rPr>
        <w:t>Responsabilitatea noastră este de a planifica și a realiza misiunea de audit, cu obținerea probelor suficiente și adecvate în vederea susținerii bazei pentru opinia de audit. Obiectivele noastre sunt: obținerea unei asigurări rezonabile că rapoartele financiare consolidate nu sunt afectate de denaturări semnificative, cauzate de fraude sau erori, precum și emiterea unei opinii.</w:t>
      </w:r>
    </w:p>
    <w:p w:rsidR="004A6C78" w:rsidRPr="00200696" w:rsidRDefault="004A6C78" w:rsidP="0048195E">
      <w:pPr>
        <w:autoSpaceDE w:val="0"/>
        <w:autoSpaceDN w:val="0"/>
        <w:adjustRightInd w:val="0"/>
        <w:spacing w:after="120" w:line="276" w:lineRule="auto"/>
        <w:ind w:right="-23"/>
        <w:rPr>
          <w:rFonts w:asciiTheme="majorHAnsi" w:hAnsiTheme="majorHAnsi" w:cstheme="majorHAnsi"/>
          <w:color w:val="000000" w:themeColor="text1"/>
          <w:sz w:val="24"/>
          <w:szCs w:val="24"/>
          <w:lang w:val="ro-RO"/>
        </w:rPr>
      </w:pPr>
      <w:r w:rsidRPr="00200696">
        <w:rPr>
          <w:rFonts w:asciiTheme="majorHAnsi" w:hAnsiTheme="majorHAnsi" w:cstheme="majorHAnsi"/>
          <w:color w:val="000000" w:themeColor="text1"/>
          <w:sz w:val="24"/>
          <w:szCs w:val="24"/>
          <w:lang w:val="ro-RO"/>
        </w:rPr>
        <w:t xml:space="preserve">Asigurarea rezonabilă este un nivel ridicat de asigurare, dar nu o garanție că un audit efectuat în conformitate cu Standardele Internaționale va detecta întotdeauna o denaturare semnificativă atunci când ea există. Denaturările pot fi urmarea fraudelor sau erorilor. Totodată, denaturările pot fi considerate semnificative dacă, în mod individual sau în ansamblu, pot influența deciziile economice ale utilizatorilor acestor rapoarte financiare consolidate. </w:t>
      </w:r>
    </w:p>
    <w:p w:rsidR="004A6C78" w:rsidRPr="00200696" w:rsidRDefault="004A6C78" w:rsidP="0048195E">
      <w:pPr>
        <w:pStyle w:val="Default"/>
        <w:spacing w:after="120" w:line="276" w:lineRule="auto"/>
        <w:ind w:right="-24"/>
        <w:jc w:val="both"/>
        <w:rPr>
          <w:rFonts w:asciiTheme="majorHAnsi" w:hAnsiTheme="majorHAnsi" w:cstheme="majorHAnsi"/>
          <w:i/>
          <w:iCs/>
          <w:color w:val="000000" w:themeColor="text1"/>
          <w:lang w:val="ro-RO"/>
        </w:rPr>
      </w:pPr>
      <w:r w:rsidRPr="00200696">
        <w:rPr>
          <w:rFonts w:asciiTheme="majorHAnsi" w:hAnsiTheme="majorHAnsi" w:cstheme="majorHAnsi"/>
          <w:color w:val="000000" w:themeColor="text1"/>
          <w:lang w:val="ro-RO"/>
        </w:rPr>
        <w:t>O descriere suplimentară a responsabilităților auditorului într-un audit al rapoartelor financiare este plasată pe site-ul Curții de Conturi, la adresa</w:t>
      </w:r>
      <w:r w:rsidR="00DE7A28" w:rsidRPr="00200696">
        <w:rPr>
          <w:rFonts w:asciiTheme="majorHAnsi" w:hAnsiTheme="majorHAnsi" w:cstheme="majorHAnsi"/>
          <w:i/>
          <w:iCs/>
          <w:color w:val="000000" w:themeColor="text1"/>
          <w:lang w:val="ro-RO"/>
        </w:rPr>
        <w:t xml:space="preserve">: </w:t>
      </w:r>
      <w:hyperlink r:id="rId11" w:tgtFrame="_blank" w:history="1">
        <w:r w:rsidR="00DE7A28" w:rsidRPr="00200696">
          <w:rPr>
            <w:rStyle w:val="a3"/>
            <w:rFonts w:asciiTheme="majorHAnsi" w:hAnsiTheme="majorHAnsi"/>
            <w:i/>
            <w:color w:val="000000" w:themeColor="text1"/>
            <w:shd w:val="clear" w:color="auto" w:fill="FFFFFF"/>
            <w:lang w:val="ro-RO"/>
          </w:rPr>
          <w:t>https://www.ccrm.md/ro/responsabilitati-in-auditul-financiar-3596.html</w:t>
        </w:r>
      </w:hyperlink>
      <w:r w:rsidR="00DE7A28" w:rsidRPr="00200696">
        <w:rPr>
          <w:rFonts w:asciiTheme="majorHAnsi" w:hAnsiTheme="majorHAnsi"/>
          <w:i/>
          <w:color w:val="000000" w:themeColor="text1"/>
        </w:rPr>
        <w:t>.</w:t>
      </w:r>
      <w:r w:rsidR="00DE7A28" w:rsidRPr="00200696">
        <w:rPr>
          <w:rFonts w:asciiTheme="majorHAnsi" w:hAnsiTheme="majorHAnsi" w:cstheme="majorHAnsi"/>
          <w:i/>
          <w:iCs/>
          <w:color w:val="000000" w:themeColor="text1"/>
          <w:lang w:val="ro-RO"/>
        </w:rPr>
        <w:t xml:space="preserve"> </w:t>
      </w:r>
      <w:r w:rsidRPr="00200696">
        <w:rPr>
          <w:rFonts w:asciiTheme="majorHAnsi" w:hAnsiTheme="majorHAnsi" w:cstheme="majorHAnsi"/>
          <w:color w:val="000000" w:themeColor="text1"/>
          <w:lang w:val="ro-RO"/>
        </w:rPr>
        <w:t>Această descriere face parte din Raportul nostru de audit.</w:t>
      </w:r>
    </w:p>
    <w:p w:rsidR="009820F8" w:rsidRDefault="009820F8" w:rsidP="009820F8">
      <w:pPr>
        <w:pStyle w:val="Default"/>
        <w:spacing w:line="276" w:lineRule="auto"/>
        <w:ind w:right="-23"/>
        <w:jc w:val="both"/>
        <w:rPr>
          <w:rFonts w:asciiTheme="majorHAnsi" w:hAnsiTheme="majorHAnsi" w:cstheme="majorHAnsi"/>
          <w:b/>
          <w:i/>
          <w:color w:val="000000" w:themeColor="text1"/>
          <w:lang w:val="ro-RO"/>
        </w:rPr>
      </w:pPr>
    </w:p>
    <w:p w:rsidR="009820F8" w:rsidRPr="00200696" w:rsidRDefault="009820F8" w:rsidP="009820F8">
      <w:pPr>
        <w:pStyle w:val="Default"/>
        <w:spacing w:line="276" w:lineRule="auto"/>
        <w:ind w:right="-23"/>
        <w:jc w:val="both"/>
        <w:rPr>
          <w:rFonts w:asciiTheme="majorHAnsi" w:hAnsiTheme="majorHAnsi" w:cstheme="majorHAnsi"/>
          <w:b/>
          <w:i/>
          <w:color w:val="000000" w:themeColor="text1"/>
          <w:lang w:val="ro-RO"/>
        </w:rPr>
      </w:pPr>
      <w:r w:rsidRPr="00200696">
        <w:rPr>
          <w:rFonts w:asciiTheme="majorHAnsi" w:hAnsiTheme="majorHAnsi" w:cstheme="majorHAnsi"/>
          <w:b/>
          <w:i/>
          <w:color w:val="000000" w:themeColor="text1"/>
          <w:lang w:val="ro-RO"/>
        </w:rPr>
        <w:t>Responsabil de întocmirea Raportului de audit:</w:t>
      </w:r>
    </w:p>
    <w:p w:rsidR="009820F8" w:rsidRPr="00200696" w:rsidRDefault="009820F8" w:rsidP="003F4014">
      <w:pPr>
        <w:pStyle w:val="Default"/>
        <w:spacing w:after="120" w:line="276" w:lineRule="auto"/>
        <w:ind w:right="-23"/>
        <w:jc w:val="both"/>
        <w:rPr>
          <w:rFonts w:asciiTheme="majorHAnsi" w:hAnsiTheme="majorHAnsi" w:cstheme="majorHAnsi"/>
          <w:b/>
          <w:color w:val="000000" w:themeColor="text1"/>
          <w:lang w:val="ro-RO"/>
        </w:rPr>
      </w:pPr>
      <w:r w:rsidRPr="00200696">
        <w:rPr>
          <w:rFonts w:asciiTheme="majorHAnsi" w:hAnsiTheme="majorHAnsi" w:cstheme="majorHAnsi"/>
          <w:color w:val="000000" w:themeColor="text1"/>
          <w:lang w:val="ro-RO"/>
        </w:rPr>
        <w:t xml:space="preserve">Șeful echipei de audit                                                                                    </w:t>
      </w:r>
      <w:r w:rsidR="00DE7A28" w:rsidRPr="00200696">
        <w:rPr>
          <w:rFonts w:asciiTheme="majorHAnsi" w:hAnsiTheme="majorHAnsi" w:cstheme="majorHAnsi"/>
          <w:color w:val="000000" w:themeColor="text1"/>
          <w:lang w:val="ro-RO"/>
        </w:rPr>
        <w:t xml:space="preserve">                               </w:t>
      </w:r>
      <w:r w:rsidRPr="00200696">
        <w:rPr>
          <w:rFonts w:asciiTheme="majorHAnsi" w:hAnsiTheme="majorHAnsi" w:cstheme="majorHAnsi"/>
          <w:b/>
          <w:color w:val="000000" w:themeColor="text1"/>
          <w:lang w:val="ro-RO"/>
        </w:rPr>
        <w:t>Ion Bulmaga</w:t>
      </w:r>
    </w:p>
    <w:p w:rsidR="009820F8" w:rsidRPr="00200696" w:rsidRDefault="009820F8" w:rsidP="003F4014">
      <w:pPr>
        <w:pStyle w:val="Default"/>
        <w:spacing w:line="276" w:lineRule="auto"/>
        <w:ind w:right="-23"/>
        <w:jc w:val="both"/>
        <w:rPr>
          <w:rFonts w:asciiTheme="majorHAnsi" w:hAnsiTheme="majorHAnsi" w:cstheme="majorHAnsi"/>
          <w:b/>
          <w:i/>
          <w:color w:val="000000" w:themeColor="text1"/>
          <w:lang w:val="ro-RO"/>
        </w:rPr>
      </w:pPr>
      <w:r w:rsidRPr="00200696">
        <w:rPr>
          <w:rFonts w:asciiTheme="majorHAnsi" w:hAnsiTheme="majorHAnsi" w:cstheme="majorHAnsi"/>
          <w:b/>
          <w:i/>
          <w:color w:val="000000" w:themeColor="text1"/>
          <w:lang w:val="ro-RO"/>
        </w:rPr>
        <w:t>Membrii echipei de audit:</w:t>
      </w:r>
    </w:p>
    <w:p w:rsidR="009820F8" w:rsidRPr="00200696" w:rsidRDefault="009820F8" w:rsidP="003F4014">
      <w:pPr>
        <w:pStyle w:val="Default"/>
        <w:spacing w:line="276" w:lineRule="auto"/>
        <w:ind w:right="-23"/>
        <w:jc w:val="both"/>
        <w:rPr>
          <w:rFonts w:asciiTheme="majorHAnsi" w:hAnsiTheme="majorHAnsi" w:cstheme="majorHAnsi"/>
          <w:b/>
          <w:color w:val="000000" w:themeColor="text1"/>
          <w:lang w:val="ro-RO"/>
        </w:rPr>
      </w:pPr>
      <w:r w:rsidRPr="00200696">
        <w:rPr>
          <w:rFonts w:asciiTheme="majorHAnsi" w:hAnsiTheme="majorHAnsi" w:cstheme="majorHAnsi"/>
          <w:color w:val="000000" w:themeColor="text1"/>
          <w:lang w:val="ro-RO"/>
        </w:rPr>
        <w:t xml:space="preserve">Auditor public principal                                                                                       </w:t>
      </w:r>
      <w:r w:rsidR="00DE7A28" w:rsidRPr="00200696">
        <w:rPr>
          <w:rFonts w:asciiTheme="majorHAnsi" w:hAnsiTheme="majorHAnsi" w:cstheme="majorHAnsi"/>
          <w:color w:val="000000" w:themeColor="text1"/>
          <w:lang w:val="ro-RO"/>
        </w:rPr>
        <w:t xml:space="preserve">                         </w:t>
      </w:r>
      <w:r w:rsidRPr="00200696">
        <w:rPr>
          <w:rFonts w:asciiTheme="majorHAnsi" w:hAnsiTheme="majorHAnsi" w:cstheme="majorHAnsi"/>
          <w:b/>
          <w:color w:val="000000" w:themeColor="text1"/>
          <w:lang w:val="ro-RO"/>
        </w:rPr>
        <w:t>Tudor Suhan</w:t>
      </w:r>
    </w:p>
    <w:p w:rsidR="00DE7A28" w:rsidRPr="00200696" w:rsidRDefault="00DE7A28" w:rsidP="003F4014">
      <w:pPr>
        <w:pStyle w:val="Default"/>
        <w:spacing w:after="120" w:line="276" w:lineRule="auto"/>
        <w:ind w:right="-23"/>
        <w:jc w:val="both"/>
        <w:rPr>
          <w:rFonts w:asciiTheme="majorHAnsi" w:hAnsiTheme="majorHAnsi" w:cstheme="majorHAnsi"/>
          <w:b/>
          <w:color w:val="000000" w:themeColor="text1"/>
          <w:lang w:val="ro-RO"/>
        </w:rPr>
      </w:pPr>
      <w:r w:rsidRPr="00200696">
        <w:rPr>
          <w:rFonts w:asciiTheme="majorHAnsi" w:hAnsiTheme="majorHAnsi" w:cstheme="majorHAnsi"/>
          <w:color w:val="000000" w:themeColor="text1"/>
          <w:lang w:val="ro-RO"/>
        </w:rPr>
        <w:t xml:space="preserve">Auditor public principal                                                                                                                </w:t>
      </w:r>
      <w:r w:rsidRPr="00200696">
        <w:rPr>
          <w:rFonts w:asciiTheme="majorHAnsi" w:hAnsiTheme="majorHAnsi" w:cstheme="majorHAnsi"/>
          <w:b/>
          <w:color w:val="000000" w:themeColor="text1"/>
          <w:lang w:val="ro-RO"/>
        </w:rPr>
        <w:t>Tudor Sula</w:t>
      </w:r>
    </w:p>
    <w:p w:rsidR="00DE7A28" w:rsidRPr="00200696" w:rsidRDefault="00DE7A28" w:rsidP="003F4014">
      <w:pPr>
        <w:pStyle w:val="Default"/>
        <w:spacing w:line="276" w:lineRule="auto"/>
        <w:ind w:right="-23"/>
        <w:jc w:val="both"/>
        <w:rPr>
          <w:rFonts w:asciiTheme="majorHAnsi" w:hAnsiTheme="majorHAnsi" w:cstheme="majorHAnsi"/>
          <w:b/>
          <w:i/>
          <w:color w:val="000000" w:themeColor="text1"/>
          <w:lang w:val="ro-RO"/>
        </w:rPr>
      </w:pPr>
      <w:r w:rsidRPr="00200696">
        <w:rPr>
          <w:rFonts w:asciiTheme="majorHAnsi" w:hAnsiTheme="majorHAnsi" w:cstheme="majorHAnsi"/>
          <w:b/>
          <w:i/>
          <w:color w:val="000000" w:themeColor="text1"/>
          <w:lang w:val="ro-RO"/>
        </w:rPr>
        <w:t>Responsabil de audit</w:t>
      </w:r>
      <w:r w:rsidR="001F5E16" w:rsidRPr="00200696">
        <w:rPr>
          <w:rFonts w:asciiTheme="majorHAnsi" w:hAnsiTheme="majorHAnsi" w:cstheme="majorHAnsi"/>
          <w:b/>
          <w:i/>
          <w:color w:val="000000" w:themeColor="text1"/>
          <w:lang w:val="ro-RO"/>
        </w:rPr>
        <w:t>:</w:t>
      </w:r>
    </w:p>
    <w:p w:rsidR="004A6C78" w:rsidRDefault="00DE7A28" w:rsidP="003F4014">
      <w:pPr>
        <w:pStyle w:val="Default"/>
        <w:spacing w:line="276" w:lineRule="auto"/>
        <w:ind w:right="-23"/>
        <w:jc w:val="both"/>
        <w:rPr>
          <w:rFonts w:asciiTheme="majorHAnsi" w:hAnsiTheme="majorHAnsi" w:cstheme="majorHAnsi"/>
          <w:b/>
          <w:color w:val="000000" w:themeColor="text1"/>
          <w:lang w:val="ro-RO"/>
        </w:rPr>
      </w:pPr>
      <w:r w:rsidRPr="00200696">
        <w:rPr>
          <w:rFonts w:asciiTheme="majorHAnsi" w:hAnsiTheme="majorHAnsi" w:cstheme="majorHAnsi"/>
          <w:color w:val="000000" w:themeColor="text1"/>
          <w:lang w:val="ro-RO"/>
        </w:rPr>
        <w:t xml:space="preserve">Șefa Direcției generale de audit I, auditoare publică                                                                   </w:t>
      </w:r>
      <w:r w:rsidRPr="00200696">
        <w:rPr>
          <w:rFonts w:asciiTheme="majorHAnsi" w:hAnsiTheme="majorHAnsi" w:cstheme="majorHAnsi"/>
          <w:b/>
          <w:color w:val="000000" w:themeColor="text1"/>
          <w:lang w:val="ro-RO"/>
        </w:rPr>
        <w:t>Natalia Trofim</w:t>
      </w:r>
    </w:p>
    <w:p w:rsidR="00F064E2" w:rsidRDefault="00F064E2" w:rsidP="003F4014">
      <w:pPr>
        <w:pStyle w:val="Default"/>
        <w:spacing w:line="276" w:lineRule="auto"/>
        <w:ind w:right="-23"/>
        <w:jc w:val="both"/>
        <w:rPr>
          <w:rFonts w:asciiTheme="majorHAnsi" w:hAnsiTheme="majorHAnsi" w:cstheme="majorHAnsi"/>
          <w:b/>
          <w:color w:val="000000" w:themeColor="text1"/>
          <w:lang w:val="ro-RO"/>
        </w:rPr>
      </w:pPr>
    </w:p>
    <w:sectPr w:rsidR="00F064E2" w:rsidSect="001D5AF9">
      <w:footerReference w:type="default" r:id="rId12"/>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0A6" w:rsidRDefault="009D40A6" w:rsidP="009D5986">
      <w:pPr>
        <w:spacing w:after="0" w:line="240" w:lineRule="auto"/>
      </w:pPr>
      <w:r>
        <w:separator/>
      </w:r>
    </w:p>
  </w:endnote>
  <w:endnote w:type="continuationSeparator" w:id="0">
    <w:p w:rsidR="009D40A6" w:rsidRDefault="009D40A6" w:rsidP="009D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53351"/>
      <w:docPartObj>
        <w:docPartGallery w:val="Page Numbers (Bottom of Page)"/>
        <w:docPartUnique/>
      </w:docPartObj>
    </w:sdtPr>
    <w:sdtEndPr>
      <w:rPr>
        <w:rFonts w:asciiTheme="majorHAnsi" w:hAnsiTheme="majorHAnsi"/>
        <w:noProof/>
        <w:sz w:val="16"/>
        <w:szCs w:val="16"/>
      </w:rPr>
    </w:sdtEndPr>
    <w:sdtContent>
      <w:p w:rsidR="00D23D29" w:rsidRPr="00CA2372" w:rsidRDefault="00D23D29">
        <w:pPr>
          <w:pStyle w:val="a9"/>
          <w:jc w:val="right"/>
          <w:rPr>
            <w:rFonts w:asciiTheme="majorHAnsi" w:hAnsiTheme="majorHAnsi"/>
            <w:sz w:val="16"/>
            <w:szCs w:val="16"/>
          </w:rPr>
        </w:pPr>
        <w:r w:rsidRPr="00CA2372">
          <w:rPr>
            <w:rFonts w:asciiTheme="majorHAnsi" w:hAnsiTheme="majorHAnsi"/>
            <w:sz w:val="16"/>
            <w:szCs w:val="16"/>
          </w:rPr>
          <w:fldChar w:fldCharType="begin"/>
        </w:r>
        <w:r w:rsidRPr="00CA2372">
          <w:rPr>
            <w:rFonts w:asciiTheme="majorHAnsi" w:hAnsiTheme="majorHAnsi"/>
            <w:sz w:val="16"/>
            <w:szCs w:val="16"/>
          </w:rPr>
          <w:instrText xml:space="preserve"> PAGE   \* MERGEFORMAT </w:instrText>
        </w:r>
        <w:r w:rsidRPr="00CA2372">
          <w:rPr>
            <w:rFonts w:asciiTheme="majorHAnsi" w:hAnsiTheme="majorHAnsi"/>
            <w:sz w:val="16"/>
            <w:szCs w:val="16"/>
          </w:rPr>
          <w:fldChar w:fldCharType="separate"/>
        </w:r>
        <w:r w:rsidR="009D40A6">
          <w:rPr>
            <w:rFonts w:asciiTheme="majorHAnsi" w:hAnsiTheme="majorHAnsi"/>
            <w:noProof/>
            <w:sz w:val="16"/>
            <w:szCs w:val="16"/>
          </w:rPr>
          <w:t>1</w:t>
        </w:r>
        <w:r w:rsidRPr="00CA2372">
          <w:rPr>
            <w:rFonts w:asciiTheme="majorHAnsi" w:hAnsiTheme="majorHAnsi"/>
            <w:noProof/>
            <w:sz w:val="16"/>
            <w:szCs w:val="16"/>
          </w:rPr>
          <w:fldChar w:fldCharType="end"/>
        </w:r>
      </w:p>
    </w:sdtContent>
  </w:sdt>
  <w:p w:rsidR="00D23D29" w:rsidRDefault="00D23D2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0A6" w:rsidRDefault="009D40A6" w:rsidP="009D5986">
      <w:pPr>
        <w:spacing w:after="0" w:line="240" w:lineRule="auto"/>
      </w:pPr>
      <w:r>
        <w:separator/>
      </w:r>
    </w:p>
  </w:footnote>
  <w:footnote w:type="continuationSeparator" w:id="0">
    <w:p w:rsidR="009D40A6" w:rsidRDefault="009D40A6" w:rsidP="009D5986">
      <w:pPr>
        <w:spacing w:after="0" w:line="240" w:lineRule="auto"/>
      </w:pPr>
      <w:r>
        <w:continuationSeparator/>
      </w:r>
    </w:p>
  </w:footnote>
  <w:footnote w:id="1">
    <w:p w:rsidR="00D23D29" w:rsidRPr="00200696" w:rsidRDefault="00D23D29" w:rsidP="00C22066">
      <w:pPr>
        <w:pStyle w:val="a4"/>
        <w:spacing w:line="276" w:lineRule="auto"/>
        <w:rPr>
          <w:rFonts w:asciiTheme="majorHAnsi" w:hAnsiTheme="majorHAnsi"/>
          <w:color w:val="000000" w:themeColor="text1"/>
          <w:sz w:val="16"/>
          <w:szCs w:val="16"/>
          <w:lang w:val="ro-MD"/>
        </w:rPr>
      </w:pPr>
      <w:r w:rsidRPr="00200696">
        <w:rPr>
          <w:rStyle w:val="a6"/>
          <w:rFonts w:asciiTheme="majorHAnsi" w:hAnsiTheme="majorHAnsi" w:cstheme="majorHAnsi"/>
          <w:color w:val="000000" w:themeColor="text1"/>
          <w:sz w:val="16"/>
          <w:szCs w:val="16"/>
          <w:lang w:val="ro-MD"/>
        </w:rPr>
        <w:footnoteRef/>
      </w:r>
      <w:r w:rsidRPr="00200696">
        <w:rPr>
          <w:rFonts w:asciiTheme="majorHAnsi" w:hAnsiTheme="majorHAnsi" w:cstheme="majorHAnsi"/>
          <w:color w:val="000000" w:themeColor="text1"/>
          <w:sz w:val="16"/>
          <w:szCs w:val="16"/>
          <w:lang w:val="ro-MD"/>
        </w:rPr>
        <w:t xml:space="preserve"> </w:t>
      </w:r>
      <w:r w:rsidRPr="00200696">
        <w:rPr>
          <w:rFonts w:asciiTheme="majorHAnsi" w:eastAsia="Times New Roman" w:hAnsiTheme="majorHAnsi" w:cstheme="majorHAnsi"/>
          <w:color w:val="000000" w:themeColor="text1"/>
          <w:sz w:val="16"/>
          <w:szCs w:val="16"/>
          <w:lang w:val="ro-MD"/>
        </w:rPr>
        <w:t>Legea contabilității nr.113-XVI din 27.04.2007</w:t>
      </w:r>
      <w:r w:rsidR="00E03010" w:rsidRPr="00200696">
        <w:rPr>
          <w:rFonts w:asciiTheme="majorHAnsi" w:eastAsia="Times New Roman" w:hAnsiTheme="majorHAnsi" w:cstheme="majorHAnsi"/>
          <w:color w:val="000000" w:themeColor="text1"/>
          <w:sz w:val="16"/>
          <w:szCs w:val="16"/>
          <w:lang w:val="ro-MD"/>
        </w:rPr>
        <w:t xml:space="preserve"> (în continuare – Legea contabilității)</w:t>
      </w:r>
      <w:r w:rsidRPr="00200696">
        <w:rPr>
          <w:rFonts w:asciiTheme="majorHAnsi" w:eastAsia="Times New Roman" w:hAnsiTheme="majorHAnsi" w:cstheme="majorHAnsi"/>
          <w:color w:val="000000" w:themeColor="text1"/>
          <w:sz w:val="16"/>
          <w:szCs w:val="16"/>
          <w:lang w:val="ro-MD"/>
        </w:rPr>
        <w:t xml:space="preserve">; Ordinul ministrului finanțelor nr. 216 din 28.12.2015 „Cu privire la aprobarea Planului de conturi contabile în sistemul bugetar și a Normelor metodologice privind evidența contabilă și raportarea financiară în sistemul bugetar” </w:t>
      </w:r>
      <w:r w:rsidRPr="00200696">
        <w:rPr>
          <w:rFonts w:asciiTheme="majorHAnsi" w:hAnsiTheme="majorHAnsi" w:cstheme="majorHAnsi"/>
          <w:color w:val="000000" w:themeColor="text1"/>
          <w:sz w:val="16"/>
          <w:szCs w:val="16"/>
          <w:lang w:val="ro-MD"/>
        </w:rPr>
        <w:t>(în continuare – Ordinul ministrului finanțelor nr.216 din 28.12.2015)</w:t>
      </w:r>
      <w:r w:rsidRPr="00200696">
        <w:rPr>
          <w:rFonts w:asciiTheme="majorHAnsi" w:eastAsia="Times New Roman" w:hAnsiTheme="majorHAnsi" w:cstheme="majorHAnsi"/>
          <w:color w:val="000000" w:themeColor="text1"/>
          <w:sz w:val="16"/>
          <w:szCs w:val="16"/>
          <w:lang w:val="ro-MD"/>
        </w:rPr>
        <w:t>; Ordinul ministrului finanțelor nr.164 din 30.12.2016 „Cu privire la aprobarea Cerințelor la întocmirea Raportului narativ privind executarea bugetelor autorităților/instituțiilor bugetare”.</w:t>
      </w:r>
      <w:r w:rsidRPr="00200696">
        <w:rPr>
          <w:rFonts w:asciiTheme="majorHAnsi" w:hAnsiTheme="majorHAnsi" w:cstheme="majorHAnsi"/>
          <w:color w:val="000000" w:themeColor="text1"/>
          <w:sz w:val="16"/>
          <w:szCs w:val="16"/>
          <w:lang w:val="ro-MD"/>
        </w:rPr>
        <w:t xml:space="preserve"> </w:t>
      </w:r>
    </w:p>
  </w:footnote>
  <w:footnote w:id="2">
    <w:p w:rsidR="00D23D29" w:rsidRPr="00200696" w:rsidRDefault="00D23D29" w:rsidP="00C22066">
      <w:pPr>
        <w:pStyle w:val="a4"/>
        <w:spacing w:line="276" w:lineRule="auto"/>
        <w:rPr>
          <w:rFonts w:asciiTheme="majorHAnsi" w:eastAsia="Times New Roman" w:hAnsiTheme="majorHAnsi" w:cstheme="majorHAnsi"/>
          <w:color w:val="000000" w:themeColor="text1"/>
          <w:sz w:val="16"/>
          <w:szCs w:val="16"/>
          <w:lang w:val="ro-MD"/>
        </w:rPr>
      </w:pPr>
      <w:r w:rsidRPr="00200696">
        <w:rPr>
          <w:rStyle w:val="a6"/>
          <w:rFonts w:asciiTheme="majorHAnsi" w:hAnsiTheme="majorHAnsi" w:cstheme="majorHAnsi"/>
          <w:color w:val="000000" w:themeColor="text1"/>
          <w:sz w:val="16"/>
          <w:szCs w:val="16"/>
          <w:lang w:val="ro-MD"/>
        </w:rPr>
        <w:footnoteRef/>
      </w:r>
      <w:r w:rsidRPr="00200696">
        <w:rPr>
          <w:rFonts w:asciiTheme="majorHAnsi" w:hAnsiTheme="majorHAnsi" w:cstheme="majorHAnsi"/>
          <w:color w:val="000000" w:themeColor="text1"/>
          <w:sz w:val="16"/>
          <w:szCs w:val="16"/>
          <w:lang w:val="ro-MD"/>
        </w:rPr>
        <w:t xml:space="preserve"> </w:t>
      </w:r>
      <w:r w:rsidRPr="00200696">
        <w:rPr>
          <w:rFonts w:asciiTheme="majorHAnsi" w:eastAsia="Times New Roman" w:hAnsiTheme="majorHAnsi" w:cstheme="majorHAnsi"/>
          <w:color w:val="000000" w:themeColor="text1"/>
          <w:sz w:val="16"/>
          <w:szCs w:val="16"/>
          <w:lang w:val="ro-MD"/>
        </w:rPr>
        <w:t>Hotărârea Curții de Conturi nr.2 din 24.01.2020</w:t>
      </w:r>
      <w:r w:rsidR="00807AE4" w:rsidRPr="00200696">
        <w:rPr>
          <w:rFonts w:asciiTheme="majorHAnsi" w:eastAsia="Times New Roman" w:hAnsiTheme="majorHAnsi" w:cstheme="majorHAnsi"/>
          <w:color w:val="000000" w:themeColor="text1"/>
          <w:sz w:val="16"/>
          <w:szCs w:val="16"/>
          <w:lang w:val="ro-MD"/>
        </w:rPr>
        <w:t xml:space="preserve"> c</w:t>
      </w:r>
      <w:r w:rsidRPr="00200696">
        <w:rPr>
          <w:rFonts w:asciiTheme="majorHAnsi" w:eastAsia="Times New Roman" w:hAnsiTheme="majorHAnsi" w:cstheme="majorHAnsi"/>
          <w:color w:val="000000" w:themeColor="text1"/>
          <w:sz w:val="16"/>
          <w:szCs w:val="16"/>
          <w:lang w:val="ro-MD"/>
        </w:rPr>
        <w:t xml:space="preserve">u privire la Cadrul Declarațiilor Profesionale ale INTOSAI.  </w:t>
      </w:r>
    </w:p>
  </w:footnote>
  <w:footnote w:id="3">
    <w:p w:rsidR="00D23D29" w:rsidRPr="00200696" w:rsidRDefault="00D23D29" w:rsidP="00C22066">
      <w:pPr>
        <w:pStyle w:val="a4"/>
        <w:spacing w:line="276" w:lineRule="auto"/>
        <w:rPr>
          <w:rFonts w:asciiTheme="majorHAnsi" w:hAnsiTheme="majorHAnsi" w:cstheme="majorHAnsi"/>
          <w:color w:val="000000" w:themeColor="text1"/>
          <w:sz w:val="16"/>
          <w:szCs w:val="16"/>
          <w:lang w:val="ro-RO"/>
        </w:rPr>
      </w:pPr>
      <w:r w:rsidRPr="00200696">
        <w:rPr>
          <w:rStyle w:val="a6"/>
          <w:rFonts w:asciiTheme="majorHAnsi" w:hAnsiTheme="majorHAnsi" w:cstheme="majorHAnsi"/>
          <w:color w:val="000000" w:themeColor="text1"/>
          <w:sz w:val="16"/>
          <w:szCs w:val="16"/>
        </w:rPr>
        <w:footnoteRef/>
      </w:r>
      <w:r w:rsidRPr="00200696">
        <w:rPr>
          <w:rFonts w:asciiTheme="majorHAnsi" w:hAnsiTheme="majorHAnsi" w:cstheme="majorHAnsi"/>
          <w:color w:val="000000" w:themeColor="text1"/>
          <w:sz w:val="16"/>
          <w:szCs w:val="16"/>
          <w:lang w:val="ro-RO"/>
        </w:rPr>
        <w:t xml:space="preserve"> Serviciul Vamal - în sumă de 9,2 mil.lei; Serviciul Fiscal de Stat - în sumă de 0,2 mil.lei; Inspecția Financiară - în sumă de 0,08 mil.lei; Agenția Achiziții Publice - în sumă de 0,03 mil.lei. </w:t>
      </w:r>
    </w:p>
  </w:footnote>
  <w:footnote w:id="4">
    <w:p w:rsidR="00D23D29" w:rsidRPr="00200696" w:rsidRDefault="00D23D29" w:rsidP="00C22066">
      <w:pPr>
        <w:pStyle w:val="a4"/>
        <w:spacing w:line="276" w:lineRule="auto"/>
        <w:rPr>
          <w:rFonts w:asciiTheme="majorHAnsi" w:hAnsiTheme="majorHAnsi" w:cstheme="majorHAnsi"/>
          <w:color w:val="000000" w:themeColor="text1"/>
          <w:sz w:val="16"/>
          <w:szCs w:val="16"/>
          <w:lang w:val="ro-RO"/>
        </w:rPr>
      </w:pPr>
      <w:r w:rsidRPr="00200696">
        <w:rPr>
          <w:rStyle w:val="a6"/>
          <w:rFonts w:asciiTheme="majorHAnsi" w:hAnsiTheme="majorHAnsi" w:cstheme="majorHAnsi"/>
          <w:color w:val="000000" w:themeColor="text1"/>
          <w:sz w:val="16"/>
          <w:szCs w:val="16"/>
        </w:rPr>
        <w:footnoteRef/>
      </w:r>
      <w:r w:rsidRPr="00200696">
        <w:rPr>
          <w:rFonts w:asciiTheme="majorHAnsi" w:hAnsiTheme="majorHAnsi" w:cstheme="majorHAnsi"/>
          <w:color w:val="000000" w:themeColor="text1"/>
          <w:sz w:val="16"/>
          <w:szCs w:val="16"/>
          <w:lang w:val="ro-RO"/>
        </w:rPr>
        <w:t xml:space="preserve"> </w:t>
      </w:r>
      <w:r w:rsidRPr="00200696">
        <w:rPr>
          <w:rFonts w:asciiTheme="majorHAnsi" w:hAnsiTheme="majorHAnsi" w:cstheme="majorHAnsi"/>
          <w:color w:val="000000" w:themeColor="text1"/>
          <w:sz w:val="16"/>
          <w:szCs w:val="16"/>
          <w:lang w:val="ro-MD"/>
        </w:rPr>
        <w:t>Planul de conturi contabile în sistemul bugetar și Normele metodologice privind evidența contabilă și raportarea financiară în sistemul bugetar, aprobate prin Ordinul ministrului finanțelor nr.216 din 28.12.2015.</w:t>
      </w:r>
      <w:r w:rsidRPr="00200696">
        <w:rPr>
          <w:rFonts w:asciiTheme="majorHAnsi" w:hAnsiTheme="majorHAnsi" w:cstheme="majorHAnsi"/>
          <w:color w:val="000000" w:themeColor="text1"/>
          <w:sz w:val="16"/>
          <w:szCs w:val="16"/>
          <w:lang w:val="ro-RO"/>
        </w:rPr>
        <w:t xml:space="preserve"> </w:t>
      </w:r>
    </w:p>
  </w:footnote>
  <w:footnote w:id="5">
    <w:p w:rsidR="00D23D29" w:rsidRPr="00200696" w:rsidRDefault="00D23D29" w:rsidP="00C22066">
      <w:pPr>
        <w:pStyle w:val="a4"/>
        <w:spacing w:line="276" w:lineRule="auto"/>
        <w:rPr>
          <w:rFonts w:asciiTheme="majorHAnsi" w:hAnsiTheme="majorHAnsi" w:cstheme="majorHAnsi"/>
          <w:color w:val="000000" w:themeColor="text1"/>
          <w:sz w:val="16"/>
          <w:szCs w:val="16"/>
          <w:lang w:val="ro-MD"/>
        </w:rPr>
      </w:pPr>
      <w:r w:rsidRPr="00200696">
        <w:rPr>
          <w:rStyle w:val="a6"/>
          <w:rFonts w:asciiTheme="majorHAnsi" w:hAnsiTheme="majorHAnsi" w:cstheme="majorHAnsi"/>
          <w:color w:val="000000" w:themeColor="text1"/>
          <w:sz w:val="16"/>
          <w:szCs w:val="16"/>
        </w:rPr>
        <w:footnoteRef/>
      </w:r>
      <w:r w:rsidRPr="00200696">
        <w:rPr>
          <w:rFonts w:asciiTheme="majorHAnsi" w:hAnsiTheme="majorHAnsi" w:cstheme="majorHAnsi"/>
          <w:color w:val="000000" w:themeColor="text1"/>
          <w:sz w:val="16"/>
          <w:szCs w:val="16"/>
          <w:lang w:val="ro-MD"/>
        </w:rPr>
        <w:t xml:space="preserve"> Soldul grupei de conturi 311 „Clădiri” a fost subevaluat cu 9,3 mil.lei și supraevaluat cu 0,03 mil.lei, soldul grupei de conturi 312 „Construcții speciale” a fost supraevaluat cu 9,2 mil.lei și subevaluat cu 0,03 mil.lei, soldul grupei de conturi 314 „Mașini și utilaje” a fost subevaluat cu 0,2 mil.lei, soldul grupei de conturi 336 „Materiale de uz gospodăresc și rechizite de birou” a fost supraevaluat cu 0,2 mi</w:t>
      </w:r>
      <w:r w:rsidR="00F57DF6" w:rsidRPr="00200696">
        <w:rPr>
          <w:rFonts w:asciiTheme="majorHAnsi" w:hAnsiTheme="majorHAnsi" w:cstheme="majorHAnsi"/>
          <w:color w:val="000000" w:themeColor="text1"/>
          <w:sz w:val="16"/>
          <w:szCs w:val="16"/>
          <w:lang w:val="ro-MD"/>
        </w:rPr>
        <w:t>l.lei</w:t>
      </w:r>
      <w:r w:rsidRPr="00200696">
        <w:rPr>
          <w:rFonts w:asciiTheme="majorHAnsi" w:eastAsia="Times New Roman" w:hAnsiTheme="majorHAnsi" w:cstheme="majorHAnsi"/>
          <w:color w:val="000000" w:themeColor="text1"/>
          <w:sz w:val="16"/>
          <w:szCs w:val="16"/>
          <w:lang w:val="ro-MD"/>
        </w:rPr>
        <w:t>.</w:t>
      </w:r>
    </w:p>
  </w:footnote>
  <w:footnote w:id="6">
    <w:p w:rsidR="00D23D29" w:rsidRPr="00200696" w:rsidRDefault="00D23D29" w:rsidP="000B0057">
      <w:pPr>
        <w:pStyle w:val="a4"/>
        <w:spacing w:line="276" w:lineRule="auto"/>
        <w:rPr>
          <w:rFonts w:asciiTheme="majorHAnsi" w:hAnsiTheme="majorHAnsi" w:cstheme="majorHAnsi"/>
          <w:color w:val="000000" w:themeColor="text1"/>
          <w:sz w:val="16"/>
          <w:szCs w:val="16"/>
          <w:lang w:val="ro-RO"/>
        </w:rPr>
      </w:pPr>
      <w:r w:rsidRPr="00200696">
        <w:rPr>
          <w:rStyle w:val="a6"/>
          <w:rFonts w:asciiTheme="majorHAnsi" w:hAnsiTheme="majorHAnsi" w:cstheme="majorHAnsi"/>
          <w:color w:val="000000" w:themeColor="text1"/>
          <w:sz w:val="16"/>
          <w:szCs w:val="16"/>
        </w:rPr>
        <w:footnoteRef/>
      </w:r>
      <w:r w:rsidRPr="00200696">
        <w:rPr>
          <w:rFonts w:asciiTheme="majorHAnsi" w:hAnsiTheme="majorHAnsi" w:cstheme="majorHAnsi"/>
          <w:color w:val="000000" w:themeColor="text1"/>
          <w:sz w:val="16"/>
          <w:szCs w:val="16"/>
          <w:lang w:val="ro-RO"/>
        </w:rPr>
        <w:t xml:space="preserve"> </w:t>
      </w:r>
      <w:r w:rsidRPr="00200696">
        <w:rPr>
          <w:rFonts w:asciiTheme="majorHAnsi" w:hAnsiTheme="majorHAnsi" w:cstheme="majorHAnsi"/>
          <w:color w:val="000000" w:themeColor="text1"/>
          <w:sz w:val="16"/>
          <w:szCs w:val="16"/>
          <w:lang w:val="ro-MD"/>
        </w:rPr>
        <w:t>Ordinul ministrului finanțelor nr.216 din 28.12.2015.</w:t>
      </w:r>
      <w:r w:rsidRPr="00200696">
        <w:rPr>
          <w:rFonts w:asciiTheme="majorHAnsi" w:hAnsiTheme="majorHAnsi" w:cstheme="majorHAnsi"/>
          <w:color w:val="000000" w:themeColor="text1"/>
          <w:sz w:val="16"/>
          <w:szCs w:val="16"/>
          <w:lang w:val="ro-RO"/>
        </w:rPr>
        <w:t xml:space="preserve"> </w:t>
      </w:r>
    </w:p>
  </w:footnote>
  <w:footnote w:id="7">
    <w:p w:rsidR="000B0057" w:rsidRPr="00200696" w:rsidRDefault="000B0057" w:rsidP="000B0057">
      <w:pPr>
        <w:pStyle w:val="a4"/>
        <w:spacing w:line="276" w:lineRule="auto"/>
        <w:rPr>
          <w:rFonts w:asciiTheme="majorHAnsi" w:hAnsiTheme="majorHAnsi" w:cstheme="majorHAnsi"/>
          <w:color w:val="000000" w:themeColor="text1"/>
          <w:sz w:val="16"/>
          <w:szCs w:val="16"/>
          <w:lang w:val="ro-MD"/>
        </w:rPr>
      </w:pPr>
      <w:r w:rsidRPr="00200696">
        <w:rPr>
          <w:rStyle w:val="a6"/>
          <w:rFonts w:asciiTheme="majorHAnsi" w:hAnsiTheme="majorHAnsi" w:cstheme="majorHAnsi"/>
          <w:color w:val="000000" w:themeColor="text1"/>
          <w:sz w:val="16"/>
          <w:szCs w:val="16"/>
        </w:rPr>
        <w:footnoteRef/>
      </w:r>
      <w:r w:rsidRPr="00200696">
        <w:rPr>
          <w:rFonts w:asciiTheme="majorHAnsi" w:hAnsiTheme="majorHAnsi" w:cstheme="majorHAnsi"/>
          <w:color w:val="000000" w:themeColor="text1"/>
          <w:sz w:val="16"/>
          <w:szCs w:val="16"/>
          <w:lang w:val="ro-MD"/>
        </w:rPr>
        <w:t xml:space="preserve"> Supraevaluarea soldurilor grupelor de conturi 314 „Mașini și utilaje”, 316 „Unelte și scule, inventar de producere și gospodăresc”, </w:t>
      </w:r>
      <w:r w:rsidRPr="00200696">
        <w:rPr>
          <w:rFonts w:asciiTheme="majorHAnsi" w:eastAsia="Times New Roman" w:hAnsiTheme="majorHAnsi" w:cstheme="majorHAnsi"/>
          <w:color w:val="000000" w:themeColor="text1"/>
          <w:sz w:val="16"/>
          <w:szCs w:val="16"/>
          <w:lang w:val="ro-MD"/>
        </w:rPr>
        <w:t xml:space="preserve">222500 „Servicii de reparații curente” cu suma de 0,6 mil.lei și subevaluarea grupei de conturi 311 ,,Clădiri” cu suma de 0,6 mil.lei, supraevaluarea soldului grupei de conturi 222990 „Servicii neatribuite altor alineate” cu suma de 0,1 mil.lei și subevaluarea soldului grupei de conturi 319 ,,Investiții capitale în active în curs de execuție” cu suma de 0,1 mil.lei. </w:t>
      </w:r>
    </w:p>
  </w:footnote>
  <w:footnote w:id="8">
    <w:p w:rsidR="00D23D29" w:rsidRPr="00200696" w:rsidRDefault="00D23D29" w:rsidP="000B0057">
      <w:pPr>
        <w:pStyle w:val="a4"/>
        <w:rPr>
          <w:rFonts w:asciiTheme="majorHAnsi" w:hAnsiTheme="majorHAnsi" w:cstheme="majorHAnsi"/>
          <w:color w:val="000000" w:themeColor="text1"/>
          <w:sz w:val="16"/>
          <w:szCs w:val="16"/>
          <w:lang w:val="ro-RO"/>
        </w:rPr>
      </w:pPr>
      <w:r w:rsidRPr="00200696">
        <w:rPr>
          <w:rStyle w:val="a6"/>
          <w:rFonts w:asciiTheme="majorHAnsi" w:hAnsiTheme="majorHAnsi" w:cstheme="majorHAnsi"/>
          <w:color w:val="000000" w:themeColor="text1"/>
          <w:sz w:val="16"/>
          <w:szCs w:val="16"/>
        </w:rPr>
        <w:footnoteRef/>
      </w:r>
      <w:r w:rsidRPr="00200696">
        <w:rPr>
          <w:rFonts w:asciiTheme="majorHAnsi" w:hAnsiTheme="majorHAnsi" w:cstheme="majorHAnsi"/>
          <w:color w:val="000000" w:themeColor="text1"/>
          <w:sz w:val="16"/>
          <w:szCs w:val="16"/>
          <w:lang w:val="ro-RO"/>
        </w:rPr>
        <w:t xml:space="preserve"> Standardele naționale de audit intern în sectorul public, aprobate prin Ordinul Ministerului Finanțelor nr. 189 din 05.11 2015.</w:t>
      </w:r>
    </w:p>
  </w:footnote>
  <w:footnote w:id="9">
    <w:p w:rsidR="00D23D29" w:rsidRPr="00200696" w:rsidRDefault="00D23D29" w:rsidP="000B0057">
      <w:pPr>
        <w:pStyle w:val="a4"/>
        <w:rPr>
          <w:rFonts w:asciiTheme="majorHAnsi" w:hAnsiTheme="majorHAnsi" w:cstheme="majorHAnsi"/>
          <w:color w:val="000000" w:themeColor="text1"/>
          <w:sz w:val="16"/>
          <w:szCs w:val="16"/>
        </w:rPr>
      </w:pPr>
      <w:r w:rsidRPr="00200696">
        <w:rPr>
          <w:rStyle w:val="a6"/>
          <w:rFonts w:asciiTheme="majorHAnsi" w:hAnsiTheme="majorHAnsi" w:cstheme="majorHAnsi"/>
          <w:color w:val="000000" w:themeColor="text1"/>
          <w:sz w:val="16"/>
          <w:szCs w:val="16"/>
        </w:rPr>
        <w:footnoteRef/>
      </w:r>
      <w:r w:rsidRPr="00200696">
        <w:rPr>
          <w:rFonts w:asciiTheme="majorHAnsi" w:hAnsiTheme="majorHAnsi" w:cstheme="majorHAnsi"/>
          <w:color w:val="000000" w:themeColor="text1"/>
          <w:sz w:val="16"/>
          <w:szCs w:val="16"/>
        </w:rPr>
        <w:t xml:space="preserve"> Hotărârea Curții de Conturi nr.26 </w:t>
      </w:r>
      <w:r w:rsidRPr="00200696">
        <w:rPr>
          <w:rFonts w:asciiTheme="majorHAnsi" w:hAnsiTheme="majorHAnsi" w:cstheme="majorHAnsi"/>
          <w:color w:val="000000" w:themeColor="text1"/>
          <w:sz w:val="16"/>
          <w:szCs w:val="16"/>
          <w:lang w:val="ro-RO"/>
        </w:rPr>
        <w:t>din 30 mai 2022 cu privire la Raportul auditului asupra rapoartelor financiare consolidate ale Ministerului Finanțelor încheiate la 31 decembrie 2021.</w:t>
      </w:r>
      <w:r w:rsidRPr="00200696">
        <w:rPr>
          <w:rFonts w:asciiTheme="majorHAnsi" w:hAnsiTheme="majorHAnsi" w:cstheme="majorHAnsi"/>
          <w:color w:val="000000" w:themeColor="text1"/>
          <w:sz w:val="16"/>
          <w:szCs w:val="16"/>
        </w:rPr>
        <w:t xml:space="preserve"> </w:t>
      </w:r>
    </w:p>
  </w:footnote>
  <w:footnote w:id="10">
    <w:p w:rsidR="00D23D29" w:rsidRPr="00200696" w:rsidRDefault="00D23D29" w:rsidP="00C30651">
      <w:pPr>
        <w:pStyle w:val="a4"/>
        <w:rPr>
          <w:rFonts w:asciiTheme="majorHAnsi" w:hAnsiTheme="majorHAnsi"/>
          <w:color w:val="000000" w:themeColor="text1"/>
          <w:sz w:val="16"/>
          <w:szCs w:val="16"/>
        </w:rPr>
      </w:pPr>
      <w:r w:rsidRPr="00200696">
        <w:rPr>
          <w:rStyle w:val="a6"/>
          <w:rFonts w:asciiTheme="majorHAnsi" w:hAnsiTheme="majorHAnsi"/>
          <w:color w:val="000000" w:themeColor="text1"/>
          <w:sz w:val="16"/>
          <w:szCs w:val="16"/>
        </w:rPr>
        <w:footnoteRef/>
      </w:r>
      <w:r w:rsidRPr="00200696">
        <w:rPr>
          <w:rFonts w:asciiTheme="majorHAnsi" w:hAnsiTheme="majorHAnsi"/>
          <w:color w:val="000000" w:themeColor="text1"/>
          <w:sz w:val="16"/>
          <w:szCs w:val="16"/>
        </w:rPr>
        <w:t xml:space="preserve"> Hotărârea Curții de Conturi nr.48 din 30 iulie 2021 cu privire la Raportul auditului conformității asupra achizițiilor publice în cadrul sistemului Ministerului Finanțelor în anii 2019-202</w:t>
      </w:r>
      <w:r w:rsidR="00333F88" w:rsidRPr="00200696">
        <w:rPr>
          <w:rFonts w:asciiTheme="majorHAnsi" w:hAnsiTheme="majorHAnsi"/>
          <w:color w:val="000000" w:themeColor="text1"/>
          <w:sz w:val="16"/>
          <w:szCs w:val="16"/>
        </w:rPr>
        <w:t>0</w:t>
      </w:r>
      <w:r w:rsidRPr="00200696">
        <w:rPr>
          <w:rFonts w:asciiTheme="majorHAnsi" w:hAnsiTheme="majorHAnsi"/>
          <w:color w:val="000000" w:themeColor="text1"/>
          <w:sz w:val="16"/>
          <w:szCs w:val="16"/>
        </w:rPr>
        <w:t>.</w:t>
      </w:r>
    </w:p>
  </w:footnote>
  <w:footnote w:id="11">
    <w:p w:rsidR="00D23D29" w:rsidRPr="00200696" w:rsidRDefault="00D23D29" w:rsidP="00C30651">
      <w:pPr>
        <w:pStyle w:val="a4"/>
        <w:spacing w:line="276" w:lineRule="auto"/>
        <w:ind w:right="50"/>
        <w:rPr>
          <w:rFonts w:asciiTheme="majorHAnsi" w:hAnsiTheme="majorHAnsi"/>
          <w:color w:val="000000" w:themeColor="text1"/>
          <w:sz w:val="16"/>
          <w:szCs w:val="16"/>
        </w:rPr>
      </w:pPr>
      <w:r w:rsidRPr="00200696">
        <w:rPr>
          <w:rStyle w:val="a6"/>
          <w:rFonts w:asciiTheme="majorHAnsi" w:hAnsiTheme="majorHAnsi"/>
          <w:color w:val="000000" w:themeColor="text1"/>
          <w:sz w:val="16"/>
          <w:szCs w:val="16"/>
        </w:rPr>
        <w:footnoteRef/>
      </w:r>
      <w:r w:rsidRPr="00200696">
        <w:rPr>
          <w:rFonts w:asciiTheme="majorHAnsi" w:hAnsiTheme="majorHAnsi"/>
          <w:color w:val="000000" w:themeColor="text1"/>
          <w:sz w:val="16"/>
          <w:szCs w:val="16"/>
        </w:rPr>
        <w:t xml:space="preserve"> Legea nr.260 din 08.09.2022 privind modificarea Legii bugetului de stat pentru anul 2022 nr.205/2021.</w:t>
      </w:r>
    </w:p>
  </w:footnote>
  <w:footnote w:id="12">
    <w:p w:rsidR="00D23D29" w:rsidRPr="00200696" w:rsidRDefault="00D23D29" w:rsidP="00B001BB">
      <w:pPr>
        <w:pStyle w:val="a4"/>
        <w:spacing w:line="276" w:lineRule="auto"/>
        <w:ind w:right="50"/>
        <w:rPr>
          <w:rFonts w:asciiTheme="majorHAnsi" w:hAnsiTheme="majorHAnsi" w:cstheme="majorHAnsi"/>
          <w:color w:val="000000" w:themeColor="text1"/>
          <w:sz w:val="16"/>
          <w:szCs w:val="16"/>
        </w:rPr>
      </w:pPr>
      <w:r w:rsidRPr="00200696">
        <w:rPr>
          <w:rStyle w:val="a6"/>
          <w:rFonts w:asciiTheme="majorHAnsi" w:hAnsiTheme="majorHAnsi" w:cstheme="majorHAnsi"/>
          <w:color w:val="000000" w:themeColor="text1"/>
          <w:sz w:val="16"/>
          <w:szCs w:val="16"/>
        </w:rPr>
        <w:footnoteRef/>
      </w:r>
      <w:r w:rsidRPr="00200696">
        <w:rPr>
          <w:rFonts w:asciiTheme="majorHAnsi" w:hAnsiTheme="majorHAnsi" w:cstheme="majorHAnsi"/>
          <w:color w:val="000000" w:themeColor="text1"/>
          <w:sz w:val="16"/>
          <w:szCs w:val="16"/>
        </w:rPr>
        <w:t xml:space="preserve"> Din contul grantului of</w:t>
      </w:r>
      <w:r w:rsidR="00276D73" w:rsidRPr="00200696">
        <w:rPr>
          <w:rFonts w:asciiTheme="majorHAnsi" w:hAnsiTheme="majorHAnsi" w:cstheme="majorHAnsi"/>
          <w:color w:val="000000" w:themeColor="text1"/>
          <w:sz w:val="16"/>
          <w:szCs w:val="16"/>
        </w:rPr>
        <w:t>e</w:t>
      </w:r>
      <w:r w:rsidRPr="00200696">
        <w:rPr>
          <w:rFonts w:asciiTheme="majorHAnsi" w:hAnsiTheme="majorHAnsi" w:cstheme="majorHAnsi"/>
          <w:color w:val="000000" w:themeColor="text1"/>
          <w:sz w:val="16"/>
          <w:szCs w:val="16"/>
        </w:rPr>
        <w:t>rit de U</w:t>
      </w:r>
      <w:r w:rsidR="00EB2C31" w:rsidRPr="00200696">
        <w:rPr>
          <w:rFonts w:asciiTheme="majorHAnsi" w:hAnsiTheme="majorHAnsi" w:cstheme="majorHAnsi"/>
          <w:color w:val="000000" w:themeColor="text1"/>
          <w:sz w:val="16"/>
          <w:szCs w:val="16"/>
        </w:rPr>
        <w:t xml:space="preserve">niunea </w:t>
      </w:r>
      <w:r w:rsidRPr="00200696">
        <w:rPr>
          <w:rFonts w:asciiTheme="majorHAnsi" w:hAnsiTheme="majorHAnsi" w:cstheme="majorHAnsi"/>
          <w:color w:val="000000" w:themeColor="text1"/>
          <w:sz w:val="16"/>
          <w:szCs w:val="16"/>
        </w:rPr>
        <w:t>E</w:t>
      </w:r>
      <w:r w:rsidR="00EB2C31" w:rsidRPr="00200696">
        <w:rPr>
          <w:rFonts w:asciiTheme="majorHAnsi" w:hAnsiTheme="majorHAnsi" w:cstheme="majorHAnsi"/>
          <w:color w:val="000000" w:themeColor="text1"/>
          <w:sz w:val="16"/>
          <w:szCs w:val="16"/>
        </w:rPr>
        <w:t>ur</w:t>
      </w:r>
      <w:r w:rsidR="00F21F0C" w:rsidRPr="00200696">
        <w:rPr>
          <w:rFonts w:asciiTheme="majorHAnsi" w:hAnsiTheme="majorHAnsi" w:cstheme="majorHAnsi"/>
          <w:color w:val="000000" w:themeColor="text1"/>
          <w:sz w:val="16"/>
          <w:szCs w:val="16"/>
        </w:rPr>
        <w:t>o</w:t>
      </w:r>
      <w:r w:rsidR="00EB2C31" w:rsidRPr="00200696">
        <w:rPr>
          <w:rFonts w:asciiTheme="majorHAnsi" w:hAnsiTheme="majorHAnsi" w:cstheme="majorHAnsi"/>
          <w:color w:val="000000" w:themeColor="text1"/>
          <w:sz w:val="16"/>
          <w:szCs w:val="16"/>
        </w:rPr>
        <w:t>peană,</w:t>
      </w:r>
      <w:r w:rsidRPr="00200696">
        <w:rPr>
          <w:rFonts w:asciiTheme="majorHAnsi" w:hAnsiTheme="majorHAnsi" w:cstheme="majorHAnsi"/>
          <w:color w:val="000000" w:themeColor="text1"/>
          <w:sz w:val="16"/>
          <w:szCs w:val="16"/>
        </w:rPr>
        <w:t xml:space="preserve"> în valoare de </w:t>
      </w:r>
      <w:r w:rsidRPr="00200696">
        <w:rPr>
          <w:rFonts w:asciiTheme="majorHAnsi" w:hAnsiTheme="majorHAnsi" w:cstheme="majorHAnsi"/>
          <w:color w:val="000000" w:themeColor="text1"/>
          <w:sz w:val="16"/>
          <w:szCs w:val="16"/>
          <w:lang w:val="ro-RO"/>
        </w:rPr>
        <w:t>20,9 mil.lei, p</w:t>
      </w:r>
      <w:r w:rsidRPr="00200696">
        <w:rPr>
          <w:rFonts w:asciiTheme="majorHAnsi" w:hAnsiTheme="majorHAnsi" w:cstheme="majorHAnsi"/>
          <w:color w:val="000000" w:themeColor="text1"/>
          <w:sz w:val="16"/>
          <w:szCs w:val="16"/>
        </w:rPr>
        <w:t xml:space="preserve">rin intermediul Organizației Internaționale pentru Migrație, urmează a fi achiziționat echipament destinat implementării </w:t>
      </w:r>
      <w:r w:rsidR="0090736B" w:rsidRPr="00200696">
        <w:rPr>
          <w:rFonts w:asciiTheme="majorHAnsi" w:hAnsiTheme="majorHAnsi" w:cstheme="majorHAnsi"/>
          <w:color w:val="000000" w:themeColor="text1"/>
          <w:sz w:val="16"/>
          <w:szCs w:val="16"/>
        </w:rPr>
        <w:t>p</w:t>
      </w:r>
      <w:r w:rsidRPr="00200696">
        <w:rPr>
          <w:rFonts w:asciiTheme="majorHAnsi" w:hAnsiTheme="majorHAnsi" w:cstheme="majorHAnsi"/>
          <w:color w:val="000000" w:themeColor="text1"/>
          <w:sz w:val="16"/>
          <w:szCs w:val="16"/>
        </w:rPr>
        <w:t xml:space="preserve">roiectului. </w:t>
      </w:r>
    </w:p>
  </w:footnote>
  <w:footnote w:id="13">
    <w:p w:rsidR="00D23D29" w:rsidRPr="00074410" w:rsidRDefault="00D23D29" w:rsidP="00B001BB">
      <w:pPr>
        <w:spacing w:after="0" w:line="276" w:lineRule="auto"/>
        <w:ind w:right="50"/>
        <w:rPr>
          <w:rFonts w:asciiTheme="majorHAnsi" w:hAnsiTheme="majorHAnsi" w:cstheme="majorHAnsi"/>
          <w:color w:val="000000" w:themeColor="text1"/>
          <w:sz w:val="16"/>
          <w:szCs w:val="16"/>
          <w:lang w:val="it-IT"/>
        </w:rPr>
      </w:pPr>
      <w:r w:rsidRPr="00074410">
        <w:rPr>
          <w:rStyle w:val="a6"/>
          <w:rFonts w:asciiTheme="majorHAnsi" w:hAnsiTheme="majorHAnsi" w:cstheme="majorHAnsi"/>
          <w:color w:val="000000" w:themeColor="text1"/>
          <w:sz w:val="16"/>
          <w:szCs w:val="16"/>
        </w:rPr>
        <w:footnoteRef/>
      </w:r>
      <w:r w:rsidR="0000422E" w:rsidRPr="00074410">
        <w:rPr>
          <w:rFonts w:asciiTheme="majorHAnsi" w:hAnsiTheme="majorHAnsi" w:cstheme="majorHAnsi"/>
          <w:color w:val="000000" w:themeColor="text1"/>
          <w:sz w:val="16"/>
          <w:szCs w:val="16"/>
        </w:rPr>
        <w:t xml:space="preserve"> </w:t>
      </w:r>
      <w:r w:rsidRPr="00074410">
        <w:rPr>
          <w:rFonts w:asciiTheme="majorHAnsi" w:hAnsiTheme="majorHAnsi" w:cstheme="majorHAnsi"/>
          <w:color w:val="000000" w:themeColor="text1"/>
          <w:sz w:val="16"/>
          <w:szCs w:val="16"/>
        </w:rPr>
        <w:t>Proiectul</w:t>
      </w:r>
      <w:r w:rsidRPr="00074410">
        <w:rPr>
          <w:rFonts w:asciiTheme="majorHAnsi" w:hAnsiTheme="majorHAnsi" w:cstheme="majorHAnsi"/>
          <w:color w:val="000000" w:themeColor="text1"/>
          <w:sz w:val="16"/>
          <w:szCs w:val="16"/>
          <w:lang w:val="it-IT"/>
        </w:rPr>
        <w:t xml:space="preserve"> prevede</w:t>
      </w:r>
      <w:r w:rsidRPr="00074410">
        <w:rPr>
          <w:rFonts w:asciiTheme="majorHAnsi" w:hAnsiTheme="majorHAnsi" w:cstheme="majorHAnsi"/>
          <w:color w:val="000000" w:themeColor="text1"/>
          <w:sz w:val="16"/>
          <w:szCs w:val="16"/>
        </w:rPr>
        <w:t xml:space="preserve"> îmbunătățirea legislației prin introducerea prevederilor cu referire la achizițiile publice durabile, elaborarea instrumentelor complementare (regulamente, ghiduri, materiale de instruire), identificarea bunurilor și serviciilo</w:t>
      </w:r>
      <w:r w:rsidR="004909BA" w:rsidRPr="00074410">
        <w:rPr>
          <w:rFonts w:asciiTheme="majorHAnsi" w:hAnsiTheme="majorHAnsi" w:cstheme="majorHAnsi"/>
          <w:color w:val="000000" w:themeColor="text1"/>
          <w:sz w:val="16"/>
          <w:szCs w:val="16"/>
        </w:rPr>
        <w:t>r prioritare pentru licitațiile</w:t>
      </w:r>
      <w:r w:rsidR="00EB2C31" w:rsidRPr="00074410">
        <w:rPr>
          <w:rFonts w:asciiTheme="majorHAnsi" w:hAnsiTheme="majorHAnsi" w:cstheme="majorHAnsi"/>
          <w:color w:val="000000" w:themeColor="text1"/>
          <w:sz w:val="16"/>
          <w:szCs w:val="16"/>
        </w:rPr>
        <w:t>-</w:t>
      </w:r>
      <w:r w:rsidRPr="00074410">
        <w:rPr>
          <w:rFonts w:asciiTheme="majorHAnsi" w:hAnsiTheme="majorHAnsi" w:cstheme="majorHAnsi"/>
          <w:color w:val="000000" w:themeColor="text1"/>
          <w:sz w:val="16"/>
          <w:szCs w:val="16"/>
        </w:rPr>
        <w:t>pilot a</w:t>
      </w:r>
      <w:r w:rsidR="00EB2C31" w:rsidRPr="00074410">
        <w:rPr>
          <w:rFonts w:asciiTheme="majorHAnsi" w:hAnsiTheme="majorHAnsi" w:cstheme="majorHAnsi"/>
          <w:color w:val="000000" w:themeColor="text1"/>
          <w:sz w:val="16"/>
          <w:szCs w:val="16"/>
        </w:rPr>
        <w:t>le</w:t>
      </w:r>
      <w:r w:rsidRPr="00074410">
        <w:rPr>
          <w:rFonts w:asciiTheme="majorHAnsi" w:hAnsiTheme="majorHAnsi" w:cstheme="majorHAnsi"/>
          <w:color w:val="000000" w:themeColor="text1"/>
          <w:sz w:val="16"/>
          <w:szCs w:val="16"/>
        </w:rPr>
        <w:t xml:space="preserve"> achizițiilor publice durabile, însoțite de elaborarea criteriilor de sustenabilitate pe produse prioritare.</w:t>
      </w:r>
    </w:p>
  </w:footnote>
  <w:footnote w:id="14">
    <w:p w:rsidR="0000422E" w:rsidRPr="00074410" w:rsidRDefault="0000422E">
      <w:pPr>
        <w:pStyle w:val="a4"/>
        <w:rPr>
          <w:rFonts w:asciiTheme="majorHAnsi" w:hAnsiTheme="majorHAnsi" w:cstheme="majorHAnsi"/>
          <w:color w:val="000000" w:themeColor="text1"/>
          <w:sz w:val="16"/>
          <w:szCs w:val="16"/>
        </w:rPr>
      </w:pPr>
      <w:r w:rsidRPr="00074410">
        <w:rPr>
          <w:rStyle w:val="a6"/>
          <w:rFonts w:asciiTheme="majorHAnsi" w:hAnsiTheme="majorHAnsi" w:cstheme="majorHAnsi"/>
          <w:color w:val="000000" w:themeColor="text1"/>
          <w:sz w:val="16"/>
          <w:szCs w:val="16"/>
        </w:rPr>
        <w:footnoteRef/>
      </w:r>
      <w:r w:rsidRPr="00074410">
        <w:rPr>
          <w:rFonts w:asciiTheme="majorHAnsi" w:hAnsiTheme="majorHAnsi" w:cstheme="majorHAnsi"/>
          <w:color w:val="000000" w:themeColor="text1"/>
          <w:sz w:val="16"/>
          <w:szCs w:val="16"/>
        </w:rPr>
        <w:t xml:space="preserve"> Programu</w:t>
      </w:r>
      <w:r w:rsidR="004909BA" w:rsidRPr="00074410">
        <w:rPr>
          <w:rFonts w:asciiTheme="majorHAnsi" w:hAnsiTheme="majorHAnsi" w:cstheme="majorHAnsi"/>
          <w:color w:val="000000" w:themeColor="text1"/>
          <w:sz w:val="16"/>
          <w:szCs w:val="16"/>
        </w:rPr>
        <w:t>l Națiunilor Unite pentru Mediu.</w:t>
      </w:r>
    </w:p>
  </w:footnote>
  <w:footnote w:id="15">
    <w:p w:rsidR="00D23D29" w:rsidRPr="00074410" w:rsidRDefault="00D23D29" w:rsidP="00B001BB">
      <w:pPr>
        <w:pStyle w:val="a4"/>
        <w:spacing w:line="276" w:lineRule="auto"/>
        <w:ind w:right="50"/>
        <w:rPr>
          <w:rFonts w:asciiTheme="majorHAnsi" w:hAnsiTheme="majorHAnsi" w:cstheme="majorHAnsi"/>
          <w:color w:val="000000" w:themeColor="text1"/>
          <w:sz w:val="16"/>
          <w:szCs w:val="16"/>
          <w:lang w:val="ro-MD"/>
        </w:rPr>
      </w:pPr>
      <w:r w:rsidRPr="00074410">
        <w:rPr>
          <w:rStyle w:val="a6"/>
          <w:rFonts w:asciiTheme="majorHAnsi" w:hAnsiTheme="majorHAnsi" w:cstheme="majorHAnsi"/>
          <w:color w:val="000000" w:themeColor="text1"/>
          <w:sz w:val="16"/>
          <w:szCs w:val="16"/>
        </w:rPr>
        <w:footnoteRef/>
      </w:r>
      <w:r w:rsidRPr="00074410">
        <w:rPr>
          <w:rFonts w:asciiTheme="majorHAnsi" w:hAnsiTheme="majorHAnsi" w:cstheme="majorHAnsi"/>
          <w:color w:val="000000" w:themeColor="text1"/>
          <w:sz w:val="16"/>
          <w:szCs w:val="16"/>
        </w:rPr>
        <w:t xml:space="preserve"> Hotărârea Guvernului nr.462 din 01.07.2020 cu privire la transmiterea unor bunuri imobile și modificarea unor hotărâri de Guvern. </w:t>
      </w:r>
    </w:p>
  </w:footnote>
  <w:footnote w:id="16">
    <w:p w:rsidR="00D23D29" w:rsidRPr="00074410" w:rsidRDefault="00D23D29" w:rsidP="00B001BB">
      <w:pPr>
        <w:shd w:val="clear" w:color="auto" w:fill="FFFFFF"/>
        <w:spacing w:after="0" w:line="276" w:lineRule="auto"/>
        <w:ind w:right="50"/>
        <w:rPr>
          <w:color w:val="000000" w:themeColor="text1"/>
          <w:sz w:val="16"/>
          <w:szCs w:val="16"/>
          <w:lang w:val="ro-MD"/>
        </w:rPr>
      </w:pPr>
      <w:r w:rsidRPr="00074410">
        <w:rPr>
          <w:rStyle w:val="a6"/>
          <w:rFonts w:asciiTheme="majorHAnsi" w:hAnsiTheme="majorHAnsi" w:cstheme="majorHAnsi"/>
          <w:color w:val="000000" w:themeColor="text1"/>
          <w:sz w:val="16"/>
          <w:szCs w:val="16"/>
        </w:rPr>
        <w:footnoteRef/>
      </w:r>
      <w:r w:rsidRPr="00074410">
        <w:rPr>
          <w:rFonts w:asciiTheme="majorHAnsi" w:hAnsiTheme="majorHAnsi" w:cstheme="majorHAnsi"/>
          <w:color w:val="000000" w:themeColor="text1"/>
          <w:sz w:val="16"/>
          <w:szCs w:val="16"/>
          <w:lang w:val="ro-MD"/>
        </w:rPr>
        <w:t xml:space="preserve"> Încăperile au suprafața totală de 9829 m</w:t>
      </w:r>
      <w:r w:rsidRPr="00074410">
        <w:rPr>
          <w:rFonts w:asciiTheme="majorHAnsi" w:hAnsiTheme="majorHAnsi" w:cstheme="majorHAnsi"/>
          <w:color w:val="000000" w:themeColor="text1"/>
          <w:sz w:val="16"/>
          <w:szCs w:val="16"/>
          <w:vertAlign w:val="superscript"/>
          <w:lang w:val="ro-MD"/>
        </w:rPr>
        <w:t>2</w:t>
      </w:r>
      <w:r w:rsidRPr="00074410">
        <w:rPr>
          <w:rFonts w:asciiTheme="majorHAnsi" w:hAnsiTheme="majorHAnsi" w:cstheme="majorHAnsi"/>
          <w:color w:val="000000" w:themeColor="text1"/>
          <w:sz w:val="16"/>
          <w:szCs w:val="16"/>
          <w:lang w:val="ro-MD"/>
        </w:rPr>
        <w:t xml:space="preserve"> și reprezintă etajele 1-7 ale clădirii menționate, având numere cadastrale separate: </w:t>
      </w:r>
      <w:r w:rsidR="00702C6E" w:rsidRPr="00074410">
        <w:rPr>
          <w:rFonts w:asciiTheme="majorHAnsi" w:eastAsia="Times New Roman" w:hAnsiTheme="majorHAnsi" w:cstheme="majorHAnsi"/>
          <w:color w:val="000000" w:themeColor="text1"/>
          <w:sz w:val="16"/>
          <w:szCs w:val="16"/>
          <w:lang w:val="ro-MD"/>
        </w:rPr>
        <w:t xml:space="preserve">0100419.113.01.034 (etaj 1), 0100419.113.01.033 (etaj 2), 0100419.113.01.032 (etaj 3), 0100419.113.01.021 (etaj 3), 0100419.113.01.031 (etaj 4), 0100419.113.01.022 (etaj 4), 0100419.113.01.030 (etaj 5), 0100419.113.01.029 (etaj 6), 0100419.113.01.028 (etaj 7), 0100419.113.01.024 (etaj 5 și etaj 7).  </w:t>
      </w:r>
    </w:p>
  </w:footnote>
  <w:footnote w:id="17">
    <w:p w:rsidR="00D23D29" w:rsidRPr="00074410" w:rsidRDefault="00D23D29" w:rsidP="00B001BB">
      <w:pPr>
        <w:spacing w:after="0" w:line="276" w:lineRule="auto"/>
        <w:ind w:right="50"/>
        <w:rPr>
          <w:color w:val="000000" w:themeColor="text1"/>
          <w:sz w:val="16"/>
          <w:szCs w:val="16"/>
          <w:lang w:val="ro-MD"/>
        </w:rPr>
      </w:pPr>
      <w:r w:rsidRPr="00074410">
        <w:rPr>
          <w:rStyle w:val="a6"/>
          <w:rFonts w:asciiTheme="majorHAnsi" w:hAnsiTheme="majorHAnsi" w:cstheme="majorHAnsi"/>
          <w:color w:val="000000" w:themeColor="text1"/>
          <w:sz w:val="16"/>
          <w:szCs w:val="16"/>
        </w:rPr>
        <w:footnoteRef/>
      </w:r>
      <w:r w:rsidRPr="00074410">
        <w:rPr>
          <w:rFonts w:asciiTheme="majorHAnsi" w:hAnsiTheme="majorHAnsi" w:cstheme="majorHAnsi"/>
          <w:color w:val="000000" w:themeColor="text1"/>
          <w:sz w:val="16"/>
          <w:szCs w:val="16"/>
          <w:lang w:val="ro-MD"/>
        </w:rPr>
        <w:t xml:space="preserve"> Cheltuielile executate se referă la achiziționarea serviciilor de modificare/ajustare a proiectului de reconstrucție capitală, replanificarea și modernizarea imobilului (parter, etajul 2 și etajul 5) </w:t>
      </w:r>
      <w:r w:rsidR="00EB2C31" w:rsidRPr="00074410">
        <w:rPr>
          <w:rFonts w:asciiTheme="majorHAnsi" w:hAnsiTheme="majorHAnsi" w:cstheme="majorHAnsi"/>
          <w:color w:val="000000" w:themeColor="text1"/>
          <w:sz w:val="16"/>
          <w:szCs w:val="16"/>
          <w:lang w:val="ro-MD"/>
        </w:rPr>
        <w:t xml:space="preserve">- </w:t>
      </w:r>
      <w:r w:rsidRPr="00074410">
        <w:rPr>
          <w:rFonts w:asciiTheme="majorHAnsi" w:hAnsiTheme="majorHAnsi" w:cstheme="majorHAnsi"/>
          <w:color w:val="000000" w:themeColor="text1"/>
          <w:sz w:val="16"/>
          <w:szCs w:val="16"/>
          <w:lang w:val="ro-MD"/>
        </w:rPr>
        <w:t xml:space="preserve">în sumă de 189,8 mii lei, a serviciilor de elaborare și verificare a devizelor de cheltuieli pentru lucrările de reparații (schimbarea geamurilor) </w:t>
      </w:r>
      <w:r w:rsidR="00EB2C31" w:rsidRPr="00074410">
        <w:rPr>
          <w:rFonts w:asciiTheme="majorHAnsi" w:hAnsiTheme="majorHAnsi" w:cstheme="majorHAnsi"/>
          <w:color w:val="000000" w:themeColor="text1"/>
          <w:sz w:val="16"/>
          <w:szCs w:val="16"/>
          <w:lang w:val="ro-MD"/>
        </w:rPr>
        <w:t xml:space="preserve">- </w:t>
      </w:r>
      <w:r w:rsidRPr="00074410">
        <w:rPr>
          <w:rFonts w:asciiTheme="majorHAnsi" w:hAnsiTheme="majorHAnsi" w:cstheme="majorHAnsi"/>
          <w:color w:val="000000" w:themeColor="text1"/>
          <w:sz w:val="16"/>
          <w:szCs w:val="16"/>
          <w:lang w:val="ro-MD"/>
        </w:rPr>
        <w:t>în sumă de 9,0 mii lei</w:t>
      </w:r>
      <w:r w:rsidR="00EB2C31" w:rsidRPr="00074410">
        <w:rPr>
          <w:rFonts w:asciiTheme="majorHAnsi" w:hAnsiTheme="majorHAnsi" w:cstheme="majorHAnsi"/>
          <w:color w:val="000000" w:themeColor="text1"/>
          <w:sz w:val="16"/>
          <w:szCs w:val="16"/>
          <w:lang w:val="ro-MD"/>
        </w:rPr>
        <w:t>,</w:t>
      </w:r>
      <w:r w:rsidRPr="00074410">
        <w:rPr>
          <w:rFonts w:asciiTheme="majorHAnsi" w:hAnsiTheme="majorHAnsi" w:cstheme="majorHAnsi"/>
          <w:color w:val="000000" w:themeColor="text1"/>
          <w:sz w:val="16"/>
          <w:szCs w:val="16"/>
          <w:lang w:val="ro-MD"/>
        </w:rPr>
        <w:t xml:space="preserve"> și a serviciilor de asistență în inginerie (asistență în elaborarea caietului de sarcini pentru contractarea serviciilor de elaborare a documentației de proiect și aviz pentru rețele)</w:t>
      </w:r>
      <w:r w:rsidR="00965EBA" w:rsidRPr="00074410">
        <w:rPr>
          <w:rFonts w:asciiTheme="majorHAnsi" w:hAnsiTheme="majorHAnsi" w:cstheme="majorHAnsi"/>
          <w:color w:val="000000" w:themeColor="text1"/>
          <w:sz w:val="16"/>
          <w:szCs w:val="16"/>
          <w:lang w:val="ro-MD"/>
        </w:rPr>
        <w:t xml:space="preserve"> </w:t>
      </w:r>
      <w:r w:rsidR="00EB2C31" w:rsidRPr="00074410">
        <w:rPr>
          <w:rFonts w:asciiTheme="majorHAnsi" w:hAnsiTheme="majorHAnsi" w:cstheme="majorHAnsi"/>
          <w:color w:val="000000" w:themeColor="text1"/>
          <w:sz w:val="16"/>
          <w:szCs w:val="16"/>
          <w:lang w:val="ro-MD"/>
        </w:rPr>
        <w:t xml:space="preserve">- </w:t>
      </w:r>
      <w:r w:rsidRPr="00074410">
        <w:rPr>
          <w:rFonts w:asciiTheme="majorHAnsi" w:hAnsiTheme="majorHAnsi" w:cstheme="majorHAnsi"/>
          <w:color w:val="000000" w:themeColor="text1"/>
          <w:sz w:val="16"/>
          <w:szCs w:val="16"/>
          <w:lang w:val="ro-MD"/>
        </w:rPr>
        <w:t xml:space="preserve"> în sumă de 12,0 mii lei.</w:t>
      </w:r>
    </w:p>
  </w:footnote>
  <w:footnote w:id="18">
    <w:p w:rsidR="00D23D29" w:rsidRPr="00074410" w:rsidRDefault="00D23D29" w:rsidP="009820F8">
      <w:pPr>
        <w:pStyle w:val="a4"/>
        <w:ind w:right="50"/>
        <w:rPr>
          <w:rFonts w:asciiTheme="majorHAnsi" w:hAnsiTheme="majorHAnsi" w:cstheme="majorHAnsi"/>
          <w:color w:val="000000" w:themeColor="text1"/>
          <w:sz w:val="16"/>
          <w:szCs w:val="16"/>
          <w:lang w:val="ro-MD"/>
        </w:rPr>
      </w:pPr>
      <w:r w:rsidRPr="00074410">
        <w:rPr>
          <w:rStyle w:val="a6"/>
          <w:rFonts w:asciiTheme="majorHAnsi" w:hAnsiTheme="majorHAnsi" w:cstheme="majorHAnsi"/>
          <w:color w:val="000000" w:themeColor="text1"/>
          <w:sz w:val="16"/>
          <w:szCs w:val="16"/>
        </w:rPr>
        <w:footnoteRef/>
      </w:r>
      <w:r w:rsidRPr="00074410">
        <w:rPr>
          <w:rFonts w:asciiTheme="majorHAnsi" w:hAnsiTheme="majorHAnsi" w:cstheme="majorHAnsi"/>
          <w:color w:val="000000" w:themeColor="text1"/>
          <w:sz w:val="16"/>
          <w:szCs w:val="16"/>
          <w:lang w:val="ro-MD"/>
        </w:rPr>
        <w:t xml:space="preserve"> Potrivit art.7 alin.(1) lit.f) din Legea cu privire la formarea bunurilor imobile nr.354 din 28.10.2004, la</w:t>
      </w:r>
      <w:r w:rsidRPr="00074410">
        <w:rPr>
          <w:rFonts w:asciiTheme="majorHAnsi" w:hAnsiTheme="majorHAnsi" w:cstheme="majorHAnsi"/>
          <w:color w:val="000000" w:themeColor="text1"/>
          <w:sz w:val="16"/>
          <w:szCs w:val="16"/>
          <w:shd w:val="clear" w:color="auto" w:fill="FFFFFF"/>
          <w:lang w:val="ro-MD"/>
        </w:rPr>
        <w:t xml:space="preserve"> formarea bunurilor imobile</w:t>
      </w:r>
      <w:r w:rsidR="002C4F76" w:rsidRPr="00074410">
        <w:rPr>
          <w:rFonts w:asciiTheme="majorHAnsi" w:hAnsiTheme="majorHAnsi" w:cstheme="majorHAnsi"/>
          <w:color w:val="000000" w:themeColor="text1"/>
          <w:sz w:val="16"/>
          <w:szCs w:val="16"/>
          <w:shd w:val="clear" w:color="auto" w:fill="FFFFFF"/>
          <w:lang w:val="ro-MD"/>
        </w:rPr>
        <w:t>,</w:t>
      </w:r>
      <w:r w:rsidRPr="00074410">
        <w:rPr>
          <w:rFonts w:asciiTheme="majorHAnsi" w:hAnsiTheme="majorHAnsi" w:cstheme="majorHAnsi"/>
          <w:color w:val="000000" w:themeColor="text1"/>
          <w:sz w:val="16"/>
          <w:szCs w:val="16"/>
          <w:shd w:val="clear" w:color="auto" w:fill="FFFFFF"/>
          <w:lang w:val="ro-MD"/>
        </w:rPr>
        <w:t xml:space="preserve"> configuraţia, dimensiunile şi alţi indici ai bunului imobil ce se formează să fie conforme cerinţelor planului sau regimului stabilit dacă acest bun se formează pe un teritoriu unde există plan urbanistic al localităţii sau dacă este stabilit un regim special de folosinţă a terenului sau a construcţiei.</w:t>
      </w:r>
    </w:p>
  </w:footnote>
  <w:footnote w:id="19">
    <w:p w:rsidR="00D23D29" w:rsidRPr="00074410" w:rsidRDefault="00D23D29" w:rsidP="009820F8">
      <w:pPr>
        <w:pStyle w:val="a4"/>
        <w:ind w:right="50"/>
        <w:rPr>
          <w:rFonts w:asciiTheme="majorHAnsi" w:hAnsiTheme="majorHAnsi" w:cstheme="majorHAnsi"/>
          <w:color w:val="000000" w:themeColor="text1"/>
          <w:sz w:val="16"/>
          <w:szCs w:val="16"/>
          <w:lang w:val="ro-MD"/>
        </w:rPr>
      </w:pPr>
      <w:r w:rsidRPr="00074410">
        <w:rPr>
          <w:rStyle w:val="a6"/>
          <w:rFonts w:asciiTheme="majorHAnsi" w:hAnsiTheme="majorHAnsi" w:cstheme="majorHAnsi"/>
          <w:color w:val="000000" w:themeColor="text1"/>
          <w:sz w:val="16"/>
          <w:szCs w:val="16"/>
        </w:rPr>
        <w:footnoteRef/>
      </w:r>
      <w:r w:rsidRPr="00074410">
        <w:rPr>
          <w:rFonts w:asciiTheme="majorHAnsi" w:hAnsiTheme="majorHAnsi" w:cstheme="majorHAnsi"/>
          <w:color w:val="000000" w:themeColor="text1"/>
          <w:sz w:val="16"/>
          <w:szCs w:val="16"/>
          <w:lang w:val="ro-MD"/>
        </w:rPr>
        <w:t xml:space="preserve"> Replanificări interioare fără autorizație de construcție s-au efectuat la etajele 2,3,5,6,7 ale clădirii. Totodată, la etajul 2 (1486,9 m</w:t>
      </w:r>
      <w:r w:rsidRPr="00074410">
        <w:rPr>
          <w:rFonts w:asciiTheme="majorHAnsi" w:hAnsiTheme="majorHAnsi" w:cstheme="majorHAnsi"/>
          <w:color w:val="000000" w:themeColor="text1"/>
          <w:sz w:val="16"/>
          <w:szCs w:val="16"/>
          <w:vertAlign w:val="superscript"/>
          <w:lang w:val="ro-MD"/>
        </w:rPr>
        <w:t>2</w:t>
      </w:r>
      <w:r w:rsidRPr="00074410">
        <w:rPr>
          <w:rFonts w:asciiTheme="majorHAnsi" w:hAnsiTheme="majorHAnsi" w:cstheme="majorHAnsi"/>
          <w:color w:val="000000" w:themeColor="text1"/>
          <w:sz w:val="16"/>
          <w:szCs w:val="16"/>
          <w:lang w:val="ro-MD"/>
        </w:rPr>
        <w:t>) nu a fost inclusă încăperea nr.79 b (coridor), cu suprafața de 53,9 m</w:t>
      </w:r>
      <w:r w:rsidRPr="00074410">
        <w:rPr>
          <w:rFonts w:asciiTheme="majorHAnsi" w:hAnsiTheme="majorHAnsi" w:cstheme="majorHAnsi"/>
          <w:color w:val="000000" w:themeColor="text1"/>
          <w:sz w:val="16"/>
          <w:szCs w:val="16"/>
          <w:vertAlign w:val="superscript"/>
          <w:lang w:val="ro-MD"/>
        </w:rPr>
        <w:t>2</w:t>
      </w:r>
      <w:r w:rsidRPr="00074410">
        <w:rPr>
          <w:rFonts w:asciiTheme="majorHAnsi" w:hAnsiTheme="majorHAnsi" w:cstheme="majorHAnsi"/>
          <w:color w:val="000000" w:themeColor="text1"/>
          <w:sz w:val="16"/>
          <w:szCs w:val="16"/>
          <w:lang w:val="ro-MD"/>
        </w:rPr>
        <w:t>.</w:t>
      </w:r>
    </w:p>
  </w:footnote>
  <w:footnote w:id="20">
    <w:p w:rsidR="00D23D29" w:rsidRPr="00A302FC" w:rsidRDefault="00D23D29" w:rsidP="009820F8">
      <w:pPr>
        <w:pStyle w:val="a4"/>
        <w:ind w:right="50"/>
        <w:rPr>
          <w:rFonts w:asciiTheme="majorHAnsi" w:hAnsiTheme="majorHAnsi" w:cstheme="majorHAnsi"/>
          <w:color w:val="000000" w:themeColor="text1"/>
          <w:sz w:val="16"/>
          <w:szCs w:val="16"/>
        </w:rPr>
      </w:pPr>
      <w:r w:rsidRPr="00A302FC">
        <w:rPr>
          <w:rStyle w:val="a6"/>
          <w:rFonts w:asciiTheme="majorHAnsi" w:hAnsiTheme="majorHAnsi" w:cstheme="majorHAnsi"/>
          <w:color w:val="000000" w:themeColor="text1"/>
          <w:sz w:val="16"/>
          <w:szCs w:val="16"/>
        </w:rPr>
        <w:footnoteRef/>
      </w:r>
      <w:r w:rsidRPr="00A302FC">
        <w:rPr>
          <w:rFonts w:asciiTheme="majorHAnsi" w:hAnsiTheme="majorHAnsi" w:cstheme="majorHAnsi"/>
          <w:color w:val="000000" w:themeColor="text1"/>
          <w:sz w:val="16"/>
          <w:szCs w:val="16"/>
        </w:rPr>
        <w:t xml:space="preserve"> Biroul Vamal Nord, Biroul Vamal Centru și Biroul Vamal Sud.</w:t>
      </w:r>
    </w:p>
  </w:footnote>
  <w:footnote w:id="21">
    <w:p w:rsidR="00D23D29" w:rsidRPr="00A302FC" w:rsidRDefault="00D23D29" w:rsidP="009820F8">
      <w:pPr>
        <w:pStyle w:val="a4"/>
        <w:ind w:right="50"/>
        <w:rPr>
          <w:rFonts w:asciiTheme="majorHAnsi" w:hAnsiTheme="majorHAnsi" w:cstheme="majorHAnsi"/>
          <w:color w:val="000000" w:themeColor="text1"/>
          <w:sz w:val="16"/>
          <w:szCs w:val="16"/>
        </w:rPr>
      </w:pPr>
      <w:r w:rsidRPr="00A302FC">
        <w:rPr>
          <w:rStyle w:val="a6"/>
          <w:rFonts w:asciiTheme="majorHAnsi" w:hAnsiTheme="majorHAnsi" w:cstheme="majorHAnsi"/>
          <w:color w:val="000000" w:themeColor="text1"/>
          <w:sz w:val="16"/>
          <w:szCs w:val="16"/>
        </w:rPr>
        <w:footnoteRef/>
      </w:r>
      <w:r w:rsidRPr="00A302FC">
        <w:rPr>
          <w:rFonts w:asciiTheme="majorHAnsi" w:hAnsiTheme="majorHAnsi" w:cstheme="majorHAnsi"/>
          <w:color w:val="000000" w:themeColor="text1"/>
          <w:sz w:val="16"/>
          <w:szCs w:val="16"/>
        </w:rPr>
        <w:t xml:space="preserve"> Legea nr.257 din 16.12.2020 cu privire la modificarea unor acte normative.</w:t>
      </w:r>
    </w:p>
  </w:footnote>
  <w:footnote w:id="22">
    <w:p w:rsidR="00D23D29" w:rsidRPr="00A302FC" w:rsidRDefault="00D23D29" w:rsidP="009820F8">
      <w:pPr>
        <w:pStyle w:val="a4"/>
        <w:ind w:right="50"/>
        <w:rPr>
          <w:rFonts w:asciiTheme="majorHAnsi" w:hAnsiTheme="majorHAnsi" w:cstheme="majorHAnsi"/>
          <w:color w:val="000000" w:themeColor="text1"/>
          <w:sz w:val="16"/>
          <w:szCs w:val="16"/>
          <w:lang w:val="ro-MD"/>
        </w:rPr>
      </w:pPr>
      <w:r w:rsidRPr="00A302FC">
        <w:rPr>
          <w:rStyle w:val="a6"/>
          <w:rFonts w:asciiTheme="majorHAnsi" w:hAnsiTheme="majorHAnsi" w:cstheme="majorHAnsi"/>
          <w:color w:val="000000" w:themeColor="text1"/>
          <w:sz w:val="16"/>
          <w:szCs w:val="16"/>
          <w:lang w:val="ro-MD"/>
        </w:rPr>
        <w:footnoteRef/>
      </w:r>
      <w:r w:rsidRPr="00A302FC">
        <w:rPr>
          <w:rFonts w:asciiTheme="majorHAnsi" w:hAnsiTheme="majorHAnsi" w:cstheme="majorHAnsi"/>
          <w:color w:val="000000" w:themeColor="text1"/>
          <w:sz w:val="16"/>
          <w:szCs w:val="16"/>
          <w:lang w:val="ro-MD"/>
        </w:rPr>
        <w:t xml:space="preserve"> Scrisoarea Serviciului Vamal nr.387-C din 09.06.2021.</w:t>
      </w:r>
    </w:p>
  </w:footnote>
  <w:footnote w:id="23">
    <w:p w:rsidR="00D23D29" w:rsidRPr="00A302FC" w:rsidRDefault="00D23D29" w:rsidP="009820F8">
      <w:pPr>
        <w:pStyle w:val="a4"/>
        <w:ind w:right="50"/>
        <w:rPr>
          <w:rFonts w:asciiTheme="majorHAnsi" w:hAnsiTheme="majorHAnsi" w:cstheme="majorHAnsi"/>
          <w:color w:val="000000" w:themeColor="text1"/>
          <w:sz w:val="16"/>
          <w:szCs w:val="16"/>
          <w:lang w:val="ro-MD"/>
        </w:rPr>
      </w:pPr>
      <w:r w:rsidRPr="00A302FC">
        <w:rPr>
          <w:rStyle w:val="a6"/>
          <w:rFonts w:asciiTheme="majorHAnsi" w:hAnsiTheme="majorHAnsi" w:cstheme="majorHAnsi"/>
          <w:color w:val="000000" w:themeColor="text1"/>
          <w:sz w:val="16"/>
          <w:szCs w:val="16"/>
        </w:rPr>
        <w:footnoteRef/>
      </w:r>
      <w:r w:rsidRPr="00A302FC">
        <w:rPr>
          <w:rFonts w:asciiTheme="majorHAnsi" w:hAnsiTheme="majorHAnsi" w:cstheme="majorHAnsi"/>
          <w:color w:val="000000" w:themeColor="text1"/>
          <w:sz w:val="16"/>
          <w:szCs w:val="16"/>
          <w:lang w:val="ro-MD"/>
        </w:rPr>
        <w:t xml:space="preserve"> Ordinul Directorului general al Serviciului Vamal nr.391-O din 31.12.2021 „Cu privire la instituirea grupului de lucru privind optimizarea și reforma structurii Serviciului Vamal”, Ordinul Directorului general al Serviciului Vamal nr.259-O din 12.08.2022 „Cu privire la instituirea grupului de lucru privind optimizarea și reforma structurii Serviciului Vamal (cu modificările și completările ulterioare), Ordinul Directorului general al Serviciului Vamal nr.260-O din 12.08.2022 „Cu privire la definitivarea structurii organizaționale a Serviciului Vamal</w:t>
      </w:r>
      <w:r w:rsidR="00276D73" w:rsidRPr="00A302FC">
        <w:rPr>
          <w:rFonts w:asciiTheme="majorHAnsi" w:hAnsiTheme="majorHAnsi" w:cstheme="majorHAnsi"/>
          <w:color w:val="000000" w:themeColor="text1"/>
          <w:sz w:val="16"/>
          <w:szCs w:val="16"/>
          <w:lang w:val="ro-MD"/>
        </w:rPr>
        <w:t xml:space="preserve"> (</w:t>
      </w:r>
      <w:r w:rsidRPr="00A302FC">
        <w:rPr>
          <w:rFonts w:asciiTheme="majorHAnsi" w:hAnsiTheme="majorHAnsi" w:cstheme="majorHAnsi"/>
          <w:color w:val="000000" w:themeColor="text1"/>
          <w:sz w:val="16"/>
          <w:szCs w:val="16"/>
          <w:lang w:val="ro-MD"/>
        </w:rPr>
        <w:t>cu modificările și completările ulterioare</w:t>
      </w:r>
      <w:r w:rsidR="00276D73" w:rsidRPr="00A302FC">
        <w:rPr>
          <w:rFonts w:asciiTheme="majorHAnsi" w:hAnsiTheme="majorHAnsi" w:cstheme="majorHAnsi"/>
          <w:color w:val="000000" w:themeColor="text1"/>
          <w:sz w:val="16"/>
          <w:szCs w:val="16"/>
          <w:lang w:val="ro-MD"/>
        </w:rPr>
        <w:t>)</w:t>
      </w:r>
      <w:r w:rsidRPr="00A302FC">
        <w:rPr>
          <w:rFonts w:asciiTheme="majorHAnsi" w:hAnsiTheme="majorHAnsi" w:cstheme="majorHAnsi"/>
          <w:color w:val="000000" w:themeColor="text1"/>
          <w:sz w:val="16"/>
          <w:szCs w:val="16"/>
          <w:lang w:val="ro-MD"/>
        </w:rPr>
        <w:t>.</w:t>
      </w:r>
    </w:p>
  </w:footnote>
  <w:footnote w:id="24">
    <w:p w:rsidR="00750CD6" w:rsidRPr="00A302FC" w:rsidRDefault="00750CD6" w:rsidP="00750CD6">
      <w:pPr>
        <w:pStyle w:val="a4"/>
        <w:spacing w:line="276" w:lineRule="auto"/>
        <w:rPr>
          <w:rFonts w:asciiTheme="majorHAnsi" w:hAnsiTheme="majorHAnsi" w:cstheme="majorHAnsi"/>
          <w:color w:val="000000" w:themeColor="text1"/>
          <w:sz w:val="16"/>
          <w:szCs w:val="16"/>
          <w:lang w:val="ro-MD"/>
        </w:rPr>
      </w:pPr>
      <w:r w:rsidRPr="00A302FC">
        <w:rPr>
          <w:rStyle w:val="a6"/>
          <w:rFonts w:asciiTheme="majorHAnsi" w:hAnsiTheme="majorHAnsi" w:cstheme="majorHAnsi"/>
          <w:color w:val="000000" w:themeColor="text1"/>
          <w:sz w:val="16"/>
          <w:szCs w:val="16"/>
        </w:rPr>
        <w:footnoteRef/>
      </w:r>
      <w:r w:rsidRPr="00A302FC">
        <w:rPr>
          <w:rFonts w:asciiTheme="majorHAnsi" w:hAnsiTheme="majorHAnsi" w:cstheme="majorHAnsi"/>
          <w:color w:val="000000" w:themeColor="text1"/>
          <w:sz w:val="16"/>
          <w:szCs w:val="16"/>
          <w:lang w:val="ro-MD"/>
        </w:rPr>
        <w:t xml:space="preserve"> Art.7</w:t>
      </w:r>
      <w:r w:rsidRPr="00A302FC">
        <w:rPr>
          <w:rFonts w:asciiTheme="majorHAnsi" w:hAnsiTheme="majorHAnsi" w:cstheme="majorHAnsi"/>
          <w:color w:val="000000" w:themeColor="text1"/>
          <w:sz w:val="16"/>
          <w:szCs w:val="16"/>
          <w:vertAlign w:val="superscript"/>
          <w:lang w:val="ro-MD"/>
        </w:rPr>
        <w:t>6</w:t>
      </w:r>
      <w:r w:rsidRPr="00A302FC">
        <w:rPr>
          <w:rFonts w:asciiTheme="majorHAnsi" w:hAnsiTheme="majorHAnsi" w:cstheme="majorHAnsi"/>
          <w:color w:val="000000" w:themeColor="text1"/>
          <w:sz w:val="16"/>
          <w:szCs w:val="16"/>
          <w:lang w:val="ro-MD"/>
        </w:rPr>
        <w:t xml:space="preserve"> alin.(1) și alin.(2) din Legea cu privire la informatizare și la resursele informaționale de stat nr.467 din 21.11.2003.</w:t>
      </w:r>
    </w:p>
  </w:footnote>
  <w:footnote w:id="25">
    <w:p w:rsidR="00750CD6" w:rsidRPr="00A302FC" w:rsidRDefault="00750CD6" w:rsidP="00750CD6">
      <w:pPr>
        <w:pStyle w:val="a4"/>
        <w:ind w:right="50"/>
        <w:rPr>
          <w:rFonts w:asciiTheme="majorHAnsi" w:hAnsiTheme="majorHAnsi" w:cstheme="majorHAnsi"/>
          <w:color w:val="000000" w:themeColor="text1"/>
          <w:sz w:val="16"/>
          <w:szCs w:val="16"/>
        </w:rPr>
      </w:pPr>
      <w:r w:rsidRPr="00A302FC">
        <w:rPr>
          <w:rStyle w:val="a6"/>
          <w:rFonts w:asciiTheme="majorHAnsi" w:hAnsiTheme="majorHAnsi" w:cstheme="majorHAnsi"/>
          <w:color w:val="000000" w:themeColor="text1"/>
          <w:sz w:val="16"/>
          <w:szCs w:val="16"/>
        </w:rPr>
        <w:footnoteRef/>
      </w:r>
      <w:r w:rsidRPr="00A302FC">
        <w:rPr>
          <w:rFonts w:asciiTheme="majorHAnsi" w:hAnsiTheme="majorHAnsi" w:cstheme="majorHAnsi"/>
          <w:color w:val="000000" w:themeColor="text1"/>
          <w:sz w:val="16"/>
          <w:szCs w:val="16"/>
        </w:rPr>
        <w:t xml:space="preserve"> </w:t>
      </w:r>
      <w:r w:rsidRPr="00A302FC">
        <w:rPr>
          <w:rFonts w:asciiTheme="majorHAnsi" w:hAnsiTheme="majorHAnsi" w:cstheme="majorHAnsi"/>
          <w:color w:val="000000" w:themeColor="text1"/>
          <w:sz w:val="16"/>
          <w:szCs w:val="16"/>
          <w:lang w:val="ro-RO"/>
        </w:rPr>
        <w:t>Contractul nr. 056 din 04.04.2022</w:t>
      </w:r>
      <w:r w:rsidRPr="00A302FC">
        <w:rPr>
          <w:rFonts w:asciiTheme="majorHAnsi" w:eastAsia="Times New Roman" w:hAnsiTheme="majorHAnsi" w:cstheme="majorHAnsi"/>
          <w:color w:val="000000" w:themeColor="text1"/>
          <w:sz w:val="16"/>
          <w:szCs w:val="16"/>
          <w:lang w:val="ro-RO"/>
        </w:rPr>
        <w:t xml:space="preserve"> privind achiziționarea serviciilor informaționale de dezvoltar</w:t>
      </w:r>
      <w:r w:rsidRPr="00A302FC">
        <w:rPr>
          <w:rFonts w:asciiTheme="majorHAnsi" w:hAnsiTheme="majorHAnsi" w:cstheme="majorHAnsi"/>
          <w:color w:val="000000" w:themeColor="text1"/>
          <w:sz w:val="16"/>
          <w:szCs w:val="16"/>
          <w:lang w:val="ro-RO"/>
        </w:rPr>
        <w:t>e a Sistemului Informațional de</w:t>
      </w:r>
      <w:r w:rsidRPr="00A302FC">
        <w:rPr>
          <w:rFonts w:asciiTheme="majorHAnsi" w:eastAsia="Times New Roman" w:hAnsiTheme="majorHAnsi" w:cstheme="majorHAnsi"/>
          <w:color w:val="000000" w:themeColor="text1"/>
          <w:sz w:val="16"/>
          <w:szCs w:val="16"/>
          <w:lang w:val="ro-RO"/>
        </w:rPr>
        <w:t xml:space="preserve"> Gestionare a Finanțelor Pub</w:t>
      </w:r>
      <w:r w:rsidRPr="00A302FC">
        <w:rPr>
          <w:rFonts w:asciiTheme="majorHAnsi" w:hAnsiTheme="majorHAnsi" w:cstheme="majorHAnsi"/>
          <w:color w:val="000000" w:themeColor="text1"/>
          <w:sz w:val="16"/>
          <w:szCs w:val="16"/>
          <w:lang w:val="ro-RO"/>
        </w:rPr>
        <w:t>lice al Ministerului Finanțelor.</w:t>
      </w:r>
    </w:p>
  </w:footnote>
  <w:footnote w:id="26">
    <w:p w:rsidR="001D5AF9" w:rsidRPr="00A302FC" w:rsidRDefault="001D5AF9" w:rsidP="001D5AF9">
      <w:pPr>
        <w:pStyle w:val="a4"/>
        <w:ind w:right="50"/>
        <w:rPr>
          <w:rFonts w:asciiTheme="majorHAnsi" w:hAnsiTheme="majorHAnsi" w:cstheme="majorHAnsi"/>
          <w:color w:val="000000" w:themeColor="text1"/>
          <w:sz w:val="16"/>
          <w:szCs w:val="16"/>
        </w:rPr>
      </w:pPr>
      <w:r w:rsidRPr="00A302FC">
        <w:rPr>
          <w:rStyle w:val="a6"/>
          <w:rFonts w:asciiTheme="majorHAnsi" w:hAnsiTheme="majorHAnsi" w:cstheme="majorHAnsi"/>
          <w:color w:val="000000" w:themeColor="text1"/>
          <w:sz w:val="16"/>
          <w:szCs w:val="16"/>
        </w:rPr>
        <w:footnoteRef/>
      </w:r>
      <w:r w:rsidRPr="00A302FC">
        <w:rPr>
          <w:rFonts w:asciiTheme="majorHAnsi" w:hAnsiTheme="majorHAnsi" w:cstheme="majorHAnsi"/>
          <w:color w:val="000000" w:themeColor="text1"/>
          <w:sz w:val="16"/>
          <w:szCs w:val="16"/>
        </w:rPr>
        <w:t xml:space="preserve"> Art.68 alin.(8) din Legea privind achizițiile publice nr.131 din 03.07.2015.</w:t>
      </w:r>
    </w:p>
  </w:footnote>
  <w:footnote w:id="27">
    <w:p w:rsidR="00750CD6" w:rsidRPr="00A302FC" w:rsidRDefault="00750CD6" w:rsidP="00750CD6">
      <w:pPr>
        <w:pStyle w:val="a4"/>
        <w:spacing w:line="276" w:lineRule="auto"/>
        <w:ind w:right="50"/>
        <w:rPr>
          <w:rFonts w:asciiTheme="majorHAnsi" w:hAnsiTheme="majorHAnsi" w:cstheme="majorHAnsi"/>
          <w:color w:val="000000" w:themeColor="text1"/>
          <w:sz w:val="16"/>
          <w:szCs w:val="16"/>
          <w:lang w:val="ro-MD"/>
        </w:rPr>
      </w:pPr>
      <w:r w:rsidRPr="00A302FC">
        <w:rPr>
          <w:rStyle w:val="a6"/>
          <w:rFonts w:asciiTheme="majorHAnsi" w:hAnsiTheme="majorHAnsi" w:cstheme="majorHAnsi"/>
          <w:color w:val="000000" w:themeColor="text1"/>
          <w:sz w:val="16"/>
          <w:szCs w:val="16"/>
        </w:rPr>
        <w:footnoteRef/>
      </w:r>
      <w:r w:rsidRPr="00A302FC">
        <w:rPr>
          <w:rFonts w:asciiTheme="majorHAnsi" w:hAnsiTheme="majorHAnsi" w:cstheme="majorHAnsi"/>
          <w:color w:val="000000" w:themeColor="text1"/>
          <w:sz w:val="16"/>
          <w:szCs w:val="16"/>
          <w:lang w:val="ro-MD"/>
        </w:rPr>
        <w:t xml:space="preserve"> Hotărârea Curții de Conturi nr.26 din 30 mai 2022 cu privire la Raportul auditului asupra rapoartelor financiare consolidate ale Ministerului Finanțelor încheiate la 31 decembrie 2021, Hotărârea Curții de Conturi nr.23 din 10 iunie 2021 cu privire la Raportul auditului asupra rapoartelor financiare consolidate ale Ministerului Finanțelor încheiate la 31 decembrie 2020.</w:t>
      </w:r>
    </w:p>
  </w:footnote>
  <w:footnote w:id="28">
    <w:p w:rsidR="00750CD6" w:rsidRPr="00A302FC" w:rsidRDefault="00750CD6" w:rsidP="00750CD6">
      <w:pPr>
        <w:pStyle w:val="a4"/>
        <w:spacing w:line="276" w:lineRule="auto"/>
        <w:ind w:right="50"/>
        <w:rPr>
          <w:rFonts w:asciiTheme="majorHAnsi" w:hAnsiTheme="majorHAnsi" w:cstheme="majorHAnsi"/>
          <w:color w:val="000000" w:themeColor="text1"/>
          <w:sz w:val="16"/>
          <w:szCs w:val="16"/>
          <w:lang w:val="ro-RO"/>
        </w:rPr>
      </w:pPr>
      <w:r w:rsidRPr="00A302FC">
        <w:rPr>
          <w:rStyle w:val="a6"/>
          <w:rFonts w:asciiTheme="majorHAnsi" w:hAnsiTheme="majorHAnsi" w:cstheme="majorHAnsi"/>
          <w:color w:val="000000" w:themeColor="text1"/>
          <w:sz w:val="16"/>
          <w:szCs w:val="16"/>
        </w:rPr>
        <w:footnoteRef/>
      </w:r>
      <w:r w:rsidRPr="00A302FC">
        <w:rPr>
          <w:rFonts w:asciiTheme="majorHAnsi" w:hAnsiTheme="majorHAnsi" w:cstheme="majorHAnsi"/>
          <w:color w:val="000000" w:themeColor="text1"/>
          <w:sz w:val="16"/>
          <w:szCs w:val="16"/>
        </w:rPr>
        <w:t xml:space="preserve"> </w:t>
      </w:r>
      <w:r w:rsidRPr="00A302FC">
        <w:rPr>
          <w:rFonts w:asciiTheme="majorHAnsi" w:hAnsiTheme="majorHAnsi" w:cstheme="majorHAnsi"/>
          <w:color w:val="000000" w:themeColor="text1"/>
          <w:sz w:val="16"/>
          <w:szCs w:val="16"/>
          <w:lang w:val="ro-RO"/>
        </w:rPr>
        <w:t>Regulamentul cu privire la modul de evidență, evaluare și vânzare a bunurilor confiscate, fără stăpân, sechestrate, ușor alterabile sau cu termenul de păstrare limitat, a corpurilor delicte, a bunurilor trecute în posesia statului cu drept de succesiune și a comorilor, aprobat prin Hotărârea Guvernului nr.972 din 11.09.2001.</w:t>
      </w:r>
    </w:p>
  </w:footnote>
  <w:footnote w:id="29">
    <w:p w:rsidR="00D015F5" w:rsidRPr="00A302FC" w:rsidRDefault="00D015F5" w:rsidP="00D015F5">
      <w:pPr>
        <w:pStyle w:val="a4"/>
        <w:rPr>
          <w:rFonts w:asciiTheme="majorHAnsi" w:hAnsiTheme="majorHAnsi" w:cstheme="majorHAnsi"/>
          <w:color w:val="000000" w:themeColor="text1"/>
          <w:sz w:val="16"/>
          <w:szCs w:val="16"/>
          <w:lang w:val="ro-MD"/>
        </w:rPr>
      </w:pPr>
      <w:r w:rsidRPr="00A302FC">
        <w:rPr>
          <w:rStyle w:val="a6"/>
          <w:rFonts w:asciiTheme="majorHAnsi" w:hAnsiTheme="majorHAnsi" w:cstheme="majorHAnsi"/>
          <w:color w:val="000000" w:themeColor="text1"/>
          <w:sz w:val="16"/>
          <w:szCs w:val="16"/>
        </w:rPr>
        <w:footnoteRef/>
      </w:r>
      <w:r w:rsidRPr="00A302FC">
        <w:rPr>
          <w:rFonts w:asciiTheme="majorHAnsi" w:hAnsiTheme="majorHAnsi" w:cstheme="majorHAnsi"/>
          <w:color w:val="000000" w:themeColor="text1"/>
          <w:sz w:val="16"/>
          <w:szCs w:val="16"/>
          <w:lang w:val="ro-MD"/>
        </w:rPr>
        <w:t xml:space="preserve"> Serviciul Fiscal de Stat și Inspecția Financiară.</w:t>
      </w:r>
    </w:p>
  </w:footnote>
  <w:footnote w:id="30">
    <w:p w:rsidR="00D015F5" w:rsidRPr="00A302FC" w:rsidRDefault="00D015F5" w:rsidP="00D015F5">
      <w:pPr>
        <w:pStyle w:val="a4"/>
        <w:rPr>
          <w:rFonts w:asciiTheme="majorHAnsi" w:hAnsiTheme="majorHAnsi" w:cstheme="majorHAnsi"/>
          <w:color w:val="000000" w:themeColor="text1"/>
          <w:sz w:val="16"/>
          <w:szCs w:val="16"/>
          <w:lang w:val="ro-MD"/>
        </w:rPr>
      </w:pPr>
      <w:r w:rsidRPr="00A302FC">
        <w:rPr>
          <w:rStyle w:val="a6"/>
          <w:rFonts w:asciiTheme="majorHAnsi" w:hAnsiTheme="majorHAnsi" w:cstheme="majorHAnsi"/>
          <w:color w:val="000000" w:themeColor="text1"/>
          <w:sz w:val="16"/>
          <w:szCs w:val="16"/>
        </w:rPr>
        <w:footnoteRef/>
      </w:r>
      <w:r w:rsidRPr="00A302FC">
        <w:rPr>
          <w:rFonts w:asciiTheme="majorHAnsi" w:hAnsiTheme="majorHAnsi" w:cstheme="majorHAnsi"/>
          <w:color w:val="000000" w:themeColor="text1"/>
          <w:sz w:val="16"/>
          <w:szCs w:val="16"/>
          <w:lang w:val="ro-MD"/>
        </w:rPr>
        <w:t xml:space="preserve"> Hotărârea Guvernului nr.161 din 07.03.2019 cu privire la aprobarea listei terenurilor proprietate publică a statului din administrarea Agenției Proprietății Publice, Regulamentul cu privire la modul de transmitere a bunurilor proprietate publică, aprobat prin Hotărârea Guvernului nr.901 din 31.12.2015.</w:t>
      </w:r>
    </w:p>
  </w:footnote>
  <w:footnote w:id="31">
    <w:p w:rsidR="00C22066" w:rsidRPr="00A302FC" w:rsidRDefault="00C22066" w:rsidP="00C22066">
      <w:pPr>
        <w:shd w:val="clear" w:color="auto" w:fill="FFFFFF" w:themeFill="background1"/>
        <w:tabs>
          <w:tab w:val="left" w:pos="993"/>
        </w:tabs>
        <w:spacing w:after="0" w:line="276" w:lineRule="auto"/>
        <w:ind w:right="50"/>
        <w:rPr>
          <w:rFonts w:asciiTheme="majorHAnsi" w:hAnsiTheme="majorHAnsi" w:cstheme="majorHAnsi"/>
          <w:color w:val="000000" w:themeColor="text1"/>
          <w:sz w:val="16"/>
          <w:szCs w:val="16"/>
          <w:lang w:val="pt-BR"/>
        </w:rPr>
      </w:pPr>
      <w:r w:rsidRPr="00A302FC">
        <w:rPr>
          <w:rStyle w:val="a6"/>
          <w:rFonts w:asciiTheme="majorHAnsi" w:hAnsiTheme="majorHAnsi" w:cstheme="majorHAnsi"/>
          <w:color w:val="000000" w:themeColor="text1"/>
          <w:sz w:val="16"/>
          <w:szCs w:val="16"/>
        </w:rPr>
        <w:footnoteRef/>
      </w:r>
      <w:r w:rsidRPr="00A302FC">
        <w:rPr>
          <w:rFonts w:asciiTheme="majorHAnsi" w:hAnsiTheme="majorHAnsi" w:cstheme="majorHAnsi"/>
          <w:color w:val="000000" w:themeColor="text1"/>
          <w:sz w:val="16"/>
          <w:szCs w:val="16"/>
          <w:lang w:val="ro-RO"/>
        </w:rPr>
        <w:t xml:space="preserve"> L</w:t>
      </w:r>
      <w:r w:rsidRPr="00A302FC">
        <w:rPr>
          <w:rFonts w:asciiTheme="majorHAnsi" w:hAnsiTheme="majorHAnsi" w:cstheme="majorHAnsi"/>
          <w:color w:val="000000" w:themeColor="text1"/>
          <w:sz w:val="16"/>
          <w:szCs w:val="16"/>
          <w:lang w:val="pt-BR"/>
        </w:rPr>
        <w:t>a 31.12.2022, în evidența contabilă a Serviciului Vamal valoarea a 3 imobile a însumat 27,0 mil.lei, iar potrivit datelor Registrului bunurilor imobile - 38,3 mil.lei, sau cu 11,3 mil.lei mai mult. Analogic, în cadrul Serviciului Fiscal de Stat valoarea de bilanț a 9 bunuri imobile a însumat 4,2 mil.lei, iar potrivit datelor Registrului bunurilor imobile - 15,7 mil.lei, sau cu 11,5 mil.lei mai mult.</w:t>
      </w:r>
    </w:p>
  </w:footnote>
  <w:footnote w:id="32">
    <w:p w:rsidR="001D5AF9" w:rsidRPr="00A010F8" w:rsidRDefault="001D5AF9" w:rsidP="001D5AF9">
      <w:pPr>
        <w:spacing w:after="0" w:line="276" w:lineRule="auto"/>
        <w:ind w:right="50"/>
        <w:rPr>
          <w:rFonts w:asciiTheme="majorHAnsi" w:hAnsiTheme="majorHAnsi" w:cstheme="majorHAnsi"/>
          <w:color w:val="000000" w:themeColor="text1"/>
          <w:sz w:val="16"/>
          <w:szCs w:val="16"/>
          <w:lang w:val="ro-RO"/>
        </w:rPr>
      </w:pPr>
      <w:r w:rsidRPr="00A010F8">
        <w:rPr>
          <w:rStyle w:val="a6"/>
          <w:rFonts w:asciiTheme="majorHAnsi" w:hAnsiTheme="majorHAnsi" w:cstheme="majorHAnsi"/>
          <w:color w:val="000000" w:themeColor="text1"/>
          <w:sz w:val="16"/>
          <w:szCs w:val="16"/>
        </w:rPr>
        <w:footnoteRef/>
      </w:r>
      <w:r w:rsidRPr="00A010F8">
        <w:rPr>
          <w:rFonts w:asciiTheme="majorHAnsi" w:hAnsiTheme="majorHAnsi" w:cstheme="majorHAnsi"/>
          <w:color w:val="000000" w:themeColor="text1"/>
          <w:sz w:val="16"/>
          <w:szCs w:val="16"/>
        </w:rPr>
        <w:t xml:space="preserve"> Art.</w:t>
      </w:r>
      <w:r w:rsidRPr="00A010F8">
        <w:rPr>
          <w:rFonts w:asciiTheme="majorHAnsi" w:hAnsiTheme="majorHAnsi" w:cstheme="majorHAnsi"/>
          <w:color w:val="000000" w:themeColor="text1"/>
          <w:sz w:val="16"/>
          <w:szCs w:val="16"/>
          <w:lang w:val="ro-RO"/>
        </w:rPr>
        <w:t xml:space="preserve"> 42 alin.(3) și</w:t>
      </w:r>
      <w:r w:rsidR="003A166C" w:rsidRPr="00A010F8">
        <w:rPr>
          <w:rFonts w:asciiTheme="majorHAnsi" w:hAnsiTheme="majorHAnsi" w:cstheme="majorHAnsi"/>
          <w:color w:val="000000" w:themeColor="text1"/>
          <w:sz w:val="16"/>
          <w:szCs w:val="16"/>
          <w:lang w:val="ro-RO"/>
        </w:rPr>
        <w:t xml:space="preserve"> alin.</w:t>
      </w:r>
      <w:r w:rsidRPr="00A010F8">
        <w:rPr>
          <w:rFonts w:asciiTheme="majorHAnsi" w:hAnsiTheme="majorHAnsi" w:cstheme="majorHAnsi"/>
          <w:color w:val="000000" w:themeColor="text1"/>
          <w:sz w:val="16"/>
          <w:szCs w:val="16"/>
          <w:lang w:val="ro-RO"/>
        </w:rPr>
        <w:t xml:space="preserve">(6), art.61 lit. d) din Legea </w:t>
      </w:r>
      <w:r w:rsidR="003A166C" w:rsidRPr="00A010F8">
        <w:rPr>
          <w:rFonts w:asciiTheme="majorHAnsi" w:hAnsiTheme="majorHAnsi" w:cstheme="majorHAnsi"/>
          <w:color w:val="000000" w:themeColor="text1"/>
          <w:sz w:val="16"/>
          <w:szCs w:val="16"/>
          <w:lang w:val="ro-RO"/>
        </w:rPr>
        <w:t xml:space="preserve">cu privire la funcția publică și statutul funcționarului public </w:t>
      </w:r>
      <w:r w:rsidR="00FF430A" w:rsidRPr="00A010F8">
        <w:rPr>
          <w:rFonts w:asciiTheme="majorHAnsi" w:hAnsiTheme="majorHAnsi" w:cstheme="majorHAnsi"/>
          <w:color w:val="000000" w:themeColor="text1"/>
          <w:sz w:val="16"/>
          <w:szCs w:val="16"/>
          <w:lang w:val="ro-RO"/>
        </w:rPr>
        <w:t>nr.</w:t>
      </w:r>
      <w:r w:rsidRPr="00A010F8">
        <w:rPr>
          <w:rFonts w:asciiTheme="majorHAnsi" w:hAnsiTheme="majorHAnsi" w:cstheme="majorHAnsi"/>
          <w:color w:val="000000" w:themeColor="text1"/>
          <w:sz w:val="16"/>
          <w:szCs w:val="16"/>
          <w:lang w:val="ro-RO"/>
        </w:rPr>
        <w:t xml:space="preserve">158-XVI din </w:t>
      </w:r>
      <w:r w:rsidR="003A166C" w:rsidRPr="00A010F8">
        <w:rPr>
          <w:rFonts w:asciiTheme="majorHAnsi" w:hAnsiTheme="majorHAnsi" w:cstheme="majorHAnsi"/>
          <w:color w:val="000000" w:themeColor="text1"/>
          <w:sz w:val="16"/>
          <w:szCs w:val="16"/>
          <w:lang w:val="ro-RO"/>
        </w:rPr>
        <w:t>0</w:t>
      </w:r>
      <w:r w:rsidRPr="00A010F8">
        <w:rPr>
          <w:rFonts w:asciiTheme="majorHAnsi" w:hAnsiTheme="majorHAnsi" w:cstheme="majorHAnsi"/>
          <w:color w:val="000000" w:themeColor="text1"/>
          <w:sz w:val="16"/>
          <w:szCs w:val="16"/>
          <w:lang w:val="ro-RO"/>
        </w:rPr>
        <w:t>4</w:t>
      </w:r>
      <w:r w:rsidR="00A302FC" w:rsidRPr="00A010F8">
        <w:rPr>
          <w:rFonts w:asciiTheme="majorHAnsi" w:hAnsiTheme="majorHAnsi" w:cstheme="majorHAnsi"/>
          <w:color w:val="000000" w:themeColor="text1"/>
          <w:sz w:val="16"/>
          <w:szCs w:val="16"/>
          <w:lang w:val="ro-RO"/>
        </w:rPr>
        <w:t>.</w:t>
      </w:r>
      <w:r w:rsidR="003A166C" w:rsidRPr="00A010F8">
        <w:rPr>
          <w:rFonts w:asciiTheme="majorHAnsi" w:hAnsiTheme="majorHAnsi" w:cstheme="majorHAnsi"/>
          <w:color w:val="000000" w:themeColor="text1"/>
          <w:sz w:val="16"/>
          <w:szCs w:val="16"/>
          <w:lang w:val="ro-RO"/>
        </w:rPr>
        <w:t>07.</w:t>
      </w:r>
      <w:r w:rsidRPr="00A010F8">
        <w:rPr>
          <w:rFonts w:asciiTheme="majorHAnsi" w:hAnsiTheme="majorHAnsi" w:cstheme="majorHAnsi"/>
          <w:color w:val="000000" w:themeColor="text1"/>
          <w:sz w:val="16"/>
          <w:szCs w:val="16"/>
          <w:lang w:val="ro-RO"/>
        </w:rPr>
        <w:t xml:space="preserve">2008. </w:t>
      </w:r>
    </w:p>
  </w:footnote>
  <w:footnote w:id="33">
    <w:p w:rsidR="00C22066" w:rsidRPr="00A010F8" w:rsidRDefault="00C22066" w:rsidP="00C22066">
      <w:pPr>
        <w:pStyle w:val="a4"/>
        <w:spacing w:line="276" w:lineRule="auto"/>
        <w:ind w:right="50"/>
        <w:rPr>
          <w:rFonts w:asciiTheme="majorHAnsi" w:hAnsiTheme="majorHAnsi" w:cstheme="majorHAnsi"/>
          <w:color w:val="000000" w:themeColor="text1"/>
          <w:sz w:val="16"/>
          <w:szCs w:val="16"/>
        </w:rPr>
      </w:pPr>
      <w:r w:rsidRPr="00A010F8">
        <w:rPr>
          <w:rStyle w:val="a6"/>
          <w:rFonts w:asciiTheme="majorHAnsi" w:hAnsiTheme="majorHAnsi" w:cstheme="majorHAnsi"/>
          <w:color w:val="000000" w:themeColor="text1"/>
          <w:sz w:val="16"/>
          <w:szCs w:val="16"/>
        </w:rPr>
        <w:footnoteRef/>
      </w:r>
      <w:r w:rsidRPr="00A010F8">
        <w:rPr>
          <w:rFonts w:asciiTheme="majorHAnsi" w:hAnsiTheme="majorHAnsi" w:cstheme="majorHAnsi"/>
          <w:color w:val="000000" w:themeColor="text1"/>
          <w:sz w:val="16"/>
          <w:szCs w:val="16"/>
        </w:rPr>
        <w:t xml:space="preserve"> Art.35 și art.36 alin.(1) din Legea cu privire la Serviciul Vamal nr.302 din 21.12.2017</w:t>
      </w:r>
      <w:r w:rsidR="003A166C" w:rsidRPr="00A010F8">
        <w:rPr>
          <w:rFonts w:asciiTheme="majorHAnsi" w:hAnsiTheme="majorHAnsi" w:cstheme="majorHAnsi"/>
          <w:color w:val="000000" w:themeColor="text1"/>
          <w:sz w:val="16"/>
          <w:szCs w:val="16"/>
        </w:rPr>
        <w:t xml:space="preserve"> </w:t>
      </w:r>
      <w:r w:rsidRPr="00A010F8">
        <w:rPr>
          <w:rFonts w:asciiTheme="majorHAnsi" w:hAnsiTheme="majorHAnsi" w:cstheme="majorHAnsi"/>
          <w:color w:val="000000" w:themeColor="text1"/>
          <w:sz w:val="16"/>
          <w:szCs w:val="16"/>
        </w:rPr>
        <w:t>(în continuare - Legea nr.302 din 21.12.2017).</w:t>
      </w:r>
    </w:p>
  </w:footnote>
  <w:footnote w:id="34">
    <w:p w:rsidR="00C22066" w:rsidRPr="00A010F8" w:rsidRDefault="00C22066" w:rsidP="00C22066">
      <w:pPr>
        <w:pStyle w:val="a4"/>
        <w:spacing w:line="276" w:lineRule="auto"/>
        <w:ind w:right="50"/>
        <w:rPr>
          <w:rFonts w:asciiTheme="majorHAnsi" w:hAnsiTheme="majorHAnsi" w:cstheme="majorHAnsi"/>
          <w:color w:val="000000" w:themeColor="text1"/>
          <w:sz w:val="16"/>
          <w:szCs w:val="16"/>
        </w:rPr>
      </w:pPr>
      <w:r w:rsidRPr="00A010F8">
        <w:rPr>
          <w:rStyle w:val="a6"/>
          <w:rFonts w:asciiTheme="majorHAnsi" w:hAnsiTheme="majorHAnsi" w:cstheme="majorHAnsi"/>
          <w:color w:val="000000" w:themeColor="text1"/>
          <w:sz w:val="16"/>
          <w:szCs w:val="16"/>
        </w:rPr>
        <w:footnoteRef/>
      </w:r>
      <w:r w:rsidRPr="00A010F8">
        <w:rPr>
          <w:rFonts w:asciiTheme="majorHAnsi" w:hAnsiTheme="majorHAnsi" w:cstheme="majorHAnsi"/>
          <w:color w:val="000000" w:themeColor="text1"/>
          <w:sz w:val="16"/>
          <w:szCs w:val="16"/>
        </w:rPr>
        <w:t xml:space="preserve"> Ordinul Directorului general al Serviciului Vamal nr.04-O din 11.01.2021 „Privind aprobarea Regulamentului cu privire la dezvoltarea profesională a funcționarilor vamali”.</w:t>
      </w:r>
    </w:p>
  </w:footnote>
  <w:footnote w:id="35">
    <w:p w:rsidR="00C22066" w:rsidRPr="00A010F8" w:rsidRDefault="00C22066" w:rsidP="00C22066">
      <w:pPr>
        <w:pStyle w:val="a4"/>
        <w:spacing w:line="276" w:lineRule="auto"/>
        <w:rPr>
          <w:rFonts w:asciiTheme="majorHAnsi" w:hAnsiTheme="majorHAnsi" w:cstheme="majorHAnsi"/>
          <w:color w:val="000000" w:themeColor="text1"/>
          <w:sz w:val="16"/>
          <w:szCs w:val="16"/>
        </w:rPr>
      </w:pPr>
      <w:r w:rsidRPr="00A010F8">
        <w:rPr>
          <w:rStyle w:val="a6"/>
          <w:rFonts w:asciiTheme="majorHAnsi" w:hAnsiTheme="majorHAnsi" w:cstheme="majorHAnsi"/>
          <w:color w:val="000000" w:themeColor="text1"/>
          <w:sz w:val="16"/>
          <w:szCs w:val="16"/>
        </w:rPr>
        <w:footnoteRef/>
      </w:r>
      <w:r w:rsidRPr="00A010F8">
        <w:rPr>
          <w:rFonts w:asciiTheme="majorHAnsi" w:hAnsiTheme="majorHAnsi" w:cstheme="majorHAnsi"/>
          <w:color w:val="000000" w:themeColor="text1"/>
          <w:sz w:val="16"/>
          <w:szCs w:val="16"/>
        </w:rPr>
        <w:t xml:space="preserve"> </w:t>
      </w:r>
      <w:r w:rsidRPr="00A010F8">
        <w:rPr>
          <w:rFonts w:asciiTheme="majorHAnsi" w:hAnsiTheme="majorHAnsi" w:cstheme="majorHAnsi"/>
          <w:color w:val="000000" w:themeColor="text1"/>
          <w:sz w:val="16"/>
          <w:szCs w:val="16"/>
          <w:shd w:val="clear" w:color="auto" w:fill="FFFFFF"/>
          <w:lang w:val="pt-BR"/>
        </w:rPr>
        <w:t xml:space="preserve">Centrul de instruire este o subdiviziune a Aparatului central al Serviciului Vamal, cu statut de Direcție, subordonată Directorului general, care planifică, organizează și desfășoară procesul de instruire și perfecționare profesională a colaboratorilor vamali, fiind creat în anul 2007, prin </w:t>
      </w:r>
      <w:r w:rsidRPr="00A010F8">
        <w:rPr>
          <w:rFonts w:asciiTheme="majorHAnsi" w:hAnsiTheme="majorHAnsi" w:cstheme="majorHAnsi"/>
          <w:color w:val="000000" w:themeColor="text1"/>
          <w:sz w:val="16"/>
          <w:szCs w:val="16"/>
        </w:rPr>
        <w:t xml:space="preserve">Ordinul Directorului general al Serviciului Vamal nr.407-O din 19.10.2007 „Cu privire la crearea Centrului de instruire a colaboratorilor vamali”. </w:t>
      </w:r>
    </w:p>
  </w:footnote>
  <w:footnote w:id="36">
    <w:p w:rsidR="00C22066" w:rsidRPr="00A010F8" w:rsidRDefault="00C22066" w:rsidP="00C22066">
      <w:pPr>
        <w:pStyle w:val="a4"/>
        <w:rPr>
          <w:rFonts w:asciiTheme="majorHAnsi" w:hAnsiTheme="majorHAnsi" w:cstheme="majorHAnsi"/>
          <w:color w:val="000000" w:themeColor="text1"/>
          <w:sz w:val="16"/>
          <w:szCs w:val="16"/>
          <w:lang w:val="ro-MD"/>
        </w:rPr>
      </w:pPr>
      <w:r w:rsidRPr="00A010F8">
        <w:rPr>
          <w:rStyle w:val="a6"/>
          <w:rFonts w:asciiTheme="majorHAnsi" w:hAnsiTheme="majorHAnsi" w:cstheme="majorHAnsi"/>
          <w:color w:val="000000" w:themeColor="text1"/>
          <w:sz w:val="16"/>
          <w:szCs w:val="16"/>
        </w:rPr>
        <w:footnoteRef/>
      </w:r>
      <w:r w:rsidRPr="00A010F8">
        <w:rPr>
          <w:rFonts w:asciiTheme="majorHAnsi" w:hAnsiTheme="majorHAnsi" w:cstheme="majorHAnsi"/>
          <w:color w:val="000000" w:themeColor="text1"/>
          <w:sz w:val="16"/>
          <w:szCs w:val="16"/>
          <w:lang w:val="ro-MD"/>
        </w:rPr>
        <w:t xml:space="preserve"> Normele de calcul al salariului pe oră (unitate de timp) pentru personalul antrenat în activitatea didactică în toate ramurile economiei naționale, Anexa nr.5 la Hotărârea Guvernului nr.1231 din 12.12.2018 pentru punerea în aplicare a prevederilor Legii nr.270/2018 privind sistemul unitar de salarizare în sectorul bugetar.</w:t>
      </w:r>
    </w:p>
  </w:footnote>
  <w:footnote w:id="37">
    <w:p w:rsidR="00C22066" w:rsidRPr="00A010F8" w:rsidRDefault="00C22066" w:rsidP="00C22066">
      <w:pPr>
        <w:pStyle w:val="a4"/>
        <w:rPr>
          <w:rFonts w:asciiTheme="majorHAnsi" w:hAnsiTheme="majorHAnsi" w:cstheme="majorHAnsi"/>
          <w:color w:val="000000" w:themeColor="text1"/>
          <w:sz w:val="16"/>
          <w:szCs w:val="16"/>
          <w:lang w:val="ro-MD"/>
        </w:rPr>
      </w:pPr>
      <w:r w:rsidRPr="00A010F8">
        <w:rPr>
          <w:rStyle w:val="a6"/>
          <w:rFonts w:asciiTheme="majorHAnsi" w:hAnsiTheme="majorHAnsi" w:cstheme="majorHAnsi"/>
          <w:color w:val="000000" w:themeColor="text1"/>
          <w:sz w:val="16"/>
          <w:szCs w:val="16"/>
        </w:rPr>
        <w:footnoteRef/>
      </w:r>
      <w:r w:rsidRPr="00A010F8">
        <w:rPr>
          <w:rFonts w:asciiTheme="majorHAnsi" w:hAnsiTheme="majorHAnsi" w:cstheme="majorHAnsi"/>
          <w:color w:val="000000" w:themeColor="text1"/>
          <w:sz w:val="16"/>
          <w:szCs w:val="16"/>
          <w:lang w:val="ro-MD"/>
        </w:rPr>
        <w:t xml:space="preserve"> Art.36 alin.(2) din Legea nr.302 din 21.12.2017.</w:t>
      </w:r>
    </w:p>
  </w:footnote>
  <w:footnote w:id="38">
    <w:p w:rsidR="00D23D29" w:rsidRPr="00F064E2" w:rsidRDefault="00D23D29" w:rsidP="004A6C78">
      <w:pPr>
        <w:pStyle w:val="a4"/>
        <w:spacing w:line="276" w:lineRule="auto"/>
        <w:ind w:right="50"/>
        <w:rPr>
          <w:rFonts w:asciiTheme="majorHAnsi" w:hAnsiTheme="majorHAnsi" w:cstheme="majorHAnsi"/>
          <w:color w:val="000000" w:themeColor="text1"/>
          <w:sz w:val="16"/>
          <w:szCs w:val="16"/>
          <w:lang w:val="ro-MD"/>
        </w:rPr>
      </w:pPr>
      <w:r w:rsidRPr="00F064E2">
        <w:rPr>
          <w:rStyle w:val="a6"/>
          <w:rFonts w:asciiTheme="majorHAnsi" w:eastAsiaTheme="majorEastAsia" w:hAnsiTheme="majorHAnsi" w:cstheme="majorHAnsi"/>
          <w:color w:val="000000" w:themeColor="text1"/>
          <w:sz w:val="16"/>
          <w:szCs w:val="16"/>
          <w:lang w:val="ro"/>
        </w:rPr>
        <w:footnoteRef/>
      </w:r>
      <w:r w:rsidRPr="00F064E2">
        <w:rPr>
          <w:rFonts w:asciiTheme="majorHAnsi" w:hAnsiTheme="majorHAnsi" w:cstheme="majorHAnsi"/>
          <w:color w:val="000000" w:themeColor="text1"/>
          <w:sz w:val="16"/>
          <w:szCs w:val="16"/>
          <w:lang w:val="ro"/>
        </w:rPr>
        <w:t xml:space="preserve"> Art.13 alin.(2) din Legea contabilității</w:t>
      </w:r>
      <w:r w:rsidR="0002178B" w:rsidRPr="00F064E2">
        <w:rPr>
          <w:rFonts w:asciiTheme="majorHAnsi" w:hAnsiTheme="majorHAnsi" w:cstheme="majorHAnsi"/>
          <w:color w:val="000000" w:themeColor="text1"/>
          <w:sz w:val="16"/>
          <w:szCs w:val="16"/>
          <w:lang w:val="ro"/>
        </w:rPr>
        <w:t>.</w:t>
      </w:r>
    </w:p>
  </w:footnote>
  <w:footnote w:id="39">
    <w:p w:rsidR="00D23D29" w:rsidRPr="00F064E2" w:rsidRDefault="00D23D29" w:rsidP="004A6C78">
      <w:pPr>
        <w:pStyle w:val="a4"/>
        <w:spacing w:line="276" w:lineRule="auto"/>
        <w:ind w:right="50"/>
        <w:rPr>
          <w:rFonts w:asciiTheme="majorHAnsi" w:hAnsiTheme="majorHAnsi" w:cstheme="majorHAnsi"/>
          <w:color w:val="000000" w:themeColor="text1"/>
          <w:sz w:val="16"/>
          <w:szCs w:val="16"/>
          <w:lang w:val="ro-MD"/>
        </w:rPr>
      </w:pPr>
      <w:r w:rsidRPr="00F064E2">
        <w:rPr>
          <w:rStyle w:val="a6"/>
          <w:rFonts w:asciiTheme="majorHAnsi" w:eastAsiaTheme="majorEastAsia" w:hAnsiTheme="majorHAnsi" w:cstheme="majorHAnsi"/>
          <w:color w:val="000000" w:themeColor="text1"/>
          <w:sz w:val="16"/>
          <w:szCs w:val="16"/>
          <w:lang w:val="ro"/>
        </w:rPr>
        <w:footnoteRef/>
      </w:r>
      <w:r w:rsidRPr="00F064E2">
        <w:rPr>
          <w:rFonts w:asciiTheme="majorHAnsi" w:hAnsiTheme="majorHAnsi" w:cstheme="majorHAnsi"/>
          <w:color w:val="000000" w:themeColor="text1"/>
          <w:sz w:val="16"/>
          <w:szCs w:val="16"/>
          <w:lang w:val="ro"/>
        </w:rPr>
        <w:t xml:space="preserve"> Legea contabilității</w:t>
      </w:r>
      <w:r w:rsidR="00404744" w:rsidRPr="00F064E2">
        <w:rPr>
          <w:rFonts w:asciiTheme="majorHAnsi" w:hAnsiTheme="majorHAnsi" w:cstheme="majorHAnsi"/>
          <w:color w:val="000000" w:themeColor="text1"/>
          <w:sz w:val="16"/>
          <w:szCs w:val="16"/>
          <w:lang w:val="ro"/>
        </w:rPr>
        <w:t>;</w:t>
      </w:r>
      <w:r w:rsidRPr="00F064E2">
        <w:rPr>
          <w:rFonts w:asciiTheme="majorHAnsi" w:hAnsiTheme="majorHAnsi" w:cstheme="majorHAnsi"/>
          <w:color w:val="000000" w:themeColor="text1"/>
          <w:sz w:val="16"/>
          <w:szCs w:val="16"/>
          <w:lang w:val="ro"/>
        </w:rPr>
        <w:t xml:space="preserve"> Planul de conturi contabile în sistemul bugetar și Normele metodologice privind evidența contabilă și raportarea financiară în sistemul bugetar, aprobate prin Ordinul ministrului finanțelor nr.216 din 28.12.2015; Ordinul ministrului finanțelor nr.1</w:t>
      </w:r>
      <w:r w:rsidR="00F064E2" w:rsidRPr="00F064E2">
        <w:rPr>
          <w:rFonts w:asciiTheme="majorHAnsi" w:hAnsiTheme="majorHAnsi" w:cstheme="majorHAnsi"/>
          <w:color w:val="000000" w:themeColor="text1"/>
          <w:sz w:val="16"/>
          <w:szCs w:val="16"/>
          <w:lang w:val="ro"/>
        </w:rPr>
        <w:t>18</w:t>
      </w:r>
      <w:r w:rsidRPr="00F064E2">
        <w:rPr>
          <w:rFonts w:asciiTheme="majorHAnsi" w:hAnsiTheme="majorHAnsi" w:cstheme="majorHAnsi"/>
          <w:color w:val="000000" w:themeColor="text1"/>
          <w:sz w:val="16"/>
          <w:szCs w:val="16"/>
          <w:lang w:val="ro"/>
        </w:rPr>
        <w:t xml:space="preserve"> din </w:t>
      </w:r>
      <w:r w:rsidR="00F064E2" w:rsidRPr="00F064E2">
        <w:rPr>
          <w:rFonts w:asciiTheme="majorHAnsi" w:hAnsiTheme="majorHAnsi" w:cstheme="majorHAnsi"/>
          <w:color w:val="000000" w:themeColor="text1"/>
          <w:sz w:val="16"/>
          <w:szCs w:val="16"/>
          <w:lang w:val="ro"/>
        </w:rPr>
        <w:t>13.</w:t>
      </w:r>
      <w:r w:rsidRPr="00F064E2">
        <w:rPr>
          <w:rFonts w:asciiTheme="majorHAnsi" w:hAnsiTheme="majorHAnsi" w:cstheme="majorHAnsi"/>
          <w:color w:val="000000" w:themeColor="text1"/>
          <w:sz w:val="16"/>
          <w:szCs w:val="16"/>
          <w:lang w:val="ro"/>
        </w:rPr>
        <w:t>12.20</w:t>
      </w:r>
      <w:r w:rsidR="00F064E2" w:rsidRPr="00F064E2">
        <w:rPr>
          <w:rFonts w:asciiTheme="majorHAnsi" w:hAnsiTheme="majorHAnsi" w:cstheme="majorHAnsi"/>
          <w:color w:val="000000" w:themeColor="text1"/>
          <w:sz w:val="16"/>
          <w:szCs w:val="16"/>
          <w:lang w:val="ro"/>
        </w:rPr>
        <w:t>22</w:t>
      </w:r>
      <w:r w:rsidRPr="00F064E2">
        <w:rPr>
          <w:rFonts w:asciiTheme="majorHAnsi" w:hAnsiTheme="majorHAnsi" w:cstheme="majorHAnsi"/>
          <w:color w:val="000000" w:themeColor="text1"/>
          <w:sz w:val="16"/>
          <w:szCs w:val="16"/>
          <w:lang w:val="ro"/>
        </w:rPr>
        <w:t xml:space="preserve"> „Cu privire la aprobarea termenelor de prezentare a rapoartelor financiare pe anul 20</w:t>
      </w:r>
      <w:r w:rsidR="00F064E2" w:rsidRPr="00F064E2">
        <w:rPr>
          <w:rFonts w:asciiTheme="majorHAnsi" w:hAnsiTheme="majorHAnsi" w:cstheme="majorHAnsi"/>
          <w:color w:val="000000" w:themeColor="text1"/>
          <w:sz w:val="16"/>
          <w:szCs w:val="16"/>
          <w:lang w:val="ro"/>
        </w:rPr>
        <w:t>22</w:t>
      </w:r>
      <w:r w:rsidRPr="00F064E2">
        <w:rPr>
          <w:rFonts w:asciiTheme="majorHAnsi" w:hAnsiTheme="majorHAnsi" w:cstheme="majorHAnsi"/>
          <w:color w:val="000000" w:themeColor="text1"/>
          <w:sz w:val="16"/>
          <w:szCs w:val="16"/>
          <w:lang w:val="ro"/>
        </w:rPr>
        <w:t>”; Ordinul ministrului finanțelor nr.164 din 30.12.2016 „Cu privire la aprobarea Cerințelor la întocmirea Raportului narativ privind executarea bugetelor autorităților/instituțiilor bugetare”.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275CA"/>
    <w:multiLevelType w:val="multilevel"/>
    <w:tmpl w:val="F398A41C"/>
    <w:lvl w:ilvl="0">
      <w:start w:val="5"/>
      <w:numFmt w:val="upperRoman"/>
      <w:lvlText w:val="%1."/>
      <w:lvlJc w:val="left"/>
      <w:pPr>
        <w:ind w:left="1080" w:hanging="720"/>
      </w:pPr>
      <w:rPr>
        <w:rFonts w:hint="default"/>
      </w:rPr>
    </w:lvl>
    <w:lvl w:ilvl="1">
      <w:start w:val="1"/>
      <w:numFmt w:val="decimal"/>
      <w:isLgl/>
      <w:lvlText w:val="%1.%2"/>
      <w:lvlJc w:val="left"/>
      <w:pPr>
        <w:ind w:left="792" w:hanging="432"/>
      </w:pPr>
      <w:rPr>
        <w:rFonts w:eastAsia="Times New Roman" w:hint="default"/>
        <w:color w:val="000000" w:themeColor="text1"/>
      </w:rPr>
    </w:lvl>
    <w:lvl w:ilvl="2">
      <w:start w:val="1"/>
      <w:numFmt w:val="lowerLetter"/>
      <w:isLgl/>
      <w:lvlText w:val="%1.%2.%3"/>
      <w:lvlJc w:val="left"/>
      <w:pPr>
        <w:ind w:left="1080" w:hanging="720"/>
      </w:pPr>
      <w:rPr>
        <w:rFonts w:eastAsia="Times New Roman" w:hint="default"/>
        <w:color w:val="000000" w:themeColor="text1"/>
      </w:rPr>
    </w:lvl>
    <w:lvl w:ilvl="3">
      <w:start w:val="1"/>
      <w:numFmt w:val="lowerLetter"/>
      <w:isLgl/>
      <w:lvlText w:val="%1.%2.%3.%4"/>
      <w:lvlJc w:val="left"/>
      <w:pPr>
        <w:ind w:left="1080" w:hanging="720"/>
      </w:pPr>
      <w:rPr>
        <w:rFonts w:eastAsia="Times New Roman" w:hint="default"/>
        <w:color w:val="000000" w:themeColor="text1"/>
      </w:rPr>
    </w:lvl>
    <w:lvl w:ilvl="4">
      <w:start w:val="1"/>
      <w:numFmt w:val="decimal"/>
      <w:isLgl/>
      <w:lvlText w:val="%1.%2.%3.%4.%5"/>
      <w:lvlJc w:val="left"/>
      <w:pPr>
        <w:ind w:left="1440" w:hanging="1080"/>
      </w:pPr>
      <w:rPr>
        <w:rFonts w:eastAsia="Times New Roman" w:hint="default"/>
        <w:color w:val="000000" w:themeColor="text1"/>
      </w:rPr>
    </w:lvl>
    <w:lvl w:ilvl="5">
      <w:start w:val="1"/>
      <w:numFmt w:val="decimal"/>
      <w:isLgl/>
      <w:lvlText w:val="%1.%2.%3.%4.%5.%6"/>
      <w:lvlJc w:val="left"/>
      <w:pPr>
        <w:ind w:left="1440" w:hanging="1080"/>
      </w:pPr>
      <w:rPr>
        <w:rFonts w:eastAsia="Times New Roman" w:hint="default"/>
        <w:color w:val="000000" w:themeColor="text1"/>
      </w:rPr>
    </w:lvl>
    <w:lvl w:ilvl="6">
      <w:start w:val="1"/>
      <w:numFmt w:val="decimal"/>
      <w:isLgl/>
      <w:lvlText w:val="%1.%2.%3.%4.%5.%6.%7"/>
      <w:lvlJc w:val="left"/>
      <w:pPr>
        <w:ind w:left="1800" w:hanging="1440"/>
      </w:pPr>
      <w:rPr>
        <w:rFonts w:eastAsia="Times New Roman" w:hint="default"/>
        <w:color w:val="000000" w:themeColor="text1"/>
      </w:rPr>
    </w:lvl>
    <w:lvl w:ilvl="7">
      <w:start w:val="1"/>
      <w:numFmt w:val="decimal"/>
      <w:isLgl/>
      <w:lvlText w:val="%1.%2.%3.%4.%5.%6.%7.%8"/>
      <w:lvlJc w:val="left"/>
      <w:pPr>
        <w:ind w:left="1800" w:hanging="1440"/>
      </w:pPr>
      <w:rPr>
        <w:rFonts w:eastAsia="Times New Roman" w:hint="default"/>
        <w:color w:val="000000" w:themeColor="text1"/>
      </w:rPr>
    </w:lvl>
    <w:lvl w:ilvl="8">
      <w:start w:val="1"/>
      <w:numFmt w:val="decimal"/>
      <w:isLgl/>
      <w:lvlText w:val="%1.%2.%3.%4.%5.%6.%7.%8.%9"/>
      <w:lvlJc w:val="left"/>
      <w:pPr>
        <w:ind w:left="2160" w:hanging="1800"/>
      </w:pPr>
      <w:rPr>
        <w:rFonts w:eastAsia="Times New Roman" w:hint="default"/>
        <w:color w:val="000000" w:themeColor="text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1F"/>
    <w:rsid w:val="0000422E"/>
    <w:rsid w:val="00011A7A"/>
    <w:rsid w:val="00015D8E"/>
    <w:rsid w:val="000175BB"/>
    <w:rsid w:val="0002178B"/>
    <w:rsid w:val="00030841"/>
    <w:rsid w:val="000570FC"/>
    <w:rsid w:val="00074410"/>
    <w:rsid w:val="000914B8"/>
    <w:rsid w:val="0009275A"/>
    <w:rsid w:val="000976CC"/>
    <w:rsid w:val="000B0057"/>
    <w:rsid w:val="000B1EEC"/>
    <w:rsid w:val="000D243F"/>
    <w:rsid w:val="000D78F8"/>
    <w:rsid w:val="000E0D90"/>
    <w:rsid w:val="00115CED"/>
    <w:rsid w:val="00121D81"/>
    <w:rsid w:val="001337F0"/>
    <w:rsid w:val="0014162A"/>
    <w:rsid w:val="00147C23"/>
    <w:rsid w:val="001A0446"/>
    <w:rsid w:val="001B424A"/>
    <w:rsid w:val="001C1218"/>
    <w:rsid w:val="001D5AF9"/>
    <w:rsid w:val="001D7C38"/>
    <w:rsid w:val="001D7CE8"/>
    <w:rsid w:val="001F0A3A"/>
    <w:rsid w:val="001F241E"/>
    <w:rsid w:val="001F5E16"/>
    <w:rsid w:val="00200696"/>
    <w:rsid w:val="00201D59"/>
    <w:rsid w:val="0020550F"/>
    <w:rsid w:val="00220812"/>
    <w:rsid w:val="002303A7"/>
    <w:rsid w:val="00240776"/>
    <w:rsid w:val="0027282C"/>
    <w:rsid w:val="002740A3"/>
    <w:rsid w:val="00276D73"/>
    <w:rsid w:val="002A194B"/>
    <w:rsid w:val="002A3B36"/>
    <w:rsid w:val="002C4F76"/>
    <w:rsid w:val="00310886"/>
    <w:rsid w:val="00315ED8"/>
    <w:rsid w:val="00333F88"/>
    <w:rsid w:val="00336F95"/>
    <w:rsid w:val="0034116B"/>
    <w:rsid w:val="0035223D"/>
    <w:rsid w:val="003605C7"/>
    <w:rsid w:val="00367124"/>
    <w:rsid w:val="003721C6"/>
    <w:rsid w:val="00375311"/>
    <w:rsid w:val="00382318"/>
    <w:rsid w:val="00385EC9"/>
    <w:rsid w:val="003A166C"/>
    <w:rsid w:val="003E3754"/>
    <w:rsid w:val="003E6C69"/>
    <w:rsid w:val="003F4014"/>
    <w:rsid w:val="00404744"/>
    <w:rsid w:val="00430D5B"/>
    <w:rsid w:val="00433BE5"/>
    <w:rsid w:val="00440538"/>
    <w:rsid w:val="0044129C"/>
    <w:rsid w:val="00456624"/>
    <w:rsid w:val="0048195E"/>
    <w:rsid w:val="004909BA"/>
    <w:rsid w:val="0049239A"/>
    <w:rsid w:val="004A6C78"/>
    <w:rsid w:val="004D4CF2"/>
    <w:rsid w:val="004E0CB0"/>
    <w:rsid w:val="005249C7"/>
    <w:rsid w:val="005273F7"/>
    <w:rsid w:val="005353C2"/>
    <w:rsid w:val="005526AA"/>
    <w:rsid w:val="00561DFE"/>
    <w:rsid w:val="005837AD"/>
    <w:rsid w:val="00592389"/>
    <w:rsid w:val="005939B2"/>
    <w:rsid w:val="005A273A"/>
    <w:rsid w:val="005B6399"/>
    <w:rsid w:val="005E2566"/>
    <w:rsid w:val="005F2AE6"/>
    <w:rsid w:val="005F66F1"/>
    <w:rsid w:val="006230BE"/>
    <w:rsid w:val="006364AE"/>
    <w:rsid w:val="00654F3A"/>
    <w:rsid w:val="00662C0E"/>
    <w:rsid w:val="00663A4A"/>
    <w:rsid w:val="0066671A"/>
    <w:rsid w:val="00682FAD"/>
    <w:rsid w:val="00693793"/>
    <w:rsid w:val="006B058B"/>
    <w:rsid w:val="00702C6E"/>
    <w:rsid w:val="007114B5"/>
    <w:rsid w:val="00712E1F"/>
    <w:rsid w:val="00713463"/>
    <w:rsid w:val="00714BC5"/>
    <w:rsid w:val="00727158"/>
    <w:rsid w:val="00742028"/>
    <w:rsid w:val="00750CD6"/>
    <w:rsid w:val="00765417"/>
    <w:rsid w:val="0077131F"/>
    <w:rsid w:val="00796E67"/>
    <w:rsid w:val="007A194B"/>
    <w:rsid w:val="007A2A69"/>
    <w:rsid w:val="007D39AF"/>
    <w:rsid w:val="007F6ACA"/>
    <w:rsid w:val="00807AE4"/>
    <w:rsid w:val="00834F30"/>
    <w:rsid w:val="00855058"/>
    <w:rsid w:val="00857943"/>
    <w:rsid w:val="00857BCF"/>
    <w:rsid w:val="00892EA0"/>
    <w:rsid w:val="008A307B"/>
    <w:rsid w:val="008A3FC5"/>
    <w:rsid w:val="008E2057"/>
    <w:rsid w:val="009034C1"/>
    <w:rsid w:val="0090736B"/>
    <w:rsid w:val="009457FA"/>
    <w:rsid w:val="00963A2A"/>
    <w:rsid w:val="00965EBA"/>
    <w:rsid w:val="00972570"/>
    <w:rsid w:val="009820F8"/>
    <w:rsid w:val="00982458"/>
    <w:rsid w:val="00984CCC"/>
    <w:rsid w:val="00985588"/>
    <w:rsid w:val="009918FB"/>
    <w:rsid w:val="009945BD"/>
    <w:rsid w:val="009C49B1"/>
    <w:rsid w:val="009D40A6"/>
    <w:rsid w:val="009D5986"/>
    <w:rsid w:val="009E2DD1"/>
    <w:rsid w:val="009E3B59"/>
    <w:rsid w:val="009E612F"/>
    <w:rsid w:val="00A010F8"/>
    <w:rsid w:val="00A121F7"/>
    <w:rsid w:val="00A2797E"/>
    <w:rsid w:val="00A302FC"/>
    <w:rsid w:val="00A32297"/>
    <w:rsid w:val="00A32B1F"/>
    <w:rsid w:val="00A345E7"/>
    <w:rsid w:val="00A4012F"/>
    <w:rsid w:val="00A43050"/>
    <w:rsid w:val="00A7057D"/>
    <w:rsid w:val="00A707FE"/>
    <w:rsid w:val="00A85930"/>
    <w:rsid w:val="00A951A3"/>
    <w:rsid w:val="00AA6326"/>
    <w:rsid w:val="00AA7EA6"/>
    <w:rsid w:val="00AC4414"/>
    <w:rsid w:val="00AD0677"/>
    <w:rsid w:val="00AD43E0"/>
    <w:rsid w:val="00AE1835"/>
    <w:rsid w:val="00B001BB"/>
    <w:rsid w:val="00B03039"/>
    <w:rsid w:val="00B24672"/>
    <w:rsid w:val="00B807E6"/>
    <w:rsid w:val="00B8605D"/>
    <w:rsid w:val="00BC47E6"/>
    <w:rsid w:val="00BE52BC"/>
    <w:rsid w:val="00C00C8C"/>
    <w:rsid w:val="00C20125"/>
    <w:rsid w:val="00C22066"/>
    <w:rsid w:val="00C27741"/>
    <w:rsid w:val="00C30651"/>
    <w:rsid w:val="00C35F4A"/>
    <w:rsid w:val="00C4698B"/>
    <w:rsid w:val="00C6202E"/>
    <w:rsid w:val="00C64FBF"/>
    <w:rsid w:val="00C65BE4"/>
    <w:rsid w:val="00C71DC9"/>
    <w:rsid w:val="00C86D9D"/>
    <w:rsid w:val="00C96BC3"/>
    <w:rsid w:val="00CA2372"/>
    <w:rsid w:val="00CA287A"/>
    <w:rsid w:val="00CB12C0"/>
    <w:rsid w:val="00CB6D2A"/>
    <w:rsid w:val="00CE37C7"/>
    <w:rsid w:val="00D015F5"/>
    <w:rsid w:val="00D04A75"/>
    <w:rsid w:val="00D23D29"/>
    <w:rsid w:val="00D54300"/>
    <w:rsid w:val="00D61A6D"/>
    <w:rsid w:val="00D80CB9"/>
    <w:rsid w:val="00D82C5E"/>
    <w:rsid w:val="00DB4325"/>
    <w:rsid w:val="00DD185E"/>
    <w:rsid w:val="00DD72E6"/>
    <w:rsid w:val="00DE34AA"/>
    <w:rsid w:val="00DE79B8"/>
    <w:rsid w:val="00DE7A28"/>
    <w:rsid w:val="00DF3A8B"/>
    <w:rsid w:val="00DF6334"/>
    <w:rsid w:val="00E03010"/>
    <w:rsid w:val="00E04CEF"/>
    <w:rsid w:val="00E53CAA"/>
    <w:rsid w:val="00E61A66"/>
    <w:rsid w:val="00E834A6"/>
    <w:rsid w:val="00E86BDE"/>
    <w:rsid w:val="00EB2C31"/>
    <w:rsid w:val="00EC797D"/>
    <w:rsid w:val="00EF1391"/>
    <w:rsid w:val="00EF6895"/>
    <w:rsid w:val="00F01487"/>
    <w:rsid w:val="00F064E2"/>
    <w:rsid w:val="00F06709"/>
    <w:rsid w:val="00F122E5"/>
    <w:rsid w:val="00F21F0C"/>
    <w:rsid w:val="00F4658B"/>
    <w:rsid w:val="00F523BF"/>
    <w:rsid w:val="00F57DF6"/>
    <w:rsid w:val="00F61D71"/>
    <w:rsid w:val="00F70D9C"/>
    <w:rsid w:val="00F74136"/>
    <w:rsid w:val="00F824C8"/>
    <w:rsid w:val="00FA65B4"/>
    <w:rsid w:val="00FA6788"/>
    <w:rsid w:val="00FB48F4"/>
    <w:rsid w:val="00FB58A8"/>
    <w:rsid w:val="00FC163B"/>
    <w:rsid w:val="00FD4547"/>
    <w:rsid w:val="00FF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0730F-E4C6-4528-AF9F-DA7AE846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Norma"/>
    <w:qFormat/>
    <w:rsid w:val="009D5986"/>
    <w:pPr>
      <w:jc w:val="both"/>
    </w:pPr>
    <w:rPr>
      <w:rFonts w:ascii="Times New Roman" w:hAnsi="Times New Roman"/>
      <w:sz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5986"/>
    <w:rPr>
      <w:color w:val="0563C1" w:themeColor="hyperlink"/>
      <w:u w:val="single"/>
    </w:rPr>
  </w:style>
  <w:style w:type="paragraph" w:styleId="a4">
    <w:name w:val="footnote text"/>
    <w:aliases w:val="Char,Знак1,single space,FOOTNOTES,fn,Footnote Text Char1,Footnote Text Char2 Char,Footnote Text Char1 Char Char,Footnote Text Char2 Char Char Char,Footnote Text Char1 Char Char Char Char,Cha,A,Знак, Char, Знак1, Знак,footnote text, Cha,ft"/>
    <w:basedOn w:val="a"/>
    <w:link w:val="a5"/>
    <w:uiPriority w:val="99"/>
    <w:unhideWhenUsed/>
    <w:qFormat/>
    <w:rsid w:val="009D5986"/>
    <w:pPr>
      <w:spacing w:after="0" w:line="240" w:lineRule="auto"/>
    </w:pPr>
    <w:rPr>
      <w:sz w:val="20"/>
      <w:szCs w:val="20"/>
      <w:lang w:val="en-US"/>
    </w:rPr>
  </w:style>
  <w:style w:type="character" w:customStyle="1" w:styleId="a5">
    <w:name w:val="Текст сноски Знак"/>
    <w:aliases w:val="Char Знак,Знак1 Знак,single space Знак,FOOTNOTES Знак,fn Знак,Footnote Text Char1 Знак,Footnote Text Char2 Char Знак,Footnote Text Char1 Char Char Знак,Footnote Text Char2 Char Char Char Знак,Cha Знак,A Знак,Знак Знак, Char Знак"/>
    <w:basedOn w:val="a0"/>
    <w:link w:val="a4"/>
    <w:uiPriority w:val="99"/>
    <w:rsid w:val="009D5986"/>
    <w:rPr>
      <w:rFonts w:ascii="Times New Roman" w:hAnsi="Times New Roman"/>
      <w:sz w:val="20"/>
      <w:szCs w:val="20"/>
    </w:rPr>
  </w:style>
  <w:style w:type="character" w:styleId="a6">
    <w:name w:val="footnote reference"/>
    <w:aliases w:val="ftref,Times 10 Point,Exposant 3 Point,Footnote symbol,Footnote reference number,EN Footnote Reference,note TESI,16 Point,Superscript 6 Point,BVI fnr,Footnote Text Char2,FOOTNOTES Char1,fn Char1,single space Char1,ft Char1,Ref,fr,FR"/>
    <w:basedOn w:val="a0"/>
    <w:link w:val="FNRefeCharChar"/>
    <w:uiPriority w:val="99"/>
    <w:unhideWhenUsed/>
    <w:rsid w:val="009D5986"/>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6"/>
    <w:uiPriority w:val="99"/>
    <w:qFormat/>
    <w:rsid w:val="009D5986"/>
    <w:pPr>
      <w:spacing w:line="240" w:lineRule="exact"/>
    </w:pPr>
    <w:rPr>
      <w:rFonts w:asciiTheme="minorHAnsi" w:hAnsiTheme="minorHAnsi"/>
      <w:sz w:val="22"/>
      <w:vertAlign w:val="superscript"/>
      <w:lang w:val="en-US"/>
    </w:rPr>
  </w:style>
  <w:style w:type="paragraph" w:styleId="a7">
    <w:name w:val="header"/>
    <w:basedOn w:val="a"/>
    <w:link w:val="a8"/>
    <w:uiPriority w:val="99"/>
    <w:unhideWhenUsed/>
    <w:rsid w:val="009D5986"/>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9D5986"/>
    <w:rPr>
      <w:rFonts w:ascii="Times New Roman" w:hAnsi="Times New Roman"/>
      <w:sz w:val="28"/>
      <w:lang w:val="en-GB"/>
    </w:rPr>
  </w:style>
  <w:style w:type="paragraph" w:styleId="a9">
    <w:name w:val="footer"/>
    <w:basedOn w:val="a"/>
    <w:link w:val="aa"/>
    <w:uiPriority w:val="99"/>
    <w:unhideWhenUsed/>
    <w:rsid w:val="009D5986"/>
    <w:pPr>
      <w:tabs>
        <w:tab w:val="center" w:pos="4844"/>
        <w:tab w:val="right" w:pos="9689"/>
      </w:tabs>
      <w:spacing w:after="0" w:line="240" w:lineRule="auto"/>
    </w:pPr>
  </w:style>
  <w:style w:type="character" w:customStyle="1" w:styleId="aa">
    <w:name w:val="Нижний колонтитул Знак"/>
    <w:basedOn w:val="a0"/>
    <w:link w:val="a9"/>
    <w:uiPriority w:val="99"/>
    <w:rsid w:val="009D5986"/>
    <w:rPr>
      <w:rFonts w:ascii="Times New Roman" w:hAnsi="Times New Roman"/>
      <w:sz w:val="28"/>
      <w:lang w:val="en-GB"/>
    </w:rPr>
  </w:style>
  <w:style w:type="paragraph" w:styleId="ab">
    <w:name w:val="List Paragraph"/>
    <w:aliases w:val="Scriptoria bullet points,List Paragraph 1,strikethrough,standaard met opsomming,References,Liste 1,List Paragraph nowy,Numbered List Paragraph,List Paragraph (numbered (a)),Medium Grid 1 - Accent 21,Dot pt,Paragraphe de liste2"/>
    <w:basedOn w:val="a"/>
    <w:link w:val="ac"/>
    <w:uiPriority w:val="34"/>
    <w:qFormat/>
    <w:rsid w:val="009D5986"/>
    <w:pPr>
      <w:spacing w:before="240" w:after="240" w:line="276" w:lineRule="auto"/>
      <w:ind w:left="720"/>
      <w:contextualSpacing/>
    </w:pPr>
    <w:rPr>
      <w:rFonts w:ascii="Arial" w:eastAsia="MS Mincho" w:hAnsi="Arial" w:cs="Times New Roman"/>
      <w:color w:val="2D251B"/>
      <w:lang w:val="en-US"/>
    </w:rPr>
  </w:style>
  <w:style w:type="character" w:customStyle="1" w:styleId="ac">
    <w:name w:val="Абзац списка Знак"/>
    <w:aliases w:val="Scriptoria bullet points Знак,List Paragraph 1 Знак,strikethrough Знак,standaard met opsomming Знак,References Знак,Liste 1 Знак,List Paragraph nowy Знак,Numbered List Paragraph Знак,List Paragraph (numbered (a)) Знак,Dot pt Знак"/>
    <w:link w:val="ab"/>
    <w:uiPriority w:val="34"/>
    <w:rsid w:val="009D5986"/>
    <w:rPr>
      <w:rFonts w:ascii="Arial" w:eastAsia="MS Mincho" w:hAnsi="Arial" w:cs="Times New Roman"/>
      <w:color w:val="2D251B"/>
      <w:sz w:val="28"/>
    </w:rPr>
  </w:style>
  <w:style w:type="paragraph" w:customStyle="1" w:styleId="Default">
    <w:name w:val="Default"/>
    <w:rsid w:val="009D5986"/>
    <w:pPr>
      <w:autoSpaceDE w:val="0"/>
      <w:autoSpaceDN w:val="0"/>
      <w:adjustRightInd w:val="0"/>
      <w:spacing w:after="0" w:line="240" w:lineRule="auto"/>
    </w:pPr>
    <w:rPr>
      <w:rFonts w:ascii="Arial" w:hAnsi="Arial" w:cs="Arial"/>
      <w:color w:val="000000"/>
      <w:sz w:val="24"/>
      <w:szCs w:val="24"/>
      <w:lang w:val="en-GB"/>
    </w:rPr>
  </w:style>
  <w:style w:type="paragraph" w:styleId="ad">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Обычный (веб)1,Знак2"/>
    <w:basedOn w:val="a"/>
    <w:link w:val="ae"/>
    <w:uiPriority w:val="99"/>
    <w:unhideWhenUsed/>
    <w:qFormat/>
    <w:rsid w:val="00E834A6"/>
    <w:pPr>
      <w:spacing w:after="0" w:line="240" w:lineRule="auto"/>
      <w:ind w:firstLine="567"/>
    </w:pPr>
    <w:rPr>
      <w:rFonts w:eastAsia="Times New Roman" w:cs="Times New Roman"/>
      <w:sz w:val="24"/>
      <w:szCs w:val="24"/>
      <w:lang w:val="ro-RO" w:eastAsia="ro-RO"/>
    </w:rPr>
  </w:style>
  <w:style w:type="character" w:customStyle="1" w:styleId="ae">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Знак2 Знак"/>
    <w:link w:val="ad"/>
    <w:uiPriority w:val="99"/>
    <w:rsid w:val="00E834A6"/>
    <w:rPr>
      <w:rFonts w:ascii="Times New Roman" w:eastAsia="Times New Roman" w:hAnsi="Times New Roman" w:cs="Times New Roman"/>
      <w:sz w:val="24"/>
      <w:szCs w:val="24"/>
      <w:lang w:val="ro-RO" w:eastAsia="ro-RO"/>
    </w:rPr>
  </w:style>
  <w:style w:type="table" w:styleId="af">
    <w:name w:val="Table Grid"/>
    <w:basedOn w:val="a1"/>
    <w:uiPriority w:val="39"/>
    <w:rsid w:val="009C4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C30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C30651"/>
    <w:rPr>
      <w:rFonts w:ascii="Courier New" w:eastAsia="Times New Roman" w:hAnsi="Courier New" w:cs="Courier New"/>
      <w:sz w:val="20"/>
      <w:szCs w:val="20"/>
    </w:rPr>
  </w:style>
  <w:style w:type="paragraph" w:styleId="af0">
    <w:name w:val="Body Text"/>
    <w:basedOn w:val="a"/>
    <w:link w:val="af1"/>
    <w:uiPriority w:val="1"/>
    <w:qFormat/>
    <w:rsid w:val="00C30651"/>
    <w:pPr>
      <w:widowControl w:val="0"/>
      <w:autoSpaceDE w:val="0"/>
      <w:autoSpaceDN w:val="0"/>
      <w:spacing w:after="0" w:line="240" w:lineRule="auto"/>
      <w:jc w:val="left"/>
    </w:pPr>
    <w:rPr>
      <w:rFonts w:eastAsia="Times New Roman" w:cs="Times New Roman"/>
      <w:sz w:val="24"/>
      <w:szCs w:val="24"/>
      <w:lang w:val="ro-RO"/>
    </w:rPr>
  </w:style>
  <w:style w:type="character" w:customStyle="1" w:styleId="af1">
    <w:name w:val="Основной текст Знак"/>
    <w:basedOn w:val="a0"/>
    <w:link w:val="af0"/>
    <w:uiPriority w:val="1"/>
    <w:rsid w:val="00C30651"/>
    <w:rPr>
      <w:rFonts w:ascii="Times New Roman" w:eastAsia="Times New Roman" w:hAnsi="Times New Roman" w:cs="Times New Roman"/>
      <w:sz w:val="24"/>
      <w:szCs w:val="24"/>
      <w:lang w:val="ro-RO"/>
    </w:rPr>
  </w:style>
  <w:style w:type="paragraph" w:styleId="af2">
    <w:name w:val="Balloon Text"/>
    <w:basedOn w:val="a"/>
    <w:link w:val="af3"/>
    <w:uiPriority w:val="99"/>
    <w:semiHidden/>
    <w:unhideWhenUsed/>
    <w:rsid w:val="005273F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5273F7"/>
    <w:rPr>
      <w:rFonts w:ascii="Segoe UI" w:hAnsi="Segoe UI" w:cs="Segoe UI"/>
      <w:sz w:val="18"/>
      <w:szCs w:val="18"/>
      <w:lang w:val="en-GB"/>
    </w:rPr>
  </w:style>
  <w:style w:type="paragraph" w:styleId="af4">
    <w:name w:val="Revision"/>
    <w:hidden/>
    <w:uiPriority w:val="99"/>
    <w:semiHidden/>
    <w:rsid w:val="00B03039"/>
    <w:pPr>
      <w:spacing w:after="0" w:line="240" w:lineRule="auto"/>
    </w:pPr>
    <w:rPr>
      <w:rFonts w:ascii="Times New Roman" w:hAnsi="Times New Roman"/>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4314">
      <w:bodyDiv w:val="1"/>
      <w:marLeft w:val="0"/>
      <w:marRight w:val="0"/>
      <w:marTop w:val="0"/>
      <w:marBottom w:val="0"/>
      <w:divBdr>
        <w:top w:val="none" w:sz="0" w:space="0" w:color="auto"/>
        <w:left w:val="none" w:sz="0" w:space="0" w:color="auto"/>
        <w:bottom w:val="none" w:sz="0" w:space="0" w:color="auto"/>
        <w:right w:val="none" w:sz="0" w:space="0" w:color="auto"/>
      </w:divBdr>
    </w:div>
    <w:div w:id="305739870">
      <w:bodyDiv w:val="1"/>
      <w:marLeft w:val="0"/>
      <w:marRight w:val="0"/>
      <w:marTop w:val="0"/>
      <w:marBottom w:val="0"/>
      <w:divBdr>
        <w:top w:val="none" w:sz="0" w:space="0" w:color="auto"/>
        <w:left w:val="none" w:sz="0" w:space="0" w:color="auto"/>
        <w:bottom w:val="none" w:sz="0" w:space="0" w:color="auto"/>
        <w:right w:val="none" w:sz="0" w:space="0" w:color="auto"/>
      </w:divBdr>
    </w:div>
    <w:div w:id="5173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rm.md/ro/responsabilitati-in-auditul-financiar-3596.html" TargetMode="Externa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81DAA-0D03-4ED6-95A8-2D465605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3313</Words>
  <Characters>18887</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Bulmaga Ion</dc:creator>
  <cp:keywords/>
  <dc:description/>
  <cp:lastModifiedBy>Paiu Eugenia</cp:lastModifiedBy>
  <cp:revision>2</cp:revision>
  <cp:lastPrinted>2023-05-17T09:19:00Z</cp:lastPrinted>
  <dcterms:created xsi:type="dcterms:W3CDTF">2023-05-30T11:42:00Z</dcterms:created>
  <dcterms:modified xsi:type="dcterms:W3CDTF">2023-05-30T11:42:00Z</dcterms:modified>
</cp:coreProperties>
</file>